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179"/>
        <w:spacing w:before="209" w:line="221" w:lineRule="auto"/>
        <w:rPr>
          <w:rFonts w:ascii="SimHei" w:hAnsi="SimHei" w:eastAsia="SimHei" w:cs="SimHei"/>
          <w:sz w:val="40"/>
          <w:szCs w:val="40"/>
        </w:rPr>
      </w:pPr>
      <w:r>
        <w:rPr>
          <w:rFonts w:ascii="SimHei" w:hAnsi="SimHei" w:eastAsia="SimHei" w:cs="SimHei"/>
          <w:sz w:val="40"/>
          <w:szCs w:val="40"/>
          <w:color w:val="231F20"/>
          <w:spacing w:val="-3"/>
        </w:rPr>
        <w:t>多层螺旋</w:t>
      </w:r>
      <w:r>
        <w:rPr>
          <w:rFonts w:ascii="SimHei" w:hAnsi="SimHei" w:eastAsia="SimHei" w:cs="SimHei"/>
          <w:sz w:val="40"/>
          <w:szCs w:val="40"/>
          <w:color w:val="231F20"/>
          <w:spacing w:val="-79"/>
        </w:rPr>
        <w:t xml:space="preserve"> </w:t>
      </w:r>
      <w:r>
        <w:rPr>
          <w:rFonts w:ascii="Times New Roman" w:hAnsi="Times New Roman" w:eastAsia="Times New Roman" w:cs="Times New Roman"/>
          <w:sz w:val="40"/>
          <w:szCs w:val="40"/>
          <w:color w:val="231F20"/>
          <w:spacing w:val="-3"/>
        </w:rPr>
        <w:t>CT </w:t>
      </w:r>
      <w:r>
        <w:rPr>
          <w:rFonts w:ascii="SimHei" w:hAnsi="SimHei" w:eastAsia="SimHei" w:cs="SimHei"/>
          <w:sz w:val="40"/>
          <w:szCs w:val="40"/>
          <w:color w:val="231F20"/>
          <w:spacing w:val="-3"/>
        </w:rPr>
        <w:t>在急性阑尾炎诊断中的价值</w:t>
      </w:r>
    </w:p>
    <w:p>
      <w:pPr>
        <w:ind w:left="4114"/>
        <w:spacing w:before="21" w:line="221" w:lineRule="auto"/>
        <w:rPr>
          <w:rFonts w:ascii="SimHei" w:hAnsi="SimHei" w:eastAsia="SimHei" w:cs="SimHei"/>
          <w:sz w:val="40"/>
          <w:szCs w:val="40"/>
        </w:rPr>
      </w:pPr>
      <w:r>
        <w:rPr>
          <w:rFonts w:ascii="SimHei" w:hAnsi="SimHei" w:eastAsia="SimHei" w:cs="SimHei"/>
          <w:sz w:val="40"/>
          <w:szCs w:val="40"/>
          <w:color w:val="231F20"/>
          <w:spacing w:val="-2"/>
        </w:rPr>
        <w:t>及影像学特征分析</w:t>
      </w:r>
    </w:p>
    <w:p>
      <w:pPr>
        <w:ind w:left="4415"/>
        <w:spacing w:before="242" w:line="21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2"/>
        </w:rPr>
        <w:t>李春明，于海霞（通信作者）</w:t>
      </w:r>
    </w:p>
    <w:p>
      <w:pPr>
        <w:ind w:left="3298"/>
        <w:spacing w:before="51" w:line="214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1"/>
        </w:rPr>
        <w:t>（淮安市洪泽区中医院放射科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江苏</w:t>
      </w:r>
      <w:r>
        <w:rPr>
          <w:rFonts w:ascii="KaiTi" w:hAnsi="KaiTi" w:eastAsia="KaiTi" w:cs="KaiTi"/>
          <w:sz w:val="20"/>
          <w:szCs w:val="20"/>
          <w:color w:val="231F20"/>
          <w:spacing w:val="15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淮安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223100）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pStyle w:val="BodyText"/>
        <w:ind w:left="601" w:hanging="7"/>
        <w:spacing w:before="65" w:line="318" w:lineRule="auto"/>
        <w:jc w:val="both"/>
        <w:rPr>
          <w:sz w:val="17"/>
          <w:szCs w:val="17"/>
        </w:rPr>
      </w:pPr>
      <w:r>
        <w:pict>
          <v:shape id="_x0000_s6" style="position:absolute;margin-left:125.265pt;margin-top:4.30983pt;mso-position-vertical-relative:text;mso-position-horizontal-relative:text;width:7.6pt;height:7.9pt;z-index:-251658240;" filled="false" strokecolor="#231F20" strokeweight="0.09pt" coordsize="151,158" coordorigin="0,0" path="m142,111c142,112,143,113,144,113c145,113,146,112,147,110c148,108,149,106,149,104c149,103,148,101,147,99c145,96,139,92,128,86l127,87c130,91,132,94,135,98c107,99,89,100,81,100c97,94,114,86,131,77l137,76l127,65c123,69,119,74,112,79l79,79c86,75,94,70,103,63l109,62l103,57l135,57l135,63l144,59c143,51,143,38,143,20l148,16l138,8l134,14l75,14l67,8c67,18,67,27,67,37c67,47,67,56,67,65l75,61l75,57l96,57c91,63,86,68,82,71c77,75,73,77,69,78l74,89c75,86,86,84,109,81c101,87,92,91,84,95c76,98,70,100,66,100l72,112l77,109c86,107,94,106,103,105l103,137c103,140,102,142,98,142c95,142,89,141,81,140l81,143c92,146,98,150,99,156c107,154,112,148,111,140l111,104c121,103,130,102,137,101c139,104,140,107,142,111m101,34l75,34l75,18l101,18l101,34xm135,34l109,34l109,18l135,18l135,34xm101,53l75,53l75,38l101,38l101,53xm135,53l109,53l109,38l135,38l135,53xm95,124l84,114c75,128,63,140,47,150l48,152c61,146,75,137,88,126l95,124xm119,117c130,126,137,135,140,142c142,147,144,149,146,149c147,149,148,148,149,145c150,142,150,140,150,138c150,136,149,133,146,130c143,127,135,122,121,115l119,117xm34,93l47,93l47,100l55,96c55,88,55,72,55,47l59,44l50,36l46,41l34,41l34,12l40,7l26,0c26,8,26,22,26,41l14,41l6,36c6,43,6,54,6,69c6,84,6,97,6,107l14,102l14,93l26,93l26,127c14,129,6,131,0,132l8,143l12,138c24,133,37,128,51,123c53,126,54,129,55,132c56,134,57,134,57,134c58,134,59,133,60,131c61,129,62,127,62,125c62,123,61,121,60,118c58,116,53,112,44,106l42,107c45,112,48,116,50,121l34,125l34,93xm26,89l14,89l14,45l26,45l26,89xm47,89l34,89l34,45l47,45l47,89xe">
            <v:stroke joinstyle="miter" miterlimit="4"/>
          </v:shape>
        </w:pict>
      </w:r>
      <w:r>
        <w:rPr>
          <w:color w:val="231F20"/>
          <w:spacing w:val="-8"/>
          <w:position w:val="-1"/>
        </w:rPr>
        <w:t>【</w:t>
      </w:r>
      <w:r>
        <w:rPr>
          <w:color w:val="231F20"/>
          <w:spacing w:val="-7"/>
          <w:position w:val="-1"/>
        </w:rPr>
        <w:t>摘要】</w:t>
      </w:r>
      <w:r>
        <w:rPr>
          <w:sz w:val="17"/>
          <w:szCs w:val="17"/>
          <w:color w:val="231F20"/>
          <w:spacing w:val="-7"/>
        </w:rPr>
        <w:t>目的：研究多层螺旋</w:t>
      </w:r>
      <w:r>
        <w:rPr>
          <w:sz w:val="17"/>
          <w:szCs w:val="17"/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7"/>
        </w:rPr>
        <w:t>CT</w:t>
      </w:r>
      <w:r>
        <w:rPr>
          <w:sz w:val="17"/>
          <w:szCs w:val="17"/>
          <w:color w:val="231F20"/>
          <w:spacing w:val="-7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7"/>
        </w:rPr>
        <w:t>MSCT</w:t>
      </w:r>
      <w:r>
        <w:rPr>
          <w:sz w:val="17"/>
          <w:szCs w:val="17"/>
          <w:color w:val="231F20"/>
          <w:spacing w:val="-7"/>
        </w:rPr>
        <w:t>）在急性阑尾炎（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7"/>
        </w:rPr>
        <w:t>AA</w:t>
      </w:r>
      <w:r>
        <w:rPr>
          <w:sz w:val="17"/>
          <w:szCs w:val="17"/>
          <w:color w:val="231F20"/>
          <w:spacing w:val="-7"/>
        </w:rPr>
        <w:t>）诊断中的价值及影像学特征。</w:t>
      </w:r>
      <w:r>
        <w:rPr>
          <w:sz w:val="17"/>
          <w:szCs w:val="17"/>
          <w:color w:val="231F20"/>
          <w:spacing w:val="-8"/>
        </w:rPr>
        <w:t>方法：选取淮安市洪泽区中医院</w:t>
      </w:r>
      <w:r>
        <w:rPr>
          <w:sz w:val="17"/>
          <w:szCs w:val="17"/>
          <w:color w:val="231F20"/>
          <w:spacing w:val="-43"/>
        </w:rPr>
        <w:t xml:space="preserve"> </w:t>
      </w:r>
      <w:r>
        <w:rPr>
          <w:sz w:val="17"/>
          <w:szCs w:val="17"/>
          <w:color w:val="231F20"/>
          <w:spacing w:val="-8"/>
        </w:rPr>
        <w:t>2023</w:t>
      </w:r>
      <w:r>
        <w:rPr>
          <w:sz w:val="17"/>
          <w:szCs w:val="17"/>
          <w:color w:val="231F20"/>
          <w:spacing w:val="-45"/>
        </w:rPr>
        <w:t xml:space="preserve"> </w:t>
      </w:r>
      <w:r>
        <w:rPr>
          <w:sz w:val="17"/>
          <w:szCs w:val="17"/>
          <w:color w:val="231F20"/>
          <w:spacing w:val="-8"/>
        </w:rPr>
        <w:t>年</w:t>
      </w:r>
      <w:r>
        <w:rPr>
          <w:sz w:val="17"/>
          <w:szCs w:val="17"/>
          <w:color w:val="231F20"/>
          <w:spacing w:val="-42"/>
        </w:rPr>
        <w:t xml:space="preserve"> </w:t>
      </w:r>
      <w:r>
        <w:rPr>
          <w:sz w:val="17"/>
          <w:szCs w:val="17"/>
          <w:color w:val="231F20"/>
          <w:spacing w:val="-8"/>
        </w:rPr>
        <w:t>3</w:t>
      </w:r>
      <w:r>
        <w:rPr>
          <w:sz w:val="17"/>
          <w:szCs w:val="17"/>
          <w:color w:val="231F20"/>
          <w:spacing w:val="-41"/>
        </w:rPr>
        <w:t xml:space="preserve"> </w:t>
      </w:r>
      <w:r>
        <w:rPr>
          <w:sz w:val="17"/>
          <w:szCs w:val="17"/>
          <w:color w:val="231F20"/>
          <w:spacing w:val="-8"/>
        </w:rPr>
        <w:t>月</w:t>
      </w:r>
      <w:r>
        <w:rPr>
          <w:sz w:val="17"/>
          <w:szCs w:val="17"/>
          <w:color w:val="231F20"/>
          <w:spacing w:val="-7"/>
        </w:rPr>
        <w:t>—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2024</w:t>
      </w:r>
      <w:r>
        <w:rPr>
          <w:sz w:val="17"/>
          <w:szCs w:val="17"/>
          <w:color w:val="231F20"/>
          <w:spacing w:val="-36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年</w:t>
      </w:r>
      <w:r>
        <w:rPr>
          <w:sz w:val="17"/>
          <w:szCs w:val="17"/>
          <w:color w:val="231F20"/>
          <w:spacing w:val="-36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5</w:t>
      </w:r>
      <w:r>
        <w:rPr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月收治的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86</w:t>
      </w:r>
      <w:r>
        <w:rPr>
          <w:sz w:val="17"/>
          <w:szCs w:val="17"/>
          <w:color w:val="231F20"/>
          <w:spacing w:val="-39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例疑似</w:t>
      </w:r>
      <w:r>
        <w:rPr>
          <w:sz w:val="17"/>
          <w:szCs w:val="17"/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5"/>
        </w:rPr>
        <w:t>AA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11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患者开展研究，均进行</w:t>
      </w:r>
      <w:r>
        <w:rPr>
          <w:sz w:val="17"/>
          <w:szCs w:val="17"/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5"/>
        </w:rPr>
        <w:t>MSCT </w:t>
      </w:r>
      <w:r>
        <w:rPr>
          <w:sz w:val="17"/>
          <w:szCs w:val="17"/>
          <w:b/>
          <w:bCs/>
          <w:color w:val="231F20"/>
          <w:spacing w:val="-5"/>
        </w:rPr>
        <w:t>与超声检查，将腹腔镜手术病理结果作为金标准，比较上述两种影像学检查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b/>
          <w:bCs/>
          <w:color w:val="231F20"/>
          <w:spacing w:val="-5"/>
        </w:rPr>
        <w:t>方法诊断</w:t>
      </w:r>
      <w:r>
        <w:rPr>
          <w:sz w:val="17"/>
          <w:szCs w:val="17"/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5"/>
        </w:rPr>
        <w:t>AA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17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的效能以及对不同类型</w:t>
      </w:r>
      <w:r>
        <w:rPr>
          <w:sz w:val="17"/>
          <w:szCs w:val="17"/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5"/>
        </w:rPr>
        <w:t>AA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17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的检出情况，分析</w:t>
      </w:r>
      <w:r>
        <w:rPr>
          <w:sz w:val="17"/>
          <w:szCs w:val="17"/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5"/>
        </w:rPr>
        <w:t>AA </w:t>
      </w:r>
      <w:r>
        <w:rPr>
          <w:sz w:val="17"/>
          <w:szCs w:val="17"/>
          <w:b/>
          <w:bCs/>
          <w:color w:val="231F20"/>
          <w:spacing w:val="-5"/>
        </w:rPr>
        <w:t>与非</w:t>
      </w:r>
      <w:r>
        <w:rPr>
          <w:sz w:val="17"/>
          <w:szCs w:val="17"/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5"/>
        </w:rPr>
        <w:t>AA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11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患者的</w:t>
      </w:r>
      <w:r>
        <w:rPr>
          <w:sz w:val="17"/>
          <w:szCs w:val="17"/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5"/>
        </w:rPr>
        <w:t>MSCT </w:t>
      </w:r>
      <w:r>
        <w:rPr>
          <w:sz w:val="17"/>
          <w:szCs w:val="17"/>
          <w:b/>
          <w:bCs/>
          <w:color w:val="231F20"/>
          <w:spacing w:val="-5"/>
        </w:rPr>
        <w:t>影像学特征。结</w:t>
      </w:r>
      <w:r>
        <w:rPr>
          <w:sz w:val="17"/>
          <w:szCs w:val="17"/>
          <w:b/>
          <w:bCs/>
          <w:color w:val="231F20"/>
          <w:spacing w:val="-6"/>
        </w:rPr>
        <w:t>果：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6"/>
        </w:rPr>
        <w:t>MSCT </w:t>
      </w:r>
      <w:r>
        <w:rPr>
          <w:sz w:val="17"/>
          <w:szCs w:val="17"/>
          <w:b/>
          <w:bCs/>
          <w:color w:val="231F20"/>
          <w:spacing w:val="-6"/>
        </w:rPr>
        <w:t>诊断</w:t>
      </w:r>
      <w:r>
        <w:rPr>
          <w:sz w:val="17"/>
          <w:szCs w:val="17"/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6"/>
        </w:rPr>
        <w:t>AA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17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-6"/>
        </w:rPr>
        <w:t>的灵敏度、特异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度及准确率分别为</w:t>
      </w:r>
      <w:r>
        <w:rPr>
          <w:sz w:val="17"/>
          <w:szCs w:val="17"/>
          <w:color w:val="231F20"/>
          <w:spacing w:val="-39"/>
        </w:rPr>
        <w:t xml:space="preserve"> </w:t>
      </w:r>
      <w:r>
        <w:rPr>
          <w:sz w:val="17"/>
          <w:szCs w:val="17"/>
          <w:color w:val="231F20"/>
          <w:spacing w:val="-3"/>
        </w:rPr>
        <w:t>90.38%、88.24%、89.53%，分别</w:t>
      </w:r>
      <w:r>
        <w:rPr>
          <w:sz w:val="17"/>
          <w:szCs w:val="17"/>
          <w:color w:val="231F20"/>
          <w:spacing w:val="-4"/>
        </w:rPr>
        <w:t>高于超声诊断的</w:t>
      </w:r>
      <w:r>
        <w:rPr>
          <w:sz w:val="17"/>
          <w:szCs w:val="17"/>
          <w:color w:val="231F20"/>
          <w:spacing w:val="-36"/>
        </w:rPr>
        <w:t xml:space="preserve"> </w:t>
      </w:r>
      <w:r>
        <w:rPr>
          <w:sz w:val="17"/>
          <w:szCs w:val="17"/>
          <w:color w:val="231F20"/>
          <w:spacing w:val="-4"/>
        </w:rPr>
        <w:t>59.62%、44.12%、53.49%，差异有统计学意义（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4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4"/>
          <w:w w:val="102"/>
        </w:rPr>
        <w:t xml:space="preserve"> </w:t>
      </w:r>
      <w:r>
        <w:rPr>
          <w:sz w:val="17"/>
          <w:szCs w:val="17"/>
          <w:color w:val="231F20"/>
          <w:spacing w:val="-4"/>
        </w:rPr>
        <w:t>＜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  <w:spacing w:val="-4"/>
        </w:rPr>
        <w:t>0.05）。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4"/>
        </w:rPr>
        <w:t>MSCT </w:t>
      </w:r>
      <w:r>
        <w:rPr>
          <w:sz w:val="17"/>
          <w:szCs w:val="17"/>
          <w:color w:val="231F20"/>
          <w:spacing w:val="-4"/>
        </w:rPr>
        <w:t>对单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纯性阑尾炎、化脓性阑尾炎、穿孔坏疽性阑尾炎的检出符合率均高于超声，差异有统计学意义（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i/>
          <w:iCs/>
          <w:color w:val="231F20"/>
          <w:spacing w:val="-5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i/>
          <w:iCs/>
          <w:color w:val="231F20"/>
          <w:spacing w:val="14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＜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0.05）。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5"/>
        </w:rPr>
        <w:t>AA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11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患</w:t>
      </w:r>
      <w:r>
        <w:rPr>
          <w:sz w:val="17"/>
          <w:szCs w:val="17"/>
          <w:b/>
          <w:bCs/>
          <w:color w:val="231F20"/>
          <w:spacing w:val="-6"/>
        </w:rPr>
        <w:t>者各项</w:t>
      </w:r>
      <w:r>
        <w:rPr>
          <w:sz w:val="17"/>
          <w:szCs w:val="17"/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6"/>
        </w:rPr>
        <w:t>MSCT </w:t>
      </w:r>
      <w:r>
        <w:rPr>
          <w:sz w:val="17"/>
          <w:szCs w:val="17"/>
          <w:b/>
          <w:bCs/>
          <w:color w:val="231F20"/>
          <w:spacing w:val="-6"/>
        </w:rPr>
        <w:t>影像学特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b/>
          <w:bCs/>
          <w:color w:val="231F20"/>
          <w:spacing w:val="-5"/>
        </w:rPr>
        <w:t>征与非</w:t>
      </w:r>
      <w:r>
        <w:rPr>
          <w:sz w:val="17"/>
          <w:szCs w:val="17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5"/>
        </w:rPr>
        <w:t>AA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11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患者比较，差异有统计学意义（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i/>
          <w:iCs/>
          <w:color w:val="231F20"/>
          <w:spacing w:val="-5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i/>
          <w:iCs/>
          <w:color w:val="231F20"/>
          <w:spacing w:val="14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＜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0.05）。结论：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5"/>
        </w:rPr>
        <w:t>MSCT </w:t>
      </w:r>
      <w:r>
        <w:rPr>
          <w:sz w:val="17"/>
          <w:szCs w:val="17"/>
          <w:b/>
          <w:bCs/>
          <w:color w:val="231F20"/>
          <w:spacing w:val="-5"/>
        </w:rPr>
        <w:t>在</w:t>
      </w:r>
      <w:r>
        <w:rPr>
          <w:sz w:val="17"/>
          <w:szCs w:val="17"/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5"/>
        </w:rPr>
        <w:t>AA </w:t>
      </w:r>
      <w:r>
        <w:rPr>
          <w:sz w:val="17"/>
          <w:szCs w:val="17"/>
          <w:b/>
          <w:bCs/>
          <w:color w:val="231F20"/>
          <w:spacing w:val="-5"/>
        </w:rPr>
        <w:t>诊断中具有较高的灵敏度、特异度及准确率，可为后续治疗提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b/>
          <w:bCs/>
          <w:color w:val="231F20"/>
          <w:spacing w:val="-6"/>
        </w:rPr>
        <w:t>供可靠依据。</w:t>
      </w:r>
    </w:p>
    <w:p>
      <w:pPr>
        <w:pStyle w:val="BodyText"/>
        <w:ind w:left="594"/>
        <w:spacing w:line="220" w:lineRule="auto"/>
        <w:rPr>
          <w:sz w:val="17"/>
          <w:szCs w:val="17"/>
        </w:rPr>
      </w:pPr>
      <w:r>
        <w:pict>
          <v:shape id="_x0000_s8" style="position:absolute;margin-left:145.853pt;margin-top:1.04854pt;mso-position-vertical-relative:text;mso-position-horizontal-relative:text;width:7.6pt;height:7.9pt;z-index:-251657216;" filled="false" strokecolor="#231F20" strokeweight="0.09pt" coordsize="151,158" coordorigin="0,0" path="m142,111c142,112,143,113,144,113c145,113,146,112,147,110c148,108,149,106,149,104c149,103,148,101,147,99c145,96,139,92,128,86l127,87c130,91,132,94,135,98c107,99,89,100,81,100c97,94,114,86,131,77l137,76l127,65c123,69,119,74,112,79l79,79c86,75,94,70,103,63l109,62l103,57l135,57l135,63l144,59c143,51,143,38,143,20l148,16l138,8l134,14l75,14l67,8c67,18,67,27,67,37c67,47,67,56,67,65l75,61l75,57l96,57c91,63,86,68,82,71c77,75,73,77,69,78l74,89c75,86,86,84,109,81c101,87,92,91,84,95c76,98,70,100,66,100l72,112l77,109c86,107,94,106,103,105l103,137c103,140,102,142,98,142c95,142,89,141,81,140l81,143c92,146,98,150,99,156c107,154,112,148,111,140l111,104c121,103,130,102,137,101c139,104,140,107,142,111m101,34l75,34l75,18l101,18l101,34xm135,34l109,34l109,18l135,18l135,34xm101,53l75,53l75,38l101,38l101,53xm135,53l109,53l109,38l135,38l135,53xm95,124l84,114c75,128,63,140,47,150l48,152c61,146,75,137,88,126l95,124xm119,117c130,126,137,135,140,142c142,147,144,149,146,149c147,149,148,148,149,145c150,142,150,140,150,138c150,136,149,133,146,130c143,127,135,122,121,115l119,117xm34,93l47,93l47,100l55,96c55,88,55,72,55,47l59,44l50,36l46,41l34,41l34,12l40,7l26,0c26,8,26,22,26,41l14,41l6,36c6,43,6,54,6,69c6,84,6,97,6,107l14,102l14,93l26,93l26,127c14,129,6,131,0,132l8,143l12,138c24,133,37,128,51,123c53,126,54,129,55,132c56,134,57,134,57,134c58,134,59,133,60,131c61,129,62,127,62,125c62,123,61,121,60,118c58,116,53,112,44,106l42,107c45,112,48,116,50,121l34,125l34,93xm26,89l14,89l14,45l26,45l26,89xm47,89l34,89l34,45l47,45l47,89xe">
            <v:stroke joinstyle="miter" miterlimit="4"/>
          </v:shape>
        </w:pict>
      </w:r>
      <w:r>
        <w:rPr>
          <w:color w:val="231F20"/>
          <w:spacing w:val="-4"/>
        </w:rPr>
        <w:t>【关键词】</w:t>
      </w:r>
      <w:r>
        <w:rPr>
          <w:sz w:val="17"/>
          <w:szCs w:val="17"/>
          <w:color w:val="231F20"/>
          <w:spacing w:val="-4"/>
        </w:rPr>
        <w:t>急性阑尾炎；多层螺旋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4"/>
        </w:rPr>
        <w:t>CT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4"/>
        </w:rPr>
        <w:t>；超声；诊断价值；影像学特征</w:t>
      </w:r>
    </w:p>
    <w:p>
      <w:pPr>
        <w:pStyle w:val="BodyText"/>
        <w:ind w:right="1"/>
        <w:spacing w:before="61" w:line="218" w:lineRule="auto"/>
        <w:jc w:val="right"/>
        <w:rPr>
          <w:sz w:val="17"/>
          <w:szCs w:val="17"/>
        </w:rPr>
      </w:pPr>
      <w:r>
        <w:pict>
          <v:shape id="_x0000_s10" style="position:absolute;margin-left:442.533pt;margin-top:7.06322pt;mso-position-vertical-relative:text;mso-position-horizontal-relative:text;width:3.85pt;height:4pt;z-index:-251656192;" filled="false" strokecolor="#231F20" strokeweight="0.09pt" coordsize="76,80" coordorigin="0,0" path="m28,78l28,74l25,74c23,74,22,74,21,73c20,72,19,71,19,69l19,23c22,18,26,14,31,12c35,9,39,8,43,8c47,8,51,9,53,12c55,15,56,19,56,24l56,69c56,71,56,72,55,73c54,74,52,74,50,74l47,74l47,78l75,78l75,74l71,74c70,74,68,74,67,73c66,72,65,71,65,69l65,26c65,18,64,12,60,8c57,4,51,2,44,2c39,2,35,3,31,6c27,8,23,11,19,16l19,0l18,0c16,2,14,3,12,3c10,3,8,4,6,4l1,4l1,8l6,8c8,8,9,8,9,9c9,9,10,10,10,12l10,69c10,71,9,72,8,73c7,74,6,74,4,74l0,74l0,78l28,78xe">
            <v:stroke joinstyle="miter" miterlimit="4"/>
          </v:shape>
        </w:pict>
      </w:r>
      <w:r>
        <w:rPr>
          <w:color w:val="231F20"/>
          <w:spacing w:val="-2"/>
        </w:rPr>
        <w:t>【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2"/>
        </w:rPr>
        <w:t>中图分类号】</w:t>
      </w:r>
      <w:r>
        <w:rPr>
          <w:sz w:val="17"/>
          <w:szCs w:val="17"/>
          <w:color w:val="231F20"/>
          <w:spacing w:val="-2"/>
        </w:rPr>
        <w:t>R445.3                   </w:t>
      </w:r>
      <w:r>
        <w:rPr>
          <w:color w:val="231F20"/>
          <w:spacing w:val="-2"/>
        </w:rPr>
        <w:t>【文献标识码】</w:t>
      </w:r>
      <w:r>
        <w:rPr>
          <w:sz w:val="17"/>
          <w:szCs w:val="17"/>
          <w:color w:val="231F20"/>
          <w:spacing w:val="-2"/>
        </w:rPr>
        <w:t>A                      DOI:10.20267/j.issn.2096-3807.2025.</w:t>
      </w:r>
      <w:r>
        <w:rPr>
          <w:sz w:val="17"/>
          <w:szCs w:val="17"/>
          <w:color w:val="231F20"/>
          <w:spacing w:val="-3"/>
        </w:rPr>
        <w:t>02.044</w:t>
      </w:r>
    </w:p>
    <w:p>
      <w:pPr>
        <w:spacing w:before="9"/>
        <w:rPr/>
      </w:pPr>
      <w:r/>
    </w:p>
    <w:p>
      <w:pPr>
        <w:spacing w:before="8"/>
        <w:rPr/>
      </w:pPr>
      <w:r/>
    </w:p>
    <w:p>
      <w:pPr>
        <w:sectPr>
          <w:headerReference w:type="default" r:id="rId1"/>
          <w:footerReference w:type="default" r:id="rId2"/>
          <w:pgSz w:w="12246" w:h="16498"/>
          <w:pgMar w:top="1208" w:right="1018" w:bottom="868" w:left="424" w:header="826" w:footer="526" w:gutter="0"/>
          <w:cols w:equalWidth="0" w:num="1">
            <w:col w:w="10803" w:space="0"/>
          </w:cols>
        </w:sectPr>
        <w:rPr/>
      </w:pPr>
    </w:p>
    <w:p>
      <w:pPr>
        <w:pStyle w:val="BodyText"/>
        <w:ind w:left="598" w:right="247" w:firstLine="409"/>
        <w:spacing w:before="49" w:line="294" w:lineRule="auto"/>
        <w:jc w:val="both"/>
        <w:rPr/>
      </w:pPr>
      <w:r>
        <w:rPr>
          <w:color w:val="231F20"/>
          <w:spacing w:val="2"/>
        </w:rPr>
        <w:t>急性阑尾炎（</w:t>
      </w:r>
      <w:r>
        <w:rPr>
          <w:rFonts w:ascii="Times New Roman" w:hAnsi="Times New Roman" w:eastAsia="Times New Roman" w:cs="Times New Roman"/>
          <w:color w:val="231F20"/>
        </w:rPr>
        <w:t>acute</w:t>
      </w:r>
      <w:r>
        <w:rPr>
          <w:rFonts w:ascii="Times New Roman" w:hAnsi="Times New Roman" w:eastAsia="Times New Roman" w:cs="Times New Roman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appendicitis</w:t>
      </w:r>
      <w:r>
        <w:rPr>
          <w:rFonts w:ascii="Times New Roman" w:hAnsi="Times New Roman" w:eastAsia="Times New Roman" w:cs="Times New Roman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AA</w:t>
      </w:r>
      <w:r>
        <w:rPr>
          <w:color w:val="231F20"/>
          <w:spacing w:val="2"/>
        </w:rPr>
        <w:t>）属于临床上较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为常见的急腹症之一，可发生于任何年龄阶段，其主要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病因为肠道粪石或（和）食物残渣进入阑尾腔内引发阑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尾堵塞所致</w:t>
      </w:r>
      <w:r>
        <w:rPr>
          <w:color w:val="231F20"/>
          <w:spacing w:val="-25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[1]</w:t>
      </w:r>
      <w:r>
        <w:rPr>
          <w:sz w:val="11"/>
          <w:szCs w:val="11"/>
          <w:color w:val="231F20"/>
          <w:spacing w:val="-28"/>
          <w:position w:val="9"/>
        </w:rPr>
        <w:t xml:space="preserve"> </w:t>
      </w:r>
      <w:r>
        <w:rPr>
          <w:color w:val="231F20"/>
          <w:spacing w:val="2"/>
        </w:rPr>
        <w:t>。该病存在发病急、进展快等特点，主要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临床表现包括恶心呕吐、腹痛以及发热等，若未获得及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时有效的诊治，随着病情的持续恶化可能会危及患者的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生命</w:t>
      </w:r>
      <w:r>
        <w:rPr>
          <w:color w:val="231F20"/>
          <w:spacing w:val="-26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[2]</w:t>
      </w:r>
      <w:r>
        <w:rPr>
          <w:sz w:val="11"/>
          <w:szCs w:val="11"/>
          <w:color w:val="231F20"/>
          <w:spacing w:val="-27"/>
          <w:position w:val="9"/>
        </w:rPr>
        <w:t xml:space="preserve"> </w:t>
      </w:r>
      <w:r>
        <w:rPr>
          <w:color w:val="231F20"/>
          <w:spacing w:val="2"/>
        </w:rPr>
        <w:t>。由此可见，如何早期准确诊断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AA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意义重大，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亦是改善患者预后转归的关键。超声检查是临床上诊断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AA</w:t>
      </w:r>
      <w:r>
        <w:rPr>
          <w:rFonts w:ascii="Times New Roman" w:hAnsi="Times New Roman" w:eastAsia="Times New Roman" w:cs="Times New Roman"/>
          <w:color w:val="231F20"/>
          <w:spacing w:val="44"/>
          <w:w w:val="101"/>
        </w:rPr>
        <w:t xml:space="preserve"> </w:t>
      </w:r>
      <w:r>
        <w:rPr>
          <w:color w:val="231F20"/>
          <w:spacing w:val="6"/>
        </w:rPr>
        <w:t>的重要手段，具有可重复性高、操作简便以及无辐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射损伤等优势，然而其临床诊断结果在一定程度上受肠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气以及脂肪等多种因素的影响，进而可能引发误诊、漏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诊情况</w:t>
      </w:r>
      <w:r>
        <w:rPr>
          <w:color w:val="231F20"/>
          <w:spacing w:val="-25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[3]</w:t>
      </w:r>
      <w:r>
        <w:rPr>
          <w:sz w:val="11"/>
          <w:szCs w:val="11"/>
          <w:color w:val="231F20"/>
          <w:spacing w:val="-28"/>
          <w:position w:val="9"/>
        </w:rPr>
        <w:t xml:space="preserve"> </w:t>
      </w:r>
      <w:r>
        <w:rPr>
          <w:color w:val="231F20"/>
          <w:spacing w:val="3"/>
        </w:rPr>
        <w:t>。随着近年来</w:t>
      </w:r>
      <w:r>
        <w:rPr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技术的飞速发</w:t>
      </w:r>
      <w:r>
        <w:rPr>
          <w:color w:val="231F20"/>
          <w:spacing w:val="2"/>
        </w:rPr>
        <w:t>展与完善，多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层螺旋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CT</w:t>
      </w:r>
      <w:r>
        <w:rPr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color w:val="231F20"/>
          <w:spacing w:val="-1"/>
        </w:rPr>
        <w:t>multislice</w:t>
      </w:r>
      <w:r>
        <w:rPr>
          <w:rFonts w:ascii="Times New Roman" w:hAnsi="Times New Roman" w:eastAsia="Times New Roman" w:cs="Times New Roman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spiral CT</w:t>
      </w:r>
      <w:r>
        <w:rPr>
          <w:rFonts w:ascii="Times New Roman" w:hAnsi="Times New Roman" w:eastAsia="Times New Roman" w:cs="Times New Roman"/>
          <w:color w:val="231F20"/>
          <w:spacing w:val="-2"/>
        </w:rPr>
        <w:t>, MSCT</w:t>
      </w:r>
      <w:r>
        <w:rPr>
          <w:color w:val="231F20"/>
          <w:spacing w:val="-2"/>
        </w:rPr>
        <w:t>）开始被广泛应用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于临床多种急腹症的诊治中。相较于常规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CT </w:t>
      </w:r>
      <w:r>
        <w:rPr>
          <w:color w:val="231F20"/>
          <w:spacing w:val="-1"/>
        </w:rPr>
        <w:t>检</w:t>
      </w:r>
      <w:r>
        <w:rPr>
          <w:color w:val="231F20"/>
          <w:spacing w:val="-2"/>
        </w:rPr>
        <w:t>查而言，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该影像学技术可显著降低辐射，同时可获得更理想</w:t>
      </w:r>
      <w:r>
        <w:rPr>
          <w:color w:val="231F20"/>
          <w:spacing w:val="4"/>
        </w:rPr>
        <w:t>的空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间分辨率与清晰度</w:t>
      </w:r>
      <w:r>
        <w:rPr>
          <w:color w:val="231F20"/>
          <w:spacing w:val="-27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[4]</w:t>
      </w:r>
      <w:r>
        <w:rPr>
          <w:color w:val="231F20"/>
          <w:spacing w:val="2"/>
        </w:rPr>
        <w:t>。基于此，本文通</w:t>
      </w:r>
      <w:r>
        <w:rPr>
          <w:color w:val="231F20"/>
          <w:spacing w:val="1"/>
        </w:rPr>
        <w:t>过研究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MSCT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在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AA </w:t>
      </w:r>
      <w:r>
        <w:rPr>
          <w:color w:val="231F20"/>
          <w:spacing w:val="-1"/>
        </w:rPr>
        <w:t>诊断中的价值及影像学特征，以期为</w:t>
      </w:r>
      <w:r>
        <w:rPr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AA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的诊断提供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一种行之有效的方案。现报道如下。</w:t>
      </w:r>
    </w:p>
    <w:p>
      <w:pPr>
        <w:ind w:left="614"/>
        <w:spacing w:before="5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1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资料与方法</w:t>
      </w:r>
    </w:p>
    <w:p>
      <w:pPr>
        <w:pStyle w:val="BodyText"/>
        <w:ind w:left="1015"/>
        <w:spacing w:before="80" w:line="220" w:lineRule="auto"/>
        <w:rPr/>
      </w:pPr>
      <w:r>
        <w:rPr>
          <w:color w:val="231F20"/>
          <w:spacing w:val="-5"/>
        </w:rPr>
        <w:t>1.1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一般资料</w:t>
      </w:r>
    </w:p>
    <w:p>
      <w:pPr>
        <w:pStyle w:val="BodyText"/>
        <w:ind w:left="603" w:right="247" w:firstLine="396"/>
        <w:spacing w:before="79" w:line="295" w:lineRule="auto"/>
        <w:rPr/>
      </w:pPr>
      <w:r>
        <w:rPr>
          <w:color w:val="231F20"/>
          <w:spacing w:val="-3"/>
        </w:rPr>
        <w:t>选取淮安市洪泽区中医院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3"/>
        </w:rPr>
        <w:t>2023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3"/>
        </w:rPr>
        <w:t>年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3"/>
        </w:rPr>
        <w:t>3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3"/>
        </w:rPr>
        <w:t>月—</w:t>
      </w:r>
      <w:r>
        <w:rPr>
          <w:color w:val="231F20"/>
          <w:spacing w:val="-4"/>
        </w:rPr>
        <w:t>2024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4"/>
        </w:rPr>
        <w:t>年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4"/>
        </w:rPr>
        <w:t>5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4"/>
        </w:rPr>
        <w:t>月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收治的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"/>
        </w:rPr>
        <w:t>86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"/>
        </w:rPr>
        <w:t>例疑似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AA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患者开展研究，其中男 37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例，女 </w:t>
      </w:r>
      <w:r>
        <w:rPr>
          <w:color w:val="231F20"/>
          <w:spacing w:val="3"/>
        </w:rPr>
        <w:t>49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3"/>
        </w:rPr>
        <w:t>例；年龄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3"/>
        </w:rPr>
        <w:t>8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3"/>
        </w:rPr>
        <w:t>～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3"/>
        </w:rPr>
        <w:t>93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3"/>
        </w:rPr>
        <w:t>岁，平均（47.99±10.35）岁；来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源科室：普外科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5"/>
        </w:rPr>
        <w:t>66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5"/>
        </w:rPr>
        <w:t>例，急诊内科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5"/>
        </w:rPr>
        <w:t>10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5"/>
        </w:rPr>
        <w:t>例，急诊外科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5"/>
        </w:rPr>
        <w:t>6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5"/>
        </w:rPr>
        <w:t>例，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其他科室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5"/>
        </w:rPr>
        <w:t>4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5"/>
        </w:rPr>
        <w:t>例。</w:t>
      </w:r>
    </w:p>
    <w:p>
      <w:pPr>
        <w:pStyle w:val="BodyText"/>
        <w:ind w:left="605" w:right="254" w:firstLine="396"/>
        <w:spacing w:before="1" w:line="239" w:lineRule="auto"/>
        <w:rPr/>
      </w:pPr>
      <w:r>
        <w:rPr>
          <w:color w:val="231F20"/>
          <w:spacing w:val="2"/>
        </w:rPr>
        <w:t>纳入标准</w:t>
      </w:r>
      <w:r>
        <w:rPr>
          <w:color w:val="231F20"/>
          <w:spacing w:val="-13"/>
        </w:rPr>
        <w:t>：（</w:t>
      </w:r>
      <w:r>
        <w:rPr>
          <w:color w:val="231F20"/>
          <w:spacing w:val="2"/>
        </w:rPr>
        <w:t>1）受试者均有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AA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典型症状表现，且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经腹腔镜手术病理检查确诊</w:t>
      </w:r>
      <w:r>
        <w:rPr>
          <w:color w:val="231F20"/>
          <w:spacing w:val="-3"/>
        </w:rPr>
        <w:t>；（</w:t>
      </w:r>
      <w:r>
        <w:rPr>
          <w:color w:val="231F20"/>
          <w:spacing w:val="10"/>
        </w:rPr>
        <w:t>2）入院前无任何治疗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" w:firstLine="4"/>
        <w:spacing w:before="39" w:line="295" w:lineRule="auto"/>
        <w:jc w:val="both"/>
        <w:rPr/>
      </w:pPr>
      <w:r>
        <w:rPr>
          <w:color w:val="231F20"/>
          <w:spacing w:val="6"/>
        </w:rPr>
        <w:t>史</w:t>
      </w:r>
      <w:r>
        <w:rPr>
          <w:color w:val="231F20"/>
          <w:spacing w:val="-4"/>
        </w:rPr>
        <w:t>；（</w:t>
      </w:r>
      <w:r>
        <w:rPr>
          <w:color w:val="231F20"/>
          <w:spacing w:val="6"/>
        </w:rPr>
        <w:t>3）临床资料完善</w:t>
      </w:r>
      <w:r>
        <w:rPr>
          <w:color w:val="231F20"/>
          <w:spacing w:val="-4"/>
        </w:rPr>
        <w:t>；（</w:t>
      </w:r>
      <w:r>
        <w:rPr>
          <w:color w:val="231F20"/>
          <w:spacing w:val="6"/>
        </w:rPr>
        <w:t>4）自愿参与本次研究并签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署同意书。排除标准</w:t>
      </w:r>
      <w:r>
        <w:rPr>
          <w:color w:val="231F20"/>
          <w:spacing w:val="-11"/>
        </w:rPr>
        <w:t>：（</w:t>
      </w:r>
      <w:r>
        <w:rPr>
          <w:color w:val="231F20"/>
          <w:spacing w:val="2"/>
        </w:rPr>
        <w:t>1）心、肾、肺等脏器发生重大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病变</w:t>
      </w:r>
      <w:r>
        <w:rPr>
          <w:color w:val="231F20"/>
          <w:spacing w:val="-3"/>
        </w:rPr>
        <w:t>；（</w:t>
      </w:r>
      <w:r>
        <w:rPr>
          <w:color w:val="231F20"/>
          <w:spacing w:val="4"/>
        </w:rPr>
        <w:t>2）存在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MSCT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检查禁忌证</w:t>
      </w:r>
      <w:r>
        <w:rPr>
          <w:color w:val="231F20"/>
          <w:spacing w:val="-3"/>
        </w:rPr>
        <w:t>；（</w:t>
      </w:r>
      <w:r>
        <w:rPr>
          <w:color w:val="231F20"/>
          <w:spacing w:val="4"/>
        </w:rPr>
        <w:t>3）神志异常；</w:t>
      </w:r>
    </w:p>
    <w:p>
      <w:pPr>
        <w:pStyle w:val="BodyText"/>
        <w:ind w:left="6"/>
        <w:spacing w:before="1" w:line="218" w:lineRule="auto"/>
        <w:rPr/>
      </w:pPr>
      <w:r>
        <w:rPr>
          <w:color w:val="231F20"/>
          <w:spacing w:val="-2"/>
        </w:rPr>
        <w:t>（4）正处于妊娠期或哺乳期女性</w:t>
      </w:r>
      <w:r>
        <w:rPr>
          <w:color w:val="231F20"/>
          <w:spacing w:val="2"/>
        </w:rPr>
        <w:t>；（</w:t>
      </w:r>
      <w:r>
        <w:rPr>
          <w:color w:val="231F20"/>
          <w:spacing w:val="-2"/>
        </w:rPr>
        <w:t>5）依从性欠佳。</w:t>
      </w:r>
    </w:p>
    <w:p>
      <w:pPr>
        <w:pStyle w:val="BodyText"/>
        <w:ind w:left="412"/>
        <w:spacing w:before="82" w:line="221" w:lineRule="auto"/>
        <w:rPr/>
      </w:pPr>
      <w:r>
        <w:rPr>
          <w:color w:val="231F20"/>
          <w:spacing w:val="-6"/>
        </w:rPr>
        <w:t>1.2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方法</w:t>
      </w:r>
    </w:p>
    <w:p>
      <w:pPr>
        <w:pStyle w:val="BodyText"/>
        <w:ind w:right="1" w:firstLine="396"/>
        <w:spacing w:before="76" w:line="295" w:lineRule="auto"/>
        <w:rPr/>
      </w:pPr>
      <w:r>
        <w:rPr>
          <w:color w:val="231F20"/>
          <w:spacing w:val="4"/>
        </w:rPr>
        <w:t>超声检查：仪器选用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LOGIQ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</w:t>
      </w:r>
      <w:r>
        <w:rPr>
          <w:color w:val="231F20"/>
          <w:spacing w:val="4"/>
        </w:rPr>
        <w:t>8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4"/>
        </w:rPr>
        <w:t>型超声诊断仪（购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自美国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GE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公司</w:t>
      </w:r>
      <w:r>
        <w:rPr>
          <w:color w:val="231F20"/>
          <w:spacing w:val="15"/>
        </w:rPr>
        <w:t>），</w:t>
      </w:r>
      <w:r>
        <w:rPr>
          <w:color w:val="231F20"/>
          <w:spacing w:val="3"/>
        </w:rPr>
        <w:t>凸阵探头频率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3"/>
        </w:rPr>
        <w:t>5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MHz</w:t>
      </w:r>
      <w:r>
        <w:rPr>
          <w:color w:val="231F20"/>
          <w:spacing w:val="3"/>
        </w:rPr>
        <w:t>，线阵探头频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率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10</w:t>
      </w:r>
      <w:r>
        <w:rPr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MHz</w:t>
      </w:r>
      <w:r>
        <w:rPr>
          <w:color w:val="231F20"/>
          <w:spacing w:val="-1"/>
        </w:rPr>
        <w:t>。检查前告知受检者充分充盈膀胱，并协助其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取仰卧位，探查腹部，准确定位阑尾。之后开展不同切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面扫描，对阑尾及其四周组织大小、形态以及回声等信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6"/>
        </w:rPr>
        <w:t>息进行记录。</w:t>
      </w:r>
      <w:r>
        <w:rPr>
          <w:rFonts w:ascii="Times New Roman" w:hAnsi="Times New Roman" w:eastAsia="Times New Roman" w:cs="Times New Roman"/>
          <w:color w:val="231F20"/>
        </w:rPr>
        <w:t>AA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判定标准</w:t>
      </w:r>
      <w:r>
        <w:rPr>
          <w:color w:val="231F20"/>
          <w:spacing w:val="-14"/>
        </w:rPr>
        <w:t>：（</w:t>
      </w:r>
      <w:r>
        <w:rPr>
          <w:color w:val="231F20"/>
          <w:spacing w:val="6"/>
        </w:rPr>
        <w:t>1）阑尾直径＞ 8</w:t>
      </w:r>
      <w:r>
        <w:rPr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</w:t>
      </w:r>
      <w:r>
        <w:rPr>
          <w:rFonts w:ascii="Times New Roman" w:hAnsi="Times New Roman" w:eastAsia="Times New Roman" w:cs="Times New Roman"/>
          <w:color w:val="231F20"/>
          <w:spacing w:val="-26"/>
        </w:rPr>
        <w:t xml:space="preserve"> </w:t>
      </w:r>
      <w:r>
        <w:rPr>
          <w:color w:val="231F20"/>
          <w:spacing w:val="6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由结石强回声或后方声影，对探头施加压力时无明显压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瘪情况，且管壁硬度较大</w:t>
      </w:r>
      <w:r>
        <w:rPr>
          <w:color w:val="231F20"/>
          <w:spacing w:val="-10"/>
        </w:rPr>
        <w:t>；（</w:t>
      </w:r>
      <w:r>
        <w:rPr>
          <w:color w:val="231F20"/>
          <w:spacing w:val="2"/>
        </w:rPr>
        <w:t>2）存在“同心圆”</w:t>
      </w:r>
      <w:r>
        <w:rPr>
          <w:color w:val="231F20"/>
          <w:spacing w:val="1"/>
        </w:rPr>
        <w:t>与“多 </w:t>
      </w:r>
      <w:r>
        <w:rPr>
          <w:color w:val="231F20"/>
        </w:rPr>
        <w:t>层管”征象</w:t>
      </w:r>
      <w:r>
        <w:rPr>
          <w:color w:val="231F20"/>
          <w:spacing w:val="-17"/>
        </w:rPr>
        <w:t>；（</w:t>
      </w:r>
      <w:r>
        <w:rPr>
          <w:color w:val="231F20"/>
        </w:rPr>
        <w:t>3）阑尾壁增厚≥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2</w:t>
      </w:r>
      <w:r>
        <w:rPr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color w:val="231F20"/>
          <w:spacing w:val="-17"/>
        </w:rPr>
        <w:t>；（</w:t>
      </w:r>
      <w:r>
        <w:rPr>
          <w:color w:val="231F20"/>
        </w:rPr>
        <w:t>4）阑尾周围 </w:t>
      </w:r>
      <w:r>
        <w:rPr>
          <w:color w:val="231F20"/>
          <w:spacing w:val="7"/>
        </w:rPr>
        <w:t>网膜组织回声增强</w:t>
      </w:r>
      <w:r>
        <w:rPr>
          <w:color w:val="231F20"/>
          <w:spacing w:val="-9"/>
        </w:rPr>
        <w:t>；（</w:t>
      </w:r>
      <w:r>
        <w:rPr>
          <w:color w:val="231F20"/>
          <w:spacing w:val="7"/>
        </w:rPr>
        <w:t>5）阑尾穿孔</w:t>
      </w:r>
      <w:r>
        <w:rPr>
          <w:color w:val="231F20"/>
          <w:spacing w:val="-9"/>
        </w:rPr>
        <w:t>；（</w:t>
      </w:r>
      <w:r>
        <w:rPr>
          <w:color w:val="231F20"/>
          <w:spacing w:val="7"/>
        </w:rPr>
        <w:t>6）阑尾积液；</w:t>
      </w:r>
    </w:p>
    <w:p>
      <w:pPr>
        <w:pStyle w:val="BodyText"/>
        <w:ind w:left="6"/>
        <w:spacing w:line="219" w:lineRule="auto"/>
        <w:rPr/>
      </w:pPr>
      <w:r>
        <w:rPr>
          <w:color w:val="231F20"/>
          <w:spacing w:val="-3"/>
        </w:rPr>
        <w:t>（7）阑尾周围可见环形暗带。</w:t>
      </w:r>
    </w:p>
    <w:p>
      <w:pPr>
        <w:pStyle w:val="BodyText"/>
        <w:ind w:right="1" w:firstLine="393"/>
        <w:spacing w:before="77" w:line="285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MSCT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检查：仪器选用</w:t>
      </w:r>
      <w:r>
        <w:rPr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SOMATOM</w:t>
      </w:r>
      <w:r>
        <w:rPr>
          <w:rFonts w:ascii="Times New Roman" w:hAnsi="Times New Roman" w:eastAsia="Times New Roman" w:cs="Times New Roman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go</w:t>
      </w:r>
      <w:r>
        <w:rPr>
          <w:rFonts w:ascii="Times New Roman" w:hAnsi="Times New Roman" w:eastAsia="Times New Roman" w:cs="Times New Roman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color w:val="231F20"/>
        </w:rPr>
        <w:t>Fit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color w:val="231F20"/>
          <w:spacing w:val="3"/>
        </w:rPr>
        <w:t>型</w:t>
      </w:r>
      <w:r>
        <w:rPr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MSCT </w:t>
      </w:r>
      <w:r>
        <w:rPr>
          <w:color w:val="231F20"/>
          <w:spacing w:val="2"/>
        </w:rPr>
        <w:t>机（购自德国西门子公司</w:t>
      </w:r>
      <w:r>
        <w:rPr>
          <w:color w:val="231F20"/>
          <w:spacing w:val="8"/>
        </w:rPr>
        <w:t>）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8"/>
        </w:rPr>
        <w:t>，</w:t>
      </w:r>
      <w:r>
        <w:rPr>
          <w:color w:val="231F20"/>
          <w:spacing w:val="2"/>
        </w:rPr>
        <w:t>扫描参数设置如下：电压</w:t>
      </w:r>
      <w:r>
        <w:rPr>
          <w:color w:val="231F20"/>
        </w:rPr>
        <w:t xml:space="preserve"> </w:t>
      </w:r>
      <w:r>
        <w:rPr>
          <w:color w:val="231F20"/>
        </w:rPr>
        <w:t>120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kV</w:t>
      </w:r>
      <w:r>
        <w:rPr>
          <w:color w:val="231F20"/>
        </w:rPr>
        <w:t>，</w:t>
      </w:r>
      <w:r>
        <w:rPr>
          <w:color w:val="231F20"/>
          <w:spacing w:val="-60"/>
        </w:rPr>
        <w:t xml:space="preserve"> </w:t>
      </w:r>
      <w:r>
        <w:rPr>
          <w:color w:val="231F20"/>
        </w:rPr>
        <w:t>电流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250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～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400</w:t>
      </w:r>
      <w:r>
        <w:rPr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mA</w:t>
      </w:r>
      <w:r>
        <w:rPr>
          <w:color w:val="231F20"/>
        </w:rPr>
        <w:t>，层厚取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5</w:t>
      </w:r>
      <w:r>
        <w:rPr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</w:t>
      </w:r>
      <w:r>
        <w:rPr>
          <w:color w:val="231F20"/>
        </w:rPr>
        <w:t>，层间距取 </w:t>
      </w:r>
      <w:r>
        <w:rPr>
          <w:color w:val="231F20"/>
          <w:spacing w:val="2"/>
        </w:rPr>
        <w:t>5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</w:t>
      </w:r>
      <w:r>
        <w:rPr>
          <w:color w:val="231F20"/>
          <w:spacing w:val="2"/>
        </w:rPr>
        <w:t>。指导受检者躺于检查床之上，从腹部开始扫描，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直至盆腔。且上述扫描要求屏气一次性完成。待上述扫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4"/>
        </w:rPr>
        <w:t>描结束之后获取图像信息传输至相关工作站完成后处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理。图像评估由医院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2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3"/>
        </w:rPr>
        <w:t>名经验丰富的影像科医师以双盲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法完成。</w:t>
      </w:r>
      <w:r>
        <w:rPr>
          <w:rFonts w:ascii="Times New Roman" w:hAnsi="Times New Roman" w:eastAsia="Times New Roman" w:cs="Times New Roman"/>
          <w:color w:val="231F20"/>
        </w:rPr>
        <w:t>AA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判定标准</w:t>
      </w:r>
      <w:r>
        <w:rPr>
          <w:color w:val="231F20"/>
          <w:spacing w:val="-6"/>
        </w:rPr>
        <w:t>：（</w:t>
      </w:r>
      <w:r>
        <w:rPr>
          <w:color w:val="231F20"/>
          <w:spacing w:val="6"/>
        </w:rPr>
        <w:t>1）阑尾增粗＞ 6</w:t>
      </w:r>
      <w:r>
        <w:rPr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</w:t>
      </w:r>
      <w:r>
        <w:rPr>
          <w:color w:val="231F20"/>
          <w:spacing w:val="6"/>
        </w:rPr>
        <w:t>，阑尾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壁厚度增加＞ 3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</w:t>
      </w:r>
      <w:r>
        <w:rPr>
          <w:color w:val="231F20"/>
          <w:spacing w:val="3"/>
        </w:rPr>
        <w:t>，阑尾粪石</w:t>
      </w:r>
      <w:r>
        <w:rPr>
          <w:color w:val="231F20"/>
          <w:spacing w:val="-9"/>
        </w:rPr>
        <w:t>；（</w:t>
      </w:r>
      <w:r>
        <w:rPr>
          <w:color w:val="231F20"/>
          <w:spacing w:val="3"/>
        </w:rPr>
        <w:t>2）阑尾盲肠周围脂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肪组织内筋膜增厚、凝重</w:t>
      </w:r>
      <w:r>
        <w:rPr>
          <w:color w:val="231F20"/>
          <w:spacing w:val="-11"/>
        </w:rPr>
        <w:t>；（</w:t>
      </w:r>
      <w:r>
        <w:rPr>
          <w:color w:val="231F20"/>
          <w:spacing w:val="2"/>
        </w:rPr>
        <w:t>3）周围间隙内存在渗液或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（和）游离气体。</w:t>
      </w:r>
    </w:p>
    <w:p>
      <w:pPr>
        <w:spacing w:line="285" w:lineRule="auto"/>
        <w:sectPr>
          <w:type w:val="continuous"/>
          <w:pgSz w:w="12246" w:h="16498"/>
          <w:pgMar w:top="1208" w:right="1018" w:bottom="868" w:left="424" w:header="826" w:footer="526" w:gutter="0"/>
          <w:cols w:equalWidth="0" w:num="2">
            <w:col w:w="5776" w:space="100"/>
            <w:col w:w="4928" w:space="0"/>
          </w:cols>
        </w:sectPr>
        <w:rPr/>
      </w:pPr>
    </w:p>
    <w:p>
      <w:pPr>
        <w:spacing w:line="169" w:lineRule="exact"/>
        <w:rPr/>
      </w:pPr>
      <w:r/>
    </w:p>
    <w:p>
      <w:pPr>
        <w:spacing w:line="169" w:lineRule="exact"/>
        <w:sectPr>
          <w:headerReference w:type="default" r:id="rId3"/>
          <w:footerReference w:type="default" r:id="rId4"/>
          <w:pgSz w:w="12246" w:h="16498"/>
          <w:pgMar w:top="1207" w:right="970" w:bottom="868" w:left="424" w:header="827" w:footer="526" w:gutter="0"/>
          <w:cols w:equalWidth="0" w:num="1">
            <w:col w:w="10851" w:space="0"/>
          </w:cols>
        </w:sectPr>
        <w:rPr/>
      </w:pPr>
    </w:p>
    <w:p>
      <w:pPr>
        <w:pStyle w:val="BodyText"/>
        <w:ind w:left="1015"/>
        <w:spacing w:before="39" w:line="220" w:lineRule="auto"/>
        <w:rPr/>
      </w:pPr>
      <w:r>
        <w:rPr>
          <w:color w:val="231F20"/>
          <w:spacing w:val="-3"/>
        </w:rPr>
        <w:t>1.3 观察指标</w:t>
      </w:r>
    </w:p>
    <w:p>
      <w:pPr>
        <w:pStyle w:val="BodyText"/>
        <w:ind w:left="599" w:right="240" w:firstLine="399"/>
        <w:spacing w:before="88" w:line="303" w:lineRule="auto"/>
        <w:rPr/>
      </w:pPr>
      <w:r>
        <w:rPr>
          <w:color w:val="231F20"/>
          <w:spacing w:val="5"/>
        </w:rPr>
        <w:t>将腹腔镜手术病理结果视作金标准，比较上述两种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6"/>
        </w:rPr>
        <w:t>影像学检查手段诊断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AA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color w:val="231F20"/>
          <w:spacing w:val="6"/>
        </w:rPr>
        <w:t>的效能，</w:t>
      </w:r>
      <w:r>
        <w:rPr>
          <w:color w:val="231F20"/>
          <w:spacing w:val="-60"/>
        </w:rPr>
        <w:t xml:space="preserve"> </w:t>
      </w:r>
      <w:r>
        <w:rPr>
          <w:color w:val="231F20"/>
          <w:spacing w:val="6"/>
        </w:rPr>
        <w:t>以及对不同类型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AA </w:t>
      </w:r>
      <w:r>
        <w:rPr>
          <w:color w:val="231F20"/>
          <w:spacing w:val="5"/>
        </w:rPr>
        <w:t>（涵盖单纯性、化脓性及穿孔坏疽性阑尾炎）的检出情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况。此外，分析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AA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与非</w:t>
      </w:r>
      <w:r>
        <w:rPr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AA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color w:val="231F20"/>
          <w:spacing w:val="3"/>
        </w:rPr>
        <w:t>患者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MSCT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影像学特征的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特点。以字母</w:t>
      </w:r>
      <w:r>
        <w:rPr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color w:val="231F20"/>
          <w:spacing w:val="-28"/>
        </w:rPr>
        <w:t xml:space="preserve"> </w:t>
      </w:r>
      <w:r>
        <w:rPr>
          <w:color w:val="231F20"/>
          <w:spacing w:val="5"/>
        </w:rPr>
        <w:t>、</w:t>
      </w:r>
      <w:r>
        <w:rPr>
          <w:rFonts w:ascii="Times New Roman" w:hAnsi="Times New Roman" w:eastAsia="Times New Roman" w:cs="Times New Roman"/>
          <w:color w:val="231F20"/>
          <w:spacing w:val="5"/>
        </w:rPr>
        <w:t>b</w:t>
      </w:r>
      <w:r>
        <w:rPr>
          <w:rFonts w:ascii="Times New Roman" w:hAnsi="Times New Roman" w:eastAsia="Times New Roman" w:cs="Times New Roman"/>
          <w:color w:val="231F20"/>
          <w:spacing w:val="-28"/>
        </w:rPr>
        <w:t xml:space="preserve"> </w:t>
      </w:r>
      <w:r>
        <w:rPr>
          <w:color w:val="231F20"/>
          <w:spacing w:val="5"/>
        </w:rPr>
        <w:t>、</w:t>
      </w:r>
      <w:r>
        <w:rPr>
          <w:rFonts w:ascii="Times New Roman" w:hAnsi="Times New Roman" w:eastAsia="Times New Roman" w:cs="Times New Roman"/>
          <w:color w:val="231F20"/>
          <w:spacing w:val="5"/>
        </w:rPr>
        <w:t>c</w:t>
      </w:r>
      <w:r>
        <w:rPr>
          <w:rFonts w:ascii="Times New Roman" w:hAnsi="Times New Roman" w:eastAsia="Times New Roman" w:cs="Times New Roman"/>
          <w:color w:val="231F20"/>
          <w:spacing w:val="-28"/>
        </w:rPr>
        <w:t xml:space="preserve"> </w:t>
      </w:r>
      <w:r>
        <w:rPr>
          <w:color w:val="231F20"/>
          <w:spacing w:val="5"/>
        </w:rPr>
        <w:t>、</w:t>
      </w:r>
      <w:r>
        <w:rPr>
          <w:rFonts w:ascii="Times New Roman" w:hAnsi="Times New Roman" w:eastAsia="Times New Roman" w:cs="Times New Roman"/>
          <w:color w:val="231F20"/>
          <w:spacing w:val="5"/>
        </w:rPr>
        <w:t>d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color w:val="231F20"/>
          <w:spacing w:val="5"/>
        </w:rPr>
        <w:t>分别表示真阳</w:t>
      </w:r>
      <w:r>
        <w:rPr>
          <w:color w:val="231F20"/>
          <w:spacing w:val="4"/>
        </w:rPr>
        <w:t>性、假阳性、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假阴性、真阴性例数。灵敏度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=</w:t>
      </w:r>
      <w:r>
        <w:rPr>
          <w:rFonts w:ascii="Times New Roman" w:hAnsi="Times New Roman" w:eastAsia="Times New Roman" w:cs="Times New Roman"/>
          <w:color w:val="231F20"/>
          <w:spacing w:val="3"/>
        </w:rPr>
        <w:t>a</w:t>
      </w:r>
      <w:r>
        <w:rPr>
          <w:color w:val="231F20"/>
          <w:spacing w:val="3"/>
        </w:rPr>
        <w:t>/（</w:t>
      </w:r>
      <w:r>
        <w:rPr>
          <w:rFonts w:ascii="Times New Roman" w:hAnsi="Times New Roman" w:eastAsia="Times New Roman" w:cs="Times New Roman"/>
          <w:color w:val="231F20"/>
          <w:spacing w:val="3"/>
        </w:rPr>
        <w:t>a</w:t>
      </w:r>
      <w:r>
        <w:rPr>
          <w:color w:val="231F20"/>
          <w:spacing w:val="3"/>
        </w:rPr>
        <w:t>+</w:t>
      </w:r>
      <w:r>
        <w:rPr>
          <w:rFonts w:ascii="Times New Roman" w:hAnsi="Times New Roman" w:eastAsia="Times New Roman" w:cs="Times New Roman"/>
          <w:color w:val="231F20"/>
          <w:spacing w:val="3"/>
        </w:rPr>
        <w:t>c</w:t>
      </w:r>
      <w:r>
        <w:rPr>
          <w:color w:val="231F20"/>
          <w:spacing w:val="3"/>
        </w:rPr>
        <w:t>）×100%。特异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度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7"/>
        </w:rPr>
        <w:t>=</w:t>
      </w:r>
      <w:r>
        <w:rPr>
          <w:rFonts w:ascii="Times New Roman" w:hAnsi="Times New Roman" w:eastAsia="Times New Roman" w:cs="Times New Roman"/>
          <w:color w:val="231F20"/>
          <w:spacing w:val="-7"/>
        </w:rPr>
        <w:t>d</w:t>
      </w:r>
      <w:r>
        <w:rPr>
          <w:color w:val="231F20"/>
          <w:spacing w:val="-7"/>
        </w:rPr>
        <w:t>/（</w:t>
      </w:r>
      <w:r>
        <w:rPr>
          <w:rFonts w:ascii="Times New Roman" w:hAnsi="Times New Roman" w:eastAsia="Times New Roman" w:cs="Times New Roman"/>
          <w:color w:val="231F20"/>
          <w:spacing w:val="-7"/>
        </w:rPr>
        <w:t>b</w:t>
      </w:r>
      <w:r>
        <w:rPr>
          <w:color w:val="231F20"/>
          <w:spacing w:val="-7"/>
        </w:rPr>
        <w:t>+</w:t>
      </w:r>
      <w:r>
        <w:rPr>
          <w:rFonts w:ascii="Times New Roman" w:hAnsi="Times New Roman" w:eastAsia="Times New Roman" w:cs="Times New Roman"/>
          <w:color w:val="231F20"/>
          <w:spacing w:val="-7"/>
        </w:rPr>
        <w:t>d</w:t>
      </w:r>
      <w:r>
        <w:rPr>
          <w:color w:val="231F20"/>
          <w:spacing w:val="-7"/>
        </w:rPr>
        <w:t>）×100%。准确率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7"/>
        </w:rPr>
        <w:t>=（</w:t>
      </w:r>
      <w:r>
        <w:rPr>
          <w:rFonts w:ascii="Times New Roman" w:hAnsi="Times New Roman" w:eastAsia="Times New Roman" w:cs="Times New Roman"/>
          <w:color w:val="231F20"/>
          <w:spacing w:val="-7"/>
        </w:rPr>
        <w:t>a</w:t>
      </w:r>
      <w:r>
        <w:rPr>
          <w:color w:val="231F20"/>
          <w:spacing w:val="-7"/>
        </w:rPr>
        <w:t>+</w:t>
      </w:r>
      <w:r>
        <w:rPr>
          <w:rFonts w:ascii="Times New Roman" w:hAnsi="Times New Roman" w:eastAsia="Times New Roman" w:cs="Times New Roman"/>
          <w:color w:val="231F20"/>
          <w:spacing w:val="-7"/>
        </w:rPr>
        <w:t>d</w:t>
      </w:r>
      <w:r>
        <w:rPr>
          <w:color w:val="231F20"/>
          <w:spacing w:val="-7"/>
        </w:rPr>
        <w:t>）/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7"/>
        </w:rPr>
        <w:t>总例数 ×100%。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MSCT </w:t>
      </w:r>
      <w:r>
        <w:rPr>
          <w:color w:val="231F20"/>
          <w:spacing w:val="-1"/>
        </w:rPr>
        <w:t>影像学特征涵盖下述几项</w:t>
      </w:r>
      <w:r>
        <w:rPr>
          <w:color w:val="231F20"/>
          <w:spacing w:val="6"/>
        </w:rPr>
        <w:t>：（</w:t>
      </w:r>
      <w:r>
        <w:rPr>
          <w:color w:val="231F20"/>
          <w:spacing w:val="-1"/>
        </w:rPr>
        <w:t>1）阑尾周围渗出；</w:t>
      </w:r>
    </w:p>
    <w:p>
      <w:pPr>
        <w:pStyle w:val="BodyText"/>
        <w:ind w:left="605" w:right="251" w:firstLine="4"/>
        <w:spacing w:before="1" w:line="302" w:lineRule="auto"/>
        <w:rPr/>
      </w:pPr>
      <w:r>
        <w:rPr>
          <w:color w:val="231F20"/>
          <w:spacing w:val="2"/>
        </w:rPr>
        <w:t>（2）盲肠壁增厚</w:t>
      </w:r>
      <w:r>
        <w:rPr>
          <w:color w:val="231F20"/>
          <w:spacing w:val="-10"/>
        </w:rPr>
        <w:t>；（</w:t>
      </w:r>
      <w:r>
        <w:rPr>
          <w:color w:val="231F20"/>
          <w:spacing w:val="2"/>
        </w:rPr>
        <w:t>3）阑尾粪石</w:t>
      </w:r>
      <w:r>
        <w:rPr>
          <w:color w:val="231F20"/>
          <w:spacing w:val="-10"/>
        </w:rPr>
        <w:t>；（</w:t>
      </w:r>
      <w:r>
        <w:rPr>
          <w:color w:val="231F20"/>
          <w:spacing w:val="2"/>
        </w:rPr>
        <w:t>4）回盲部淋巴结 </w:t>
      </w:r>
      <w:r>
        <w:rPr>
          <w:color w:val="231F20"/>
          <w:spacing w:val="-4"/>
        </w:rPr>
        <w:t>增大</w:t>
      </w:r>
      <w:r>
        <w:rPr>
          <w:color w:val="231F20"/>
          <w:spacing w:val="-2"/>
        </w:rPr>
        <w:t>；（</w:t>
      </w:r>
      <w:r>
        <w:rPr>
          <w:color w:val="231F20"/>
          <w:spacing w:val="-4"/>
        </w:rPr>
        <w:t>5）肠淤张。</w:t>
      </w:r>
    </w:p>
    <w:p>
      <w:pPr>
        <w:pStyle w:val="BodyText"/>
        <w:ind w:left="1015"/>
        <w:spacing w:before="1" w:line="220" w:lineRule="auto"/>
        <w:rPr/>
      </w:pPr>
      <w:r>
        <w:rPr>
          <w:color w:val="231F20"/>
          <w:spacing w:val="-5"/>
        </w:rPr>
        <w:t>1.4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统计学方法</w:t>
      </w:r>
    </w:p>
    <w:p>
      <w:pPr>
        <w:pStyle w:val="BodyText"/>
        <w:ind w:left="605" w:right="240" w:firstLine="394"/>
        <w:spacing w:before="87" w:line="301" w:lineRule="auto"/>
        <w:rPr/>
      </w:pPr>
      <w:r>
        <w:rPr>
          <w:color w:val="231F20"/>
        </w:rPr>
        <w:t>采用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SPSS   </w:t>
      </w:r>
      <w:r>
        <w:rPr>
          <w:color w:val="231F20"/>
        </w:rPr>
        <w:t>24.0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统计软件处理数据</w:t>
      </w:r>
      <w:r>
        <w:rPr>
          <w:color w:val="231F20"/>
          <w:spacing w:val="-1"/>
        </w:rPr>
        <w:t>。计量资料以均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数 ±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4"/>
        </w:rPr>
        <w:t>标准差（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x</w:t>
      </w:r>
      <w:r>
        <w:rPr>
          <w:sz w:val="11"/>
          <w:szCs w:val="11"/>
          <w:color w:val="231F20"/>
          <w:spacing w:val="-4"/>
          <w:position w:val="9"/>
        </w:rPr>
        <w:t>-</w:t>
      </w:r>
      <w:r>
        <w:rPr>
          <w:sz w:val="11"/>
          <w:szCs w:val="11"/>
          <w:color w:val="231F20"/>
          <w:spacing w:val="35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±</w:t>
      </w:r>
      <w:r>
        <w:rPr>
          <w:rFonts w:ascii="Times New Roman" w:hAnsi="Times New Roman" w:eastAsia="Times New Roman" w:cs="Times New Roman"/>
          <w:i/>
          <w:iCs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s</w:t>
      </w:r>
      <w:r>
        <w:rPr>
          <w:color w:val="231F20"/>
          <w:spacing w:val="-4"/>
        </w:rPr>
        <w:t>）表示，采用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t </w:t>
      </w:r>
      <w:r>
        <w:rPr>
          <w:color w:val="231F20"/>
          <w:spacing w:val="-4"/>
        </w:rPr>
        <w:t>检验；计数资料以频</w:t>
      </w:r>
      <w:r>
        <w:rPr>
          <w:color w:val="231F20"/>
        </w:rPr>
        <w:t xml:space="preserve"> </w:t>
      </w:r>
      <w:r>
        <w:rPr>
          <w:color w:val="231F20"/>
        </w:rPr>
        <w:t>数（</w:t>
      </w:r>
      <w:r>
        <w:rPr>
          <w:rFonts w:ascii="Times New Roman" w:hAnsi="Times New Roman" w:eastAsia="Times New Roman" w:cs="Times New Roman"/>
          <w:i/>
          <w:iCs/>
          <w:color w:val="231F20"/>
        </w:rPr>
        <w:t>n</w:t>
      </w:r>
      <w:r>
        <w:rPr>
          <w:color w:val="231F20"/>
        </w:rPr>
        <w:t>）、百分率（%）表示，采用</w:t>
      </w:r>
      <w:r>
        <w:rPr>
          <w:color w:val="231F20"/>
          <w:spacing w:val="51"/>
        </w:rPr>
        <w:t xml:space="preserve"> </w:t>
      </w:r>
      <w:r>
        <w:rPr>
          <w:i/>
          <w:iCs/>
          <w:color w:val="231F20"/>
        </w:rPr>
        <w:t>χ</w:t>
      </w:r>
      <w:r>
        <w:rPr>
          <w:sz w:val="11"/>
          <w:szCs w:val="11"/>
          <w:color w:val="231F20"/>
          <w:position w:val="9"/>
        </w:rPr>
        <w:t>2 </w:t>
      </w:r>
      <w:r>
        <w:rPr>
          <w:color w:val="231F20"/>
        </w:rPr>
        <w:t>检验。</w:t>
      </w:r>
      <w:r>
        <w:rPr>
          <w:rFonts w:ascii="Times New Roman" w:hAnsi="Times New Roman" w:eastAsia="Times New Roman" w:cs="Times New Roman"/>
          <w:i/>
          <w:iCs/>
          <w:color w:val="231F20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5"/>
        </w:rPr>
        <w:t xml:space="preserve"> </w:t>
      </w:r>
      <w:r>
        <w:rPr>
          <w:color w:val="231F20"/>
        </w:rPr>
        <w:t>＜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0.05 </w:t>
      </w:r>
      <w:r>
        <w:rPr>
          <w:color w:val="231F20"/>
          <w:spacing w:val="-4"/>
        </w:rPr>
        <w:t>为差异有统计学意义。</w:t>
      </w:r>
    </w:p>
    <w:p>
      <w:pPr>
        <w:ind w:left="602"/>
        <w:spacing w:before="9" w:line="226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2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结果</w:t>
      </w:r>
    </w:p>
    <w:p>
      <w:pPr>
        <w:pStyle w:val="BodyText"/>
        <w:ind w:left="1003"/>
        <w:spacing w:before="83" w:line="220" w:lineRule="auto"/>
        <w:rPr/>
      </w:pPr>
      <w:r>
        <w:rPr>
          <w:color w:val="231F20"/>
          <w:spacing w:val="-2"/>
        </w:rPr>
        <w:t>2.1 不同检查方式诊断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AA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的效能比较</w:t>
      </w:r>
    </w:p>
    <w:p>
      <w:pPr>
        <w:pStyle w:val="BodyText"/>
        <w:ind w:left="603" w:right="239" w:firstLine="393"/>
        <w:spacing w:before="93" w:line="303" w:lineRule="auto"/>
        <w:rPr/>
      </w:pPr>
      <w:r>
        <w:rPr>
          <w:rFonts w:ascii="Times New Roman" w:hAnsi="Times New Roman" w:eastAsia="Times New Roman" w:cs="Times New Roman"/>
          <w:color w:val="231F20"/>
          <w:spacing w:val="-3"/>
        </w:rPr>
        <w:t>MSCT </w:t>
      </w:r>
      <w:r>
        <w:rPr>
          <w:color w:val="231F20"/>
          <w:spacing w:val="-3"/>
        </w:rPr>
        <w:t>共检出</w:t>
      </w:r>
      <w:r>
        <w:rPr>
          <w:rFonts w:ascii="Times New Roman" w:hAnsi="Times New Roman" w:eastAsia="Times New Roman" w:cs="Times New Roman"/>
          <w:color w:val="231F20"/>
          <w:spacing w:val="-3"/>
        </w:rPr>
        <w:t>AA </w:t>
      </w:r>
      <w:r>
        <w:rPr>
          <w:color w:val="231F20"/>
          <w:spacing w:val="-3"/>
        </w:rPr>
        <w:t>51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3"/>
        </w:rPr>
        <w:t>例，其中漏诊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3"/>
        </w:rPr>
        <w:t>5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3"/>
        </w:rPr>
        <w:t>例，误诊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3"/>
        </w:rPr>
        <w:t>4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3"/>
        </w:rPr>
        <w:t>例；</w:t>
      </w:r>
      <w:r>
        <w:rPr>
          <w:color w:val="231F20"/>
        </w:rPr>
        <w:t xml:space="preserve"> </w:t>
      </w:r>
      <w:r>
        <w:rPr>
          <w:color w:val="231F20"/>
        </w:rPr>
        <w:t>超声共检出</w:t>
      </w:r>
      <w:r>
        <w:rPr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AA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color w:val="231F20"/>
        </w:rPr>
        <w:t>50</w:t>
      </w:r>
      <w:r>
        <w:rPr>
          <w:color w:val="231F20"/>
          <w:spacing w:val="-42"/>
        </w:rPr>
        <w:t xml:space="preserve"> </w:t>
      </w:r>
      <w:r>
        <w:rPr>
          <w:color w:val="231F20"/>
        </w:rPr>
        <w:t>例，其中漏诊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21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例，</w:t>
      </w:r>
      <w:r>
        <w:rPr>
          <w:color w:val="231F20"/>
          <w:spacing w:val="-1"/>
        </w:rPr>
        <w:t>误诊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19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"/>
        </w:rPr>
        <w:t>例。将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腹腔镜手术病理结果视作金标准，</w:t>
      </w:r>
      <w:r>
        <w:rPr>
          <w:rFonts w:ascii="Times New Roman" w:hAnsi="Times New Roman" w:eastAsia="Times New Roman" w:cs="Times New Roman"/>
          <w:color w:val="231F20"/>
          <w:spacing w:val="-3"/>
        </w:rPr>
        <w:t>MSCT </w:t>
      </w:r>
      <w:r>
        <w:rPr>
          <w:color w:val="231F20"/>
          <w:spacing w:val="-3"/>
        </w:rPr>
        <w:t>诊断</w:t>
      </w:r>
      <w:r>
        <w:rPr>
          <w:color w:val="231F20"/>
          <w:spacing w:val="-5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AA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的灵敏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度、特异度及准确率分别为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"/>
        </w:rPr>
        <w:t>90.38%、88.24%、89.53</w:t>
      </w:r>
      <w:r>
        <w:rPr>
          <w:color w:val="231F20"/>
          <w:spacing w:val="1"/>
        </w:rPr>
        <w:t>%，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分别高于超声诊断的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"/>
        </w:rPr>
        <w:t>59.62%、44.12%、53.49</w:t>
      </w:r>
      <w:r>
        <w:rPr>
          <w:color w:val="231F20"/>
          <w:spacing w:val="1"/>
        </w:rPr>
        <w:t>%，差异有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-5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19"/>
        </w:rPr>
        <w:t xml:space="preserve"> </w:t>
      </w:r>
      <w:r>
        <w:rPr>
          <w:color w:val="231F20"/>
          <w:spacing w:val="-5"/>
        </w:rPr>
        <w:t>＜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5"/>
        </w:rPr>
        <w:t>0.05）。见表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1、表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5"/>
        </w:rPr>
        <w:t>2。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ind w:left="1815"/>
        <w:spacing w:before="53" w:line="221" w:lineRule="auto"/>
        <w:outlineLvl w:val="1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10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1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不同检查方式对</w:t>
      </w:r>
      <w:r>
        <w:rPr>
          <w:rFonts w:ascii="SimHei" w:hAnsi="SimHei" w:eastAsia="SimHei" w:cs="SimHei"/>
          <w:sz w:val="16"/>
          <w:szCs w:val="16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的检出情况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 xml:space="preserve">    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单位：例</w:t>
      </w:r>
    </w:p>
    <w:p>
      <w:pPr>
        <w:spacing w:line="45" w:lineRule="exact"/>
        <w:rPr/>
      </w:pPr>
      <w:r/>
    </w:p>
    <w:tbl>
      <w:tblPr>
        <w:tblStyle w:val="TableNormal"/>
        <w:tblW w:w="4932" w:type="dxa"/>
        <w:tblInd w:w="59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26"/>
        <w:gridCol w:w="777"/>
        <w:gridCol w:w="1001"/>
        <w:gridCol w:w="1108"/>
        <w:gridCol w:w="1020"/>
      </w:tblGrid>
      <w:tr>
        <w:trPr>
          <w:trHeight w:val="312" w:hRule="atLeast"/>
        </w:trPr>
        <w:tc>
          <w:tcPr>
            <w:tcW w:w="1026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79"/>
              <w:spacing w:before="216" w:line="220" w:lineRule="auto"/>
              <w:rPr/>
            </w:pPr>
            <w:r>
              <w:rPr>
                <w:color w:val="231F20"/>
                <w:spacing w:val="-2"/>
              </w:rPr>
              <w:t>检查方式</w:t>
            </w:r>
          </w:p>
        </w:tc>
        <w:tc>
          <w:tcPr>
            <w:tcW w:w="777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218"/>
              <w:spacing w:before="217" w:line="220" w:lineRule="auto"/>
              <w:rPr/>
            </w:pPr>
            <w:r>
              <w:rPr>
                <w:color w:val="231F20"/>
                <w:spacing w:val="-3"/>
              </w:rPr>
              <w:t>结果</w:t>
            </w:r>
          </w:p>
        </w:tc>
        <w:tc>
          <w:tcPr>
            <w:tcW w:w="2109" w:type="dxa"/>
            <w:vAlign w:val="top"/>
            <w:gridSpan w:val="2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40"/>
              <w:spacing w:before="75" w:line="220" w:lineRule="auto"/>
              <w:rPr/>
            </w:pPr>
            <w:r>
              <w:rPr>
                <w:color w:val="231F20"/>
                <w:spacing w:val="-1"/>
              </w:rPr>
              <w:t>腹腔镜手术病理结果</w:t>
            </w:r>
          </w:p>
        </w:tc>
        <w:tc>
          <w:tcPr>
            <w:tcW w:w="1020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36"/>
              <w:spacing w:before="217" w:line="221" w:lineRule="auto"/>
              <w:rPr/>
            </w:pPr>
            <w:r>
              <w:rPr>
                <w:color w:val="231F20"/>
                <w:spacing w:val="-2"/>
              </w:rPr>
              <w:t>合计（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2"/>
              </w:rPr>
              <w:t>n</w:t>
            </w:r>
            <w:r>
              <w:rPr>
                <w:color w:val="231F20"/>
                <w:spacing w:val="-2"/>
              </w:rPr>
              <w:t>=86）</w:t>
            </w:r>
          </w:p>
        </w:tc>
      </w:tr>
      <w:tr>
        <w:trPr>
          <w:trHeight w:val="272" w:hRule="atLeast"/>
        </w:trPr>
        <w:tc>
          <w:tcPr>
            <w:tcW w:w="1026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7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3"/>
              <w:spacing w:before="53" w:line="220" w:lineRule="auto"/>
              <w:rPr/>
            </w:pPr>
            <w:r>
              <w:rPr>
                <w:color w:val="231F20"/>
                <w:spacing w:val="-4"/>
              </w:rPr>
              <w:t>阳性（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4"/>
              </w:rPr>
              <w:t>n</w:t>
            </w:r>
            <w:r>
              <w:rPr>
                <w:color w:val="231F20"/>
                <w:spacing w:val="-4"/>
              </w:rPr>
              <w:t>=52）</w:t>
            </w:r>
          </w:p>
        </w:tc>
        <w:tc>
          <w:tcPr>
            <w:tcW w:w="11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07"/>
              <w:spacing w:before="53" w:line="220" w:lineRule="auto"/>
              <w:rPr/>
            </w:pPr>
            <w:r>
              <w:rPr>
                <w:color w:val="231F20"/>
                <w:spacing w:val="-4"/>
              </w:rPr>
              <w:t>阴性（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4"/>
              </w:rPr>
              <w:t>n</w:t>
            </w:r>
            <w:r>
              <w:rPr>
                <w:color w:val="231F20"/>
                <w:spacing w:val="-4"/>
              </w:rPr>
              <w:t>=34）</w:t>
            </w:r>
          </w:p>
        </w:tc>
        <w:tc>
          <w:tcPr>
            <w:tcW w:w="1020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1026" w:type="dxa"/>
            <w:vAlign w:val="top"/>
            <w:vMerge w:val="restart"/>
            <w:tcBorders>
              <w:top w:val="single" w:color="231F20" w:sz="4" w:space="0"/>
              <w:bottom w:val="nil"/>
            </w:tcBorders>
          </w:tcPr>
          <w:p>
            <w:pPr>
              <w:ind w:left="279"/>
              <w:spacing w:before="79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</w:rPr>
              <w:t>MSCT</w:t>
            </w:r>
          </w:p>
        </w:tc>
        <w:tc>
          <w:tcPr>
            <w:tcW w:w="77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26"/>
              <w:spacing w:before="55" w:line="220" w:lineRule="auto"/>
              <w:rPr/>
            </w:pPr>
            <w:r>
              <w:rPr>
                <w:color w:val="231F20"/>
                <w:spacing w:val="-5"/>
              </w:rPr>
              <w:t>阳性</w:t>
            </w:r>
          </w:p>
        </w:tc>
        <w:tc>
          <w:tcPr>
            <w:tcW w:w="100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41"/>
              <w:spacing w:before="55" w:line="236" w:lineRule="auto"/>
              <w:rPr/>
            </w:pPr>
            <w:r>
              <w:rPr>
                <w:color w:val="231F20"/>
                <w:spacing w:val="-2"/>
              </w:rPr>
              <w:t>47</w:t>
            </w:r>
          </w:p>
        </w:tc>
        <w:tc>
          <w:tcPr>
            <w:tcW w:w="110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74"/>
              <w:spacing w:before="55" w:line="236" w:lineRule="auto"/>
              <w:rPr/>
            </w:pPr>
            <w:r>
              <w:rPr>
                <w:color w:val="231F20"/>
              </w:rPr>
              <w:t>4</w:t>
            </w:r>
          </w:p>
        </w:tc>
        <w:tc>
          <w:tcPr>
            <w:tcW w:w="102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39"/>
              <w:spacing w:before="55" w:line="236" w:lineRule="auto"/>
              <w:rPr/>
            </w:pPr>
            <w:r>
              <w:rPr>
                <w:color w:val="231F20"/>
                <w:spacing w:val="-3"/>
              </w:rPr>
              <w:t>51</w:t>
            </w:r>
          </w:p>
        </w:tc>
      </w:tr>
      <w:tr>
        <w:trPr>
          <w:trHeight w:val="282" w:hRule="atLeast"/>
        </w:trPr>
        <w:tc>
          <w:tcPr>
            <w:tcW w:w="102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7" w:type="dxa"/>
            <w:vAlign w:val="top"/>
          </w:tcPr>
          <w:p>
            <w:pPr>
              <w:pStyle w:val="TableText"/>
              <w:ind w:left="227"/>
              <w:spacing w:before="68" w:line="220" w:lineRule="auto"/>
              <w:rPr/>
            </w:pPr>
            <w:r>
              <w:rPr>
                <w:color w:val="231F20"/>
                <w:spacing w:val="-5"/>
              </w:rPr>
              <w:t>阴性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525"/>
              <w:spacing w:before="68" w:line="235" w:lineRule="auto"/>
              <w:rPr/>
            </w:pPr>
            <w:r>
              <w:rPr>
                <w:color w:val="231F20"/>
              </w:rPr>
              <w:t>5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98"/>
              <w:spacing w:before="68" w:line="235" w:lineRule="auto"/>
              <w:rPr/>
            </w:pPr>
            <w:r>
              <w:rPr>
                <w:color w:val="231F20"/>
                <w:spacing w:val="-3"/>
              </w:rPr>
              <w:t>30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439"/>
              <w:spacing w:before="68" w:line="235" w:lineRule="auto"/>
              <w:rPr/>
            </w:pPr>
            <w:r>
              <w:rPr>
                <w:color w:val="231F20"/>
                <w:spacing w:val="-3"/>
              </w:rPr>
              <w:t>35</w:t>
            </w:r>
          </w:p>
        </w:tc>
      </w:tr>
      <w:tr>
        <w:trPr>
          <w:trHeight w:val="280" w:hRule="atLeast"/>
        </w:trPr>
        <w:tc>
          <w:tcPr>
            <w:tcW w:w="102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38"/>
              <w:spacing w:before="70" w:line="220" w:lineRule="auto"/>
              <w:rPr/>
            </w:pPr>
            <w:r>
              <w:rPr>
                <w:color w:val="231F20"/>
                <w:spacing w:val="-2"/>
              </w:rPr>
              <w:t>超声</w:t>
            </w:r>
          </w:p>
        </w:tc>
        <w:tc>
          <w:tcPr>
            <w:tcW w:w="777" w:type="dxa"/>
            <w:vAlign w:val="top"/>
          </w:tcPr>
          <w:p>
            <w:pPr>
              <w:pStyle w:val="TableText"/>
              <w:ind w:left="226"/>
              <w:spacing w:before="70" w:line="220" w:lineRule="auto"/>
              <w:rPr/>
            </w:pPr>
            <w:r>
              <w:rPr>
                <w:color w:val="231F20"/>
                <w:spacing w:val="-5"/>
              </w:rPr>
              <w:t>阳性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445"/>
              <w:spacing w:before="69" w:line="231" w:lineRule="auto"/>
              <w:rPr/>
            </w:pPr>
            <w:r>
              <w:rPr>
                <w:color w:val="231F20"/>
                <w:spacing w:val="-3"/>
              </w:rPr>
              <w:t>31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507"/>
              <w:spacing w:before="69" w:line="231" w:lineRule="auto"/>
              <w:rPr/>
            </w:pPr>
            <w:r>
              <w:rPr>
                <w:color w:val="231F20"/>
                <w:spacing w:val="-5"/>
              </w:rPr>
              <w:t>19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439"/>
              <w:spacing w:before="69" w:line="231" w:lineRule="auto"/>
              <w:rPr/>
            </w:pPr>
            <w:r>
              <w:rPr>
                <w:color w:val="231F20"/>
                <w:spacing w:val="-3"/>
              </w:rPr>
              <w:t>50</w:t>
            </w:r>
          </w:p>
        </w:tc>
      </w:tr>
      <w:tr>
        <w:trPr>
          <w:trHeight w:val="285" w:hRule="atLeast"/>
        </w:trPr>
        <w:tc>
          <w:tcPr>
            <w:tcW w:w="1026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7"/>
              <w:spacing w:before="70" w:line="220" w:lineRule="auto"/>
              <w:rPr/>
            </w:pPr>
            <w:r>
              <w:rPr>
                <w:color w:val="231F20"/>
                <w:spacing w:val="-5"/>
              </w:rPr>
              <w:t>阴性</w:t>
            </w:r>
          </w:p>
        </w:tc>
        <w:tc>
          <w:tcPr>
            <w:tcW w:w="100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43"/>
              <w:spacing w:before="70" w:line="236" w:lineRule="auto"/>
              <w:rPr/>
            </w:pPr>
            <w:r>
              <w:rPr>
                <w:color w:val="231F20"/>
                <w:spacing w:val="-3"/>
              </w:rPr>
              <w:t>21</w:t>
            </w:r>
          </w:p>
        </w:tc>
        <w:tc>
          <w:tcPr>
            <w:tcW w:w="110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07"/>
              <w:spacing w:before="70" w:line="236" w:lineRule="auto"/>
              <w:rPr/>
            </w:pPr>
            <w:r>
              <w:rPr>
                <w:color w:val="231F20"/>
                <w:spacing w:val="-5"/>
              </w:rPr>
              <w:t>15</w:t>
            </w:r>
          </w:p>
        </w:tc>
        <w:tc>
          <w:tcPr>
            <w:tcW w:w="102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39"/>
              <w:spacing w:before="70" w:line="236" w:lineRule="auto"/>
              <w:rPr/>
            </w:pPr>
            <w:r>
              <w:rPr>
                <w:color w:val="231F20"/>
                <w:spacing w:val="-3"/>
              </w:rPr>
              <w:t>36</w:t>
            </w:r>
          </w:p>
        </w:tc>
      </w:tr>
    </w:tbl>
    <w:p>
      <w:pPr>
        <w:spacing w:line="382" w:lineRule="auto"/>
        <w:rPr>
          <w:rFonts w:ascii="Arial"/>
          <w:sz w:val="21"/>
        </w:rPr>
      </w:pPr>
      <w:r/>
    </w:p>
    <w:p>
      <w:pPr>
        <w:ind w:left="1138"/>
        <w:spacing w:before="52" w:line="221" w:lineRule="auto"/>
        <w:outlineLvl w:val="2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35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2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不同检查方式对</w:t>
      </w:r>
      <w:r>
        <w:rPr>
          <w:rFonts w:ascii="SimHei" w:hAnsi="SimHei" w:eastAsia="SimHei" w:cs="SimHei"/>
          <w:sz w:val="16"/>
          <w:szCs w:val="16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的诊断效能比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较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[%（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4"/>
        </w:rPr>
        <w:t>n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/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4"/>
        </w:rPr>
        <w:t>m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）]</w:t>
      </w:r>
    </w:p>
    <w:p>
      <w:pPr>
        <w:spacing w:line="45" w:lineRule="exact"/>
        <w:rPr/>
      </w:pPr>
      <w:r/>
    </w:p>
    <w:tbl>
      <w:tblPr>
        <w:tblStyle w:val="TableNormal"/>
        <w:tblW w:w="4932" w:type="dxa"/>
        <w:tblInd w:w="59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7"/>
        <w:gridCol w:w="457"/>
        <w:gridCol w:w="1187"/>
        <w:gridCol w:w="1222"/>
        <w:gridCol w:w="1309"/>
      </w:tblGrid>
      <w:tr>
        <w:trPr>
          <w:trHeight w:val="252" w:hRule="atLeast"/>
        </w:trPr>
        <w:tc>
          <w:tcPr>
            <w:tcW w:w="75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检查方式</w:t>
            </w:r>
          </w:p>
        </w:tc>
        <w:tc>
          <w:tcPr>
            <w:tcW w:w="45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5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118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97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灵敏度</w:t>
            </w:r>
          </w:p>
        </w:tc>
        <w:tc>
          <w:tcPr>
            <w:tcW w:w="122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09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特异度</w:t>
            </w:r>
          </w:p>
        </w:tc>
        <w:tc>
          <w:tcPr>
            <w:tcW w:w="13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30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准确率</w:t>
            </w:r>
          </w:p>
        </w:tc>
      </w:tr>
      <w:tr>
        <w:trPr>
          <w:trHeight w:val="293" w:hRule="atLeast"/>
        </w:trPr>
        <w:tc>
          <w:tcPr>
            <w:tcW w:w="757" w:type="dxa"/>
            <w:vAlign w:val="top"/>
            <w:tcBorders>
              <w:top w:val="single" w:color="231F20" w:sz="4" w:space="0"/>
            </w:tcBorders>
          </w:tcPr>
          <w:p>
            <w:pPr>
              <w:ind w:left="154"/>
              <w:spacing w:before="92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</w:rPr>
              <w:t>MSCT</w:t>
            </w:r>
          </w:p>
        </w:tc>
        <w:tc>
          <w:tcPr>
            <w:tcW w:w="45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56"/>
              <w:spacing w:before="67"/>
              <w:rPr/>
            </w:pPr>
            <w:r>
              <w:rPr>
                <w:color w:val="231F20"/>
                <w:spacing w:val="-2"/>
              </w:rPr>
              <w:t>86</w:t>
            </w:r>
          </w:p>
        </w:tc>
        <w:tc>
          <w:tcPr>
            <w:tcW w:w="118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right="5"/>
              <w:spacing w:before="66" w:line="225" w:lineRule="auto"/>
              <w:jc w:val="right"/>
              <w:rPr/>
            </w:pPr>
            <w:r>
              <w:rPr>
                <w:color w:val="231F20"/>
                <w:spacing w:val="-2"/>
              </w:rPr>
              <w:t>90.38（47/52）</w:t>
            </w:r>
          </w:p>
        </w:tc>
        <w:tc>
          <w:tcPr>
            <w:tcW w:w="122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90"/>
              <w:spacing w:before="66" w:line="225" w:lineRule="auto"/>
              <w:rPr/>
            </w:pPr>
            <w:r>
              <w:rPr>
                <w:color w:val="231F20"/>
                <w:spacing w:val="-2"/>
              </w:rPr>
              <w:t>88.24（30/34）</w:t>
            </w:r>
          </w:p>
        </w:tc>
        <w:tc>
          <w:tcPr>
            <w:tcW w:w="130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09"/>
              <w:spacing w:before="66" w:line="225" w:lineRule="auto"/>
              <w:rPr/>
            </w:pPr>
            <w:r>
              <w:rPr>
                <w:color w:val="231F20"/>
                <w:spacing w:val="-2"/>
              </w:rPr>
              <w:t>89.53（77/86）</w:t>
            </w:r>
          </w:p>
        </w:tc>
      </w:tr>
      <w:tr>
        <w:trPr>
          <w:trHeight w:val="298" w:hRule="atLeast"/>
        </w:trPr>
        <w:tc>
          <w:tcPr>
            <w:tcW w:w="757" w:type="dxa"/>
            <w:vAlign w:val="top"/>
          </w:tcPr>
          <w:p>
            <w:pPr>
              <w:pStyle w:val="TableText"/>
              <w:ind w:left="214"/>
              <w:spacing w:before="80" w:line="220" w:lineRule="auto"/>
              <w:rPr/>
            </w:pPr>
            <w:r>
              <w:rPr>
                <w:color w:val="231F20"/>
                <w:spacing w:val="-2"/>
              </w:rPr>
              <w:t>超声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56"/>
              <w:spacing w:before="79"/>
              <w:rPr/>
            </w:pPr>
            <w:r>
              <w:rPr>
                <w:color w:val="231F20"/>
                <w:spacing w:val="-2"/>
              </w:rPr>
              <w:t>86</w:t>
            </w:r>
          </w:p>
        </w:tc>
        <w:tc>
          <w:tcPr>
            <w:tcW w:w="1187" w:type="dxa"/>
            <w:vAlign w:val="top"/>
          </w:tcPr>
          <w:p>
            <w:pPr>
              <w:pStyle w:val="TableText"/>
              <w:ind w:right="5"/>
              <w:spacing w:before="79" w:line="225" w:lineRule="auto"/>
              <w:jc w:val="right"/>
              <w:rPr/>
            </w:pPr>
            <w:r>
              <w:rPr>
                <w:color w:val="231F20"/>
                <w:spacing w:val="-2"/>
              </w:rPr>
              <w:t>59.62（31/52）</w:t>
            </w:r>
          </w:p>
        </w:tc>
        <w:tc>
          <w:tcPr>
            <w:tcW w:w="1222" w:type="dxa"/>
            <w:vAlign w:val="top"/>
          </w:tcPr>
          <w:p>
            <w:pPr>
              <w:pStyle w:val="TableText"/>
              <w:ind w:left="89"/>
              <w:spacing w:before="79" w:line="225" w:lineRule="auto"/>
              <w:rPr/>
            </w:pPr>
            <w:r>
              <w:rPr>
                <w:color w:val="231F20"/>
                <w:spacing w:val="-1"/>
              </w:rPr>
              <w:t>44.12（15/34）</w:t>
            </w:r>
          </w:p>
        </w:tc>
        <w:tc>
          <w:tcPr>
            <w:tcW w:w="1309" w:type="dxa"/>
            <w:vAlign w:val="top"/>
          </w:tcPr>
          <w:p>
            <w:pPr>
              <w:pStyle w:val="TableText"/>
              <w:ind w:left="112"/>
              <w:spacing w:before="79" w:line="225" w:lineRule="auto"/>
              <w:rPr/>
            </w:pPr>
            <w:r>
              <w:rPr>
                <w:color w:val="231F20"/>
                <w:spacing w:val="-2"/>
              </w:rPr>
              <w:t>53.49（46/86）</w:t>
            </w:r>
          </w:p>
        </w:tc>
      </w:tr>
      <w:tr>
        <w:trPr>
          <w:trHeight w:val="310" w:hRule="atLeast"/>
        </w:trPr>
        <w:tc>
          <w:tcPr>
            <w:tcW w:w="757" w:type="dxa"/>
            <w:vAlign w:val="top"/>
          </w:tcPr>
          <w:p>
            <w:pPr>
              <w:pStyle w:val="TableText"/>
              <w:ind w:left="308"/>
              <w:spacing w:before="62" w:line="237" w:lineRule="exact"/>
              <w:rPr>
                <w:sz w:val="9"/>
                <w:szCs w:val="9"/>
              </w:rPr>
            </w:pPr>
            <w:r>
              <w:rPr>
                <w:i/>
                <w:iCs/>
                <w:color w:val="231F20"/>
                <w:spacing w:val="-41"/>
              </w:rPr>
              <w:t>χ</w:t>
            </w:r>
            <w:r>
              <w:rPr>
                <w:sz w:val="9"/>
                <w:szCs w:val="9"/>
                <w:color w:val="231F20"/>
                <w:position w:val="6"/>
              </w:rPr>
              <w:t>2</w:t>
            </w:r>
          </w:p>
        </w:tc>
        <w:tc>
          <w:tcPr>
            <w:tcW w:w="4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7" w:type="dxa"/>
            <w:vAlign w:val="top"/>
          </w:tcPr>
          <w:p>
            <w:pPr>
              <w:pStyle w:val="TableText"/>
              <w:ind w:left="406"/>
              <w:spacing w:before="82" w:line="239" w:lineRule="auto"/>
              <w:rPr/>
            </w:pPr>
            <w:r>
              <w:rPr>
                <w:color w:val="231F20"/>
                <w:spacing w:val="-3"/>
              </w:rPr>
              <w:t>13.128</w:t>
            </w:r>
          </w:p>
        </w:tc>
        <w:tc>
          <w:tcPr>
            <w:tcW w:w="1222" w:type="dxa"/>
            <w:vAlign w:val="top"/>
          </w:tcPr>
          <w:p>
            <w:pPr>
              <w:pStyle w:val="TableText"/>
              <w:ind w:left="421"/>
              <w:spacing w:before="82" w:line="239" w:lineRule="auto"/>
              <w:rPr/>
            </w:pPr>
            <w:r>
              <w:rPr>
                <w:color w:val="231F20"/>
                <w:spacing w:val="-3"/>
              </w:rPr>
              <w:t>14.783</w:t>
            </w:r>
          </w:p>
        </w:tc>
        <w:tc>
          <w:tcPr>
            <w:tcW w:w="1309" w:type="dxa"/>
            <w:vAlign w:val="top"/>
          </w:tcPr>
          <w:p>
            <w:pPr>
              <w:pStyle w:val="TableText"/>
              <w:ind w:left="431"/>
              <w:spacing w:before="82" w:line="239" w:lineRule="auto"/>
              <w:rPr/>
            </w:pPr>
            <w:r>
              <w:rPr>
                <w:color w:val="231F20"/>
                <w:spacing w:val="-2"/>
              </w:rPr>
              <w:t>27.425</w:t>
            </w:r>
          </w:p>
        </w:tc>
      </w:tr>
      <w:tr>
        <w:trPr>
          <w:trHeight w:val="319" w:hRule="atLeast"/>
        </w:trPr>
        <w:tc>
          <w:tcPr>
            <w:tcW w:w="757" w:type="dxa"/>
            <w:vAlign w:val="top"/>
            <w:tcBorders>
              <w:bottom w:val="single" w:color="231F20" w:sz="4" w:space="0"/>
            </w:tcBorders>
          </w:tcPr>
          <w:p>
            <w:pPr>
              <w:ind w:left="317"/>
              <w:spacing w:before="110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457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93"/>
              <w:spacing w:before="82" w:line="239" w:lineRule="auto"/>
              <w:rPr/>
            </w:pPr>
            <w:r>
              <w:rPr>
                <w:color w:val="231F20"/>
                <w:spacing w:val="5"/>
              </w:rPr>
              <w:t>&lt;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5"/>
              </w:rPr>
              <w:t>0.001</w:t>
            </w:r>
          </w:p>
        </w:tc>
        <w:tc>
          <w:tcPr>
            <w:tcW w:w="122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10"/>
              <w:spacing w:before="82" w:line="239" w:lineRule="auto"/>
              <w:rPr/>
            </w:pPr>
            <w:r>
              <w:rPr>
                <w:color w:val="231F20"/>
                <w:spacing w:val="5"/>
              </w:rPr>
              <w:t>&lt;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5"/>
              </w:rPr>
              <w:t>0.001</w:t>
            </w:r>
          </w:p>
        </w:tc>
        <w:tc>
          <w:tcPr>
            <w:tcW w:w="130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27"/>
              <w:spacing w:before="82" w:line="239" w:lineRule="auto"/>
              <w:rPr/>
            </w:pPr>
            <w:r>
              <w:rPr>
                <w:color w:val="231F20"/>
                <w:spacing w:val="5"/>
              </w:rPr>
              <w:t>&lt;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5"/>
              </w:rPr>
              <w:t>0.001</w:t>
            </w:r>
          </w:p>
        </w:tc>
      </w:tr>
    </w:tbl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1003"/>
        <w:spacing w:before="66" w:line="220" w:lineRule="auto"/>
        <w:rPr/>
      </w:pPr>
      <w:r>
        <w:rPr>
          <w:color w:val="231F20"/>
          <w:spacing w:val="-2"/>
        </w:rPr>
        <w:t>2.2 不同检查方式对不同类型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AA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的检出率比较</w:t>
      </w:r>
    </w:p>
    <w:p>
      <w:pPr>
        <w:pStyle w:val="BodyText"/>
        <w:ind w:left="606" w:right="250" w:firstLine="390"/>
        <w:spacing w:before="91" w:line="263" w:lineRule="auto"/>
        <w:rPr/>
      </w:pPr>
      <w:r>
        <w:rPr>
          <w:rFonts w:ascii="Times New Roman" w:hAnsi="Times New Roman" w:eastAsia="Times New Roman" w:cs="Times New Roman"/>
          <w:color w:val="231F20"/>
        </w:rPr>
        <w:t>MSCT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对单纯性阑尾炎、化脓性阑尾炎、穿孔坏疽 </w:t>
      </w:r>
      <w:r>
        <w:rPr>
          <w:color w:val="231F20"/>
          <w:spacing w:val="4"/>
        </w:rPr>
        <w:t>性阑尾炎的检出符合率均高于超声，差异有统计学意义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i/>
          <w:iCs/>
          <w:color w:val="231F20"/>
          <w:spacing w:val="-5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＜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5"/>
        </w:rPr>
        <w:t>0.05）。见表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5"/>
        </w:rPr>
        <w:t>3。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19"/>
        <w:spacing w:before="58" w:line="221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3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不同检查方式对不同类型</w:t>
      </w:r>
      <w:r>
        <w:rPr>
          <w:rFonts w:ascii="SimHei" w:hAnsi="SimHei" w:eastAsia="SimHei" w:cs="SimHei"/>
          <w:sz w:val="16"/>
          <w:szCs w:val="16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的检出符合率比较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3"/>
        </w:rPr>
        <w:t>n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（%）]</w:t>
      </w:r>
    </w:p>
    <w:p>
      <w:pPr>
        <w:spacing w:line="45" w:lineRule="exact"/>
        <w:rPr/>
      </w:pPr>
      <w:r/>
    </w:p>
    <w:tbl>
      <w:tblPr>
        <w:tblStyle w:val="TableNormal"/>
        <w:tblW w:w="493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54"/>
        <w:gridCol w:w="506"/>
        <w:gridCol w:w="1042"/>
        <w:gridCol w:w="1114"/>
        <w:gridCol w:w="1416"/>
      </w:tblGrid>
      <w:tr>
        <w:trPr>
          <w:trHeight w:val="277" w:hRule="atLeast"/>
        </w:trPr>
        <w:tc>
          <w:tcPr>
            <w:tcW w:w="85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11"/>
              <w:spacing w:before="195" w:line="220" w:lineRule="auto"/>
              <w:rPr/>
            </w:pPr>
            <w:r>
              <w:rPr>
                <w:color w:val="231F20"/>
                <w:spacing w:val="-2"/>
              </w:rPr>
              <w:t>检查方式</w:t>
            </w:r>
          </w:p>
        </w:tc>
        <w:tc>
          <w:tcPr>
            <w:tcW w:w="506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14"/>
              <w:spacing w:before="195" w:line="220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2156" w:type="dxa"/>
            <w:vAlign w:val="top"/>
            <w:gridSpan w:val="2"/>
            <w:tcBorders>
              <w:top w:val="single" w:color="231F20" w:sz="4" w:space="0"/>
            </w:tcBorders>
          </w:tcPr>
          <w:p>
            <w:pPr>
              <w:pStyle w:val="TableText"/>
              <w:ind w:left="83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单纯性阑尾炎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2"/>
              </w:rPr>
              <w:t>化脓性阑尾炎</w:t>
            </w:r>
          </w:p>
        </w:tc>
        <w:tc>
          <w:tcPr>
            <w:tcW w:w="1416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76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穿孔坏疽性阑尾炎</w:t>
            </w:r>
          </w:p>
          <w:p>
            <w:pPr>
              <w:pStyle w:val="TableText"/>
              <w:ind w:left="392"/>
              <w:spacing w:before="109" w:line="224" w:lineRule="auto"/>
              <w:rPr/>
            </w:pPr>
            <w:r>
              <w:rPr>
                <w:color w:val="231F20"/>
                <w:spacing w:val="-3"/>
              </w:rPr>
              <w:t>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3"/>
              </w:rPr>
              <w:t>n</w:t>
            </w:r>
            <w:r>
              <w:rPr>
                <w:color w:val="231F20"/>
                <w:spacing w:val="-3"/>
              </w:rPr>
              <w:t>=15）</w:t>
            </w:r>
          </w:p>
        </w:tc>
      </w:tr>
      <w:tr>
        <w:trPr>
          <w:trHeight w:val="273" w:hRule="atLeast"/>
        </w:trPr>
        <w:tc>
          <w:tcPr>
            <w:tcW w:w="854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46"/>
              <w:spacing w:before="68" w:line="224" w:lineRule="auto"/>
              <w:rPr/>
            </w:pPr>
            <w:r>
              <w:rPr>
                <w:color w:val="231F20"/>
                <w:spacing w:val="-3"/>
              </w:rPr>
              <w:t>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3"/>
              </w:rPr>
              <w:t>n</w:t>
            </w:r>
            <w:r>
              <w:rPr>
                <w:color w:val="231F20"/>
                <w:spacing w:val="-3"/>
              </w:rPr>
              <w:t>=14）</w:t>
            </w:r>
          </w:p>
        </w:tc>
        <w:tc>
          <w:tcPr>
            <w:tcW w:w="111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59"/>
              <w:spacing w:before="68" w:line="224" w:lineRule="auto"/>
              <w:rPr/>
            </w:pPr>
            <w:r>
              <w:rPr>
                <w:color w:val="231F20"/>
                <w:spacing w:val="-3"/>
              </w:rPr>
              <w:t>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3"/>
              </w:rPr>
              <w:t>n</w:t>
            </w:r>
            <w:r>
              <w:rPr>
                <w:color w:val="231F20"/>
                <w:spacing w:val="-3"/>
              </w:rPr>
              <w:t>=23）</w:t>
            </w:r>
          </w:p>
        </w:tc>
        <w:tc>
          <w:tcPr>
            <w:tcW w:w="1416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9" w:hRule="atLeast"/>
        </w:trPr>
        <w:tc>
          <w:tcPr>
            <w:tcW w:w="854" w:type="dxa"/>
            <w:vAlign w:val="top"/>
            <w:tcBorders>
              <w:top w:val="single" w:color="231F20" w:sz="4" w:space="0"/>
            </w:tcBorders>
          </w:tcPr>
          <w:p>
            <w:pPr>
              <w:ind w:left="211"/>
              <w:spacing w:before="66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</w:rPr>
              <w:t>MSCT</w:t>
            </w:r>
          </w:p>
        </w:tc>
        <w:tc>
          <w:tcPr>
            <w:tcW w:w="50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97"/>
              <w:spacing w:before="41" w:line="216" w:lineRule="auto"/>
              <w:rPr/>
            </w:pPr>
            <w:r>
              <w:rPr>
                <w:color w:val="231F20"/>
                <w:spacing w:val="-3"/>
              </w:rPr>
              <w:t>52</w:t>
            </w:r>
          </w:p>
        </w:tc>
        <w:tc>
          <w:tcPr>
            <w:tcW w:w="104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34"/>
              <w:spacing w:before="41" w:line="216" w:lineRule="auto"/>
              <w:rPr/>
            </w:pPr>
            <w:r>
              <w:rPr>
                <w:color w:val="231F20"/>
                <w:spacing w:val="-3"/>
              </w:rPr>
              <w:t>13（92.86）</w:t>
            </w:r>
          </w:p>
        </w:tc>
        <w:tc>
          <w:tcPr>
            <w:tcW w:w="111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36"/>
              <w:spacing w:before="41" w:line="216" w:lineRule="auto"/>
              <w:rPr/>
            </w:pPr>
            <w:r>
              <w:rPr>
                <w:color w:val="231F20"/>
                <w:spacing w:val="-2"/>
              </w:rPr>
              <w:t>20（86.96）</w:t>
            </w:r>
          </w:p>
        </w:tc>
        <w:tc>
          <w:tcPr>
            <w:tcW w:w="141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80"/>
              <w:spacing w:before="41" w:line="216" w:lineRule="auto"/>
              <w:rPr/>
            </w:pPr>
            <w:r>
              <w:rPr>
                <w:color w:val="231F20"/>
                <w:spacing w:val="-3"/>
              </w:rPr>
              <w:t>14（93.33）</w:t>
            </w:r>
          </w:p>
        </w:tc>
      </w:tr>
      <w:tr>
        <w:trPr>
          <w:trHeight w:val="255" w:hRule="atLeast"/>
        </w:trPr>
        <w:tc>
          <w:tcPr>
            <w:tcW w:w="854" w:type="dxa"/>
            <w:vAlign w:val="top"/>
          </w:tcPr>
          <w:p>
            <w:pPr>
              <w:pStyle w:val="TableText"/>
              <w:ind w:left="270"/>
              <w:spacing w:before="59" w:line="214" w:lineRule="auto"/>
              <w:rPr/>
            </w:pPr>
            <w:r>
              <w:rPr>
                <w:color w:val="231F20"/>
                <w:spacing w:val="-2"/>
              </w:rPr>
              <w:t>超声</w:t>
            </w:r>
          </w:p>
        </w:tc>
        <w:tc>
          <w:tcPr>
            <w:tcW w:w="506" w:type="dxa"/>
            <w:vAlign w:val="top"/>
          </w:tcPr>
          <w:p>
            <w:pPr>
              <w:pStyle w:val="TableText"/>
              <w:ind w:left="197"/>
              <w:spacing w:before="59" w:line="214" w:lineRule="auto"/>
              <w:rPr/>
            </w:pPr>
            <w:r>
              <w:rPr>
                <w:color w:val="231F20"/>
                <w:spacing w:val="-3"/>
              </w:rPr>
              <w:t>52</w:t>
            </w:r>
          </w:p>
        </w:tc>
        <w:tc>
          <w:tcPr>
            <w:tcW w:w="1042" w:type="dxa"/>
            <w:vAlign w:val="top"/>
          </w:tcPr>
          <w:p>
            <w:pPr>
              <w:pStyle w:val="TableText"/>
              <w:ind w:left="203"/>
              <w:spacing w:before="59" w:line="214" w:lineRule="auto"/>
              <w:rPr/>
            </w:pPr>
            <w:r>
              <w:rPr>
                <w:color w:val="231F20"/>
                <w:spacing w:val="-1"/>
              </w:rPr>
              <w:t>8（57.14）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146"/>
              <w:spacing w:before="59" w:line="214" w:lineRule="auto"/>
              <w:rPr/>
            </w:pPr>
            <w:r>
              <w:rPr>
                <w:color w:val="231F20"/>
                <w:spacing w:val="-3"/>
              </w:rPr>
              <w:t>14（60.87）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348"/>
              <w:spacing w:before="59" w:line="214" w:lineRule="auto"/>
              <w:rPr/>
            </w:pPr>
            <w:r>
              <w:rPr>
                <w:color w:val="231F20"/>
                <w:spacing w:val="-2"/>
              </w:rPr>
              <w:t>9（60.00）</w:t>
            </w:r>
          </w:p>
        </w:tc>
      </w:tr>
      <w:tr>
        <w:trPr>
          <w:trHeight w:val="262" w:hRule="atLeast"/>
        </w:trPr>
        <w:tc>
          <w:tcPr>
            <w:tcW w:w="854" w:type="dxa"/>
            <w:vAlign w:val="top"/>
          </w:tcPr>
          <w:p>
            <w:pPr>
              <w:pStyle w:val="TableText"/>
              <w:ind w:left="365"/>
              <w:spacing w:before="41" w:line="210" w:lineRule="exact"/>
              <w:rPr>
                <w:sz w:val="9"/>
                <w:szCs w:val="9"/>
              </w:rPr>
            </w:pPr>
            <w:r>
              <w:rPr>
                <w:i/>
                <w:iCs/>
                <w:color w:val="231F20"/>
                <w:spacing w:val="-41"/>
              </w:rPr>
              <w:t>χ</w:t>
            </w:r>
            <w:r>
              <w:rPr>
                <w:sz w:val="9"/>
                <w:szCs w:val="9"/>
                <w:color w:val="231F20"/>
                <w:position w:val="6"/>
              </w:rPr>
              <w:t>2</w:t>
            </w:r>
          </w:p>
        </w:tc>
        <w:tc>
          <w:tcPr>
            <w:tcW w:w="5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2" w:type="dxa"/>
            <w:vAlign w:val="top"/>
          </w:tcPr>
          <w:p>
            <w:pPr>
              <w:pStyle w:val="TableText"/>
              <w:ind w:left="361"/>
              <w:spacing w:before="61" w:line="220" w:lineRule="auto"/>
              <w:rPr/>
            </w:pPr>
            <w:r>
              <w:rPr>
                <w:color w:val="231F20"/>
                <w:spacing w:val="-1"/>
              </w:rPr>
              <w:t>4.762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374"/>
              <w:spacing w:before="61" w:line="220" w:lineRule="auto"/>
              <w:rPr/>
            </w:pPr>
            <w:r>
              <w:rPr>
                <w:color w:val="231F20"/>
                <w:spacing w:val="-1"/>
              </w:rPr>
              <w:t>4.059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507"/>
              <w:spacing w:before="61" w:line="220" w:lineRule="auto"/>
              <w:rPr/>
            </w:pPr>
            <w:r>
              <w:rPr>
                <w:color w:val="231F20"/>
                <w:spacing w:val="-1"/>
              </w:rPr>
              <w:t>4.658</w:t>
            </w:r>
          </w:p>
        </w:tc>
      </w:tr>
      <w:tr>
        <w:trPr>
          <w:trHeight w:val="261" w:hRule="atLeast"/>
        </w:trPr>
        <w:tc>
          <w:tcPr>
            <w:tcW w:w="854" w:type="dxa"/>
            <w:vAlign w:val="top"/>
            <w:tcBorders>
              <w:bottom w:val="single" w:color="231F20" w:sz="4" w:space="0"/>
            </w:tcBorders>
          </w:tcPr>
          <w:p>
            <w:pPr>
              <w:ind w:left="374"/>
              <w:spacing w:before="83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506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63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0.029</w:t>
            </w:r>
          </w:p>
        </w:tc>
        <w:tc>
          <w:tcPr>
            <w:tcW w:w="111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76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0.044</w:t>
            </w:r>
          </w:p>
        </w:tc>
        <w:tc>
          <w:tcPr>
            <w:tcW w:w="141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09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0.031</w:t>
            </w:r>
          </w:p>
        </w:tc>
      </w:tr>
    </w:tbl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407"/>
        <w:spacing w:before="65" w:line="220" w:lineRule="auto"/>
        <w:rPr/>
      </w:pPr>
      <w:r>
        <w:rPr>
          <w:color w:val="231F20"/>
          <w:spacing w:val="-3"/>
        </w:rPr>
        <w:t>2.3 </w:t>
      </w:r>
      <w:r>
        <w:rPr>
          <w:rFonts w:ascii="Times New Roman" w:hAnsi="Times New Roman" w:eastAsia="Times New Roman" w:cs="Times New Roman"/>
          <w:color w:val="231F20"/>
          <w:spacing w:val="-3"/>
        </w:rPr>
        <w:t>AA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color w:val="231F20"/>
          <w:spacing w:val="-3"/>
        </w:rPr>
        <w:t>患者、非</w:t>
      </w:r>
      <w:r>
        <w:rPr>
          <w:color w:val="231F20"/>
          <w:spacing w:val="-5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AA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color w:val="231F20"/>
          <w:spacing w:val="-3"/>
        </w:rPr>
        <w:t>患者的</w:t>
      </w:r>
      <w:r>
        <w:rPr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MSCT </w:t>
      </w:r>
      <w:r>
        <w:rPr>
          <w:color w:val="231F20"/>
          <w:spacing w:val="-3"/>
        </w:rPr>
        <w:t>影像学特</w:t>
      </w:r>
      <w:r>
        <w:rPr>
          <w:color w:val="231F20"/>
          <w:spacing w:val="-4"/>
        </w:rPr>
        <w:t>征比较</w:t>
      </w:r>
    </w:p>
    <w:p>
      <w:pPr>
        <w:pStyle w:val="BodyText"/>
        <w:ind w:left="10" w:right="94" w:firstLine="388"/>
        <w:spacing w:before="80" w:line="297" w:lineRule="auto"/>
        <w:rPr/>
      </w:pPr>
      <w:r>
        <w:rPr>
          <w:rFonts w:ascii="Times New Roman" w:hAnsi="Times New Roman" w:eastAsia="Times New Roman" w:cs="Times New Roman"/>
          <w:color w:val="231F20"/>
          <w:spacing w:val="-3"/>
        </w:rPr>
        <w:t>AA </w:t>
      </w:r>
      <w:r>
        <w:rPr>
          <w:color w:val="231F20"/>
          <w:spacing w:val="-3"/>
        </w:rPr>
        <w:t>患者各项</w:t>
      </w:r>
      <w:r>
        <w:rPr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MSCT </w:t>
      </w:r>
      <w:r>
        <w:rPr>
          <w:color w:val="231F20"/>
          <w:spacing w:val="-3"/>
        </w:rPr>
        <w:t>影像学特征与非</w:t>
      </w:r>
      <w:r>
        <w:rPr>
          <w:color w:val="231F20"/>
          <w:spacing w:val="-5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AA </w:t>
      </w:r>
      <w:r>
        <w:rPr>
          <w:color w:val="231F20"/>
          <w:spacing w:val="-3"/>
        </w:rPr>
        <w:t>患者比较，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差异有统计学意义（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30"/>
        </w:rPr>
        <w:t xml:space="preserve"> </w:t>
      </w:r>
      <w:r>
        <w:rPr>
          <w:color w:val="231F20"/>
          <w:spacing w:val="-3"/>
        </w:rPr>
        <w:t>＜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3"/>
        </w:rPr>
        <w:t>0.05）。见表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3"/>
        </w:rPr>
        <w:t>4。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ind w:left="245"/>
        <w:spacing w:before="53" w:line="221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38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4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AA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患者、非</w:t>
      </w:r>
      <w:r>
        <w:rPr>
          <w:rFonts w:ascii="SimHei" w:hAnsi="SimHei" w:eastAsia="SimHei" w:cs="SimHei"/>
          <w:sz w:val="16"/>
          <w:szCs w:val="16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AA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患者的</w:t>
      </w:r>
      <w:r>
        <w:rPr>
          <w:rFonts w:ascii="SimHei" w:hAnsi="SimHei" w:eastAsia="SimHei" w:cs="SimHei"/>
          <w:sz w:val="16"/>
          <w:szCs w:val="16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MS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CT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影像学特征比较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3"/>
        </w:rPr>
        <w:t>n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（%）]</w:t>
      </w:r>
    </w:p>
    <w:p>
      <w:pPr>
        <w:spacing w:line="46" w:lineRule="exact"/>
        <w:rPr/>
      </w:pPr>
      <w:r/>
    </w:p>
    <w:tbl>
      <w:tblPr>
        <w:tblStyle w:val="TableNormal"/>
        <w:tblW w:w="493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79"/>
        <w:gridCol w:w="2226"/>
        <w:gridCol w:w="597"/>
        <w:gridCol w:w="730"/>
      </w:tblGrid>
      <w:tr>
        <w:trPr>
          <w:trHeight w:val="253" w:hRule="atLeast"/>
        </w:trPr>
        <w:tc>
          <w:tcPr>
            <w:tcW w:w="137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20"/>
              <w:spacing w:before="45" w:line="220" w:lineRule="auto"/>
              <w:rPr/>
            </w:pPr>
            <w:r>
              <w:rPr>
                <w:color w:val="231F20"/>
                <w:spacing w:val="-1"/>
              </w:rPr>
              <w:t>影像学特征</w:t>
            </w:r>
          </w:p>
        </w:tc>
        <w:tc>
          <w:tcPr>
            <w:tcW w:w="222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before="45" w:line="220" w:lineRule="auto"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AA </w:t>
            </w:r>
            <w:r>
              <w:rPr>
                <w:color w:val="231F20"/>
                <w:spacing w:val="-8"/>
              </w:rPr>
              <w:t>组（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8"/>
              </w:rPr>
              <w:t>n</w:t>
            </w:r>
            <w:r>
              <w:rPr>
                <w:color w:val="231F20"/>
                <w:spacing w:val="-8"/>
              </w:rPr>
              <w:t>=52）非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AA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8"/>
              </w:rPr>
              <w:t>组（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8"/>
              </w:rPr>
              <w:t>n</w:t>
            </w:r>
            <w:r>
              <w:rPr>
                <w:color w:val="231F20"/>
                <w:spacing w:val="-8"/>
              </w:rPr>
              <w:t>=34）</w:t>
            </w:r>
          </w:p>
        </w:tc>
        <w:tc>
          <w:tcPr>
            <w:tcW w:w="59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4"/>
              <w:spacing w:before="25" w:line="218" w:lineRule="exact"/>
              <w:rPr>
                <w:sz w:val="9"/>
                <w:szCs w:val="9"/>
              </w:rPr>
            </w:pPr>
            <w:r>
              <w:rPr>
                <w:i/>
                <w:iCs/>
                <w:color w:val="231F20"/>
                <w:spacing w:val="-41"/>
              </w:rPr>
              <w:t>χ</w:t>
            </w:r>
            <w:r>
              <w:rPr>
                <w:sz w:val="9"/>
                <w:szCs w:val="9"/>
                <w:color w:val="231F20"/>
                <w:position w:val="6"/>
              </w:rPr>
              <w:t>2</w:t>
            </w:r>
          </w:p>
        </w:tc>
        <w:tc>
          <w:tcPr>
            <w:tcW w:w="73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ind w:left="310"/>
              <w:spacing w:before="72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5"/>
              </w:rPr>
              <w:t>P</w:t>
            </w:r>
          </w:p>
        </w:tc>
      </w:tr>
      <w:tr>
        <w:trPr>
          <w:trHeight w:val="245" w:hRule="atLeast"/>
        </w:trPr>
        <w:tc>
          <w:tcPr>
            <w:tcW w:w="137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7"/>
              <w:spacing w:before="39" w:line="220" w:lineRule="auto"/>
              <w:rPr/>
            </w:pPr>
            <w:r>
              <w:rPr>
                <w:color w:val="231F20"/>
                <w:spacing w:val="-3"/>
              </w:rPr>
              <w:t>阑尾周围渗出</w:t>
            </w:r>
          </w:p>
        </w:tc>
        <w:tc>
          <w:tcPr>
            <w:tcW w:w="2226" w:type="dxa"/>
            <w:vAlign w:val="top"/>
            <w:tcBorders>
              <w:top w:val="single" w:color="231F20" w:sz="4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59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34"/>
              <w:spacing w:before="39" w:line="226" w:lineRule="auto"/>
              <w:rPr/>
            </w:pPr>
            <w:r>
              <w:rPr>
                <w:color w:val="231F20"/>
                <w:spacing w:val="-2"/>
              </w:rPr>
              <w:t>7.070</w:t>
            </w:r>
          </w:p>
        </w:tc>
        <w:tc>
          <w:tcPr>
            <w:tcW w:w="73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60"/>
              <w:spacing w:before="39" w:line="226" w:lineRule="auto"/>
              <w:rPr/>
            </w:pPr>
            <w:r>
              <w:rPr>
                <w:color w:val="231F20"/>
                <w:spacing w:val="-2"/>
              </w:rPr>
              <w:t>0.008</w:t>
            </w:r>
          </w:p>
        </w:tc>
      </w:tr>
      <w:tr>
        <w:trPr>
          <w:trHeight w:val="258" w:hRule="atLeast"/>
        </w:trPr>
        <w:tc>
          <w:tcPr>
            <w:tcW w:w="1379" w:type="dxa"/>
            <w:vAlign w:val="top"/>
          </w:tcPr>
          <w:p>
            <w:pPr>
              <w:pStyle w:val="TableText"/>
              <w:ind w:left="195"/>
              <w:spacing w:before="51" w:line="220" w:lineRule="auto"/>
              <w:rPr/>
            </w:pPr>
            <w:r>
              <w:rPr>
                <w:color w:val="231F20"/>
              </w:rPr>
              <w:t>有</w:t>
            </w:r>
          </w:p>
        </w:tc>
        <w:tc>
          <w:tcPr>
            <w:tcW w:w="2226" w:type="dxa"/>
            <w:vAlign w:val="top"/>
          </w:tcPr>
          <w:p>
            <w:pPr>
              <w:pStyle w:val="TableText"/>
              <w:ind w:left="125"/>
              <w:spacing w:before="51" w:line="227" w:lineRule="auto"/>
              <w:rPr/>
            </w:pPr>
            <w:r>
              <w:rPr>
                <w:color w:val="231F20"/>
                <w:spacing w:val="-1"/>
              </w:rPr>
              <w:t>45（86.54）</w:t>
            </w:r>
            <w:r>
              <w:rPr>
                <w:color w:val="231F20"/>
                <w:spacing w:val="24"/>
              </w:rPr>
              <w:t xml:space="preserve">  </w:t>
            </w:r>
            <w:r>
              <w:rPr>
                <w:color w:val="231F20"/>
                <w:spacing w:val="-1"/>
              </w:rPr>
              <w:t>21（61.76）</w:t>
            </w:r>
          </w:p>
        </w:tc>
        <w:tc>
          <w:tcPr>
            <w:tcW w:w="5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4" w:hRule="atLeast"/>
        </w:trPr>
        <w:tc>
          <w:tcPr>
            <w:tcW w:w="1379" w:type="dxa"/>
            <w:vAlign w:val="top"/>
          </w:tcPr>
          <w:p>
            <w:pPr>
              <w:pStyle w:val="TableText"/>
              <w:ind w:left="195"/>
              <w:spacing w:before="49" w:line="220" w:lineRule="auto"/>
              <w:rPr/>
            </w:pPr>
            <w:r>
              <w:rPr>
                <w:color w:val="231F20"/>
              </w:rPr>
              <w:t>无</w:t>
            </w:r>
          </w:p>
        </w:tc>
        <w:tc>
          <w:tcPr>
            <w:tcW w:w="2226" w:type="dxa"/>
            <w:vAlign w:val="top"/>
          </w:tcPr>
          <w:p>
            <w:pPr>
              <w:pStyle w:val="TableText"/>
              <w:ind w:left="209"/>
              <w:spacing w:before="49" w:line="224" w:lineRule="auto"/>
              <w:rPr/>
            </w:pPr>
            <w:r>
              <w:rPr>
                <w:color w:val="231F20"/>
                <w:spacing w:val="-2"/>
              </w:rPr>
              <w:t>7（13.46）</w:t>
            </w:r>
            <w:r>
              <w:rPr>
                <w:color w:val="231F20"/>
                <w:spacing w:val="29"/>
              </w:rPr>
              <w:t xml:space="preserve">  </w:t>
            </w:r>
            <w:r>
              <w:rPr>
                <w:color w:val="231F20"/>
                <w:spacing w:val="-2"/>
              </w:rPr>
              <w:t>13（38.24）</w:t>
            </w:r>
          </w:p>
        </w:tc>
        <w:tc>
          <w:tcPr>
            <w:tcW w:w="5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6" w:hRule="atLeast"/>
        </w:trPr>
        <w:tc>
          <w:tcPr>
            <w:tcW w:w="1379" w:type="dxa"/>
            <w:vAlign w:val="top"/>
          </w:tcPr>
          <w:p>
            <w:pPr>
              <w:pStyle w:val="TableText"/>
              <w:ind w:left="35"/>
              <w:spacing w:before="52" w:line="221" w:lineRule="auto"/>
              <w:rPr/>
            </w:pPr>
            <w:r>
              <w:rPr>
                <w:color w:val="231F20"/>
                <w:spacing w:val="-2"/>
              </w:rPr>
              <w:t>盲肠壁增厚</w:t>
            </w:r>
          </w:p>
        </w:tc>
        <w:tc>
          <w:tcPr>
            <w:tcW w:w="22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7" w:type="dxa"/>
            <w:vAlign w:val="top"/>
          </w:tcPr>
          <w:p>
            <w:pPr>
              <w:pStyle w:val="TableText"/>
              <w:ind w:left="62"/>
              <w:spacing w:before="51" w:line="224" w:lineRule="auto"/>
              <w:rPr/>
            </w:pPr>
            <w:r>
              <w:rPr>
                <w:color w:val="231F20"/>
                <w:spacing w:val="-3"/>
              </w:rPr>
              <w:t>19.938</w:t>
            </w:r>
          </w:p>
        </w:tc>
        <w:tc>
          <w:tcPr>
            <w:tcW w:w="730" w:type="dxa"/>
            <w:vAlign w:val="top"/>
          </w:tcPr>
          <w:p>
            <w:pPr>
              <w:pStyle w:val="TableText"/>
              <w:ind w:left="79"/>
              <w:spacing w:before="51" w:line="224" w:lineRule="auto"/>
              <w:rPr/>
            </w:pPr>
            <w:r>
              <w:rPr>
                <w:color w:val="231F20"/>
                <w:spacing w:val="5"/>
              </w:rPr>
              <w:t>&lt;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5"/>
              </w:rPr>
              <w:t>0.001</w:t>
            </w:r>
          </w:p>
        </w:tc>
      </w:tr>
      <w:tr>
        <w:trPr>
          <w:trHeight w:val="258" w:hRule="atLeast"/>
        </w:trPr>
        <w:tc>
          <w:tcPr>
            <w:tcW w:w="1379" w:type="dxa"/>
            <w:vAlign w:val="top"/>
          </w:tcPr>
          <w:p>
            <w:pPr>
              <w:pStyle w:val="TableText"/>
              <w:ind w:left="195"/>
              <w:spacing w:before="53" w:line="220" w:lineRule="auto"/>
              <w:rPr/>
            </w:pPr>
            <w:r>
              <w:rPr>
                <w:color w:val="231F20"/>
              </w:rPr>
              <w:t>有</w:t>
            </w:r>
          </w:p>
        </w:tc>
        <w:tc>
          <w:tcPr>
            <w:tcW w:w="2226" w:type="dxa"/>
            <w:vAlign w:val="top"/>
          </w:tcPr>
          <w:p>
            <w:pPr>
              <w:pStyle w:val="TableText"/>
              <w:ind w:left="125"/>
              <w:spacing w:before="52" w:line="225" w:lineRule="auto"/>
              <w:rPr/>
            </w:pPr>
            <w:r>
              <w:rPr>
                <w:color w:val="231F20"/>
                <w:spacing w:val="-2"/>
              </w:rPr>
              <w:t>48（92.31）</w:t>
            </w:r>
            <w:r>
              <w:rPr>
                <w:color w:val="231F20"/>
                <w:spacing w:val="32"/>
              </w:rPr>
              <w:t xml:space="preserve">  </w:t>
            </w:r>
            <w:r>
              <w:rPr>
                <w:color w:val="231F20"/>
                <w:spacing w:val="-2"/>
              </w:rPr>
              <w:t>17（50.00）</w:t>
            </w:r>
          </w:p>
        </w:tc>
        <w:tc>
          <w:tcPr>
            <w:tcW w:w="5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4" w:hRule="atLeast"/>
        </w:trPr>
        <w:tc>
          <w:tcPr>
            <w:tcW w:w="1379" w:type="dxa"/>
            <w:vAlign w:val="top"/>
          </w:tcPr>
          <w:p>
            <w:pPr>
              <w:pStyle w:val="TableText"/>
              <w:ind w:left="195"/>
              <w:spacing w:before="51" w:line="220" w:lineRule="auto"/>
              <w:rPr/>
            </w:pPr>
            <w:r>
              <w:rPr>
                <w:color w:val="231F20"/>
              </w:rPr>
              <w:t>无</w:t>
            </w:r>
          </w:p>
        </w:tc>
        <w:tc>
          <w:tcPr>
            <w:tcW w:w="2226" w:type="dxa"/>
            <w:vAlign w:val="top"/>
          </w:tcPr>
          <w:p>
            <w:pPr>
              <w:pStyle w:val="TableText"/>
              <w:ind w:left="205"/>
              <w:spacing w:before="51" w:line="222" w:lineRule="auto"/>
              <w:rPr/>
            </w:pPr>
            <w:r>
              <w:rPr>
                <w:color w:val="231F20"/>
                <w:spacing w:val="-2"/>
              </w:rPr>
              <w:t>4（7.69）</w:t>
            </w:r>
            <w:r>
              <w:rPr>
                <w:color w:val="231F20"/>
                <w:spacing w:val="20"/>
              </w:rPr>
              <w:t xml:space="preserve">   </w:t>
            </w:r>
            <w:r>
              <w:rPr>
                <w:color w:val="231F20"/>
                <w:spacing w:val="-2"/>
              </w:rPr>
              <w:t>17（50.00）</w:t>
            </w:r>
          </w:p>
        </w:tc>
        <w:tc>
          <w:tcPr>
            <w:tcW w:w="5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7" w:hRule="atLeast"/>
        </w:trPr>
        <w:tc>
          <w:tcPr>
            <w:tcW w:w="1379" w:type="dxa"/>
            <w:vAlign w:val="top"/>
          </w:tcPr>
          <w:p>
            <w:pPr>
              <w:pStyle w:val="TableText"/>
              <w:ind w:left="47"/>
              <w:spacing w:before="53" w:line="220" w:lineRule="auto"/>
              <w:rPr/>
            </w:pPr>
            <w:r>
              <w:rPr>
                <w:color w:val="231F20"/>
                <w:spacing w:val="-4"/>
              </w:rPr>
              <w:t>阑尾粪石</w:t>
            </w:r>
          </w:p>
        </w:tc>
        <w:tc>
          <w:tcPr>
            <w:tcW w:w="22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7" w:type="dxa"/>
            <w:vAlign w:val="top"/>
          </w:tcPr>
          <w:p>
            <w:pPr>
              <w:pStyle w:val="TableText"/>
              <w:ind w:left="131"/>
              <w:spacing w:before="54" w:line="222" w:lineRule="auto"/>
              <w:rPr/>
            </w:pPr>
            <w:r>
              <w:rPr>
                <w:color w:val="231F20"/>
                <w:spacing w:val="-2"/>
              </w:rPr>
              <w:t>8.825</w:t>
            </w:r>
          </w:p>
        </w:tc>
        <w:tc>
          <w:tcPr>
            <w:tcW w:w="730" w:type="dxa"/>
            <w:vAlign w:val="top"/>
          </w:tcPr>
          <w:p>
            <w:pPr>
              <w:pStyle w:val="TableText"/>
              <w:ind w:left="260"/>
              <w:spacing w:before="54" w:line="222" w:lineRule="auto"/>
              <w:rPr/>
            </w:pPr>
            <w:r>
              <w:rPr>
                <w:color w:val="231F20"/>
                <w:spacing w:val="-2"/>
              </w:rPr>
              <w:t>0.003</w:t>
            </w:r>
          </w:p>
        </w:tc>
      </w:tr>
      <w:tr>
        <w:trPr>
          <w:trHeight w:val="258" w:hRule="atLeast"/>
        </w:trPr>
        <w:tc>
          <w:tcPr>
            <w:tcW w:w="1379" w:type="dxa"/>
            <w:vAlign w:val="top"/>
          </w:tcPr>
          <w:p>
            <w:pPr>
              <w:pStyle w:val="TableText"/>
              <w:ind w:left="195"/>
              <w:spacing w:before="54" w:line="220" w:lineRule="auto"/>
              <w:rPr/>
            </w:pPr>
            <w:r>
              <w:rPr>
                <w:color w:val="231F20"/>
              </w:rPr>
              <w:t>有</w:t>
            </w:r>
          </w:p>
        </w:tc>
        <w:tc>
          <w:tcPr>
            <w:tcW w:w="2226" w:type="dxa"/>
            <w:vAlign w:val="top"/>
          </w:tcPr>
          <w:p>
            <w:pPr>
              <w:pStyle w:val="TableText"/>
              <w:ind w:left="125"/>
              <w:spacing w:before="53" w:line="224" w:lineRule="auto"/>
              <w:rPr/>
            </w:pPr>
            <w:r>
              <w:rPr>
                <w:color w:val="231F20"/>
                <w:spacing w:val="-2"/>
              </w:rPr>
              <w:t>43（82.69）</w:t>
            </w:r>
            <w:r>
              <w:rPr>
                <w:color w:val="231F20"/>
                <w:spacing w:val="32"/>
              </w:rPr>
              <w:t xml:space="preserve">  </w:t>
            </w:r>
            <w:r>
              <w:rPr>
                <w:color w:val="231F20"/>
                <w:spacing w:val="-2"/>
              </w:rPr>
              <w:t>18（52.94）</w:t>
            </w:r>
          </w:p>
        </w:tc>
        <w:tc>
          <w:tcPr>
            <w:tcW w:w="5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4" w:hRule="atLeast"/>
        </w:trPr>
        <w:tc>
          <w:tcPr>
            <w:tcW w:w="1379" w:type="dxa"/>
            <w:vAlign w:val="top"/>
          </w:tcPr>
          <w:p>
            <w:pPr>
              <w:pStyle w:val="TableText"/>
              <w:ind w:left="195"/>
              <w:spacing w:before="52" w:line="220" w:lineRule="auto"/>
              <w:rPr/>
            </w:pPr>
            <w:r>
              <w:rPr>
                <w:color w:val="231F20"/>
              </w:rPr>
              <w:t>无</w:t>
            </w:r>
          </w:p>
        </w:tc>
        <w:tc>
          <w:tcPr>
            <w:tcW w:w="2226" w:type="dxa"/>
            <w:vAlign w:val="top"/>
          </w:tcPr>
          <w:p>
            <w:pPr>
              <w:pStyle w:val="TableText"/>
              <w:ind w:left="206"/>
              <w:spacing w:before="52" w:line="221" w:lineRule="auto"/>
              <w:rPr/>
            </w:pPr>
            <w:r>
              <w:rPr>
                <w:color w:val="231F20"/>
                <w:spacing w:val="-2"/>
              </w:rPr>
              <w:t>9（17.31）</w:t>
            </w:r>
            <w:r>
              <w:rPr>
                <w:color w:val="231F20"/>
                <w:spacing w:val="30"/>
                <w:w w:val="101"/>
              </w:rPr>
              <w:t xml:space="preserve">  </w:t>
            </w:r>
            <w:r>
              <w:rPr>
                <w:color w:val="231F20"/>
                <w:spacing w:val="-2"/>
              </w:rPr>
              <w:t>16（47.06）</w:t>
            </w:r>
          </w:p>
        </w:tc>
        <w:tc>
          <w:tcPr>
            <w:tcW w:w="5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7" w:hRule="atLeast"/>
        </w:trPr>
        <w:tc>
          <w:tcPr>
            <w:tcW w:w="1379" w:type="dxa"/>
            <w:vAlign w:val="top"/>
          </w:tcPr>
          <w:p>
            <w:pPr>
              <w:pStyle w:val="TableText"/>
              <w:ind w:left="50"/>
              <w:spacing w:before="55" w:line="218" w:lineRule="auto"/>
              <w:rPr/>
            </w:pPr>
            <w:r>
              <w:rPr>
                <w:color w:val="231F20"/>
                <w:spacing w:val="-3"/>
              </w:rPr>
              <w:t>回盲部淋巴结增大</w:t>
            </w:r>
          </w:p>
        </w:tc>
        <w:tc>
          <w:tcPr>
            <w:tcW w:w="22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7" w:type="dxa"/>
            <w:vAlign w:val="top"/>
          </w:tcPr>
          <w:p>
            <w:pPr>
              <w:pStyle w:val="TableText"/>
              <w:ind w:left="62"/>
              <w:spacing w:before="55" w:line="221" w:lineRule="auto"/>
              <w:rPr/>
            </w:pPr>
            <w:r>
              <w:rPr>
                <w:color w:val="231F20"/>
                <w:spacing w:val="-3"/>
              </w:rPr>
              <w:t>15.654</w:t>
            </w:r>
          </w:p>
        </w:tc>
        <w:tc>
          <w:tcPr>
            <w:tcW w:w="730" w:type="dxa"/>
            <w:vAlign w:val="top"/>
          </w:tcPr>
          <w:p>
            <w:pPr>
              <w:pStyle w:val="TableText"/>
              <w:ind w:left="79"/>
              <w:spacing w:before="55" w:line="221" w:lineRule="auto"/>
              <w:rPr/>
            </w:pPr>
            <w:r>
              <w:rPr>
                <w:color w:val="231F20"/>
                <w:spacing w:val="5"/>
              </w:rPr>
              <w:t>&lt;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5"/>
              </w:rPr>
              <w:t>0.001</w:t>
            </w:r>
          </w:p>
        </w:tc>
      </w:tr>
      <w:tr>
        <w:trPr>
          <w:trHeight w:val="257" w:hRule="atLeast"/>
        </w:trPr>
        <w:tc>
          <w:tcPr>
            <w:tcW w:w="1379" w:type="dxa"/>
            <w:vAlign w:val="top"/>
          </w:tcPr>
          <w:p>
            <w:pPr>
              <w:pStyle w:val="TableText"/>
              <w:ind w:left="195"/>
              <w:spacing w:before="55" w:line="220" w:lineRule="auto"/>
              <w:rPr/>
            </w:pPr>
            <w:r>
              <w:rPr>
                <w:color w:val="231F20"/>
              </w:rPr>
              <w:t>有</w:t>
            </w:r>
          </w:p>
        </w:tc>
        <w:tc>
          <w:tcPr>
            <w:tcW w:w="2226" w:type="dxa"/>
            <w:vAlign w:val="top"/>
          </w:tcPr>
          <w:p>
            <w:pPr>
              <w:pStyle w:val="TableText"/>
              <w:ind w:left="125"/>
              <w:spacing w:before="55" w:line="221" w:lineRule="auto"/>
              <w:rPr/>
            </w:pPr>
            <w:r>
              <w:rPr>
                <w:color w:val="231F20"/>
                <w:spacing w:val="-2"/>
              </w:rPr>
              <w:t>44（84.62）</w:t>
            </w:r>
            <w:r>
              <w:rPr>
                <w:color w:val="231F20"/>
                <w:spacing w:val="35"/>
              </w:rPr>
              <w:t xml:space="preserve">  </w:t>
            </w:r>
            <w:r>
              <w:rPr>
                <w:color w:val="231F20"/>
                <w:spacing w:val="-2"/>
              </w:rPr>
              <w:t>15（44.12）</w:t>
            </w:r>
          </w:p>
        </w:tc>
        <w:tc>
          <w:tcPr>
            <w:tcW w:w="5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5" w:hRule="atLeast"/>
        </w:trPr>
        <w:tc>
          <w:tcPr>
            <w:tcW w:w="1379" w:type="dxa"/>
            <w:vAlign w:val="top"/>
          </w:tcPr>
          <w:p>
            <w:pPr>
              <w:pStyle w:val="TableText"/>
              <w:ind w:left="195"/>
              <w:spacing w:before="55" w:line="219" w:lineRule="auto"/>
              <w:rPr/>
            </w:pPr>
            <w:r>
              <w:rPr>
                <w:color w:val="231F20"/>
              </w:rPr>
              <w:t>无</w:t>
            </w:r>
          </w:p>
        </w:tc>
        <w:tc>
          <w:tcPr>
            <w:tcW w:w="2226" w:type="dxa"/>
            <w:vAlign w:val="top"/>
          </w:tcPr>
          <w:p>
            <w:pPr>
              <w:pStyle w:val="TableText"/>
              <w:ind w:left="206"/>
              <w:spacing w:before="55" w:line="219" w:lineRule="auto"/>
              <w:rPr/>
            </w:pPr>
            <w:r>
              <w:rPr>
                <w:color w:val="231F20"/>
                <w:spacing w:val="-2"/>
              </w:rPr>
              <w:t>8（15.38）</w:t>
            </w:r>
            <w:r>
              <w:rPr>
                <w:color w:val="231F20"/>
                <w:spacing w:val="30"/>
              </w:rPr>
              <w:t xml:space="preserve">  </w:t>
            </w:r>
            <w:r>
              <w:rPr>
                <w:color w:val="231F20"/>
                <w:spacing w:val="-2"/>
              </w:rPr>
              <w:t>19（55.88）</w:t>
            </w:r>
          </w:p>
        </w:tc>
        <w:tc>
          <w:tcPr>
            <w:tcW w:w="5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4" w:hRule="atLeast"/>
        </w:trPr>
        <w:tc>
          <w:tcPr>
            <w:tcW w:w="1379" w:type="dxa"/>
            <w:vAlign w:val="top"/>
          </w:tcPr>
          <w:p>
            <w:pPr>
              <w:pStyle w:val="TableText"/>
              <w:ind w:left="33"/>
              <w:spacing w:before="56" w:line="216" w:lineRule="auto"/>
              <w:rPr/>
            </w:pPr>
            <w:r>
              <w:rPr>
                <w:color w:val="231F20"/>
                <w:spacing w:val="-2"/>
              </w:rPr>
              <w:t>肠淤张</w:t>
            </w:r>
          </w:p>
        </w:tc>
        <w:tc>
          <w:tcPr>
            <w:tcW w:w="22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7" w:type="dxa"/>
            <w:vAlign w:val="top"/>
          </w:tcPr>
          <w:p>
            <w:pPr>
              <w:pStyle w:val="TableText"/>
              <w:ind w:left="133"/>
              <w:spacing w:before="56" w:line="216" w:lineRule="auto"/>
              <w:rPr/>
            </w:pPr>
            <w:r>
              <w:rPr>
                <w:color w:val="231F20"/>
                <w:spacing w:val="-2"/>
              </w:rPr>
              <w:t>5.680</w:t>
            </w:r>
          </w:p>
        </w:tc>
        <w:tc>
          <w:tcPr>
            <w:tcW w:w="730" w:type="dxa"/>
            <w:vAlign w:val="top"/>
          </w:tcPr>
          <w:p>
            <w:pPr>
              <w:pStyle w:val="TableText"/>
              <w:ind w:left="260"/>
              <w:spacing w:before="56" w:line="216" w:lineRule="auto"/>
              <w:rPr/>
            </w:pPr>
            <w:r>
              <w:rPr>
                <w:color w:val="231F20"/>
                <w:spacing w:val="-2"/>
              </w:rPr>
              <w:t>0.017</w:t>
            </w:r>
          </w:p>
        </w:tc>
      </w:tr>
      <w:tr>
        <w:trPr>
          <w:trHeight w:val="258" w:hRule="atLeast"/>
        </w:trPr>
        <w:tc>
          <w:tcPr>
            <w:tcW w:w="1379" w:type="dxa"/>
            <w:vAlign w:val="top"/>
          </w:tcPr>
          <w:p>
            <w:pPr>
              <w:pStyle w:val="TableText"/>
              <w:ind w:left="195"/>
              <w:spacing w:before="59" w:line="218" w:lineRule="auto"/>
              <w:rPr/>
            </w:pPr>
            <w:r>
              <w:rPr>
                <w:color w:val="231F20"/>
              </w:rPr>
              <w:t>有</w:t>
            </w:r>
          </w:p>
        </w:tc>
        <w:tc>
          <w:tcPr>
            <w:tcW w:w="2226" w:type="dxa"/>
            <w:vAlign w:val="top"/>
          </w:tcPr>
          <w:p>
            <w:pPr>
              <w:pStyle w:val="TableText"/>
              <w:ind w:left="137"/>
              <w:spacing w:before="59" w:line="218" w:lineRule="auto"/>
              <w:rPr/>
            </w:pPr>
            <w:r>
              <w:rPr>
                <w:color w:val="231F20"/>
                <w:spacing w:val="-3"/>
              </w:rPr>
              <w:t>11（21.15）</w:t>
            </w:r>
            <w:r>
              <w:rPr>
                <w:color w:val="231F20"/>
                <w:spacing w:val="21"/>
              </w:rPr>
              <w:t xml:space="preserve">   </w:t>
            </w:r>
            <w:r>
              <w:rPr>
                <w:color w:val="231F20"/>
                <w:spacing w:val="-3"/>
              </w:rPr>
              <w:t>1（2.94）</w:t>
            </w:r>
          </w:p>
        </w:tc>
        <w:tc>
          <w:tcPr>
            <w:tcW w:w="5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3" w:hRule="atLeast"/>
        </w:trPr>
        <w:tc>
          <w:tcPr>
            <w:tcW w:w="137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95"/>
              <w:spacing w:before="58" w:line="220" w:lineRule="auto"/>
              <w:rPr/>
            </w:pPr>
            <w:r>
              <w:rPr>
                <w:color w:val="231F20"/>
              </w:rPr>
              <w:t>无</w:t>
            </w:r>
          </w:p>
        </w:tc>
        <w:tc>
          <w:tcPr>
            <w:tcW w:w="222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25"/>
              <w:spacing w:before="57" w:line="225" w:lineRule="auto"/>
              <w:rPr/>
            </w:pPr>
            <w:r>
              <w:rPr>
                <w:color w:val="231F20"/>
                <w:spacing w:val="-1"/>
              </w:rPr>
              <w:t>41（78.85）</w:t>
            </w:r>
            <w:r>
              <w:rPr>
                <w:color w:val="231F20"/>
                <w:spacing w:val="23"/>
              </w:rPr>
              <w:t xml:space="preserve">  </w:t>
            </w:r>
            <w:r>
              <w:rPr>
                <w:color w:val="231F20"/>
                <w:spacing w:val="-1"/>
              </w:rPr>
              <w:t>33（97.06）</w:t>
            </w:r>
          </w:p>
        </w:tc>
        <w:tc>
          <w:tcPr>
            <w:tcW w:w="597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0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308" w:lineRule="auto"/>
        <w:rPr>
          <w:rFonts w:ascii="Arial"/>
          <w:sz w:val="21"/>
        </w:rPr>
      </w:pPr>
      <w:r/>
    </w:p>
    <w:p>
      <w:pPr>
        <w:ind w:left="7"/>
        <w:spacing w:before="65" w:line="224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3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讨论</w:t>
      </w:r>
    </w:p>
    <w:p>
      <w:pPr>
        <w:pStyle w:val="BodyText"/>
        <w:ind w:left="1" w:right="48" w:firstLine="414"/>
        <w:spacing w:before="81" w:line="291" w:lineRule="auto"/>
        <w:rPr/>
      </w:pPr>
      <w:r>
        <w:rPr>
          <w:color w:val="231F20"/>
          <w:spacing w:val="-2"/>
        </w:rPr>
        <w:t>随着近年来人们生活方式的逐渐转变，</w:t>
      </w:r>
      <w:r>
        <w:rPr>
          <w:rFonts w:ascii="Times New Roman" w:hAnsi="Times New Roman" w:eastAsia="Times New Roman" w:cs="Times New Roman"/>
          <w:color w:val="231F20"/>
          <w:spacing w:val="-2"/>
        </w:rPr>
        <w:t>AA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的发病率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呈逐年攀升趋势</w:t>
      </w:r>
      <w:r>
        <w:rPr>
          <w:color w:val="231F20"/>
          <w:spacing w:val="-14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[5]</w:t>
      </w:r>
      <w:r>
        <w:rPr>
          <w:color w:val="231F20"/>
          <w:spacing w:val="3"/>
        </w:rPr>
        <w:t>。该病主要风险因素涵盖肥胖、饮食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不规律、缺乏运动以及吸烟等，患者一旦发</w:t>
      </w:r>
      <w:r>
        <w:rPr>
          <w:color w:val="231F20"/>
          <w:spacing w:val="4"/>
        </w:rPr>
        <w:t>病，往往病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情进展迅速，早期准确诊断对治疗及预后意义重大</w:t>
      </w:r>
      <w:r>
        <w:rPr>
          <w:color w:val="231F20"/>
          <w:spacing w:val="-14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[6]</w:t>
      </w:r>
      <w:r>
        <w:rPr>
          <w:sz w:val="11"/>
          <w:szCs w:val="11"/>
          <w:color w:val="231F20"/>
          <w:spacing w:val="-28"/>
          <w:position w:val="9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AA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发病早期主要症状涵盖腹痛、腹胀以及腹泻等，缺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乏特异性，易被患者所忽视或被误诊为其他疾病</w:t>
      </w:r>
      <w:r>
        <w:rPr>
          <w:color w:val="231F20"/>
          <w:spacing w:val="-14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[7]</w:t>
      </w:r>
      <w:r>
        <w:rPr>
          <w:color w:val="231F20"/>
          <w:spacing w:val="3"/>
        </w:rPr>
        <w:t>。故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而，寻找一种可靠的诊断手段已成为广大医务工作者亟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待解决的难题</w:t>
      </w:r>
      <w:r>
        <w:rPr>
          <w:color w:val="231F20"/>
          <w:spacing w:val="-25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[8]</w:t>
      </w:r>
      <w:r>
        <w:rPr>
          <w:sz w:val="11"/>
          <w:szCs w:val="11"/>
          <w:color w:val="231F20"/>
          <w:spacing w:val="-27"/>
          <w:position w:val="9"/>
        </w:rPr>
        <w:t xml:space="preserve"> </w:t>
      </w:r>
      <w:r>
        <w:rPr>
          <w:color w:val="231F20"/>
          <w:spacing w:val="2"/>
        </w:rPr>
        <w:t>。既往临床上主要是通过病史与体格检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查等进行诊断，但存在较强的主观性，诊断效能难以满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足医师与患者的需求。超声及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MSCT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是常见的</w:t>
      </w:r>
      <w:r>
        <w:rPr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AA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影像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学诊断手段，前者属于无创检查技术，可实现对阑尾动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态变化的实施观察，但其存在准确性较低的特点，且诊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断结果易受操作者专业水平以及患者体质量指数等因素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影响</w:t>
      </w:r>
      <w:r>
        <w:rPr>
          <w:color w:val="231F20"/>
          <w:spacing w:val="-14"/>
        </w:rPr>
        <w:t xml:space="preserve"> </w:t>
      </w:r>
      <w:r>
        <w:rPr>
          <w:sz w:val="11"/>
          <w:szCs w:val="11"/>
          <w:color w:val="231F20"/>
          <w:spacing w:val="4"/>
          <w:position w:val="9"/>
        </w:rPr>
        <w:t>[9]</w:t>
      </w:r>
      <w:r>
        <w:rPr>
          <w:sz w:val="11"/>
          <w:szCs w:val="11"/>
          <w:color w:val="231F20"/>
          <w:spacing w:val="-27"/>
          <w:position w:val="9"/>
        </w:rPr>
        <w:t xml:space="preserve"> </w:t>
      </w:r>
      <w:r>
        <w:rPr>
          <w:color w:val="231F20"/>
          <w:spacing w:val="4"/>
        </w:rPr>
        <w:t>。</w:t>
      </w:r>
      <w:r>
        <w:rPr>
          <w:rFonts w:ascii="Times New Roman" w:hAnsi="Times New Roman" w:eastAsia="Times New Roman" w:cs="Times New Roman"/>
          <w:color w:val="231F20"/>
        </w:rPr>
        <w:t>MSCT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是基于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发展而来的一种影像学诊断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技术，具有高分辨率以及多层次扫描等优势，可实现对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阑尾形态、部位及其与周围组织解剖关系的良好显示，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同时可为医师提供阑尾周围脂肪间隙、筋膜以及</w:t>
      </w:r>
      <w:r>
        <w:rPr>
          <w:color w:val="231F20"/>
          <w:spacing w:val="4"/>
        </w:rPr>
        <w:t>淋巴结</w:t>
      </w:r>
    </w:p>
    <w:p>
      <w:pPr>
        <w:spacing w:line="291" w:lineRule="auto"/>
        <w:sectPr>
          <w:type w:val="continuous"/>
          <w:pgSz w:w="12246" w:h="16498"/>
          <w:pgMar w:top="1207" w:right="970" w:bottom="868" w:left="424" w:header="827" w:footer="526" w:gutter="0"/>
          <w:cols w:equalWidth="0" w:num="2">
            <w:col w:w="5769" w:space="100"/>
            <w:col w:w="4982" w:space="0"/>
          </w:cols>
        </w:sectPr>
        <w:rPr/>
      </w:pPr>
    </w:p>
    <w:p>
      <w:pPr>
        <w:spacing w:line="139" w:lineRule="exact"/>
        <w:rPr/>
      </w:pPr>
      <w:r/>
    </w:p>
    <w:p>
      <w:pPr>
        <w:spacing w:line="139" w:lineRule="exact"/>
        <w:sectPr>
          <w:headerReference w:type="default" r:id="rId5"/>
          <w:footerReference w:type="default" r:id="rId6"/>
          <w:pgSz w:w="12246" w:h="16498"/>
          <w:pgMar w:top="1208" w:right="1017" w:bottom="868" w:left="424" w:header="826" w:footer="526" w:gutter="0"/>
          <w:cols w:equalWidth="0" w:num="1">
            <w:col w:w="10804" w:space="0"/>
          </w:cols>
        </w:sectPr>
        <w:rPr/>
      </w:pPr>
    </w:p>
    <w:p>
      <w:pPr>
        <w:pStyle w:val="BodyText"/>
        <w:ind w:left="605"/>
        <w:spacing w:before="44" w:line="263" w:lineRule="exact"/>
        <w:rPr/>
      </w:pPr>
      <w:r>
        <w:rPr>
          <w:color w:val="231F20"/>
          <w:spacing w:val="-2"/>
          <w:position w:val="1"/>
        </w:rPr>
        <w:t>等征象，有利于疾病的诊断</w:t>
      </w:r>
      <w:r>
        <w:rPr>
          <w:color w:val="231F20"/>
          <w:spacing w:val="-14"/>
          <w:position w:val="1"/>
        </w:rPr>
        <w:t xml:space="preserve"> </w:t>
      </w:r>
      <w:r>
        <w:rPr>
          <w:sz w:val="11"/>
          <w:szCs w:val="11"/>
          <w:color w:val="231F20"/>
          <w:spacing w:val="-2"/>
          <w:position w:val="9"/>
        </w:rPr>
        <w:t>[10]</w:t>
      </w:r>
      <w:r>
        <w:rPr>
          <w:color w:val="231F20"/>
          <w:spacing w:val="-2"/>
          <w:position w:val="1"/>
        </w:rPr>
        <w:t>。</w:t>
      </w:r>
    </w:p>
    <w:p>
      <w:pPr>
        <w:pStyle w:val="BodyText"/>
        <w:ind w:left="598" w:right="279" w:firstLine="403"/>
        <w:spacing w:before="67" w:line="295" w:lineRule="auto"/>
        <w:rPr/>
      </w:pPr>
      <w:r>
        <w:rPr>
          <w:color w:val="231F20"/>
          <w:spacing w:val="15"/>
        </w:rPr>
        <w:t>本文结果显示，将腹腔镜手术病理结果视作金标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准，</w:t>
      </w:r>
      <w:r>
        <w:rPr>
          <w:rFonts w:ascii="Times New Roman" w:hAnsi="Times New Roman" w:eastAsia="Times New Roman" w:cs="Times New Roman"/>
          <w:color w:val="231F20"/>
        </w:rPr>
        <w:t>MSCT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诊断</w:t>
      </w:r>
      <w:r>
        <w:rPr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AA</w:t>
      </w:r>
      <w:r>
        <w:rPr>
          <w:rFonts w:ascii="Times New Roman" w:hAnsi="Times New Roman" w:eastAsia="Times New Roman" w:cs="Times New Roman"/>
          <w:color w:val="231F20"/>
          <w:spacing w:val="26"/>
        </w:rPr>
        <w:t xml:space="preserve"> </w:t>
      </w:r>
      <w:r>
        <w:rPr>
          <w:color w:val="231F20"/>
          <w:spacing w:val="5"/>
        </w:rPr>
        <w:t>的灵敏度、特异度及准确率分别为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90.38%、88.24%、89.53%，均高于超声诊断的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2"/>
        </w:rPr>
        <w:t>5</w:t>
      </w:r>
      <w:r>
        <w:rPr>
          <w:color w:val="231F20"/>
          <w:spacing w:val="1"/>
        </w:rPr>
        <w:t>9.62%、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44.12%、53.49%，差异有统计学意义（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2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31"/>
        </w:rPr>
        <w:t xml:space="preserve"> </w:t>
      </w:r>
      <w:r>
        <w:rPr>
          <w:color w:val="231F20"/>
          <w:spacing w:val="2"/>
        </w:rPr>
        <w:t>＜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"/>
        </w:rPr>
        <w:t>0.05）。这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与张雪辉等</w:t>
      </w:r>
      <w:r>
        <w:rPr>
          <w:color w:val="231F20"/>
          <w:spacing w:val="-12"/>
        </w:rPr>
        <w:t xml:space="preserve"> </w:t>
      </w:r>
      <w:r>
        <w:rPr>
          <w:sz w:val="11"/>
          <w:szCs w:val="11"/>
          <w:color w:val="231F20"/>
          <w:spacing w:val="4"/>
          <w:position w:val="9"/>
        </w:rPr>
        <w:t>[11]</w:t>
      </w:r>
      <w:r>
        <w:rPr>
          <w:sz w:val="11"/>
          <w:szCs w:val="11"/>
          <w:color w:val="231F20"/>
          <w:spacing w:val="21"/>
          <w:position w:val="9"/>
        </w:rPr>
        <w:t xml:space="preserve"> </w:t>
      </w:r>
      <w:r>
        <w:rPr>
          <w:color w:val="231F20"/>
          <w:spacing w:val="4"/>
        </w:rPr>
        <w:t>的研究报道相吻合，提示了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MSCT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诊断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AA</w:t>
      </w:r>
      <w:r>
        <w:rPr>
          <w:rFonts w:ascii="Times New Roman" w:hAnsi="Times New Roman" w:eastAsia="Times New Roman" w:cs="Times New Roman"/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的效能较佳。考虑原因，</w:t>
      </w:r>
      <w:r>
        <w:rPr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MSCT </w:t>
      </w:r>
      <w:r>
        <w:rPr>
          <w:color w:val="231F20"/>
          <w:spacing w:val="-7"/>
        </w:rPr>
        <w:t>可借助多排宽探测器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结构与球管，实现一次性获取不同层面的多种图像，且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具有良好的密度分辨率，有利于医师对病情进行迅速准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确判断。与此同时，</w:t>
      </w:r>
      <w:r>
        <w:rPr>
          <w:rFonts w:ascii="Times New Roman" w:hAnsi="Times New Roman" w:eastAsia="Times New Roman" w:cs="Times New Roman"/>
          <w:color w:val="231F20"/>
        </w:rPr>
        <w:t>MSCT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扫描速度较快、效率较高，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一次扫描过程中可实现多个方向的调整，进而获得</w:t>
      </w:r>
      <w:r>
        <w:rPr>
          <w:color w:val="231F20"/>
          <w:spacing w:val="4"/>
        </w:rPr>
        <w:t>血管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内的所有切面图像，最大限度上减少呼吸伪影的发生，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加之重建技术会对病灶组织及其周围解剖结构实施细致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观察，从而有助于术者明确更加细致且全面的内部图像。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另有研究表明</w:t>
      </w:r>
      <w:r>
        <w:rPr>
          <w:color w:val="231F20"/>
          <w:spacing w:val="-9"/>
        </w:rPr>
        <w:t xml:space="preserve"> </w:t>
      </w:r>
      <w:r>
        <w:rPr>
          <w:sz w:val="11"/>
          <w:szCs w:val="11"/>
          <w:color w:val="231F20"/>
          <w:position w:val="9"/>
        </w:rPr>
        <w:t>[12]</w:t>
      </w:r>
      <w:r>
        <w:rPr>
          <w:sz w:val="11"/>
          <w:szCs w:val="11"/>
          <w:color w:val="231F20"/>
          <w:spacing w:val="-31"/>
          <w:position w:val="9"/>
        </w:rPr>
        <w:t xml:space="preserve"> </w:t>
      </w:r>
      <w:r>
        <w:rPr>
          <w:color w:val="231F20"/>
        </w:rPr>
        <w:t>，</w:t>
      </w:r>
      <w:r>
        <w:rPr>
          <w:rFonts w:ascii="Times New Roman" w:hAnsi="Times New Roman" w:eastAsia="Times New Roman" w:cs="Times New Roman"/>
          <w:color w:val="231F20"/>
        </w:rPr>
        <w:t>MSCT </w:t>
      </w:r>
      <w:r>
        <w:rPr>
          <w:color w:val="231F20"/>
        </w:rPr>
        <w:t>扫描结果不会遭受脂肪与肠道 </w:t>
      </w:r>
      <w:r>
        <w:rPr>
          <w:color w:val="231F20"/>
          <w:spacing w:val="5"/>
        </w:rPr>
        <w:t>气体等因素的影响，从而使得体质量指数较大或存在腹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腔肠管积气患者仍可获得清晰的影像图像，进而为其疾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病的诊断提供可靠依据。此外，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MSCT </w:t>
      </w:r>
      <w:r>
        <w:rPr>
          <w:color w:val="231F20"/>
          <w:spacing w:val="-5"/>
        </w:rPr>
        <w:t>对单</w:t>
      </w:r>
      <w:r>
        <w:rPr>
          <w:color w:val="231F20"/>
          <w:spacing w:val="-6"/>
        </w:rPr>
        <w:t>纯性阑尾炎、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化脓性阑尾炎、穿孔坏疽性阑尾炎的检出率高于超声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i/>
          <w:iCs/>
          <w:color w:val="231F20"/>
          <w:spacing w:val="2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32"/>
        </w:rPr>
        <w:t xml:space="preserve"> </w:t>
      </w:r>
      <w:r>
        <w:rPr>
          <w:color w:val="231F20"/>
          <w:spacing w:val="2"/>
        </w:rPr>
        <w:t>＜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"/>
        </w:rPr>
        <w:t>0.05）。这与冶文千等 </w:t>
      </w:r>
      <w:r>
        <w:rPr>
          <w:sz w:val="11"/>
          <w:szCs w:val="11"/>
          <w:color w:val="231F20"/>
          <w:spacing w:val="2"/>
          <w:position w:val="9"/>
        </w:rPr>
        <w:t>[13]</w:t>
      </w:r>
      <w:r>
        <w:rPr>
          <w:sz w:val="11"/>
          <w:szCs w:val="11"/>
          <w:color w:val="231F20"/>
          <w:spacing w:val="23"/>
          <w:position w:val="9"/>
        </w:rPr>
        <w:t xml:space="preserve"> </w:t>
      </w:r>
      <w:r>
        <w:rPr>
          <w:color w:val="231F20"/>
          <w:spacing w:val="2"/>
        </w:rPr>
        <w:t>的研究报道相符，反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映了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MSCT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可提高对不同类型阑尾炎的检出率。分析原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因，</w:t>
      </w:r>
      <w:r>
        <w:rPr>
          <w:rFonts w:ascii="Times New Roman" w:hAnsi="Times New Roman" w:eastAsia="Times New Roman" w:cs="Times New Roman"/>
          <w:color w:val="231F20"/>
        </w:rPr>
        <w:t>MSCT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技术同时具备立体成像与数据采集技术的优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点，可为医师提供全面、立体的阑尾图像，并以旋转式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扫描的方式获取多个不同层面影像数据；随后由计算机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对上述数据实施处理，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3"/>
        </w:rPr>
        <w:t>自动生成图像；最后有助于医师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仔细观察到阑尾形态、大小及部位，为疾病的判断提供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"/>
        </w:rPr>
        <w:t>可靠依据</w:t>
      </w:r>
      <w:r>
        <w:rPr>
          <w:color w:val="231F20"/>
          <w:spacing w:val="-18"/>
        </w:rPr>
        <w:t xml:space="preserve"> </w:t>
      </w:r>
      <w:r>
        <w:rPr>
          <w:sz w:val="11"/>
          <w:szCs w:val="11"/>
          <w:color w:val="231F20"/>
          <w:spacing w:val="1"/>
          <w:position w:val="8"/>
        </w:rPr>
        <w:t>[14]</w:t>
      </w:r>
      <w:r>
        <w:rPr>
          <w:color w:val="231F20"/>
          <w:spacing w:val="1"/>
        </w:rPr>
        <w:t>。另外，</w:t>
      </w:r>
      <w:r>
        <w:rPr>
          <w:rFonts w:ascii="Times New Roman" w:hAnsi="Times New Roman" w:eastAsia="Times New Roman" w:cs="Times New Roman"/>
          <w:color w:val="231F20"/>
        </w:rPr>
        <w:t>AA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color w:val="231F20"/>
          <w:spacing w:val="1"/>
        </w:rPr>
        <w:t>患者各项</w:t>
      </w:r>
      <w:r>
        <w:rPr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MSCT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影像学特征与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非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AA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患者比较，差异有统计学意义（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2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＜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2"/>
        </w:rPr>
        <w:t>0.05）。这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充分说明了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AA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color w:val="231F20"/>
          <w:spacing w:val="3"/>
        </w:rPr>
        <w:t>患者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MSCT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影像学特征存在明显异常改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变。究其原因，</w:t>
      </w:r>
      <w:r>
        <w:rPr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AA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的发生往往与阑尾阻塞有关，</w:t>
      </w:r>
      <w:r>
        <w:rPr>
          <w:color w:val="231F20"/>
          <w:spacing w:val="-8"/>
        </w:rPr>
        <w:t>从而可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能导致阑尾腔内所分泌的黏液难以排出，引发腔内压力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的异常增高，进一步出现感染，最终表现为</w:t>
      </w:r>
      <w:r>
        <w:rPr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MSCT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阑尾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增粗与管壁厚度增加等影像学特征。与此同时，</w:t>
      </w:r>
      <w:r>
        <w:rPr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AA </w:t>
      </w:r>
      <w:r>
        <w:rPr>
          <w:color w:val="231F20"/>
          <w:spacing w:val="-6"/>
        </w:rPr>
        <w:t>病灶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可能累及黏膜层与浆膜层，从而出现脂肪间隙渗出改变。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5"/>
        </w:rPr>
        <w:t>粪石阻塞阑尾腔属于阑尾炎发生的主要病因，因此阑尾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粪石属于阑尾炎主要的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MSCT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征象之一。肠淤张往往反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映了肠道静脉中存在瘀血、肠胀气或肠黏液潴留，可作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  <w:position w:val="-1"/>
        </w:rPr>
        <w:t>为阑尾炎的重要</w:t>
      </w:r>
      <w:r>
        <w:rPr>
          <w:color w:val="231F20"/>
          <w:spacing w:val="-44"/>
          <w:position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position w:val="-1"/>
        </w:rPr>
        <w:t>MSCT </w:t>
      </w:r>
      <w:r>
        <w:rPr>
          <w:color w:val="231F20"/>
          <w:spacing w:val="-1"/>
          <w:position w:val="-1"/>
        </w:rPr>
        <w:t>征象</w:t>
      </w:r>
      <w:r>
        <w:rPr>
          <w:color w:val="231F20"/>
          <w:spacing w:val="-27"/>
          <w:position w:val="-1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[15]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left="604" w:right="309" w:firstLine="399"/>
        <w:spacing w:line="296" w:lineRule="auto"/>
        <w:rPr/>
      </w:pPr>
      <w:r>
        <w:rPr>
          <w:color w:val="231F20"/>
          <w:spacing w:val="-3"/>
        </w:rPr>
        <w:t>综上所述，</w:t>
      </w:r>
      <w:r>
        <w:rPr>
          <w:rFonts w:ascii="Times New Roman" w:hAnsi="Times New Roman" w:eastAsia="Times New Roman" w:cs="Times New Roman"/>
          <w:color w:val="231F20"/>
          <w:spacing w:val="-3"/>
        </w:rPr>
        <w:t>MSCT </w:t>
      </w:r>
      <w:r>
        <w:rPr>
          <w:color w:val="231F20"/>
          <w:spacing w:val="-3"/>
        </w:rPr>
        <w:t>在</w:t>
      </w:r>
      <w:r>
        <w:rPr>
          <w:color w:val="231F20"/>
          <w:spacing w:val="-5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AA </w:t>
      </w:r>
      <w:r>
        <w:rPr>
          <w:color w:val="231F20"/>
          <w:spacing w:val="-3"/>
        </w:rPr>
        <w:t>诊断中具有较高</w:t>
      </w:r>
      <w:r>
        <w:rPr>
          <w:color w:val="231F20"/>
          <w:spacing w:val="-4"/>
        </w:rPr>
        <w:t>的灵敏度、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特异度及准确率，可为后续治疗提供可靠依据。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594"/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【参考文献】</w:t>
      </w:r>
    </w:p>
    <w:p>
      <w:pPr>
        <w:ind w:left="940" w:right="265" w:hanging="304"/>
        <w:spacing w:before="81" w:line="29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7"/>
        </w:rPr>
        <w:t>[1]</w:t>
      </w:r>
      <w:r>
        <w:rPr>
          <w:rFonts w:ascii="KaiTi" w:hAnsi="KaiTi" w:eastAsia="KaiTi" w:cs="KaiTi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BARAC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AGRIDAG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OZKURT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Retrospective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evaluation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ileocolic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artery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vein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diameters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according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body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mass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index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09" w:right="1" w:hanging="4"/>
        <w:spacing w:before="90" w:line="377" w:lineRule="auto"/>
        <w:rPr>
          <w:rFonts w:ascii="KaiTi" w:hAnsi="KaiTi" w:eastAsia="KaiTi" w:cs="KaiTi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diagnosis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acute appendicitis on multislice computerized tomography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Sisli Etfal Hastan Tip Bul, 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2021,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55(1):</w:t>
      </w:r>
      <w:r>
        <w:rPr>
          <w:rFonts w:ascii="KaiTi" w:hAnsi="KaiTi" w:eastAsia="KaiTi" w:cs="KaiTi"/>
          <w:sz w:val="16"/>
          <w:szCs w:val="16"/>
          <w:color w:val="231F20"/>
          <w:spacing w:val="2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18-22.</w:t>
      </w:r>
    </w:p>
    <w:p>
      <w:pPr>
        <w:ind w:left="302" w:right="3" w:hanging="302"/>
        <w:spacing w:before="1" w:line="32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13"/>
        </w:rPr>
        <w:t>[2]</w:t>
      </w:r>
      <w:r>
        <w:rPr>
          <w:rFonts w:ascii="KaiTi" w:hAnsi="KaiTi" w:eastAsia="KaiTi" w:cs="KaiTi"/>
          <w:sz w:val="16"/>
          <w:szCs w:val="16"/>
          <w:color w:val="231F20"/>
          <w:spacing w:val="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3"/>
        </w:rPr>
        <w:t>李旭阳</w:t>
      </w:r>
      <w:r>
        <w:rPr>
          <w:rFonts w:ascii="KaiTi" w:hAnsi="KaiTi" w:eastAsia="KaiTi" w:cs="KaiTi"/>
          <w:sz w:val="16"/>
          <w:szCs w:val="16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3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3"/>
        </w:rPr>
        <w:t>多层螺旋</w:t>
      </w:r>
      <w:r>
        <w:rPr>
          <w:rFonts w:ascii="KaiTi" w:hAnsi="KaiTi" w:eastAsia="KaiTi" w:cs="KaiTi"/>
          <w:sz w:val="16"/>
          <w:szCs w:val="16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3"/>
        </w:rPr>
        <w:t>平扫联合重建与增</w:t>
      </w:r>
      <w:r>
        <w:rPr>
          <w:rFonts w:ascii="KaiTi" w:hAnsi="KaiTi" w:eastAsia="KaiTi" w:cs="KaiTi"/>
          <w:sz w:val="16"/>
          <w:szCs w:val="16"/>
          <w:color w:val="231F20"/>
          <w:spacing w:val="12"/>
        </w:rPr>
        <w:t>强技术诊断急性阑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7"/>
        </w:rPr>
        <w:t>尾炎及其并发症的临床价值</w:t>
      </w:r>
      <w:r>
        <w:rPr>
          <w:rFonts w:ascii="KaiTi" w:hAnsi="KaiTi" w:eastAsia="KaiTi" w:cs="KaiTi"/>
          <w:sz w:val="16"/>
          <w:szCs w:val="16"/>
          <w:color w:val="231F20"/>
          <w:spacing w:val="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7"/>
        </w:rPr>
        <w:t>[</w:t>
      </w:r>
      <w:r>
        <w:rPr>
          <w:rFonts w:ascii="KaiTi" w:hAnsi="KaiTi" w:eastAsia="KaiTi" w:cs="KaiTi"/>
          <w:sz w:val="16"/>
          <w:szCs w:val="16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7"/>
        </w:rPr>
        <w:t>J</w:t>
      </w:r>
      <w:r>
        <w:rPr>
          <w:rFonts w:ascii="KaiTi" w:hAnsi="KaiTi" w:eastAsia="KaiTi" w:cs="KaiTi"/>
          <w:sz w:val="16"/>
          <w:szCs w:val="16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7"/>
        </w:rPr>
        <w:t>].</w:t>
      </w:r>
      <w:r>
        <w:rPr>
          <w:rFonts w:ascii="KaiTi" w:hAnsi="KaiTi" w:eastAsia="KaiTi" w:cs="KaiTi"/>
          <w:sz w:val="16"/>
          <w:szCs w:val="16"/>
          <w:color w:val="231F20"/>
          <w:spacing w:val="-1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7"/>
        </w:rPr>
        <w:t>实用医学影像杂志，2021，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22(1):79-81.</w:t>
      </w:r>
    </w:p>
    <w:p>
      <w:pPr>
        <w:ind w:left="302" w:right="2" w:hanging="302"/>
        <w:spacing w:before="125" w:line="29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[3]</w:t>
      </w:r>
      <w:r>
        <w:rPr>
          <w:rFonts w:ascii="KaiTi" w:hAnsi="KaiTi" w:eastAsia="KaiTi" w:cs="KaiTi"/>
          <w:sz w:val="16"/>
          <w:szCs w:val="16"/>
          <w:color w:val="231F20"/>
          <w:spacing w:val="4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陈伟纲，韦巧萍，尤宇晴</w:t>
      </w:r>
      <w:r>
        <w:rPr>
          <w:rFonts w:ascii="KaiTi" w:hAnsi="KaiTi" w:eastAsia="KaiTi" w:cs="KaiTi"/>
          <w:sz w:val="16"/>
          <w:szCs w:val="16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多层螺旋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CT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与腹部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超声在小儿急性阑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尾炎临床诊断中的应用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中国基层医药，2022，29(4):517-520.</w:t>
      </w:r>
    </w:p>
    <w:p>
      <w:pPr>
        <w:ind w:left="313" w:right="2" w:hanging="314"/>
        <w:spacing w:before="136" w:line="32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1"/>
        </w:rPr>
        <w:t>[4]</w:t>
      </w:r>
      <w:r>
        <w:rPr>
          <w:rFonts w:ascii="KaiTi" w:hAnsi="KaiTi" w:eastAsia="KaiTi" w:cs="KaiTi"/>
          <w:sz w:val="16"/>
          <w:szCs w:val="16"/>
          <w:color w:val="231F20"/>
          <w:spacing w:val="5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葛明，涂丹丹，杨湃，等</w:t>
      </w:r>
      <w:r>
        <w:rPr>
          <w:rFonts w:ascii="KaiTi" w:hAnsi="KaiTi" w:eastAsia="KaiTi" w:cs="KaiTi"/>
          <w:sz w:val="16"/>
          <w:szCs w:val="16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多层螺旋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平扫阑尾腔内气体及小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气泡征在诊断急性阑尾炎中的价值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实用放射学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杂志，2021，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37(1):80-83.</w:t>
      </w:r>
    </w:p>
    <w:p>
      <w:pPr>
        <w:ind w:left="307" w:right="2" w:hanging="308"/>
        <w:spacing w:before="125" w:line="32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12"/>
        </w:rPr>
        <w:t>[5]</w:t>
      </w:r>
      <w:r>
        <w:rPr>
          <w:rFonts w:ascii="KaiTi" w:hAnsi="KaiTi" w:eastAsia="KaiTi" w:cs="KaiTi"/>
          <w:sz w:val="16"/>
          <w:szCs w:val="16"/>
          <w:color w:val="231F20"/>
          <w:spacing w:val="4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2"/>
        </w:rPr>
        <w:t>臧文远，王炬玮，张晶石，等</w:t>
      </w:r>
      <w:r>
        <w:rPr>
          <w:rFonts w:ascii="KaiTi" w:hAnsi="KaiTi" w:eastAsia="KaiTi" w:cs="KaiTi"/>
          <w:sz w:val="16"/>
          <w:szCs w:val="16"/>
          <w:color w:val="231F20"/>
          <w:spacing w:val="-1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2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1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2"/>
        </w:rPr>
        <w:t>多层螺旋</w:t>
      </w:r>
      <w:r>
        <w:rPr>
          <w:rFonts w:ascii="KaiTi" w:hAnsi="KaiTi" w:eastAsia="KaiTi" w:cs="KaiTi"/>
          <w:sz w:val="16"/>
          <w:szCs w:val="16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2"/>
        </w:rPr>
        <w:t>平扫及重建技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7"/>
        </w:rPr>
        <w:t>术在急性阑尾炎诊断中的应用</w:t>
      </w:r>
      <w:r>
        <w:rPr>
          <w:rFonts w:ascii="KaiTi" w:hAnsi="KaiTi" w:eastAsia="KaiTi" w:cs="KaiTi"/>
          <w:sz w:val="16"/>
          <w:szCs w:val="16"/>
          <w:color w:val="231F20"/>
          <w:spacing w:val="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7"/>
        </w:rPr>
        <w:t>[</w:t>
      </w:r>
      <w:r>
        <w:rPr>
          <w:rFonts w:ascii="KaiTi" w:hAnsi="KaiTi" w:eastAsia="KaiTi" w:cs="KaiTi"/>
          <w:sz w:val="16"/>
          <w:szCs w:val="16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7"/>
        </w:rPr>
        <w:t>J</w:t>
      </w:r>
      <w:r>
        <w:rPr>
          <w:rFonts w:ascii="KaiTi" w:hAnsi="KaiTi" w:eastAsia="KaiTi" w:cs="KaiTi"/>
          <w:sz w:val="16"/>
          <w:szCs w:val="16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7"/>
        </w:rPr>
        <w:t>].</w:t>
      </w:r>
      <w:r>
        <w:rPr>
          <w:rFonts w:ascii="KaiTi" w:hAnsi="KaiTi" w:eastAsia="KaiTi" w:cs="KaiTi"/>
          <w:sz w:val="16"/>
          <w:szCs w:val="16"/>
          <w:color w:val="231F20"/>
          <w:spacing w:val="-1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7"/>
        </w:rPr>
        <w:t>中国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实验诊断学，2020，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24(4):605-606.</w:t>
      </w:r>
    </w:p>
    <w:p>
      <w:pPr>
        <w:ind w:left="302" w:right="2" w:hanging="302"/>
        <w:spacing w:before="126" w:line="32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"/>
        </w:rPr>
        <w:t>[6]</w:t>
      </w:r>
      <w:r>
        <w:rPr>
          <w:rFonts w:ascii="KaiTi" w:hAnsi="KaiTi" w:eastAsia="KaiTi" w:cs="KaiTi"/>
          <w:sz w:val="16"/>
          <w:szCs w:val="16"/>
          <w:color w:val="231F20"/>
          <w:spacing w:val="5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孙中洋，周慧慧，金万庆，等</w:t>
      </w:r>
      <w:r>
        <w:rPr>
          <w:rFonts w:ascii="KaiTi" w:hAnsi="KaiTi" w:eastAsia="KaiTi" w:cs="KaiTi"/>
          <w:sz w:val="16"/>
          <w:szCs w:val="16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低剂量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MSCT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多平面重建在早期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诊断儿童急性阑尾炎中的应用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理论与应用研究，2021，</w:t>
      </w:r>
      <w:r>
        <w:rPr>
          <w:rFonts w:ascii="KaiTi" w:hAnsi="KaiTi" w:eastAsia="KaiTi" w:cs="KaiTi"/>
          <w:sz w:val="16"/>
          <w:szCs w:val="16"/>
          <w:color w:val="231F20"/>
          <w:spacing w:val="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30(5):637-643.</w:t>
      </w:r>
    </w:p>
    <w:p>
      <w:pPr>
        <w:ind w:left="301" w:hanging="301"/>
        <w:spacing w:before="124" w:line="361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"/>
        </w:rPr>
        <w:t>[7]</w:t>
      </w:r>
      <w:r>
        <w:rPr>
          <w:rFonts w:ascii="KaiTi" w:hAnsi="KaiTi" w:eastAsia="KaiTi" w:cs="KaiTi"/>
          <w:sz w:val="16"/>
          <w:szCs w:val="16"/>
          <w:color w:val="231F20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SHAHUL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HAMEED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SHAHUL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HANEED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RAFI AHAMED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WBC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count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vs.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CRP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level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laboratory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markers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USG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abdomen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imaging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modalit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ies: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retrospective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unite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Arab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emirates 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deter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mine which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are the better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diagnostic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tools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appendicitis [J]. Cureus, 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2023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15(10):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47454.</w:t>
      </w:r>
    </w:p>
    <w:p>
      <w:pPr>
        <w:ind w:left="313" w:right="3" w:hanging="314"/>
        <w:spacing w:before="141" w:line="316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8"/>
        </w:rPr>
        <w:t>[8]</w:t>
      </w:r>
      <w:r>
        <w:rPr>
          <w:rFonts w:ascii="KaiTi" w:hAnsi="KaiTi" w:eastAsia="KaiTi" w:cs="KaiTi"/>
          <w:sz w:val="16"/>
          <w:szCs w:val="16"/>
          <w:color w:val="231F20"/>
          <w:spacing w:val="50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>周柯均，谢梦忆，刘瑜，等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MSCT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>在儿童急性阑尾炎术前诊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断中的应用及影像特点分析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中国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和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MRI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杂志，2021，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19(5):106-108，150.</w:t>
      </w:r>
    </w:p>
    <w:p>
      <w:pPr>
        <w:ind w:left="300" w:right="2" w:hanging="300"/>
        <w:spacing w:before="136" w:line="29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[9]</w:t>
      </w:r>
      <w:r>
        <w:rPr>
          <w:rFonts w:ascii="KaiTi" w:hAnsi="KaiTi" w:eastAsia="KaiTi" w:cs="KaiTi"/>
          <w:sz w:val="16"/>
          <w:szCs w:val="16"/>
          <w:color w:val="231F20"/>
          <w:spacing w:val="43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巫寅生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多层螺旋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CT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与腹部超声用于急性阑尾炎的诊断效能对比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研究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黑龙江医药，2023，36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(6):1425-1427.</w:t>
      </w:r>
    </w:p>
    <w:p>
      <w:pPr>
        <w:ind w:left="362" w:right="3" w:hanging="363"/>
        <w:spacing w:before="136" w:line="32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10"/>
        </w:rPr>
        <w:t>[10]</w:t>
      </w:r>
      <w:r>
        <w:rPr>
          <w:rFonts w:ascii="KaiTi" w:hAnsi="KaiTi" w:eastAsia="KaiTi" w:cs="KaiTi"/>
          <w:sz w:val="16"/>
          <w:szCs w:val="16"/>
          <w:color w:val="231F20"/>
          <w:spacing w:val="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>刘中刚</w:t>
      </w:r>
      <w:r>
        <w:rPr>
          <w:rFonts w:ascii="KaiTi" w:hAnsi="KaiTi" w:eastAsia="KaiTi" w:cs="KaiTi"/>
          <w:sz w:val="16"/>
          <w:szCs w:val="16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>多层螺旋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>平扫联合重建技术诊断急性阑尾炎及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>其并发症的应用价值研究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>影像研究</w:t>
      </w:r>
      <w:r>
        <w:rPr>
          <w:rFonts w:ascii="KaiTi" w:hAnsi="KaiTi" w:eastAsia="KaiTi" w:cs="KaiTi"/>
          <w:sz w:val="16"/>
          <w:szCs w:val="16"/>
          <w:color w:val="231F20"/>
          <w:spacing w:val="7"/>
        </w:rPr>
        <w:t>与医学应用，2022，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6(20):50-52.</w:t>
      </w:r>
    </w:p>
    <w:p>
      <w:pPr>
        <w:ind w:left="357" w:right="2" w:hanging="358"/>
        <w:spacing w:before="123" w:line="321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3"/>
        </w:rPr>
        <w:t>[11]</w:t>
      </w:r>
      <w:r>
        <w:rPr>
          <w:rFonts w:ascii="KaiTi" w:hAnsi="KaiTi" w:eastAsia="KaiTi" w:cs="KaiTi"/>
          <w:sz w:val="16"/>
          <w:szCs w:val="16"/>
          <w:color w:val="231F20"/>
          <w:spacing w:val="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张雪辉，韩春蕾，王钦习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急性阑尾炎患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者临床诊断中多层螺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旋</w:t>
      </w:r>
      <w:r>
        <w:rPr>
          <w:rFonts w:ascii="KaiTi" w:hAnsi="KaiTi" w:eastAsia="KaiTi" w:cs="KaiTi"/>
          <w:sz w:val="16"/>
          <w:szCs w:val="16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的应用及其准确性研究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中国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CT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和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MRI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杂志，2021，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19(10):163-166.</w:t>
      </w:r>
    </w:p>
    <w:p>
      <w:pPr>
        <w:ind w:left="372" w:right="2" w:hanging="373"/>
        <w:spacing w:before="125" w:line="316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[12]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廖文旺</w:t>
      </w:r>
      <w:r>
        <w:rPr>
          <w:rFonts w:ascii="KaiTi" w:hAnsi="KaiTi" w:eastAsia="KaiTi" w:cs="KaiTi"/>
          <w:sz w:val="16"/>
          <w:szCs w:val="16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多层螺旋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CT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各向同性冠状位重组图像在成人不典型急性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阑尾炎诊断及分型中的应用价值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影像技术，202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1，33(6):8-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>11，22.</w:t>
      </w:r>
    </w:p>
    <w:p>
      <w:pPr>
        <w:ind w:left="372" w:right="2" w:hanging="373"/>
        <w:spacing w:before="136" w:line="316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[13]</w:t>
      </w:r>
      <w:r>
        <w:rPr>
          <w:rFonts w:ascii="KaiTi" w:hAnsi="KaiTi" w:eastAsia="KaiTi" w:cs="KaiTi"/>
          <w:sz w:val="16"/>
          <w:szCs w:val="16"/>
          <w:color w:val="231F20"/>
          <w:spacing w:val="4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冶文千，周鹏园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多层螺旋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CT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低剂量扫描技术在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83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例儿童急性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阑尾炎中的诊断价值分析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中国现代医生，2021，59(25):114-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>116，120.</w:t>
      </w:r>
    </w:p>
    <w:p>
      <w:pPr>
        <w:ind w:left="357" w:right="3" w:hanging="358"/>
        <w:spacing w:before="137" w:line="32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10"/>
        </w:rPr>
        <w:t>[14]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>王婷，侯青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>多层螺旋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>诊断不同类型阑尾炎的临床价值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>观察及其影像学特征差异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>影像研究与医学应用，</w:t>
      </w:r>
      <w:r>
        <w:rPr>
          <w:rFonts w:ascii="KaiTi" w:hAnsi="KaiTi" w:eastAsia="KaiTi" w:cs="KaiTi"/>
          <w:sz w:val="16"/>
          <w:szCs w:val="16"/>
          <w:color w:val="231F20"/>
          <w:spacing w:val="7"/>
        </w:rPr>
        <w:t>2023，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7(14):148-150.</w:t>
      </w:r>
    </w:p>
    <w:p>
      <w:pPr>
        <w:ind w:left="360" w:right="3" w:hanging="361"/>
        <w:spacing w:before="124" w:line="31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6"/>
        </w:rPr>
        <w:t>[15]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黄苑君，刘贤明，张云光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分析多层螺旋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对</w:t>
      </w:r>
      <w:r>
        <w:rPr>
          <w:rFonts w:ascii="KaiTi" w:hAnsi="KaiTi" w:eastAsia="KaiTi" w:cs="KaiTi"/>
          <w:sz w:val="16"/>
          <w:szCs w:val="16"/>
          <w:color w:val="231F20"/>
          <w:spacing w:val="5"/>
        </w:rPr>
        <w:t>急性阑尾炎患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者的影像学特征及其诊断效果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中国现代药物应用，2024，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18(6):79-82.</w:t>
      </w:r>
    </w:p>
    <w:sectPr>
      <w:type w:val="continuous"/>
      <w:pgSz w:w="12246" w:h="16498"/>
      <w:pgMar w:top="1208" w:right="1017" w:bottom="868" w:left="424" w:header="826" w:footer="526" w:gutter="0"/>
      <w:cols w:equalWidth="0" w:num="2">
        <w:col w:w="5809" w:space="100"/>
        <w:col w:w="489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32" w:lineRule="exact"/>
      <w:jc w:val="righ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7"/>
        <w:position w:val="1"/>
      </w:rPr>
      <w:t>137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4"/>
      <w:spacing w:line="332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5"/>
        <w:position w:val="1"/>
      </w:rPr>
      <w:t>138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32" w:lineRule="exact"/>
      <w:jc w:val="righ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7"/>
        <w:position w:val="1"/>
      </w:rPr>
      <w:t>139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38"/>
      <w:spacing w:before="48" w:line="224" w:lineRule="auto"/>
      <w:rPr>
        <w:rFonts w:ascii="SimHei" w:hAnsi="SimHei" w:eastAsia="SimHei" w:cs="SimHei"/>
        <w:sz w:val="21"/>
        <w:szCs w:val="21"/>
      </w:rPr>
    </w:pPr>
    <w:r>
      <w:pict>
        <v:shape id="WordPictureWatermark2" style="position:absolute;margin-left:21.2pt;margin-top:794.682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48.189pt;margin-top:57.2844pt;mso-position-vertical-relative:page;mso-position-horizontal-relative:page;width:513.1pt;height:0.75pt;z-index:251659264;" o:allowincell="f" filled="false" strokecolor="#231F20" strokeweight="0.71pt" coordsize="10261,15" coordorigin="0,0" path="m0,7l10261,7e">
          <v:stroke joinstyle="miter" miterlimit="4"/>
        </v:shape>
      </w:pict>
    </w:r>
    <w:r>
      <w:rPr>
        <w:rFonts w:ascii="KaiTi" w:hAnsi="KaiTi" w:eastAsia="KaiTi" w:cs="KaiTi"/>
        <w:sz w:val="21"/>
        <w:szCs w:val="21"/>
        <w:color w:val="231F20"/>
        <w:spacing w:val="12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54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2025年1月</w:t>
    </w:r>
    <w:r>
      <w:rPr>
        <w:rFonts w:ascii="KaiTi" w:hAnsi="KaiTi" w:eastAsia="KaiTi" w:cs="KaiTi"/>
        <w:sz w:val="21"/>
        <w:szCs w:val="21"/>
        <w:color w:val="231F20"/>
        <w:spacing w:val="52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第9卷第2</w:t>
    </w:r>
    <w:r>
      <w:rPr>
        <w:rFonts w:ascii="KaiTi" w:hAnsi="KaiTi" w:eastAsia="KaiTi" w:cs="KaiTi"/>
        <w:sz w:val="21"/>
        <w:szCs w:val="21"/>
        <w:color w:val="231F20"/>
        <w:spacing w:val="11"/>
      </w:rPr>
      <w:t>期</w:t>
    </w:r>
    <w:r>
      <w:rPr>
        <w:rFonts w:ascii="KaiTi" w:hAnsi="KaiTi" w:eastAsia="KaiTi" w:cs="KaiTi"/>
        <w:sz w:val="21"/>
        <w:szCs w:val="21"/>
        <w:color w:val="231F20"/>
        <w:spacing w:val="5"/>
      </w:rPr>
      <w:t xml:space="preserve">                 </w: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>医学影像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4"/>
      <w:spacing w:before="47" w:line="225" w:lineRule="auto"/>
      <w:rPr>
        <w:rFonts w:ascii="KaiTi" w:hAnsi="KaiTi" w:eastAsia="KaiTi" w:cs="KaiTi"/>
        <w:sz w:val="21"/>
        <w:szCs w:val="21"/>
      </w:rPr>
    </w:pPr>
    <w:r>
      <w:pict>
        <v:shape id="WordPictureWatermark12" style="position:absolute;margin-left:21.2pt;margin-top:794.682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pict>
        <v:shape id="_x0000_s14" style="position:absolute;margin-left:51.0236pt;margin-top:57.2844pt;mso-position-vertical-relative:page;mso-position-horizontal-relative:page;width:512.75pt;height:0.75pt;z-index:251661312;" o:allowincell="f" filled="false" strokecolor="#231F20" strokeweight="0.71pt" coordsize="10255,15" coordorigin="0,0" path="m0,7l10254,7e">
          <v:stroke joinstyle="miter" miterlimit="4"/>
        </v:shape>
      </w:pict>
    </w:r>
    <w:r>
      <w:rPr>
        <w:rFonts w:ascii="SimHei" w:hAnsi="SimHei" w:eastAsia="SimHei" w:cs="SimHei"/>
        <w:sz w:val="21"/>
        <w:szCs w:val="21"/>
        <w:color w:val="231F20"/>
        <w:spacing w:val="10"/>
        <w:position w:val="-1"/>
      </w:rPr>
      <w:t>医学影像</w:t>
    </w:r>
    <w:r>
      <w:rPr>
        <w:rFonts w:ascii="SimHei" w:hAnsi="SimHei" w:eastAsia="SimHei" w:cs="SimHei"/>
        <w:sz w:val="21"/>
        <w:szCs w:val="21"/>
        <w:color w:val="231F20"/>
        <w:spacing w:val="10"/>
        <w:position w:val="-1"/>
      </w:rPr>
      <w:t xml:space="preserve">                </w:t>
    </w:r>
    <w:r>
      <w:rPr>
        <w:rFonts w:ascii="KaiTi" w:hAnsi="KaiTi" w:eastAsia="KaiTi" w:cs="KaiTi"/>
        <w:sz w:val="21"/>
        <w:szCs w:val="21"/>
        <w:color w:val="231F20"/>
        <w:spacing w:val="10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70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2025年1月</w:t>
    </w:r>
    <w:r>
      <w:rPr>
        <w:rFonts w:ascii="KaiTi" w:hAnsi="KaiTi" w:eastAsia="KaiTi" w:cs="KaiTi"/>
        <w:sz w:val="21"/>
        <w:szCs w:val="21"/>
        <w:color w:val="231F20"/>
        <w:spacing w:val="52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第9卷第2期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38"/>
      <w:spacing w:before="48" w:line="224" w:lineRule="auto"/>
      <w:rPr>
        <w:rFonts w:ascii="SimHei" w:hAnsi="SimHei" w:eastAsia="SimHei" w:cs="SimHei"/>
        <w:sz w:val="21"/>
        <w:szCs w:val="21"/>
      </w:rPr>
    </w:pPr>
    <w:r>
      <w:pict>
        <v:shape id="WordPictureWatermark16" style="position:absolute;margin-left:21.2pt;margin-top:794.682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>
      <w:pict>
        <v:shape id="_x0000_s18" style="position:absolute;margin-left:48.189pt;margin-top:57.2844pt;mso-position-vertical-relative:page;mso-position-horizontal-relative:page;width:513.1pt;height:0.75pt;z-index:251663360;" o:allowincell="f" filled="false" strokecolor="#231F20" strokeweight="0.71pt" coordsize="10261,15" coordorigin="0,0" path="m0,7l10261,7e">
          <v:stroke joinstyle="miter" miterlimit="4"/>
        </v:shape>
      </w:pict>
    </w:r>
    <w:r>
      <w:rPr>
        <w:rFonts w:ascii="KaiTi" w:hAnsi="KaiTi" w:eastAsia="KaiTi" w:cs="KaiTi"/>
        <w:sz w:val="21"/>
        <w:szCs w:val="21"/>
        <w:color w:val="231F20"/>
        <w:spacing w:val="12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54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2025年1月</w:t>
    </w:r>
    <w:r>
      <w:rPr>
        <w:rFonts w:ascii="KaiTi" w:hAnsi="KaiTi" w:eastAsia="KaiTi" w:cs="KaiTi"/>
        <w:sz w:val="21"/>
        <w:szCs w:val="21"/>
        <w:color w:val="231F20"/>
        <w:spacing w:val="52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第9卷第2</w:t>
    </w:r>
    <w:r>
      <w:rPr>
        <w:rFonts w:ascii="KaiTi" w:hAnsi="KaiTi" w:eastAsia="KaiTi" w:cs="KaiTi"/>
        <w:sz w:val="21"/>
        <w:szCs w:val="21"/>
        <w:color w:val="231F20"/>
        <w:spacing w:val="11"/>
      </w:rPr>
      <w:t>期</w:t>
    </w:r>
    <w:r>
      <w:rPr>
        <w:rFonts w:ascii="KaiTi" w:hAnsi="KaiTi" w:eastAsia="KaiTi" w:cs="KaiTi"/>
        <w:sz w:val="21"/>
        <w:szCs w:val="21"/>
        <w:color w:val="231F20"/>
        <w:spacing w:val="5"/>
      </w:rPr>
      <w:t xml:space="preserve">                 </w: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>医学影像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2025-03-02T20:32:25Z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2025-10-28T21:32:20</vt:filetime>
  </property>
</Properties>
</file>