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597"/>
        <w:spacing w:before="232" w:line="230" w:lineRule="auto"/>
        <w:rPr>
          <w:rFonts w:ascii="SimSun" w:hAnsi="SimSun" w:eastAsia="SimSun" w:cs="SimSun"/>
          <w:sz w:val="24"/>
          <w:szCs w:val="24"/>
        </w:rPr>
      </w:pPr>
      <w:r>
        <w:pict>
          <v:shape id="_x0000_s6" style="position:absolute;margin-left:35.6525pt;margin-top:1.38943pt;mso-position-vertical-relative:text;mso-position-horizontal-relative:text;width:481.9pt;height:0.35pt;z-index:251658240;" filled="false" strokecolor="#231F20" strokeweight="0.30pt" coordsize="9637,6" coordorigin="0,0" path="m0,3l9637,3e">
            <v:stroke joinstyle="miter" miterlimit="4"/>
          </v:shape>
        </w:pict>
      </w:r>
      <w:r>
        <w:rPr>
          <w:rFonts w:ascii="SimSun" w:hAnsi="SimSun" w:eastAsia="SimSun" w:cs="SimSun"/>
          <w:sz w:val="24"/>
          <w:szCs w:val="24"/>
          <w:color w:val="231F20"/>
          <w:spacing w:val="27"/>
        </w:rPr>
        <w:t>【检验与影像】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1017"/>
        <w:spacing w:before="110" w:line="213" w:lineRule="auto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color w:val="231F20"/>
          <w:spacing w:val="80"/>
        </w:rPr>
        <w:t>多层螺旋</w:t>
      </w:r>
      <w:r>
        <w:rPr>
          <w:rFonts w:ascii="SimSun" w:hAnsi="SimSun" w:eastAsia="SimSun" w:cs="SimSun"/>
          <w:sz w:val="34"/>
          <w:szCs w:val="34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34"/>
          <w:szCs w:val="34"/>
          <w:color w:val="231F20"/>
        </w:rPr>
        <w:t>CT</w:t>
      </w:r>
      <w:r>
        <w:rPr>
          <w:rFonts w:ascii="SimSun" w:hAnsi="SimSun" w:eastAsia="SimSun" w:cs="SimSun"/>
          <w:sz w:val="34"/>
          <w:szCs w:val="34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34"/>
          <w:szCs w:val="34"/>
          <w:color w:val="231F20"/>
          <w:spacing w:val="80"/>
        </w:rPr>
        <w:t>检查在急性阑尾炎病理分型诊断中的</w:t>
      </w:r>
    </w:p>
    <w:p>
      <w:pPr>
        <w:ind w:left="4712"/>
        <w:spacing w:before="128" w:line="212" w:lineRule="auto"/>
        <w:outlineLvl w:val="0"/>
        <w:rPr>
          <w:rFonts w:ascii="SimSun" w:hAnsi="SimSun" w:eastAsia="SimSun" w:cs="SimSun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color w:val="231F20"/>
          <w:spacing w:val="68"/>
        </w:rPr>
        <w:t>应用价值</w:t>
      </w:r>
    </w:p>
    <w:p>
      <w:pPr>
        <w:ind w:left="5247"/>
        <w:spacing w:before="236" w:line="236" w:lineRule="auto"/>
        <w:outlineLvl w:val="0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贾学磊</w:t>
      </w:r>
    </w:p>
    <w:p>
      <w:pPr>
        <w:ind w:left="3522"/>
        <w:spacing w:before="47" w:line="218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position w:val="1"/>
        </w:rPr>
        <w:t>（上蔡县妇女儿童医院放射科，河南  驻马店  463800）</w:t>
      </w:r>
    </w:p>
    <w:p>
      <w:pPr>
        <w:pStyle w:val="BodyText"/>
        <w:ind w:left="710" w:right="20" w:firstLine="330"/>
        <w:spacing w:before="21" w:line="310" w:lineRule="auto"/>
        <w:jc w:val="both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231F20"/>
          <w:spacing w:val="4"/>
        </w:rPr>
        <w:t>【摘要】</w:t>
      </w:r>
      <w:r>
        <w:rPr>
          <w:rFonts w:ascii="SimHei" w:hAnsi="SimHei" w:eastAsia="SimHei" w:cs="SimHei"/>
          <w:color w:val="231F20"/>
          <w:spacing w:val="4"/>
        </w:rPr>
        <w:t xml:space="preserve">  </w:t>
      </w:r>
      <w:r>
        <w:rPr>
          <w:rFonts w:ascii="SimHei" w:hAnsi="SimHei" w:eastAsia="SimHei" w:cs="SimHei"/>
          <w:color w:val="231F20"/>
          <w:spacing w:val="4"/>
        </w:rPr>
        <w:t>目的：</w:t>
      </w:r>
      <w:r>
        <w:rPr>
          <w:rFonts w:ascii="SimSun" w:hAnsi="SimSun" w:eastAsia="SimSun" w:cs="SimSun"/>
          <w:color w:val="231F20"/>
          <w:spacing w:val="4"/>
        </w:rPr>
        <w:t>探讨多层螺旋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rFonts w:ascii="SimSun" w:hAnsi="SimSun" w:eastAsia="SimSun" w:cs="SimSun"/>
          <w:color w:val="231F20"/>
        </w:rPr>
        <w:t>CT</w:t>
      </w:r>
      <w:r>
        <w:rPr>
          <w:rFonts w:ascii="SimSun" w:hAnsi="SimSun" w:eastAsia="SimSun" w:cs="SimSun"/>
          <w:color w:val="231F20"/>
          <w:spacing w:val="4"/>
        </w:rPr>
        <w:t>（</w:t>
      </w:r>
      <w:r>
        <w:rPr>
          <w:rFonts w:ascii="SimSun" w:hAnsi="SimSun" w:eastAsia="SimSun" w:cs="SimSun"/>
          <w:color w:val="231F20"/>
        </w:rPr>
        <w:t>MSCT</w:t>
      </w:r>
      <w:r>
        <w:rPr>
          <w:rFonts w:ascii="SimSun" w:hAnsi="SimSun" w:eastAsia="SimSun" w:cs="SimSun"/>
          <w:color w:val="231F20"/>
          <w:spacing w:val="4"/>
        </w:rPr>
        <w:t>）检查在急性阑尾炎（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4"/>
        </w:rPr>
        <w:t>）病理分型诊断中</w:t>
      </w:r>
      <w:r>
        <w:rPr>
          <w:rFonts w:ascii="SimSun" w:hAnsi="SimSun" w:eastAsia="SimSun" w:cs="SimSun"/>
          <w:color w:val="231F20"/>
          <w:spacing w:val="3"/>
        </w:rPr>
        <w:t>的应用价值。</w:t>
      </w:r>
      <w:r>
        <w:rPr>
          <w:rFonts w:ascii="SimHei" w:hAnsi="SimHei" w:eastAsia="SimHei" w:cs="SimHei"/>
          <w:color w:val="231F20"/>
          <w:spacing w:val="3"/>
        </w:rPr>
        <w:t>方法：</w:t>
      </w:r>
      <w:r>
        <w:rPr>
          <w:rFonts w:ascii="SimSun" w:hAnsi="SimSun" w:eastAsia="SimSun" w:cs="SimSun"/>
          <w:color w:val="231F20"/>
          <w:spacing w:val="3"/>
        </w:rPr>
        <w:t>回顾性分析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2021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年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4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月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至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2023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年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4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月该院收治的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126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例疑似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患者的临床资料，均进行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</w:rPr>
        <w:t>MSCT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检查，以术后病理结果为“金标准”，统计术后病理检查检出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情况，比较不同分型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患者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rFonts w:ascii="SimSun" w:hAnsi="SimSun" w:eastAsia="SimSun" w:cs="SimSun"/>
          <w:color w:val="231F20"/>
        </w:rPr>
        <w:t>MSCT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征象、</w:t>
      </w:r>
      <w:r>
        <w:rPr>
          <w:rFonts w:ascii="SimSun" w:hAnsi="SimSun" w:eastAsia="SimSun" w:cs="SimSun"/>
          <w:color w:val="231F20"/>
        </w:rPr>
        <w:t>MSCT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检查检出不同分型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结果与术后病理结果，并分析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</w:rPr>
        <w:t>MSCT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检查检出不同分型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结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果与术后病理结果的一致性。</w:t>
      </w:r>
      <w:r>
        <w:rPr>
          <w:rFonts w:ascii="SimHei" w:hAnsi="SimHei" w:eastAsia="SimHei" w:cs="SimHei"/>
          <w:color w:val="231F20"/>
          <w:spacing w:val="6"/>
        </w:rPr>
        <w:t>结果：</w:t>
      </w:r>
      <w:r>
        <w:rPr>
          <w:rFonts w:ascii="SimSun" w:hAnsi="SimSun" w:eastAsia="SimSun" w:cs="SimSun"/>
          <w:color w:val="231F20"/>
          <w:spacing w:val="6"/>
        </w:rPr>
        <w:t>术后病理结果显示，126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例疑似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患者中，96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例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6"/>
        </w:rPr>
        <w:t>，30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例非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6"/>
        </w:rPr>
        <w:t>；不同分型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患者粪石</w:t>
      </w:r>
      <w:r>
        <w:rPr>
          <w:rFonts w:ascii="SimSun" w:hAnsi="SimSun" w:eastAsia="SimSun" w:cs="SimSun"/>
          <w:color w:val="231F20"/>
          <w:spacing w:val="5"/>
        </w:rPr>
        <w:t>影、盲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8"/>
        </w:rPr>
        <w:t>肠壁增厚、阑尾边界不清晰、回盲部淋巴结肿大等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</w:rPr>
        <w:t>MSCT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征象比较，差异均无统计学意义（</w:t>
      </w:r>
      <w:r>
        <w:rPr>
          <w:i/>
          <w:iCs/>
          <w:color w:val="231F20"/>
          <w:spacing w:val="8"/>
        </w:rPr>
        <w:t>P</w:t>
      </w:r>
      <w:r>
        <w:rPr>
          <w:rFonts w:ascii="SimSun" w:hAnsi="SimSun" w:eastAsia="SimSun" w:cs="SimSun"/>
          <w:color w:val="231F20"/>
          <w:spacing w:val="8"/>
        </w:rPr>
        <w:t>&gt;0.05</w:t>
      </w:r>
      <w:r>
        <w:rPr>
          <w:rFonts w:ascii="SimSun" w:hAnsi="SimSun" w:eastAsia="SimSun" w:cs="SimSun"/>
          <w:color w:val="231F20"/>
          <w:spacing w:val="14"/>
        </w:rPr>
        <w:t>）；</w:t>
      </w:r>
      <w:r>
        <w:rPr>
          <w:rFonts w:ascii="SimSun" w:hAnsi="SimSun" w:eastAsia="SimSun" w:cs="SimSun"/>
          <w:color w:val="231F20"/>
          <w:spacing w:val="8"/>
        </w:rPr>
        <w:t>不同</w:t>
      </w:r>
      <w:r>
        <w:rPr>
          <w:rFonts w:ascii="SimSun" w:hAnsi="SimSun" w:eastAsia="SimSun" w:cs="SimSun"/>
          <w:color w:val="231F20"/>
          <w:spacing w:val="7"/>
        </w:rPr>
        <w:t>分型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患者阑尾周围渗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9"/>
        </w:rPr>
        <w:t>出、阑尾管径</w:t>
      </w:r>
      <w:r>
        <w:rPr>
          <w:rFonts w:ascii="SimSun" w:hAnsi="SimSun" w:eastAsia="SimSun" w:cs="SimSun"/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&gt;6</w:t>
      </w:r>
      <w:r>
        <w:rPr>
          <w:rFonts w:ascii="SimSun" w:hAnsi="SimSun" w:eastAsia="SimSun" w:cs="SimSun"/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</w:rPr>
        <w:t>mm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等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rFonts w:ascii="SimSun" w:hAnsi="SimSun" w:eastAsia="SimSun" w:cs="SimSun"/>
          <w:color w:val="231F20"/>
        </w:rPr>
        <w:t>MSCT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征象比较，单纯性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9"/>
        </w:rPr>
        <w:t>&lt;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化脓性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9"/>
        </w:rPr>
        <w:t>&lt;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坏疽及穿孔性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9"/>
        </w:rPr>
        <w:t>，积气影、管壁厚度</w:t>
      </w:r>
      <w:r>
        <w:rPr>
          <w:rFonts w:ascii="SimSun" w:hAnsi="SimSun" w:eastAsia="SimSun" w:cs="SimSun"/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&gt;3</w:t>
      </w:r>
      <w:r>
        <w:rPr>
          <w:rFonts w:ascii="SimSun" w:hAnsi="SimSun" w:eastAsia="SimSun" w:cs="SimSun"/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</w:rPr>
        <w:t>mm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等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</w:rPr>
        <w:t>MSCT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征象比较，</w:t>
      </w:r>
      <w:r>
        <w:rPr>
          <w:rFonts w:ascii="SimSun" w:hAnsi="SimSun" w:eastAsia="SimSun" w:cs="SimSun"/>
          <w:color w:val="231F20"/>
          <w:spacing w:val="8"/>
        </w:rPr>
        <w:t>单纯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7"/>
        </w:rPr>
        <w:t>性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7"/>
        </w:rPr>
        <w:t>&gt;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化脓性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7"/>
        </w:rPr>
        <w:t>&gt;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坏疽及穿孔性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7"/>
        </w:rPr>
        <w:t>，差异均有统计学意义（</w:t>
      </w:r>
      <w:r>
        <w:rPr>
          <w:i/>
          <w:iCs/>
          <w:color w:val="231F20"/>
          <w:spacing w:val="7"/>
        </w:rPr>
        <w:t>P</w:t>
      </w:r>
      <w:r>
        <w:rPr>
          <w:rFonts w:ascii="SimSun" w:hAnsi="SimSun" w:eastAsia="SimSun" w:cs="SimSun"/>
          <w:color w:val="231F20"/>
          <w:spacing w:val="7"/>
        </w:rPr>
        <w:t>&lt;0.05</w:t>
      </w:r>
      <w:r>
        <w:rPr>
          <w:rFonts w:ascii="SimSun" w:hAnsi="SimSun" w:eastAsia="SimSun" w:cs="SimSun"/>
          <w:color w:val="231F20"/>
          <w:spacing w:val="11"/>
        </w:rPr>
        <w:t>）；</w:t>
      </w:r>
      <w:r>
        <w:rPr>
          <w:rFonts w:ascii="SimSun" w:hAnsi="SimSun" w:eastAsia="SimSun" w:cs="SimSun"/>
          <w:color w:val="231F20"/>
        </w:rPr>
        <w:t>MSCT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检查结果显示</w:t>
      </w:r>
      <w:r>
        <w:rPr>
          <w:rFonts w:ascii="SimSun" w:hAnsi="SimSun" w:eastAsia="SimSun" w:cs="SimSun"/>
          <w:color w:val="231F20"/>
          <w:spacing w:val="6"/>
        </w:rPr>
        <w:t>，96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例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6"/>
        </w:rPr>
        <w:t>，30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例非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6"/>
        </w:rPr>
        <w:t>，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其中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31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例单纯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12"/>
        </w:rPr>
        <w:t>性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12"/>
        </w:rPr>
        <w:t>，46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例化脓性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12"/>
        </w:rPr>
        <w:t>，19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例坏疽及穿孔性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12"/>
        </w:rPr>
        <w:t>；</w:t>
      </w:r>
      <w:r>
        <w:rPr>
          <w:rFonts w:ascii="SimSun" w:hAnsi="SimSun" w:eastAsia="SimSun" w:cs="SimSun"/>
          <w:color w:val="231F20"/>
        </w:rPr>
        <w:t>MSCT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检查检出不同分型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结果与术后病理结果的一</w:t>
      </w:r>
      <w:r>
        <w:rPr>
          <w:rFonts w:ascii="SimSun" w:hAnsi="SimSun" w:eastAsia="SimSun" w:cs="SimSun"/>
          <w:color w:val="231F20"/>
          <w:spacing w:val="11"/>
        </w:rPr>
        <w:t>致性较好（</w:t>
      </w:r>
      <w:r>
        <w:rPr>
          <w:rFonts w:ascii="SimSun" w:hAnsi="SimSun" w:eastAsia="SimSun" w:cs="SimSun"/>
          <w:color w:val="231F20"/>
        </w:rPr>
        <w:t>Kappa</w:t>
      </w:r>
      <w:r>
        <w:rPr>
          <w:rFonts w:ascii="SimSun" w:hAnsi="SimSun" w:eastAsia="SimSun" w:cs="SimSun"/>
          <w:color w:val="231F20"/>
          <w:spacing w:val="11"/>
        </w:rPr>
        <w:t>=0.978）。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Hei" w:hAnsi="SimHei" w:eastAsia="SimHei" w:cs="SimHei"/>
          <w:color w:val="231F20"/>
          <w:spacing w:val="4"/>
        </w:rPr>
        <w:t>结论：</w:t>
      </w:r>
      <w:r>
        <w:rPr>
          <w:rFonts w:ascii="SimSun" w:hAnsi="SimSun" w:eastAsia="SimSun" w:cs="SimSun"/>
          <w:color w:val="231F20"/>
        </w:rPr>
        <w:t>MSCT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检查在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rFonts w:ascii="SimSun" w:hAnsi="SimSun" w:eastAsia="SimSun" w:cs="SimSun"/>
          <w:color w:val="231F20"/>
        </w:rPr>
        <w:t>AA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病理分型诊断中具有一定的应用价值。</w:t>
      </w:r>
    </w:p>
    <w:p>
      <w:pPr>
        <w:ind w:left="1040"/>
        <w:spacing w:before="12" w:line="218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1"/>
          <w:position w:val="1"/>
        </w:rPr>
        <w:t>【关键词】</w:t>
      </w:r>
      <w:r>
        <w:rPr>
          <w:rFonts w:ascii="SimHei" w:hAnsi="SimHei" w:eastAsia="SimHei" w:cs="SimHei"/>
          <w:sz w:val="16"/>
          <w:szCs w:val="16"/>
          <w:color w:val="231F20"/>
          <w:spacing w:val="1"/>
          <w:position w:val="1"/>
        </w:rPr>
        <w:t xml:space="preserve">  </w:t>
      </w:r>
      <w:r>
        <w:rPr>
          <w:rFonts w:ascii="SimSun" w:hAnsi="SimSun" w:eastAsia="SimSun" w:cs="SimSun"/>
          <w:sz w:val="16"/>
          <w:szCs w:val="16"/>
          <w:color w:val="231F20"/>
          <w:spacing w:val="1"/>
          <w:position w:val="1"/>
        </w:rPr>
        <w:t>多层螺旋</w:t>
      </w:r>
      <w:r>
        <w:rPr>
          <w:rFonts w:ascii="SimSun" w:hAnsi="SimSun" w:eastAsia="SimSun" w:cs="SimSun"/>
          <w:sz w:val="16"/>
          <w:szCs w:val="16"/>
          <w:color w:val="231F20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position w:val="1"/>
        </w:rPr>
        <w:t>CT</w:t>
      </w:r>
      <w:r>
        <w:rPr>
          <w:rFonts w:ascii="SimSun" w:hAnsi="SimSun" w:eastAsia="SimSun" w:cs="SimSun"/>
          <w:sz w:val="16"/>
          <w:szCs w:val="16"/>
          <w:color w:val="231F20"/>
          <w:spacing w:val="1"/>
          <w:position w:val="1"/>
        </w:rPr>
        <w:t>；急性阑尾炎；病理分型；诊断</w:t>
      </w:r>
      <w:r>
        <w:rPr>
          <w:rFonts w:ascii="SimSun" w:hAnsi="SimSun" w:eastAsia="SimSun" w:cs="SimSun"/>
          <w:sz w:val="16"/>
          <w:szCs w:val="16"/>
          <w:color w:val="231F20"/>
          <w:position w:val="1"/>
        </w:rPr>
        <w:t>；价值</w:t>
      </w:r>
    </w:p>
    <w:p>
      <w:pPr>
        <w:pStyle w:val="BodyText"/>
        <w:ind w:left="1053"/>
        <w:spacing w:before="83" w:line="19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doi:    10.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3969 /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1"/>
        </w:rPr>
        <w:t>j.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issn.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1672-0369.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2"/>
        </w:rPr>
        <w:t>2024.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19.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2"/>
        </w:rPr>
        <w:t>039</w:t>
      </w:r>
    </w:p>
    <w:p>
      <w:pPr>
        <w:pStyle w:val="BodyText"/>
        <w:ind w:left="1069"/>
        <w:spacing w:before="76" w:line="244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position w:val="1"/>
        </w:rPr>
        <w:t>中图分类号：</w:t>
      </w:r>
      <w:r>
        <w:rPr>
          <w:rFonts w:ascii="SimHei" w:hAnsi="SimHei" w:eastAsia="SimHei" w:cs="SimHei"/>
          <w:sz w:val="18"/>
          <w:szCs w:val="18"/>
          <w:color w:val="231F20"/>
          <w:position w:val="1"/>
        </w:rPr>
        <w:t xml:space="preserve">  </w:t>
      </w:r>
      <w:r>
        <w:rPr>
          <w:sz w:val="18"/>
          <w:szCs w:val="18"/>
          <w:color w:val="231F20"/>
          <w:position w:val="1"/>
        </w:rPr>
        <w:t>R574.61            </w:t>
      </w:r>
      <w:r>
        <w:rPr>
          <w:rFonts w:ascii="SimHei" w:hAnsi="SimHei" w:eastAsia="SimHei" w:cs="SimHei"/>
          <w:sz w:val="18"/>
          <w:szCs w:val="18"/>
          <w:color w:val="231F20"/>
          <w:position w:val="1"/>
        </w:rPr>
        <w:t>文献标识码：</w:t>
      </w:r>
      <w:r>
        <w:rPr>
          <w:rFonts w:ascii="SimHei" w:hAnsi="SimHei" w:eastAsia="SimHei" w:cs="SimHei"/>
          <w:sz w:val="18"/>
          <w:szCs w:val="18"/>
          <w:color w:val="231F20"/>
          <w:position w:val="1"/>
        </w:rPr>
        <w:t xml:space="preserve">  </w:t>
      </w:r>
      <w:r>
        <w:rPr>
          <w:sz w:val="18"/>
          <w:szCs w:val="18"/>
          <w:color w:val="231F20"/>
          <w:position w:val="1"/>
        </w:rPr>
        <w:t>B            </w:t>
      </w:r>
      <w:r>
        <w:rPr>
          <w:rFonts w:ascii="SimHei" w:hAnsi="SimHei" w:eastAsia="SimHei" w:cs="SimHei"/>
          <w:sz w:val="18"/>
          <w:szCs w:val="18"/>
          <w:color w:val="231F20"/>
          <w:position w:val="1"/>
        </w:rPr>
        <w:t>文章编号：</w:t>
      </w:r>
      <w:r>
        <w:rPr>
          <w:rFonts w:ascii="SimHei" w:hAnsi="SimHei" w:eastAsia="SimHei" w:cs="SimHei"/>
          <w:sz w:val="18"/>
          <w:szCs w:val="18"/>
          <w:color w:val="231F20"/>
          <w:position w:val="1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231F20"/>
          <w:position w:val="1"/>
        </w:rPr>
        <w:t>1672-0369（202</w:t>
      </w:r>
      <w:r>
        <w:rPr>
          <w:rFonts w:ascii="SimSun" w:hAnsi="SimSun" w:eastAsia="SimSun" w:cs="SimSun"/>
          <w:sz w:val="18"/>
          <w:szCs w:val="18"/>
          <w:color w:val="231F20"/>
          <w:spacing w:val="-1"/>
          <w:position w:val="1"/>
        </w:rPr>
        <w:t>4）19-0128-03</w:t>
      </w:r>
    </w:p>
    <w:p>
      <w:pPr>
        <w:pStyle w:val="BodyText"/>
        <w:ind w:left="819"/>
        <w:spacing w:before="181" w:line="189" w:lineRule="auto"/>
        <w:rPr>
          <w:sz w:val="26"/>
          <w:szCs w:val="26"/>
        </w:rPr>
      </w:pPr>
      <w:r>
        <w:rPr>
          <w:sz w:val="26"/>
          <w:szCs w:val="26"/>
          <w:b/>
          <w:bCs/>
          <w:color w:val="231F20"/>
        </w:rPr>
        <w:t>Application</w:t>
      </w:r>
      <w:r>
        <w:rPr>
          <w:sz w:val="26"/>
          <w:szCs w:val="26"/>
          <w:b/>
          <w:bCs/>
          <w:color w:val="231F20"/>
          <w:spacing w:val="1"/>
        </w:rPr>
        <w:t xml:space="preserve"> </w:t>
      </w:r>
      <w:r>
        <w:rPr>
          <w:sz w:val="26"/>
          <w:szCs w:val="26"/>
          <w:b/>
          <w:bCs/>
          <w:color w:val="231F20"/>
        </w:rPr>
        <w:t>value</w:t>
      </w:r>
      <w:r>
        <w:rPr>
          <w:sz w:val="26"/>
          <w:szCs w:val="26"/>
          <w:b/>
          <w:bCs/>
          <w:color w:val="231F20"/>
          <w:spacing w:val="1"/>
        </w:rPr>
        <w:t xml:space="preserve"> </w:t>
      </w:r>
      <w:r>
        <w:rPr>
          <w:sz w:val="26"/>
          <w:szCs w:val="26"/>
          <w:b/>
          <w:bCs/>
          <w:color w:val="231F20"/>
        </w:rPr>
        <w:t>of</w:t>
      </w:r>
      <w:r>
        <w:rPr>
          <w:sz w:val="26"/>
          <w:szCs w:val="26"/>
          <w:b/>
          <w:bCs/>
          <w:color w:val="231F20"/>
          <w:spacing w:val="1"/>
        </w:rPr>
        <w:t xml:space="preserve"> </w:t>
      </w:r>
      <w:r>
        <w:rPr>
          <w:sz w:val="26"/>
          <w:szCs w:val="26"/>
          <w:b/>
          <w:bCs/>
          <w:color w:val="231F20"/>
        </w:rPr>
        <w:t>multi</w:t>
      </w:r>
      <w:r>
        <w:rPr>
          <w:sz w:val="26"/>
          <w:szCs w:val="26"/>
          <w:b/>
          <w:bCs/>
          <w:color w:val="231F20"/>
          <w:spacing w:val="1"/>
        </w:rPr>
        <w:t>-</w:t>
      </w:r>
      <w:r>
        <w:rPr>
          <w:sz w:val="26"/>
          <w:szCs w:val="26"/>
          <w:b/>
          <w:bCs/>
          <w:color w:val="231F20"/>
        </w:rPr>
        <w:t>slice</w:t>
      </w:r>
      <w:r>
        <w:rPr>
          <w:sz w:val="26"/>
          <w:szCs w:val="26"/>
          <w:b/>
          <w:bCs/>
          <w:color w:val="231F20"/>
          <w:spacing w:val="1"/>
        </w:rPr>
        <w:t xml:space="preserve"> </w:t>
      </w:r>
      <w:r>
        <w:rPr>
          <w:sz w:val="26"/>
          <w:szCs w:val="26"/>
          <w:b/>
          <w:bCs/>
          <w:color w:val="231F20"/>
        </w:rPr>
        <w:t>spiral</w:t>
      </w:r>
      <w:r>
        <w:rPr>
          <w:sz w:val="26"/>
          <w:szCs w:val="26"/>
          <w:b/>
          <w:bCs/>
          <w:color w:val="231F20"/>
          <w:spacing w:val="1"/>
        </w:rPr>
        <w:t xml:space="preserve"> </w:t>
      </w:r>
      <w:r>
        <w:rPr>
          <w:sz w:val="26"/>
          <w:szCs w:val="26"/>
          <w:b/>
          <w:bCs/>
          <w:color w:val="231F20"/>
        </w:rPr>
        <w:t>CT</w:t>
      </w:r>
      <w:r>
        <w:rPr>
          <w:sz w:val="26"/>
          <w:szCs w:val="26"/>
          <w:b/>
          <w:bCs/>
          <w:color w:val="231F20"/>
          <w:spacing w:val="1"/>
        </w:rPr>
        <w:t xml:space="preserve"> </w:t>
      </w:r>
      <w:r>
        <w:rPr>
          <w:sz w:val="26"/>
          <w:szCs w:val="26"/>
          <w:b/>
          <w:bCs/>
          <w:color w:val="231F20"/>
        </w:rPr>
        <w:t>in</w:t>
      </w:r>
      <w:r>
        <w:rPr>
          <w:sz w:val="26"/>
          <w:szCs w:val="26"/>
          <w:b/>
          <w:bCs/>
          <w:color w:val="231F20"/>
          <w:spacing w:val="1"/>
        </w:rPr>
        <w:t xml:space="preserve"> </w:t>
      </w:r>
      <w:r>
        <w:rPr>
          <w:sz w:val="26"/>
          <w:szCs w:val="26"/>
          <w:b/>
          <w:bCs/>
          <w:color w:val="231F20"/>
        </w:rPr>
        <w:t>diagnosis</w:t>
      </w:r>
      <w:r>
        <w:rPr>
          <w:sz w:val="26"/>
          <w:szCs w:val="26"/>
          <w:b/>
          <w:bCs/>
          <w:color w:val="231F20"/>
          <w:spacing w:val="1"/>
        </w:rPr>
        <w:t xml:space="preserve"> </w:t>
      </w:r>
      <w:r>
        <w:rPr>
          <w:sz w:val="26"/>
          <w:szCs w:val="26"/>
          <w:b/>
          <w:bCs/>
          <w:color w:val="231F20"/>
        </w:rPr>
        <w:t>of</w:t>
      </w:r>
      <w:r>
        <w:rPr>
          <w:sz w:val="26"/>
          <w:szCs w:val="26"/>
          <w:b/>
          <w:bCs/>
          <w:color w:val="231F20"/>
          <w:spacing w:val="-9"/>
        </w:rPr>
        <w:t xml:space="preserve"> </w:t>
      </w:r>
      <w:r>
        <w:rPr>
          <w:sz w:val="26"/>
          <w:szCs w:val="26"/>
          <w:b/>
          <w:bCs/>
          <w:color w:val="231F20"/>
        </w:rPr>
        <w:t>pathological</w:t>
      </w:r>
      <w:r>
        <w:rPr>
          <w:sz w:val="26"/>
          <w:szCs w:val="26"/>
          <w:b/>
          <w:bCs/>
          <w:color w:val="231F20"/>
          <w:spacing w:val="1"/>
        </w:rPr>
        <w:t xml:space="preserve"> </w:t>
      </w:r>
      <w:r>
        <w:rPr>
          <w:sz w:val="26"/>
          <w:szCs w:val="26"/>
          <w:b/>
          <w:bCs/>
          <w:color w:val="231F20"/>
        </w:rPr>
        <w:t>classi</w:t>
      </w:r>
      <w:r>
        <w:rPr>
          <w:sz w:val="26"/>
          <w:szCs w:val="26"/>
          <w:b/>
          <w:bCs/>
          <w:color w:val="231F20"/>
          <w:spacing w:val="1"/>
        </w:rPr>
        <w:t>ﬁ</w:t>
      </w:r>
      <w:r>
        <w:rPr>
          <w:sz w:val="26"/>
          <w:szCs w:val="26"/>
          <w:b/>
          <w:bCs/>
          <w:color w:val="231F20"/>
        </w:rPr>
        <w:t>cation</w:t>
      </w:r>
      <w:r>
        <w:rPr>
          <w:sz w:val="26"/>
          <w:szCs w:val="26"/>
          <w:b/>
          <w:bCs/>
          <w:color w:val="231F20"/>
          <w:spacing w:val="9"/>
        </w:rPr>
        <w:t xml:space="preserve"> </w:t>
      </w:r>
      <w:r>
        <w:rPr>
          <w:sz w:val="26"/>
          <w:szCs w:val="26"/>
          <w:b/>
          <w:bCs/>
          <w:color w:val="231F20"/>
        </w:rPr>
        <w:t>of</w:t>
      </w:r>
    </w:p>
    <w:p>
      <w:pPr>
        <w:pStyle w:val="BodyText"/>
        <w:ind w:left="4539"/>
        <w:spacing w:before="129" w:line="186" w:lineRule="auto"/>
        <w:outlineLvl w:val="0"/>
        <w:rPr>
          <w:sz w:val="26"/>
          <w:szCs w:val="26"/>
        </w:rPr>
      </w:pPr>
      <w:r>
        <w:rPr>
          <w:sz w:val="26"/>
          <w:szCs w:val="26"/>
          <w:b/>
          <w:bCs/>
          <w:color w:val="231F20"/>
          <w:spacing w:val="-1"/>
        </w:rPr>
        <w:t>acute appendicitis</w:t>
      </w:r>
    </w:p>
    <w:p>
      <w:pPr>
        <w:pStyle w:val="BodyText"/>
        <w:ind w:left="5144"/>
        <w:spacing w:before="112" w:line="19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JIA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-1"/>
        </w:rPr>
        <w:t>Xuelei</w:t>
      </w:r>
    </w:p>
    <w:p>
      <w:pPr>
        <w:pStyle w:val="BodyText"/>
        <w:ind w:left="1244"/>
        <w:spacing w:before="96" w:line="19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(Department of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</w:rPr>
        <w:t>Radiology of Shangcai County Women and Children Care Hospital, Zhumadian 463</w:t>
      </w:r>
      <w:r>
        <w:rPr>
          <w:sz w:val="18"/>
          <w:szCs w:val="18"/>
          <w:color w:val="231F20"/>
          <w:spacing w:val="-1"/>
        </w:rPr>
        <w:t>800 Henan,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China)</w:t>
      </w:r>
    </w:p>
    <w:p>
      <w:pPr>
        <w:pStyle w:val="BodyText"/>
        <w:ind w:left="707" w:right="80" w:firstLine="417"/>
        <w:spacing w:before="125" w:line="336" w:lineRule="auto"/>
        <w:rPr/>
      </w:pPr>
      <w:r>
        <w:rPr>
          <w:rFonts w:ascii="SimSun" w:hAnsi="SimSun" w:eastAsia="SimSun" w:cs="SimSun"/>
          <w:color w:val="231F20"/>
          <w:spacing w:val="2"/>
        </w:rPr>
        <w:t>【</w:t>
      </w:r>
      <w:r>
        <w:rPr>
          <w:b/>
          <w:bCs/>
          <w:color w:val="231F20"/>
        </w:rPr>
        <w:t>Abstract</w:t>
      </w:r>
      <w:r>
        <w:rPr>
          <w:b/>
          <w:bCs/>
          <w:color w:val="231F20"/>
          <w:spacing w:val="-7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】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b/>
          <w:bCs/>
          <w:color w:val="231F20"/>
        </w:rPr>
        <w:t>Objective</w:t>
      </w:r>
      <w:r>
        <w:rPr>
          <w:b/>
          <w:bCs/>
          <w:color w:val="231F20"/>
          <w:spacing w:val="2"/>
        </w:rPr>
        <w:t>:</w:t>
      </w:r>
      <w:r>
        <w:rPr>
          <w:b/>
          <w:bCs/>
          <w:color w:val="231F20"/>
          <w:spacing w:val="1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explore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application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multi</w:t>
      </w:r>
      <w:r>
        <w:rPr>
          <w:color w:val="231F20"/>
          <w:spacing w:val="2"/>
        </w:rPr>
        <w:t>-</w:t>
      </w:r>
      <w:r>
        <w:rPr>
          <w:color w:val="231F20"/>
        </w:rPr>
        <w:t>slice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spiral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2"/>
        </w:rPr>
        <w:t>(</w:t>
      </w:r>
      <w:r>
        <w:rPr>
          <w:color w:val="231F20"/>
        </w:rPr>
        <w:t>MSCT</w:t>
      </w:r>
      <w:r>
        <w:rPr>
          <w:color w:val="231F20"/>
          <w:spacing w:val="2"/>
        </w:rPr>
        <w:t>)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pathological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classi</w:t>
      </w:r>
      <w:r>
        <w:rPr>
          <w:color w:val="231F20"/>
          <w:spacing w:val="2"/>
        </w:rPr>
        <w:t>ﬁ</w:t>
      </w:r>
      <w:r>
        <w:rPr>
          <w:color w:val="231F20"/>
        </w:rPr>
        <w:t>cation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acute </w:t>
      </w:r>
      <w:r>
        <w:rPr>
          <w:color w:val="231F20"/>
        </w:rPr>
        <w:t>appendicitis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6"/>
        </w:rPr>
        <w:t>(</w:t>
      </w:r>
      <w:r>
        <w:rPr>
          <w:color w:val="231F20"/>
        </w:rPr>
        <w:t>AA</w:t>
      </w:r>
      <w:r>
        <w:rPr>
          <w:color w:val="231F20"/>
          <w:spacing w:val="6"/>
        </w:rPr>
        <w:t>).</w:t>
      </w:r>
      <w:r>
        <w:rPr>
          <w:color w:val="231F20"/>
          <w:spacing w:val="20"/>
          <w:w w:val="101"/>
        </w:rPr>
        <w:t xml:space="preserve"> </w:t>
      </w:r>
      <w:r>
        <w:rPr>
          <w:b/>
          <w:bCs/>
          <w:color w:val="231F20"/>
        </w:rPr>
        <w:t>Methods</w:t>
      </w:r>
      <w:r>
        <w:rPr>
          <w:b/>
          <w:bCs/>
          <w:color w:val="231F20"/>
          <w:spacing w:val="6"/>
        </w:rPr>
        <w:t>:</w:t>
      </w:r>
      <w:r>
        <w:rPr>
          <w:b/>
          <w:bCs/>
          <w:color w:val="231F20"/>
          <w:spacing w:val="1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6"/>
        </w:rPr>
        <w:t>126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suspected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AA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admitted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hospital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April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6"/>
        </w:rPr>
        <w:t>2021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April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6"/>
        </w:rPr>
        <w:t>2023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were </w:t>
      </w:r>
      <w:r>
        <w:rPr>
          <w:color w:val="231F20"/>
        </w:rPr>
        <w:t>retrospectively analyzed. All patients underwent MSCT examination. Using the postoperative pathological results as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‘gold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standard’,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detect</w:t>
      </w:r>
      <w:r>
        <w:rPr>
          <w:color w:val="231F20"/>
          <w:spacing w:val="-1"/>
        </w:rPr>
        <w:t>ion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AA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statistically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analyzed</w:t>
      </w:r>
      <w:r>
        <w:rPr>
          <w:color w:val="231F20"/>
          <w:spacing w:val="2"/>
        </w:rPr>
        <w:t>.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MSCT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signs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2"/>
        </w:rPr>
        <w:t>ﬀ</w:t>
      </w:r>
      <w:r>
        <w:rPr>
          <w:color w:val="231F20"/>
        </w:rPr>
        <w:t>erent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classi</w:t>
      </w:r>
      <w:r>
        <w:rPr>
          <w:color w:val="231F20"/>
          <w:spacing w:val="2"/>
        </w:rPr>
        <w:t>ﬁ</w:t>
      </w:r>
      <w:r>
        <w:rPr>
          <w:color w:val="231F20"/>
        </w:rPr>
        <w:t>cations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2"/>
        </w:rPr>
        <w:t>ﬀ</w:t>
      </w:r>
      <w:r>
        <w:rPr>
          <w:color w:val="231F20"/>
        </w:rPr>
        <w:t>erent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types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AA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detected </w:t>
      </w:r>
      <w:r>
        <w:rPr>
          <w:color w:val="231F20"/>
        </w:rPr>
        <w:t>by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MSCT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postoperative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pathological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compared</w:t>
      </w:r>
      <w:r>
        <w:rPr>
          <w:color w:val="231F20"/>
          <w:spacing w:val="1"/>
        </w:rPr>
        <w:t>.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Further</w:t>
      </w:r>
      <w:r>
        <w:rPr>
          <w:color w:val="231F20"/>
          <w:spacing w:val="1"/>
        </w:rPr>
        <w:t>,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consistency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1"/>
        </w:rPr>
        <w:t>ﬀ</w:t>
      </w:r>
      <w:r>
        <w:rPr>
          <w:color w:val="231F20"/>
        </w:rPr>
        <w:t>erent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types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AA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detected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by </w:t>
      </w:r>
      <w:r>
        <w:rPr>
          <w:color w:val="231F20"/>
        </w:rPr>
        <w:t>MSCT and postoperative pathological results was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analyzed. </w:t>
      </w:r>
      <w:r>
        <w:rPr>
          <w:b/>
          <w:bCs/>
          <w:color w:val="231F20"/>
        </w:rPr>
        <w:t>Results:</w:t>
      </w:r>
      <w:r>
        <w:rPr>
          <w:b/>
          <w:bCs/>
          <w:color w:val="231F20"/>
          <w:spacing w:val="6"/>
        </w:rPr>
        <w:t xml:space="preserve"> </w:t>
      </w:r>
      <w:r>
        <w:rPr>
          <w:color w:val="231F20"/>
        </w:rPr>
        <w:t>The postoperative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pathological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results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showed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</w:rPr>
        <w:t>amo</w:t>
      </w:r>
      <w:r>
        <w:rPr>
          <w:color w:val="231F20"/>
          <w:spacing w:val="-1"/>
        </w:rPr>
        <w:t>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"/>
        </w:rPr>
        <w:t>126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suspected AA,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96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cases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were AA 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30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cases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non-AA.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There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no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signiﬁcant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diﬀerences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1"/>
        </w:rPr>
        <w:t>MSCT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signs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such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fecal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stone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shadow,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cecal wall thickening, unclear appendix </w:t>
      </w:r>
      <w:r>
        <w:rPr>
          <w:color w:val="231F20"/>
          <w:spacing w:val="-2"/>
        </w:rPr>
        <w:t>boundary and lymph node enlargement in ileocecal region among the patients with diﬀerent types of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2"/>
        </w:rPr>
        <w:t>AA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(</w:t>
      </w:r>
      <w:r>
        <w:rPr>
          <w:i/>
          <w:iCs/>
          <w:color w:val="231F20"/>
          <w:spacing w:val="-2"/>
        </w:rPr>
        <w:t>P</w:t>
      </w:r>
      <w:r>
        <w:rPr>
          <w:color w:val="231F20"/>
          <w:spacing w:val="-2"/>
        </w:rPr>
        <w:t>&gt;0.05).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comparison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of MSCT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signs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2"/>
        </w:rPr>
        <w:t>such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as per</w:t>
      </w:r>
      <w:r>
        <w:rPr>
          <w:color w:val="231F20"/>
          <w:spacing w:val="-3"/>
        </w:rPr>
        <w:t>iappendiceal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exudation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appendix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diameter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&gt;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6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mm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the patients with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3"/>
        </w:rPr>
        <w:t>diﬀerent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types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AA showed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that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simple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&lt; suppurative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AA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&lt; gangre</w:t>
      </w:r>
      <w:r>
        <w:rPr>
          <w:color w:val="231F20"/>
          <w:spacing w:val="-3"/>
        </w:rPr>
        <w:t>nous and perforated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AA; the comparison 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MSCT signs such as gas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accumulation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3"/>
        </w:rPr>
        <w:t>shadow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and wall thickness &gt;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3 mm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showed that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simple AA &gt;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suppurative AA &gt;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gangrenous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and perforated AA;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3"/>
        </w:rPr>
        <w:t>and the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3"/>
        </w:rPr>
        <w:t>diﬀerences were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statistically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signiﬁcant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(</w:t>
      </w:r>
      <w:r>
        <w:rPr>
          <w:i/>
          <w:iCs/>
          <w:color w:val="231F20"/>
          <w:spacing w:val="-3"/>
        </w:rPr>
        <w:t>P</w:t>
      </w:r>
      <w:r>
        <w:rPr>
          <w:color w:val="231F20"/>
          <w:spacing w:val="-3"/>
        </w:rPr>
        <w:t>&lt;0.05).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MSCT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examination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results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3"/>
        </w:rPr>
        <w:t>showed that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96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cases were AA 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30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cases were non-AA, including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31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cases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of simple AA, 46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cases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of suppurative AA,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3"/>
        </w:rPr>
        <w:t>19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cases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gangrene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perforated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AA. The consistenc</w:t>
      </w:r>
      <w:r>
        <w:rPr>
          <w:color w:val="231F20"/>
          <w:spacing w:val="-3"/>
        </w:rPr>
        <w:t>y between the results of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diﬀerent types of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3"/>
        </w:rPr>
        <w:t>AA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detected by MSCT and the postoperative pathological results was good (Kappa =</w:t>
      </w:r>
      <w:r>
        <w:rPr>
          <w:color w:val="231F20"/>
        </w:rPr>
        <w:t xml:space="preserve"> </w:t>
      </w:r>
      <w:r>
        <w:rPr>
          <w:color w:val="231F20"/>
        </w:rPr>
        <w:t>0.978). </w:t>
      </w:r>
      <w:r>
        <w:rPr>
          <w:b/>
          <w:bCs/>
          <w:color w:val="231F20"/>
        </w:rPr>
        <w:t>Conclusions: </w:t>
      </w:r>
      <w:r>
        <w:rPr>
          <w:color w:val="231F20"/>
        </w:rPr>
        <w:t>MSCT examination has certain application value in the</w:t>
      </w:r>
      <w:r>
        <w:rPr>
          <w:color w:val="231F20"/>
          <w:spacing w:val="-1"/>
        </w:rPr>
        <w:t xml:space="preserve"> diagnosis pathological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classiﬁcation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AA.</w:t>
      </w:r>
    </w:p>
    <w:p>
      <w:pPr>
        <w:pStyle w:val="BodyText"/>
        <w:ind w:left="1125"/>
        <w:spacing w:before="1" w:line="230" w:lineRule="auto"/>
        <w:rPr/>
      </w:pPr>
      <w:r>
        <w:rPr>
          <w:rFonts w:ascii="SimSun" w:hAnsi="SimSun" w:eastAsia="SimSun" w:cs="SimSun"/>
          <w:color w:val="231F20"/>
        </w:rPr>
        <w:t>【</w:t>
      </w:r>
      <w:r>
        <w:rPr>
          <w:b/>
          <w:bCs/>
          <w:color w:val="231F20"/>
        </w:rPr>
        <w:t>Keywords</w:t>
      </w:r>
      <w:r>
        <w:rPr>
          <w:rFonts w:ascii="SimSun" w:hAnsi="SimSun" w:eastAsia="SimSun" w:cs="SimSun"/>
          <w:color w:val="231F20"/>
        </w:rPr>
        <w:t>】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</w:rPr>
        <w:t>Multi-slice spiral CT;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Acute appendicitis; Pathological classiﬁc</w:t>
      </w:r>
      <w:r>
        <w:rPr>
          <w:color w:val="231F20"/>
          <w:spacing w:val="-1"/>
        </w:rPr>
        <w:t>ation; Diagnosis; Value</w:t>
      </w:r>
    </w:p>
    <w:p>
      <w:pPr>
        <w:spacing w:line="237" w:lineRule="exact"/>
        <w:rPr/>
      </w:pPr>
      <w:r/>
    </w:p>
    <w:p>
      <w:pPr>
        <w:spacing w:line="237" w:lineRule="exact"/>
        <w:sectPr>
          <w:headerReference w:type="default" r:id="rId1"/>
          <w:footerReference w:type="default" r:id="rId2"/>
          <w:pgSz w:w="11906" w:h="16838"/>
          <w:pgMar w:top="1411" w:right="1052" w:bottom="1108" w:left="424" w:header="827" w:footer="898" w:gutter="0"/>
          <w:cols w:equalWidth="0" w:num="1">
            <w:col w:w="10430" w:space="0"/>
          </w:cols>
        </w:sectPr>
        <w:rPr/>
      </w:pPr>
    </w:p>
    <w:p>
      <w:pPr>
        <w:ind w:left="712" w:right="162" w:firstLine="430"/>
        <w:spacing w:before="39" w:line="282" w:lineRule="auto"/>
        <w:jc w:val="both"/>
        <w:rPr>
          <w:rFonts w:ascii="SimSun" w:hAnsi="SimSun" w:eastAsia="SimSun" w:cs="SimSun"/>
          <w:sz w:val="21"/>
          <w:szCs w:val="21"/>
        </w:rPr>
      </w:pPr>
      <w:r>
        <w:pict>
          <v:shape id="_x0000_s8" style="position:absolute;margin-left:35.5909pt;margin-top:87.8996pt;mso-position-vertical-relative:text;mso-position-horizontal-relative:text;width:120.45pt;height:0.2pt;z-index:251659264;" filled="false" strokecolor="#231F20" strokeweight="0.20pt" coordsize="2408,4" coordorigin="0,0" path="m0,1l2408,1e">
            <v:stroke joinstyle="miter" miterlimit="4"/>
          </v:shape>
        </w:pic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急性阑尾炎（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）是临床常见的急腹症，主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要表现为右下腹压痛、反跳痛，并伴有恶心呕吐等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症状，发病率较高，单纯性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可采用药物保守治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疗，当阑尾发生穿孔或周围脓肿时，可感染腹腔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及其他器官，甚至引发败血症，危及患者生命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9"/>
        </w:rPr>
        <w:t>[1-2]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</w:p>
    <w:p>
      <w:pPr>
        <w:ind w:left="716"/>
        <w:spacing w:before="246" w:line="218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position w:val="1"/>
        </w:rPr>
        <w:t>收稿日期：</w:t>
      </w:r>
      <w:r>
        <w:rPr>
          <w:rFonts w:ascii="SimSun" w:hAnsi="SimSun" w:eastAsia="SimSun" w:cs="SimSun"/>
          <w:sz w:val="16"/>
          <w:szCs w:val="16"/>
          <w:color w:val="231F20"/>
          <w:position w:val="1"/>
        </w:rPr>
        <w:t>2024-03-05</w:t>
      </w:r>
    </w:p>
    <w:p>
      <w:pPr>
        <w:ind w:left="717" w:right="244" w:hanging="1"/>
        <w:spacing w:before="2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作者简介：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贾学磊（1976.09—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），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男，汉族，河南上蔡人，本科，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副主任技师，研究方向为</w:t>
      </w:r>
      <w:r>
        <w:rPr>
          <w:rFonts w:ascii="SimSun" w:hAnsi="SimSun" w:eastAsia="SimSun" w:cs="SimSun"/>
          <w:sz w:val="16"/>
          <w:szCs w:val="16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CT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技术方面。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9"/>
        <w:spacing w:before="43" w:line="269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因此，鉴别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病理分型对临床诊治具有重要意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义。多层螺旋</w:t>
      </w:r>
      <w:r>
        <w:rPr>
          <w:rFonts w:ascii="SimSun" w:hAnsi="SimSun" w:eastAsia="SimSun" w:cs="SimSun"/>
          <w:sz w:val="21"/>
          <w:szCs w:val="21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（</w:t>
      </w:r>
      <w:r>
        <w:rPr>
          <w:rFonts w:ascii="SimSun" w:hAnsi="SimSun" w:eastAsia="SimSun" w:cs="SimSun"/>
          <w:sz w:val="21"/>
          <w:szCs w:val="21"/>
          <w:color w:val="231F20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）具有扫描速度快、图像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后处理能力强、操作简单等特点，且空间分辨率较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高，不易受阑尾周围肠气的干扰，对诊断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具有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较高的应用价值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6"/>
          <w:position w:val="9"/>
        </w:rPr>
        <w:t>[3-4]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。随着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及图像后处理技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术的不断更新，其成像清晰度及准确度均有所提高。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本文探讨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检查在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病理分型诊断中的应用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价值。</w:t>
      </w:r>
    </w:p>
    <w:p>
      <w:pPr>
        <w:spacing w:line="269" w:lineRule="auto"/>
        <w:sectPr>
          <w:type w:val="continuous"/>
          <w:pgSz w:w="11906" w:h="16838"/>
          <w:pgMar w:top="1411" w:right="1052" w:bottom="1108" w:left="424" w:header="827" w:footer="898" w:gutter="0"/>
          <w:cols w:equalWidth="0" w:num="2">
            <w:col w:w="5603" w:space="100"/>
            <w:col w:w="4728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70" w:lineRule="exact"/>
        <w:rPr/>
      </w:pPr>
      <w:r/>
    </w:p>
    <w:p>
      <w:pPr>
        <w:spacing w:line="170" w:lineRule="exact"/>
        <w:sectPr>
          <w:headerReference w:type="default" r:id="rId3"/>
          <w:footerReference w:type="default" r:id="rId4"/>
          <w:pgSz w:w="11906" w:h="16838"/>
          <w:pgMar w:top="1416" w:right="1050" w:bottom="1122" w:left="424" w:header="827" w:footer="911" w:gutter="0"/>
          <w:cols w:equalWidth="0" w:num="1">
            <w:col w:w="10432" w:space="0"/>
          </w:cols>
        </w:sectPr>
        <w:rPr/>
      </w:pPr>
    </w:p>
    <w:p>
      <w:pPr>
        <w:ind w:left="730"/>
        <w:spacing w:before="49" w:line="285" w:lineRule="exact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4"/>
          <w:position w:val="1"/>
        </w:rPr>
        <w:t>1</w:t>
      </w:r>
      <w:r>
        <w:rPr>
          <w:rFonts w:ascii="SimHei" w:hAnsi="SimHei" w:eastAsia="SimHei" w:cs="SimHei"/>
          <w:sz w:val="21"/>
          <w:szCs w:val="21"/>
          <w:color w:val="231F20"/>
          <w:spacing w:val="8"/>
          <w:position w:val="1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4"/>
          <w:position w:val="1"/>
        </w:rPr>
        <w:t>资料与方法</w:t>
      </w:r>
    </w:p>
    <w:p>
      <w:pPr>
        <w:ind w:left="712" w:right="150" w:firstLine="20"/>
        <w:spacing w:before="41" w:line="2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1.1  一般资料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回顾性分析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2021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年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月至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2023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月本院收治的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126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例疑似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患者的临床资料。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纳入标准：经体格检查、临床症状初步诊断为疑似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；临床资料完整；伴有不同程度的发热、恶心</w:t>
      </w:r>
      <w:r>
        <w:rPr>
          <w:rFonts w:ascii="SimSun" w:hAnsi="SimSun" w:eastAsia="SimSun" w:cs="SimSun"/>
          <w:sz w:val="21"/>
          <w:szCs w:val="21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呕吐、腹部疼痛等症状；有自主行为能力；语言沟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通能力正常；影像学检查后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h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内进行手术治疗，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明确病理分型。排除标准：合并恶性肿瘤；伴有严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重免疫性疾病；伴有其他严重感染性疾病；伴有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精神、心理异常；伴有严重心、肾功能不全；存在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凝血功能异常。其中男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75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例，女51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例；年龄</w:t>
      </w:r>
      <w:r>
        <w:rPr>
          <w:rFonts w:ascii="SimSun" w:hAnsi="SimSun" w:eastAsia="SimSun" w:cs="SimSun"/>
          <w:sz w:val="21"/>
          <w:szCs w:val="21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18~</w:t>
      </w:r>
    </w:p>
    <w:p>
      <w:pPr>
        <w:ind w:left="715" w:right="169"/>
        <w:spacing w:before="31" w:line="2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54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岁，平均（36.42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±8.73）岁；体质量指数（BMI）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20.3~25.1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kg/m</w:t>
      </w:r>
      <w:r>
        <w:rPr>
          <w:rFonts w:ascii="SimSun" w:hAnsi="SimSun" w:eastAsia="SimSun" w:cs="SimSun"/>
          <w:sz w:val="12"/>
          <w:szCs w:val="12"/>
          <w:color w:val="231F20"/>
          <w:spacing w:val="-6"/>
          <w:position w:val="9"/>
        </w:rPr>
        <w:t>2</w:t>
      </w:r>
      <w:r>
        <w:rPr>
          <w:rFonts w:ascii="SimSun" w:hAnsi="SimSun" w:eastAsia="SimSun" w:cs="SimSun"/>
          <w:sz w:val="12"/>
          <w:szCs w:val="12"/>
          <w:color w:val="231F20"/>
          <w:spacing w:val="-23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，平均（22.68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±</w:t>
      </w:r>
      <w:r>
        <w:rPr>
          <w:rFonts w:ascii="SimSun" w:hAnsi="SimSun" w:eastAsia="SimSun" w:cs="SimSun"/>
          <w:sz w:val="21"/>
          <w:szCs w:val="21"/>
          <w:color w:val="231F20"/>
          <w:spacing w:val="-8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5"/>
        </w:rPr>
        <w:t>1.19）kg/m</w:t>
      </w:r>
      <w:r>
        <w:rPr>
          <w:rFonts w:ascii="SimSun" w:hAnsi="SimSun" w:eastAsia="SimSun" w:cs="SimSun"/>
          <w:sz w:val="12"/>
          <w:szCs w:val="12"/>
          <w:color w:val="231F20"/>
          <w:spacing w:val="2"/>
          <w:position w:val="9"/>
        </w:rPr>
        <w:t>2</w:t>
      </w:r>
      <w:r>
        <w:rPr>
          <w:rFonts w:ascii="SimSun" w:hAnsi="SimSun" w:eastAsia="SimSun" w:cs="SimSun"/>
          <w:sz w:val="12"/>
          <w:szCs w:val="12"/>
          <w:color w:val="231F20"/>
          <w:spacing w:val="-24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；体温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36.8~39.9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℃,平均（38.32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±0.75）℃。</w:t>
      </w:r>
    </w:p>
    <w:p>
      <w:pPr>
        <w:ind w:left="712" w:right="145" w:firstLine="20"/>
        <w:spacing w:before="34" w:line="27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1.2  方法  </w:t>
      </w:r>
      <w:r>
        <w:rPr>
          <w:rFonts w:ascii="SimSun" w:hAnsi="SimSun" w:eastAsia="SimSun" w:cs="SimSun"/>
          <w:sz w:val="21"/>
          <w:szCs w:val="21"/>
          <w:color w:val="231F20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检查方法：使用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GE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Lightspeed  </w:t>
      </w:r>
      <w:r>
        <w:rPr>
          <w:rFonts w:ascii="SimSun" w:hAnsi="SimSun" w:eastAsia="SimSun" w:cs="SimSun"/>
          <w:sz w:val="21"/>
          <w:szCs w:val="21"/>
          <w:color w:val="231F20"/>
        </w:rPr>
        <w:t>VCT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64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层螺旋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CT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扫描仪，嘱患者保持仰卧位，</w:t>
      </w:r>
      <w:r>
        <w:rPr>
          <w:rFonts w:ascii="SimSun" w:hAnsi="SimSun" w:eastAsia="SimSun" w:cs="SimSun"/>
          <w:sz w:val="21"/>
          <w:szCs w:val="21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自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上而下平扫腹部，扫描范围自膈肌上缘经腰椎段、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盆腔区至耻骨联合。扫描参数：电流</w:t>
      </w:r>
      <w:r>
        <w:rPr>
          <w:rFonts w:ascii="SimSun" w:hAnsi="SimSun" w:eastAsia="SimSun" w:cs="SimSun"/>
          <w:sz w:val="21"/>
          <w:szCs w:val="21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200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mA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，电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压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120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kV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，螺距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，准直宽度 1.2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，层距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1.0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，层厚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2.5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，矩阵</w:t>
      </w:r>
      <w:r>
        <w:rPr>
          <w:rFonts w:ascii="SimSun" w:hAnsi="SimSun" w:eastAsia="SimSun" w:cs="SimSun"/>
          <w:sz w:val="21"/>
          <w:szCs w:val="21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512×512。扫描结束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后，将图像上传至工作站进行图像后处理，先进行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三维薄层重建，再进行多平面重组，获得冠状面及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矢状面图像。所有图像均由</w: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2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"/>
        </w:rPr>
        <w:t>位资深影像科医师分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别独立审阅，对有疑问的样本，需协商后给出一致 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结论。</w:t>
      </w:r>
    </w:p>
    <w:p>
      <w:pPr>
        <w:ind w:left="713" w:right="150" w:firstLine="19"/>
        <w:spacing w:before="71" w:line="2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1.3  观察指标</w:t>
      </w:r>
      <w:r>
        <w:rPr>
          <w:rFonts w:ascii="SimSun" w:hAnsi="SimSun" w:eastAsia="SimSun" w:cs="SimSun"/>
          <w:sz w:val="21"/>
          <w:szCs w:val="21"/>
          <w:color w:val="231F20"/>
          <w:spacing w:val="8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（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1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）统计术后病理检查检出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情况。（2）比较不同分型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患者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征象，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包括阑尾周围渗出、粪石影、积气影、盲肠壁增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厚、管壁厚度</w:t>
      </w:r>
      <w:r>
        <w:rPr>
          <w:rFonts w:ascii="SimSun" w:hAnsi="SimSun" w:eastAsia="SimSun" w:cs="SimSun"/>
          <w:sz w:val="21"/>
          <w:szCs w:val="21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&gt;3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、阑尾边界不清晰、阑尾管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径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&gt;6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、回盲部淋巴结肿大。（3）比较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MSCT </w:t>
      </w:r>
      <w:r>
        <w:rPr>
          <w:rFonts w:ascii="SimSun" w:hAnsi="SimSun" w:eastAsia="SimSun" w:cs="SimSun"/>
          <w:sz w:val="21"/>
          <w:szCs w:val="21"/>
          <w:color w:val="231F20"/>
          <w:spacing w:val="33"/>
        </w:rPr>
        <w:t>检查检出不同分型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3"/>
        </w:rPr>
        <w:t>结果与术后病理结果。</w:t>
      </w:r>
    </w:p>
    <w:p>
      <w:pPr>
        <w:ind w:left="712" w:right="230" w:hanging="12"/>
        <w:spacing w:before="67" w:line="27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（4）分析</w:t>
      </w:r>
      <w:r>
        <w:rPr>
          <w:rFonts w:ascii="SimSun" w:hAnsi="SimSun" w:eastAsia="SimSun" w:cs="SimSun"/>
          <w:sz w:val="21"/>
          <w:szCs w:val="21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检查检出不同分型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结果与术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后病理结果的一致性。</w:t>
      </w:r>
    </w:p>
    <w:p>
      <w:pPr>
        <w:ind w:left="732"/>
        <w:spacing w:before="19" w:line="287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1"/>
        </w:rPr>
        <w:t>1.4  统计学方法  应用</w:t>
      </w:r>
      <w:r>
        <w:rPr>
          <w:rFonts w:ascii="SimSun" w:hAnsi="SimSun" w:eastAsia="SimSun" w:cs="SimSun"/>
          <w:sz w:val="21"/>
          <w:szCs w:val="21"/>
          <w:color w:val="231F20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1"/>
        </w:rPr>
        <w:t>SPSS</w:t>
      </w:r>
      <w:r>
        <w:rPr>
          <w:rFonts w:ascii="SimSun" w:hAnsi="SimSun" w:eastAsia="SimSun" w:cs="SimSun"/>
          <w:sz w:val="21"/>
          <w:szCs w:val="21"/>
          <w:color w:val="231F20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1"/>
        </w:rPr>
        <w:t>25.0</w:t>
      </w:r>
      <w:r>
        <w:rPr>
          <w:rFonts w:ascii="SimSun" w:hAnsi="SimSun" w:eastAsia="SimSun" w:cs="SimSun"/>
          <w:sz w:val="21"/>
          <w:szCs w:val="21"/>
          <w:color w:val="231F20"/>
          <w:spacing w:val="-43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1"/>
        </w:rPr>
        <w:t>软件进行统计学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 w:right="15"/>
        <w:spacing w:before="61" w:line="278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分析，计量资料以（</w:t>
      </w:r>
      <w:r>
        <w:rPr>
          <w:sz w:val="21"/>
          <w:szCs w:val="21"/>
          <w:i/>
          <w:iCs/>
          <w:color w:val="231F20"/>
          <w:spacing w:val="-3"/>
        </w:rPr>
        <w:t>x</w:t>
      </w:r>
      <w:r>
        <w:rPr>
          <w:rFonts w:ascii="SimSun" w:hAnsi="SimSun" w:eastAsia="SimSun" w:cs="SimSun"/>
          <w:sz w:val="8"/>
          <w:szCs w:val="8"/>
          <w:color w:val="231F20"/>
          <w:spacing w:val="-3"/>
          <w:position w:val="13"/>
        </w:rPr>
        <w:t>—</w:t>
      </w:r>
      <w:r>
        <w:rPr>
          <w:rFonts w:ascii="SimSun" w:hAnsi="SimSun" w:eastAsia="SimSun" w:cs="SimSun"/>
          <w:sz w:val="8"/>
          <w:szCs w:val="8"/>
          <w:color w:val="231F20"/>
          <w:spacing w:val="30"/>
          <w:w w:val="101"/>
          <w:position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±</w:t>
      </w:r>
      <w:r>
        <w:rPr>
          <w:sz w:val="21"/>
          <w:szCs w:val="21"/>
          <w:i/>
          <w:iCs/>
          <w:color w:val="231F20"/>
          <w:spacing w:val="-3"/>
        </w:rPr>
        <w:t>s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）表示，采用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i/>
          <w:iCs/>
          <w:color w:val="231F20"/>
          <w:spacing w:val="-3"/>
        </w:rPr>
        <w:t>t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检验，计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数资料以率（%）表示，采用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sz w:val="21"/>
          <w:szCs w:val="21"/>
          <w:i/>
          <w:iCs/>
          <w:color w:val="231F20"/>
          <w:spacing w:val="3"/>
        </w:rPr>
        <w:t>χ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9"/>
        </w:rPr>
        <w:t>2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检验，一致性分析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采用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Kappa检验，其中</w:t>
      </w:r>
      <w:r>
        <w:rPr>
          <w:rFonts w:ascii="SimSun" w:hAnsi="SimSun" w:eastAsia="SimSun" w:cs="SimSun"/>
          <w:sz w:val="21"/>
          <w:szCs w:val="21"/>
          <w:color w:val="231F20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Kappa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≥</w:t>
      </w:r>
      <w:r>
        <w:rPr>
          <w:rFonts w:ascii="SimSun" w:hAnsi="SimSun" w:eastAsia="SimSun" w:cs="SimSun"/>
          <w:sz w:val="21"/>
          <w:szCs w:val="21"/>
          <w:color w:val="231F20"/>
          <w:spacing w:val="-6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0.75</w:t>
      </w:r>
      <w:r>
        <w:rPr>
          <w:rFonts w:ascii="SimSun" w:hAnsi="SimSun" w:eastAsia="SimSun" w:cs="SimSun"/>
          <w:sz w:val="21"/>
          <w:szCs w:val="21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为一致性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较好，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0.40 ≤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Kappa&lt;0.75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为一致性一般，K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appa&lt;0.40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一致性欠佳，以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sz w:val="21"/>
          <w:szCs w:val="21"/>
          <w:i/>
          <w:iCs/>
          <w:color w:val="231F20"/>
          <w:spacing w:val="-4"/>
        </w:rPr>
        <w:t>P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&lt;0.05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为差异有统计学意义。</w:t>
      </w:r>
    </w:p>
    <w:p>
      <w:pPr>
        <w:ind w:left="14"/>
        <w:spacing w:before="5" w:line="290" w:lineRule="exact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1"/>
          <w:position w:val="1"/>
        </w:rPr>
        <w:t>2</w:t>
      </w:r>
      <w:r>
        <w:rPr>
          <w:rFonts w:ascii="SimHei" w:hAnsi="SimHei" w:eastAsia="SimHei" w:cs="SimHei"/>
          <w:sz w:val="21"/>
          <w:szCs w:val="21"/>
          <w:color w:val="231F20"/>
          <w:spacing w:val="7"/>
          <w:position w:val="1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1"/>
          <w:position w:val="1"/>
        </w:rPr>
        <w:t>结果</w:t>
      </w:r>
    </w:p>
    <w:p>
      <w:pPr>
        <w:ind w:left="12" w:right="84" w:firstLine="2"/>
        <w:spacing w:before="30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2.1  术后病理检查检出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情况  术后病理检查结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果显示，126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例疑似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患者中，96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例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，其中</w:t>
      </w:r>
    </w:p>
    <w:p>
      <w:pPr>
        <w:ind w:left="13" w:right="83" w:firstLine="4"/>
        <w:spacing w:before="32" w:line="2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31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例单纯性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，46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例化脓性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，19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例坏疽及穿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孔性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；30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例非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，其中胰腺炎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15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例，胆囊炎</w:t>
      </w:r>
    </w:p>
    <w:p>
      <w:pPr>
        <w:ind w:left="13"/>
        <w:spacing w:before="33" w:line="287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1"/>
        </w:rPr>
        <w:t>7</w:t>
      </w:r>
      <w:r>
        <w:rPr>
          <w:rFonts w:ascii="SimSun" w:hAnsi="SimSun" w:eastAsia="SimSun" w:cs="SimSun"/>
          <w:sz w:val="21"/>
          <w:szCs w:val="21"/>
          <w:color w:val="231F20"/>
          <w:spacing w:val="-38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1"/>
        </w:rPr>
        <w:t>例，盲肠炎</w:t>
      </w:r>
      <w:r>
        <w:rPr>
          <w:rFonts w:ascii="SimSun" w:hAnsi="SimSun" w:eastAsia="SimSun" w:cs="SimSun"/>
          <w:sz w:val="21"/>
          <w:szCs w:val="21"/>
          <w:color w:val="231F20"/>
          <w:spacing w:val="-50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1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1"/>
        </w:rPr>
        <w:t>例，尿路感染</w:t>
      </w:r>
      <w:r>
        <w:rPr>
          <w:rFonts w:ascii="SimSun" w:hAnsi="SimSun" w:eastAsia="SimSun" w:cs="SimSun"/>
          <w:sz w:val="21"/>
          <w:szCs w:val="21"/>
          <w:color w:val="231F20"/>
          <w:spacing w:val="-50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1"/>
        </w:rPr>
        <w:t>4</w:t>
      </w:r>
      <w:r>
        <w:rPr>
          <w:rFonts w:ascii="SimSun" w:hAnsi="SimSun" w:eastAsia="SimSun" w:cs="SimSun"/>
          <w:sz w:val="21"/>
          <w:szCs w:val="21"/>
          <w:color w:val="231F20"/>
          <w:spacing w:val="-47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  <w:position w:val="1"/>
        </w:rPr>
        <w:t>例。</w:t>
      </w:r>
    </w:p>
    <w:p>
      <w:pPr>
        <w:pStyle w:val="BodyText"/>
        <w:ind w:firstLine="14"/>
        <w:spacing w:before="34" w:line="2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2.2  不同分型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患者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征象比较  不同分型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>患者粪石影、盲肠壁增厚、阑尾边界不清晰、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回盲部淋巴结肿大等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>征象比较，差异均无统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计学意义（</w:t>
      </w:r>
      <w:r>
        <w:rPr>
          <w:sz w:val="21"/>
          <w:szCs w:val="21"/>
          <w:i/>
          <w:iCs/>
          <w:color w:val="231F20"/>
          <w:spacing w:val="2"/>
        </w:rPr>
        <w:t>P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&gt;0.05</w:t>
      </w:r>
      <w:r>
        <w:rPr>
          <w:rFonts w:ascii="SimSun" w:hAnsi="SimSun" w:eastAsia="SimSun" w:cs="SimSun"/>
          <w:sz w:val="21"/>
          <w:szCs w:val="21"/>
          <w:color w:val="231F20"/>
          <w:spacing w:val="23"/>
        </w:rPr>
        <w:t>）；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不同分型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"/>
        </w:rPr>
        <w:t>患者阑尾周围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渗出、阑尾管径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&gt;6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等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征象比较，单纯性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&lt;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化脓性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&lt;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坏疽及穿孔性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24"/>
        </w:rPr>
        <w:t>，积气影、管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壁厚度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&gt;3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等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征象比较，单纯性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&gt;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化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脓性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&gt;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坏疽及穿孔性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，差异均有统计学意义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（</w:t>
      </w:r>
      <w:r>
        <w:rPr>
          <w:sz w:val="21"/>
          <w:szCs w:val="21"/>
          <w:i/>
          <w:iCs/>
          <w:color w:val="231F20"/>
          <w:spacing w:val="-6"/>
        </w:rPr>
        <w:t>P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&lt;0.05）。见表</w:t>
      </w: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1。</w:t>
      </w:r>
    </w:p>
    <w:p>
      <w:pPr>
        <w:ind w:left="13" w:right="15"/>
        <w:spacing w:before="33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2.3  </w:t>
      </w:r>
      <w:r>
        <w:rPr>
          <w:rFonts w:ascii="SimSun" w:hAnsi="SimSun" w:eastAsia="SimSun" w:cs="SimSun"/>
          <w:sz w:val="21"/>
          <w:szCs w:val="21"/>
          <w:color w:val="231F20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检查检出不同分型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结果与术后病理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检查结果比较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检查结果显示，96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例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>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30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例非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，其中</w:t>
      </w:r>
      <w:r>
        <w:rPr>
          <w:rFonts w:ascii="SimSun" w:hAnsi="SimSun" w:eastAsia="SimSun" w:cs="SimSun"/>
          <w:sz w:val="21"/>
          <w:szCs w:val="21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31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例单纯性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，46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>例化脓性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，19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例坏疽及穿孔性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。见表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2。</w:t>
      </w:r>
    </w:p>
    <w:p>
      <w:pPr>
        <w:ind w:left="13" w:right="15" w:firstLine="1"/>
        <w:spacing w:before="32" w:line="27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2.4  </w:t>
      </w:r>
      <w:r>
        <w:rPr>
          <w:rFonts w:ascii="SimSun" w:hAnsi="SimSun" w:eastAsia="SimSun" w:cs="SimSun"/>
          <w:sz w:val="21"/>
          <w:szCs w:val="21"/>
          <w:color w:val="231F20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检查检出不同分型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结果与术后病理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结果的一致性分析  以术后病理结果为“金标准”，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检查检出不同分型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5"/>
        </w:rPr>
        <w:t>结果与术后病理结果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的一致性较好（Kappa=0.978）。</w:t>
      </w:r>
    </w:p>
    <w:p>
      <w:pPr>
        <w:ind w:left="16"/>
        <w:spacing w:before="38" w:line="288" w:lineRule="exact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1"/>
          <w:position w:val="1"/>
        </w:rPr>
        <w:t>3</w:t>
      </w:r>
      <w:r>
        <w:rPr>
          <w:rFonts w:ascii="SimHei" w:hAnsi="SimHei" w:eastAsia="SimHei" w:cs="SimHei"/>
          <w:sz w:val="21"/>
          <w:szCs w:val="21"/>
          <w:color w:val="231F20"/>
          <w:spacing w:val="1"/>
          <w:position w:val="1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1"/>
          <w:position w:val="1"/>
        </w:rPr>
        <w:t>讨论</w:t>
      </w:r>
    </w:p>
    <w:p>
      <w:pPr>
        <w:ind w:left="12" w:right="2" w:firstLine="426"/>
        <w:spacing w:before="11" w:line="287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发病率居外科急腹症首位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9"/>
        </w:rPr>
        <w:t>[5]</w:t>
      </w:r>
      <w:r>
        <w:rPr>
          <w:rFonts w:ascii="SimSun" w:hAnsi="SimSun" w:eastAsia="SimSun" w:cs="SimSun"/>
          <w:sz w:val="12"/>
          <w:szCs w:val="12"/>
          <w:color w:val="231F20"/>
          <w:spacing w:val="-35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。手术是目前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临床诊断</w:t>
      </w:r>
      <w:r>
        <w:rPr>
          <w:rFonts w:ascii="SimSun" w:hAnsi="SimSun" w:eastAsia="SimSun" w:cs="SimSun"/>
          <w:sz w:val="21"/>
          <w:szCs w:val="21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分型的“金标准”，但其属于有创操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作，术后恢复时间长，且耗时长、要求高，难以快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速获取诊断结果，而部分患者疼痛程度较轻，未达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到手术指征，对手术接受度较低，临床应用受限</w:t>
      </w:r>
      <w:r>
        <w:rPr>
          <w:rFonts w:ascii="SimSun" w:hAnsi="SimSun" w:eastAsia="SimSun" w:cs="SimSun"/>
          <w:sz w:val="12"/>
          <w:szCs w:val="12"/>
          <w:color w:val="231F20"/>
          <w:spacing w:val="-8"/>
          <w:position w:val="9"/>
        </w:rPr>
        <w:t>[6-7]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。</w:t>
      </w:r>
    </w:p>
    <w:p>
      <w:pPr>
        <w:spacing w:line="287" w:lineRule="auto"/>
        <w:sectPr>
          <w:type w:val="continuous"/>
          <w:pgSz w:w="11906" w:h="16838"/>
          <w:pgMar w:top="1416" w:right="1050" w:bottom="1122" w:left="424" w:header="827" w:footer="911" w:gutter="0"/>
          <w:cols w:equalWidth="0" w:num="2">
            <w:col w:w="5590" w:space="100"/>
            <w:col w:w="4742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ind w:left="3362"/>
        <w:spacing w:before="250" w:line="243" w:lineRule="exact"/>
        <w:outlineLvl w:val="1"/>
        <w:rPr>
          <w:rFonts w:ascii="SimHei" w:hAnsi="SimHei" w:eastAsia="SimHei" w:cs="SimHei"/>
          <w:sz w:val="18"/>
          <w:szCs w:val="18"/>
        </w:rPr>
      </w:pPr>
      <w:r>
        <w:pict>
          <v:shape id="_x0000_s14" style="position:absolute;margin-left:35.4991pt;margin-top:-554.123pt;mso-position-vertical-relative:text;mso-position-horizontal-relative:text;width:481.9pt;height:0.35pt;z-index:251660288;" filled="false" strokecolor="#231F20" strokeweight="0.30pt" coordsize="9637,6" coordorigin="0,0" path="m0,3l9637,3e">
            <v:stroke joinstyle="miter" miterlimit="4"/>
          </v:shape>
        </w:pict>
      </w:r>
      <w:r>
        <w:rPr>
          <w:rFonts w:ascii="SimHei" w:hAnsi="SimHei" w:eastAsia="SimHei" w:cs="SimHei"/>
          <w:sz w:val="18"/>
          <w:szCs w:val="18"/>
          <w:color w:val="231F20"/>
          <w:spacing w:val="6"/>
          <w:position w:val="1"/>
        </w:rPr>
        <w:t>表</w:t>
      </w:r>
      <w:r>
        <w:rPr>
          <w:rFonts w:ascii="SimHei" w:hAnsi="SimHei" w:eastAsia="SimHei" w:cs="SimHei"/>
          <w:sz w:val="18"/>
          <w:szCs w:val="18"/>
          <w:color w:val="231F20"/>
          <w:spacing w:val="-28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6"/>
          <w:position w:val="1"/>
        </w:rPr>
        <w:t>1</w:t>
      </w:r>
      <w:r>
        <w:rPr>
          <w:rFonts w:ascii="SimHei" w:hAnsi="SimHei" w:eastAsia="SimHei" w:cs="SimHei"/>
          <w:sz w:val="18"/>
          <w:szCs w:val="18"/>
          <w:color w:val="231F20"/>
          <w:spacing w:val="3"/>
          <w:position w:val="1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  <w:spacing w:val="6"/>
          <w:position w:val="1"/>
        </w:rPr>
        <w:t>不同病理分型</w:t>
      </w:r>
      <w:r>
        <w:rPr>
          <w:rFonts w:ascii="SimHei" w:hAnsi="SimHei" w:eastAsia="SimHei" w:cs="SimHei"/>
          <w:sz w:val="18"/>
          <w:szCs w:val="18"/>
          <w:color w:val="231F20"/>
          <w:spacing w:val="-43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position w:val="1"/>
        </w:rPr>
        <w:t>AA</w:t>
      </w:r>
      <w:r>
        <w:rPr>
          <w:rFonts w:ascii="SimHei" w:hAnsi="SimHei" w:eastAsia="SimHei" w:cs="SimHei"/>
          <w:sz w:val="18"/>
          <w:szCs w:val="18"/>
          <w:color w:val="231F20"/>
          <w:spacing w:val="-33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6"/>
          <w:position w:val="1"/>
        </w:rPr>
        <w:t>患者</w:t>
      </w:r>
      <w:r>
        <w:rPr>
          <w:rFonts w:ascii="SimHei" w:hAnsi="SimHei" w:eastAsia="SimHei" w:cs="SimHei"/>
          <w:sz w:val="18"/>
          <w:szCs w:val="18"/>
          <w:color w:val="231F20"/>
          <w:spacing w:val="-33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position w:val="1"/>
        </w:rPr>
        <w:t>MSCT</w:t>
      </w:r>
      <w:r>
        <w:rPr>
          <w:rFonts w:ascii="SimHei" w:hAnsi="SimHei" w:eastAsia="SimHei" w:cs="SimHei"/>
          <w:sz w:val="18"/>
          <w:szCs w:val="18"/>
          <w:color w:val="231F20"/>
          <w:spacing w:val="-39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6"/>
          <w:position w:val="1"/>
        </w:rPr>
        <w:t>征象比较</w:t>
      </w:r>
      <w:r>
        <w:rPr>
          <w:rFonts w:ascii="SimHei" w:hAnsi="SimHei" w:eastAsia="SimHei" w:cs="SimHei"/>
          <w:sz w:val="18"/>
          <w:szCs w:val="18"/>
          <w:color w:val="231F20"/>
          <w:spacing w:val="-34"/>
          <w:position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6"/>
          <w:position w:val="1"/>
        </w:rPr>
        <w:t>[</w:t>
      </w:r>
      <w:r>
        <w:rPr>
          <w:sz w:val="18"/>
          <w:szCs w:val="18"/>
          <w:i/>
          <w:iCs/>
          <w:color w:val="231F20"/>
          <w:spacing w:val="6"/>
          <w:position w:val="1"/>
        </w:rPr>
        <w:t>n</w:t>
      </w:r>
      <w:r>
        <w:rPr>
          <w:rFonts w:ascii="SimHei" w:hAnsi="SimHei" w:eastAsia="SimHei" w:cs="SimHei"/>
          <w:sz w:val="18"/>
          <w:szCs w:val="18"/>
          <w:color w:val="231F20"/>
          <w:spacing w:val="6"/>
          <w:position w:val="1"/>
        </w:rPr>
        <w:t>（%）]</w:t>
      </w:r>
    </w:p>
    <w:tbl>
      <w:tblPr>
        <w:tblStyle w:val="TableNormal"/>
        <w:tblW w:w="9637" w:type="dxa"/>
        <w:tblInd w:w="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51"/>
        <w:gridCol w:w="1134"/>
        <w:gridCol w:w="933"/>
        <w:gridCol w:w="1093"/>
        <w:gridCol w:w="943"/>
        <w:gridCol w:w="1072"/>
        <w:gridCol w:w="996"/>
        <w:gridCol w:w="1065"/>
        <w:gridCol w:w="1050"/>
      </w:tblGrid>
      <w:tr>
        <w:trPr>
          <w:trHeight w:val="559" w:hRule="atLeast"/>
        </w:trPr>
        <w:tc>
          <w:tcPr>
            <w:tcW w:w="135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63"/>
              <w:spacing w:before="201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病理分型</w:t>
            </w:r>
          </w:p>
        </w:tc>
        <w:tc>
          <w:tcPr>
            <w:tcW w:w="113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1"/>
              <w:spacing w:before="201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</w:rPr>
              <w:t>阑尾周围渗出</w:t>
            </w:r>
          </w:p>
        </w:tc>
        <w:tc>
          <w:tcPr>
            <w:tcW w:w="93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26"/>
              <w:spacing w:before="203" w:line="20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粪石影</w:t>
            </w:r>
          </w:p>
        </w:tc>
        <w:tc>
          <w:tcPr>
            <w:tcW w:w="109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22"/>
              <w:spacing w:before="201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2"/>
              </w:rPr>
              <w:t>积气影</w:t>
            </w:r>
          </w:p>
        </w:tc>
        <w:tc>
          <w:tcPr>
            <w:tcW w:w="94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77"/>
              <w:spacing w:before="201" w:line="21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盲肠壁增厚</w:t>
            </w:r>
          </w:p>
        </w:tc>
        <w:tc>
          <w:tcPr>
            <w:tcW w:w="107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3"/>
              <w:spacing w:before="102" w:line="21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管壁厚度</w:t>
            </w:r>
            <w:r>
              <w:rPr>
                <w:sz w:val="16"/>
                <w:szCs w:val="16"/>
                <w:color w:val="231F20"/>
                <w:spacing w:val="-34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&gt;</w:t>
            </w:r>
          </w:p>
          <w:p>
            <w:pPr>
              <w:pStyle w:val="TableText"/>
              <w:ind w:left="355"/>
              <w:spacing w:before="9" w:line="236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9"/>
                <w:position w:val="1"/>
              </w:rPr>
              <w:t>3</w:t>
            </w:r>
            <w:r>
              <w:rPr>
                <w:sz w:val="16"/>
                <w:szCs w:val="16"/>
                <w:color w:val="231F20"/>
                <w:spacing w:val="-37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9"/>
                <w:position w:val="1"/>
              </w:rPr>
              <w:t>mm</w:t>
            </w:r>
          </w:p>
        </w:tc>
        <w:tc>
          <w:tcPr>
            <w:tcW w:w="99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37" w:right="201" w:hanging="66"/>
              <w:spacing w:before="103" w:line="23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</w:rPr>
              <w:t>阑尾边界</w:t>
            </w:r>
            <w:r>
              <w:rPr>
                <w:sz w:val="16"/>
                <w:szCs w:val="16"/>
                <w:color w:val="231F20"/>
                <w:spacing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-1"/>
              </w:rPr>
              <w:t>不清晰</w:t>
            </w:r>
          </w:p>
        </w:tc>
        <w:tc>
          <w:tcPr>
            <w:tcW w:w="106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73"/>
              <w:spacing w:before="103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</w:rPr>
              <w:t>阑尾</w:t>
            </w:r>
          </w:p>
          <w:p>
            <w:pPr>
              <w:pStyle w:val="TableText"/>
              <w:ind w:left="123"/>
              <w:spacing w:before="10" w:line="218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5"/>
                <w:position w:val="1"/>
              </w:rPr>
              <w:t>管径</w:t>
            </w:r>
            <w:r>
              <w:rPr>
                <w:sz w:val="16"/>
                <w:szCs w:val="16"/>
                <w:color w:val="231F20"/>
                <w:spacing w:val="-34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15"/>
                <w:position w:val="1"/>
              </w:rPr>
              <w:t>&gt;6</w:t>
            </w:r>
            <w:r>
              <w:rPr>
                <w:sz w:val="16"/>
                <w:szCs w:val="16"/>
                <w:color w:val="231F20"/>
                <w:spacing w:val="-36"/>
                <w:position w:val="1"/>
              </w:rPr>
              <w:t xml:space="preserve"> </w:t>
            </w:r>
            <w:r>
              <w:rPr>
                <w:sz w:val="16"/>
                <w:szCs w:val="16"/>
                <w:color w:val="231F20"/>
                <w:position w:val="1"/>
              </w:rPr>
              <w:t>mm</w:t>
            </w:r>
          </w:p>
        </w:tc>
        <w:tc>
          <w:tcPr>
            <w:tcW w:w="105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4"/>
              <w:spacing w:before="101" w:line="21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4"/>
              </w:rPr>
              <w:t>回盲部淋巴结</w:t>
            </w:r>
          </w:p>
          <w:p>
            <w:pPr>
              <w:pStyle w:val="TableText"/>
              <w:ind w:left="356"/>
              <w:spacing w:before="19" w:line="21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肿大</w:t>
            </w:r>
          </w:p>
        </w:tc>
      </w:tr>
      <w:tr>
        <w:trPr>
          <w:trHeight w:val="274" w:hRule="atLeast"/>
        </w:trPr>
        <w:tc>
          <w:tcPr>
            <w:tcW w:w="13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"/>
              <w:spacing w:before="54" w:line="24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3"/>
              </w:rPr>
              <w:t>单纯性</w:t>
            </w:r>
            <w:r>
              <w:rPr>
                <w:sz w:val="16"/>
                <w:szCs w:val="16"/>
                <w:color w:val="231F20"/>
              </w:rPr>
              <w:t>AA</w:t>
            </w:r>
            <w:r>
              <w:rPr>
                <w:sz w:val="16"/>
                <w:szCs w:val="16"/>
                <w:color w:val="231F20"/>
                <w:spacing w:val="3"/>
              </w:rPr>
              <w:t>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3"/>
              </w:rPr>
              <w:t>n</w:t>
            </w:r>
            <w:r>
              <w:rPr>
                <w:sz w:val="16"/>
                <w:szCs w:val="16"/>
                <w:color w:val="231F20"/>
                <w:spacing w:val="3"/>
              </w:rPr>
              <w:t>=31）</w:t>
            </w:r>
          </w:p>
        </w:tc>
        <w:tc>
          <w:tcPr>
            <w:tcW w:w="113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9"/>
              <w:spacing w:before="54" w:line="24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6"/>
              </w:rPr>
              <w:t>8（25.81）</w:t>
            </w:r>
          </w:p>
        </w:tc>
        <w:tc>
          <w:tcPr>
            <w:tcW w:w="9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13"/>
              <w:spacing w:before="54" w:line="242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7"/>
              </w:rPr>
              <w:t>19（61.29）</w:t>
            </w:r>
          </w:p>
        </w:tc>
        <w:tc>
          <w:tcPr>
            <w:tcW w:w="10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1"/>
              <w:spacing w:before="54" w:line="24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</w:rPr>
              <w:t>24（77.42）</w:t>
            </w:r>
          </w:p>
        </w:tc>
        <w:tc>
          <w:tcPr>
            <w:tcW w:w="94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right="7"/>
              <w:spacing w:before="54" w:line="242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6"/>
              </w:rPr>
              <w:t>26（83.87）</w:t>
            </w:r>
          </w:p>
        </w:tc>
        <w:tc>
          <w:tcPr>
            <w:tcW w:w="10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4"/>
              <w:spacing w:before="54" w:line="24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</w:rPr>
              <w:t>23（74.19）</w:t>
            </w:r>
          </w:p>
        </w:tc>
        <w:tc>
          <w:tcPr>
            <w:tcW w:w="99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7"/>
              <w:spacing w:before="54" w:line="24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</w:rPr>
              <w:t>29（93.55）</w:t>
            </w:r>
          </w:p>
        </w:tc>
        <w:tc>
          <w:tcPr>
            <w:tcW w:w="106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90"/>
              <w:spacing w:before="54" w:line="24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6"/>
              </w:rPr>
              <w:t>9（29.03）</w:t>
            </w:r>
          </w:p>
        </w:tc>
        <w:tc>
          <w:tcPr>
            <w:tcW w:w="10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5"/>
              <w:spacing w:before="54" w:line="24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</w:rPr>
              <w:t>31（100.00）</w:t>
            </w:r>
          </w:p>
        </w:tc>
      </w:tr>
      <w:tr>
        <w:trPr>
          <w:trHeight w:val="305" w:hRule="atLeast"/>
        </w:trPr>
        <w:tc>
          <w:tcPr>
            <w:tcW w:w="1351" w:type="dxa"/>
            <w:vAlign w:val="top"/>
          </w:tcPr>
          <w:p>
            <w:pPr>
              <w:pStyle w:val="TableText"/>
              <w:ind w:left="32"/>
              <w:spacing w:before="64" w:line="21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3"/>
                <w:position w:val="1"/>
              </w:rPr>
              <w:t>化脓性</w:t>
            </w:r>
            <w:r>
              <w:rPr>
                <w:sz w:val="16"/>
                <w:szCs w:val="16"/>
                <w:color w:val="231F20"/>
                <w:position w:val="1"/>
              </w:rPr>
              <w:t>AA</w:t>
            </w:r>
            <w:r>
              <w:rPr>
                <w:sz w:val="16"/>
                <w:szCs w:val="16"/>
                <w:color w:val="231F20"/>
                <w:spacing w:val="3"/>
                <w:position w:val="1"/>
              </w:rPr>
              <w:t>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3"/>
                <w:position w:val="1"/>
              </w:rPr>
              <w:t>n</w:t>
            </w:r>
            <w:r>
              <w:rPr>
                <w:sz w:val="16"/>
                <w:szCs w:val="16"/>
                <w:color w:val="231F20"/>
                <w:spacing w:val="3"/>
                <w:position w:val="1"/>
              </w:rPr>
              <w:t>=46）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127"/>
              <w:spacing w:before="64" w:line="229" w:lineRule="exact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5"/>
                <w:position w:val="1"/>
              </w:rPr>
              <w:t>25（54.35）</w:t>
            </w:r>
            <w:r>
              <w:rPr>
                <w:sz w:val="9"/>
                <w:szCs w:val="9"/>
                <w:color w:val="231F20"/>
                <w:spacing w:val="-5"/>
                <w:position w:val="8"/>
              </w:rPr>
              <w:t>*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right="13"/>
              <w:spacing w:before="64" w:line="229" w:lineRule="exac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  <w:position w:val="1"/>
              </w:rPr>
              <w:t>23（50.00）</w:t>
            </w:r>
          </w:p>
        </w:tc>
        <w:tc>
          <w:tcPr>
            <w:tcW w:w="1093" w:type="dxa"/>
            <w:vAlign w:val="top"/>
          </w:tcPr>
          <w:p>
            <w:pPr>
              <w:pStyle w:val="TableText"/>
              <w:ind w:left="91"/>
              <w:spacing w:before="64" w:line="229" w:lineRule="exact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5"/>
                <w:position w:val="1"/>
              </w:rPr>
              <w:t>24（52.17）</w:t>
            </w:r>
            <w:r>
              <w:rPr>
                <w:sz w:val="9"/>
                <w:szCs w:val="9"/>
                <w:color w:val="231F20"/>
                <w:spacing w:val="-5"/>
                <w:position w:val="8"/>
              </w:rPr>
              <w:t>*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right="7"/>
              <w:spacing w:before="64" w:line="229" w:lineRule="exac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7"/>
                <w:position w:val="1"/>
              </w:rPr>
              <w:t>35（76.09）</w:t>
            </w:r>
          </w:p>
        </w:tc>
        <w:tc>
          <w:tcPr>
            <w:tcW w:w="1072" w:type="dxa"/>
            <w:vAlign w:val="top"/>
          </w:tcPr>
          <w:p>
            <w:pPr>
              <w:pStyle w:val="TableText"/>
              <w:ind w:left="74"/>
              <w:spacing w:before="64" w:line="229" w:lineRule="exact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5"/>
                <w:position w:val="1"/>
              </w:rPr>
              <w:t>22（47.83）</w:t>
            </w:r>
            <w:r>
              <w:rPr>
                <w:sz w:val="9"/>
                <w:szCs w:val="9"/>
                <w:color w:val="231F20"/>
                <w:spacing w:val="-5"/>
                <w:position w:val="8"/>
              </w:rPr>
              <w:t>*</w:t>
            </w:r>
          </w:p>
        </w:tc>
        <w:tc>
          <w:tcPr>
            <w:tcW w:w="996" w:type="dxa"/>
            <w:vAlign w:val="top"/>
          </w:tcPr>
          <w:p>
            <w:pPr>
              <w:pStyle w:val="TableText"/>
              <w:ind w:left="74"/>
              <w:spacing w:before="64" w:line="22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  <w:position w:val="1"/>
              </w:rPr>
              <w:t>44（95.65）</w:t>
            </w:r>
          </w:p>
        </w:tc>
        <w:tc>
          <w:tcPr>
            <w:tcW w:w="1065" w:type="dxa"/>
            <w:vAlign w:val="top"/>
          </w:tcPr>
          <w:p>
            <w:pPr>
              <w:pStyle w:val="TableText"/>
              <w:ind w:left="110"/>
              <w:spacing w:before="64" w:line="229" w:lineRule="exact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5"/>
                <w:position w:val="1"/>
              </w:rPr>
              <w:t>24（52.17）</w:t>
            </w:r>
            <w:r>
              <w:rPr>
                <w:sz w:val="9"/>
                <w:szCs w:val="9"/>
                <w:color w:val="231F20"/>
                <w:spacing w:val="-5"/>
                <w:position w:val="8"/>
              </w:rPr>
              <w:t>*</w:t>
            </w:r>
          </w:p>
        </w:tc>
        <w:tc>
          <w:tcPr>
            <w:tcW w:w="1050" w:type="dxa"/>
            <w:vAlign w:val="top"/>
          </w:tcPr>
          <w:p>
            <w:pPr>
              <w:pStyle w:val="TableText"/>
              <w:ind w:left="95"/>
              <w:spacing w:before="64" w:line="22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  <w:position w:val="1"/>
              </w:rPr>
              <w:t>38（82.61）</w:t>
            </w:r>
          </w:p>
        </w:tc>
      </w:tr>
      <w:tr>
        <w:trPr>
          <w:trHeight w:val="519" w:hRule="atLeast"/>
        </w:trPr>
        <w:tc>
          <w:tcPr>
            <w:tcW w:w="1351" w:type="dxa"/>
            <w:vAlign w:val="top"/>
          </w:tcPr>
          <w:p>
            <w:pPr>
              <w:pStyle w:val="TableText"/>
              <w:ind w:left="253" w:right="190" w:hanging="49"/>
              <w:spacing w:before="92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坏疽及穿孔性</w:t>
            </w:r>
            <w:r>
              <w:rPr>
                <w:sz w:val="16"/>
                <w:szCs w:val="16"/>
                <w:color w:val="231F20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AA</w:t>
            </w:r>
            <w:r>
              <w:rPr>
                <w:sz w:val="16"/>
                <w:szCs w:val="16"/>
                <w:color w:val="231F20"/>
                <w:spacing w:val="10"/>
              </w:rPr>
              <w:t>（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10"/>
              </w:rPr>
              <w:t>n</w:t>
            </w:r>
            <w:r>
              <w:rPr>
                <w:sz w:val="16"/>
                <w:szCs w:val="16"/>
                <w:color w:val="231F20"/>
                <w:spacing w:val="10"/>
              </w:rPr>
              <w:t>=19）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140"/>
              <w:spacing w:before="166" w:line="247" w:lineRule="exact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7"/>
                <w:position w:val="1"/>
              </w:rPr>
              <w:t>17（89.47）</w:t>
            </w:r>
            <w:r>
              <w:rPr>
                <w:sz w:val="9"/>
                <w:szCs w:val="9"/>
                <w:color w:val="231F20"/>
                <w:spacing w:val="2"/>
                <w:position w:val="8"/>
              </w:rPr>
              <w:t>*#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right="12"/>
              <w:spacing w:before="184" w:line="229" w:lineRule="exac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6"/>
                <w:position w:val="1"/>
              </w:rPr>
              <w:t>9（18.37）</w:t>
            </w:r>
          </w:p>
        </w:tc>
        <w:tc>
          <w:tcPr>
            <w:tcW w:w="1093" w:type="dxa"/>
            <w:vAlign w:val="top"/>
          </w:tcPr>
          <w:p>
            <w:pPr>
              <w:pStyle w:val="TableText"/>
              <w:ind w:left="174"/>
              <w:spacing w:before="166" w:line="247" w:lineRule="exact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6"/>
                <w:position w:val="1"/>
              </w:rPr>
              <w:t>3（15.79）</w:t>
            </w:r>
            <w:r>
              <w:rPr>
                <w:sz w:val="9"/>
                <w:szCs w:val="9"/>
                <w:color w:val="231F20"/>
                <w:position w:val="8"/>
              </w:rPr>
              <w:t>*#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right="7"/>
              <w:spacing w:before="184" w:line="229" w:lineRule="exact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8"/>
                <w:position w:val="1"/>
              </w:rPr>
              <w:t>12（63.16）</w:t>
            </w:r>
          </w:p>
        </w:tc>
        <w:tc>
          <w:tcPr>
            <w:tcW w:w="1072" w:type="dxa"/>
            <w:vAlign w:val="top"/>
          </w:tcPr>
          <w:p>
            <w:pPr>
              <w:pStyle w:val="TableText"/>
              <w:ind w:left="154"/>
              <w:spacing w:before="166" w:line="247" w:lineRule="exact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5"/>
                <w:position w:val="1"/>
              </w:rPr>
              <w:t>2（10.53）</w:t>
            </w:r>
            <w:r>
              <w:rPr>
                <w:sz w:val="9"/>
                <w:szCs w:val="9"/>
                <w:color w:val="231F20"/>
                <w:spacing w:val="-5"/>
                <w:position w:val="8"/>
              </w:rPr>
              <w:t>*#</w:t>
            </w:r>
          </w:p>
        </w:tc>
        <w:tc>
          <w:tcPr>
            <w:tcW w:w="996" w:type="dxa"/>
            <w:vAlign w:val="top"/>
          </w:tcPr>
          <w:p>
            <w:pPr>
              <w:pStyle w:val="TableText"/>
              <w:ind w:left="129"/>
              <w:spacing w:before="184" w:line="22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3"/>
                <w:position w:val="1"/>
              </w:rPr>
              <w:t>19（100.00）</w:t>
            </w:r>
          </w:p>
        </w:tc>
        <w:tc>
          <w:tcPr>
            <w:tcW w:w="1065" w:type="dxa"/>
            <w:vAlign w:val="top"/>
          </w:tcPr>
          <w:p>
            <w:pPr>
              <w:pStyle w:val="TableText"/>
              <w:ind w:left="123"/>
              <w:spacing w:before="166" w:line="247" w:lineRule="exact"/>
              <w:rPr>
                <w:sz w:val="9"/>
                <w:szCs w:val="9"/>
              </w:rPr>
            </w:pPr>
            <w:r>
              <w:rPr>
                <w:sz w:val="16"/>
                <w:szCs w:val="16"/>
                <w:color w:val="231F20"/>
                <w:spacing w:val="-9"/>
                <w:position w:val="1"/>
              </w:rPr>
              <w:t>15（78.95）</w:t>
            </w:r>
            <w:r>
              <w:rPr>
                <w:sz w:val="9"/>
                <w:szCs w:val="9"/>
                <w:color w:val="231F20"/>
                <w:position w:val="8"/>
              </w:rPr>
              <w:t>*#</w:t>
            </w:r>
          </w:p>
        </w:tc>
        <w:tc>
          <w:tcPr>
            <w:tcW w:w="1050" w:type="dxa"/>
            <w:vAlign w:val="top"/>
          </w:tcPr>
          <w:p>
            <w:pPr>
              <w:pStyle w:val="TableText"/>
              <w:ind w:left="106"/>
              <w:spacing w:before="184" w:line="229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7"/>
                <w:position w:val="1"/>
              </w:rPr>
              <w:t>16（84.21）</w:t>
            </w:r>
          </w:p>
        </w:tc>
      </w:tr>
      <w:tr>
        <w:trPr>
          <w:trHeight w:val="315" w:hRule="atLeast"/>
        </w:trPr>
        <w:tc>
          <w:tcPr>
            <w:tcW w:w="1351" w:type="dxa"/>
            <w:vAlign w:val="top"/>
          </w:tcPr>
          <w:p>
            <w:pPr>
              <w:pStyle w:val="TableText"/>
              <w:ind w:left="507"/>
              <w:spacing w:before="72" w:line="239" w:lineRule="auto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  <w:position w:val="-1"/>
              </w:rPr>
              <w:t>χ</w:t>
            </w:r>
            <w:r>
              <w:rPr>
                <w:sz w:val="9"/>
                <w:szCs w:val="9"/>
                <w:color w:val="231F20"/>
                <w:spacing w:val="5"/>
                <w:position w:val="5"/>
              </w:rPr>
              <w:t>2</w:t>
            </w:r>
            <w:r>
              <w:rPr>
                <w:sz w:val="9"/>
                <w:szCs w:val="9"/>
                <w:color w:val="231F20"/>
                <w:spacing w:val="-3"/>
                <w:position w:val="5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5"/>
                <w:position w:val="-1"/>
              </w:rPr>
              <w:t>值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353"/>
              <w:spacing w:before="90" w:line="21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9"/>
                <w:position w:val="1"/>
              </w:rPr>
              <w:t>19.315</w:t>
            </w:r>
          </w:p>
        </w:tc>
        <w:tc>
          <w:tcPr>
            <w:tcW w:w="933" w:type="dxa"/>
            <w:vAlign w:val="top"/>
          </w:tcPr>
          <w:p>
            <w:pPr>
              <w:pStyle w:val="TableText"/>
              <w:ind w:left="302"/>
              <w:spacing w:before="90" w:line="21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0"/>
                <w:position w:val="1"/>
              </w:rPr>
              <w:t>1.263</w:t>
            </w:r>
          </w:p>
        </w:tc>
        <w:tc>
          <w:tcPr>
            <w:tcW w:w="1093" w:type="dxa"/>
            <w:vAlign w:val="top"/>
          </w:tcPr>
          <w:p>
            <w:pPr>
              <w:pStyle w:val="TableText"/>
              <w:ind w:left="356"/>
              <w:spacing w:before="90" w:line="21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9"/>
                <w:position w:val="1"/>
              </w:rPr>
              <w:t>18.000</w:t>
            </w:r>
          </w:p>
        </w:tc>
        <w:tc>
          <w:tcPr>
            <w:tcW w:w="943" w:type="dxa"/>
            <w:vAlign w:val="top"/>
          </w:tcPr>
          <w:p>
            <w:pPr>
              <w:pStyle w:val="TableText"/>
              <w:ind w:left="299"/>
              <w:spacing w:before="90" w:line="21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8"/>
                <w:position w:val="1"/>
              </w:rPr>
              <w:t>2.774</w:t>
            </w:r>
          </w:p>
        </w:tc>
        <w:tc>
          <w:tcPr>
            <w:tcW w:w="1072" w:type="dxa"/>
            <w:vAlign w:val="top"/>
          </w:tcPr>
          <w:p>
            <w:pPr>
              <w:pStyle w:val="TableText"/>
              <w:ind w:left="322"/>
              <w:spacing w:before="90" w:line="21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9"/>
                <w:position w:val="1"/>
              </w:rPr>
              <w:t>19.154</w:t>
            </w:r>
          </w:p>
        </w:tc>
        <w:tc>
          <w:tcPr>
            <w:tcW w:w="996" w:type="dxa"/>
            <w:vAlign w:val="top"/>
          </w:tcPr>
          <w:p>
            <w:pPr>
              <w:pStyle w:val="TableText"/>
              <w:ind w:left="313"/>
              <w:spacing w:before="90" w:line="21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0"/>
                <w:position w:val="1"/>
              </w:rPr>
              <w:t>1.235</w:t>
            </w:r>
          </w:p>
        </w:tc>
        <w:tc>
          <w:tcPr>
            <w:tcW w:w="1065" w:type="dxa"/>
            <w:vAlign w:val="top"/>
          </w:tcPr>
          <w:p>
            <w:pPr>
              <w:pStyle w:val="TableText"/>
              <w:ind w:left="315"/>
              <w:spacing w:before="90" w:line="21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9"/>
                <w:position w:val="1"/>
              </w:rPr>
              <w:t>11.907</w:t>
            </w:r>
          </w:p>
        </w:tc>
        <w:tc>
          <w:tcPr>
            <w:tcW w:w="1050" w:type="dxa"/>
            <w:vAlign w:val="top"/>
          </w:tcPr>
          <w:p>
            <w:pPr>
              <w:pStyle w:val="TableText"/>
              <w:ind w:left="339"/>
              <w:spacing w:before="90" w:line="215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8"/>
                <w:position w:val="1"/>
              </w:rPr>
              <w:t>5.959</w:t>
            </w:r>
          </w:p>
        </w:tc>
      </w:tr>
      <w:tr>
        <w:trPr>
          <w:trHeight w:val="280" w:hRule="atLeast"/>
        </w:trPr>
        <w:tc>
          <w:tcPr>
            <w:tcW w:w="135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27"/>
              <w:spacing w:before="66" w:line="214" w:lineRule="auto"/>
              <w:rPr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1"/>
              </w:rPr>
              <w:t>P </w:t>
            </w:r>
            <w:r>
              <w:rPr>
                <w:sz w:val="16"/>
                <w:szCs w:val="16"/>
                <w:color w:val="231F20"/>
                <w:spacing w:val="1"/>
              </w:rPr>
              <w:t>值</w:t>
            </w:r>
          </w:p>
        </w:tc>
        <w:tc>
          <w:tcPr>
            <w:tcW w:w="113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19"/>
              <w:spacing w:before="5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8"/>
                <w:position w:val="1"/>
              </w:rPr>
              <w:t>0.000</w:t>
            </w:r>
          </w:p>
        </w:tc>
        <w:tc>
          <w:tcPr>
            <w:tcW w:w="93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89"/>
              <w:spacing w:before="5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8"/>
                <w:position w:val="1"/>
              </w:rPr>
              <w:t>0.532</w:t>
            </w:r>
          </w:p>
        </w:tc>
        <w:tc>
          <w:tcPr>
            <w:tcW w:w="109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22"/>
              <w:spacing w:before="5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8"/>
                <w:position w:val="1"/>
              </w:rPr>
              <w:t>0.000</w:t>
            </w:r>
          </w:p>
        </w:tc>
        <w:tc>
          <w:tcPr>
            <w:tcW w:w="94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8"/>
              <w:spacing w:before="5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8"/>
                <w:position w:val="1"/>
              </w:rPr>
              <w:t>0.250</w:t>
            </w:r>
          </w:p>
        </w:tc>
        <w:tc>
          <w:tcPr>
            <w:tcW w:w="107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88"/>
              <w:spacing w:before="5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8"/>
                <w:position w:val="1"/>
              </w:rPr>
              <w:t>0.000</w:t>
            </w:r>
          </w:p>
        </w:tc>
        <w:tc>
          <w:tcPr>
            <w:tcW w:w="99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99"/>
              <w:spacing w:before="5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8"/>
                <w:position w:val="1"/>
              </w:rPr>
              <w:t>0.539</w:t>
            </w:r>
          </w:p>
        </w:tc>
        <w:tc>
          <w:tcPr>
            <w:tcW w:w="106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81"/>
              <w:spacing w:before="5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8"/>
                <w:position w:val="1"/>
              </w:rPr>
              <w:t>0.003</w:t>
            </w:r>
          </w:p>
        </w:tc>
        <w:tc>
          <w:tcPr>
            <w:tcW w:w="105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8"/>
              <w:spacing w:before="58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8"/>
                <w:position w:val="1"/>
              </w:rPr>
              <w:t>0.051</w:t>
            </w:r>
          </w:p>
        </w:tc>
      </w:tr>
    </w:tbl>
    <w:p>
      <w:pPr>
        <w:pStyle w:val="BodyText"/>
        <w:ind w:left="716"/>
        <w:spacing w:before="34" w:line="23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注：与单纯性</w:t>
      </w:r>
      <w:r>
        <w:rPr>
          <w:rFonts w:ascii="SimSun" w:hAnsi="SimSun" w:eastAsia="SimSun" w:cs="SimSun"/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AA</w:t>
      </w:r>
      <w:r>
        <w:rPr>
          <w:rFonts w:ascii="SimSun" w:hAnsi="SimSun" w:eastAsia="SimSun" w:cs="SimSun"/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比较，</w:t>
      </w:r>
      <w:r>
        <w:rPr>
          <w:rFonts w:ascii="SimSun" w:hAnsi="SimSun" w:eastAsia="SimSun" w:cs="SimSun"/>
          <w:sz w:val="9"/>
          <w:szCs w:val="9"/>
          <w:color w:val="231F20"/>
          <w:spacing w:val="-1"/>
          <w:position w:val="7"/>
        </w:rPr>
        <w:t>*</w:t>
      </w:r>
      <w:r>
        <w:rPr>
          <w:i/>
          <w:iCs/>
          <w:color w:val="231F20"/>
          <w:spacing w:val="-1"/>
        </w:rPr>
        <w:t>P</w:t>
      </w:r>
      <w:r>
        <w:rPr>
          <w:rFonts w:ascii="SimSun" w:hAnsi="SimSun" w:eastAsia="SimSun" w:cs="SimSun"/>
          <w:color w:val="231F20"/>
          <w:spacing w:val="-1"/>
        </w:rPr>
        <w:t>&lt;0.05；与化脓性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AA</w:t>
      </w:r>
      <w:r>
        <w:rPr>
          <w:rFonts w:ascii="SimSun" w:hAnsi="SimSun" w:eastAsia="SimSun" w:cs="SimSun"/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比较，</w:t>
      </w:r>
      <w:r>
        <w:rPr>
          <w:rFonts w:ascii="SimSun" w:hAnsi="SimSun" w:eastAsia="SimSun" w:cs="SimSun"/>
          <w:sz w:val="9"/>
          <w:szCs w:val="9"/>
          <w:color w:val="231F20"/>
          <w:spacing w:val="-1"/>
          <w:position w:val="7"/>
        </w:rPr>
        <w:t>#</w:t>
      </w:r>
      <w:r>
        <w:rPr>
          <w:i/>
          <w:iCs/>
          <w:color w:val="231F20"/>
          <w:spacing w:val="-1"/>
        </w:rPr>
        <w:t>P</w:t>
      </w:r>
      <w:r>
        <w:rPr>
          <w:rFonts w:ascii="SimSun" w:hAnsi="SimSun" w:eastAsia="SimSun" w:cs="SimSun"/>
          <w:color w:val="231F20"/>
          <w:spacing w:val="-1"/>
        </w:rPr>
        <w:t>&lt;0.05</w:t>
      </w:r>
    </w:p>
    <w:p>
      <w:pPr>
        <w:spacing w:line="238" w:lineRule="auto"/>
        <w:sectPr>
          <w:type w:val="continuous"/>
          <w:pgSz w:w="11906" w:h="16838"/>
          <w:pgMar w:top="1416" w:right="1050" w:bottom="1122" w:left="424" w:header="827" w:footer="911" w:gutter="0"/>
          <w:cols w:equalWidth="0" w:num="1">
            <w:col w:w="10432" w:space="0"/>
          </w:cols>
        </w:sectPr>
        <w:rPr>
          <w:rFonts w:ascii="SimSun" w:hAnsi="SimSun" w:eastAsia="SimSun" w:cs="SimSun"/>
        </w:rPr>
      </w:pPr>
    </w:p>
    <w:p>
      <w:pPr>
        <w:spacing w:before="186"/>
        <w:rPr/>
      </w:pPr>
      <w:r/>
    </w:p>
    <w:tbl>
      <w:tblPr>
        <w:tblStyle w:val="TableNormal"/>
        <w:tblW w:w="9437" w:type="dxa"/>
        <w:tblInd w:w="8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28"/>
        <w:gridCol w:w="4083"/>
        <w:gridCol w:w="2726"/>
      </w:tblGrid>
      <w:tr>
        <w:trPr>
          <w:trHeight w:val="233" w:hRule="atLeast"/>
        </w:trPr>
        <w:tc>
          <w:tcPr>
            <w:tcW w:w="2628" w:type="dxa"/>
            <w:vAlign w:val="top"/>
          </w:tcPr>
          <w:p>
            <w:pPr>
              <w:pStyle w:val="TableText"/>
              <w:ind w:left="634"/>
              <w:spacing w:line="228" w:lineRule="auto"/>
              <w:rPr/>
            </w:pPr>
            <w:r>
              <w:rPr>
                <w:color w:val="231F20"/>
                <w:spacing w:val="-5"/>
              </w:rPr>
              <w:t>2024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5"/>
              </w:rPr>
              <w:t>10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5"/>
              </w:rPr>
              <w:t>月</w:t>
            </w:r>
          </w:p>
        </w:tc>
        <w:tc>
          <w:tcPr>
            <w:tcW w:w="4083" w:type="dxa"/>
            <w:vAlign w:val="top"/>
          </w:tcPr>
          <w:p>
            <w:pPr>
              <w:pStyle w:val="TableText"/>
              <w:ind w:left="1573"/>
              <w:spacing w:before="7" w:line="215" w:lineRule="auto"/>
              <w:rPr/>
            </w:pPr>
            <w:r>
              <w:rPr>
                <w:color w:val="231F20"/>
                <w:spacing w:val="-4"/>
              </w:rPr>
              <w:t>中国民康医学</w:t>
            </w:r>
          </w:p>
        </w:tc>
        <w:tc>
          <w:tcPr>
            <w:tcW w:w="2726" w:type="dxa"/>
            <w:vAlign w:val="top"/>
          </w:tcPr>
          <w:p>
            <w:pPr>
              <w:pStyle w:val="TableText"/>
              <w:ind w:left="1347"/>
              <w:spacing w:line="228" w:lineRule="auto"/>
              <w:rPr/>
            </w:pPr>
            <w:r>
              <w:rPr>
                <w:color w:val="231F20"/>
                <w:spacing w:val="-18"/>
              </w:rPr>
              <w:t>Oct.，2024</w:t>
            </w:r>
          </w:p>
        </w:tc>
      </w:tr>
      <w:tr>
        <w:trPr>
          <w:trHeight w:val="234" w:hRule="atLeast"/>
        </w:trPr>
        <w:tc>
          <w:tcPr>
            <w:tcW w:w="2628" w:type="dxa"/>
            <w:vAlign w:val="top"/>
          </w:tcPr>
          <w:p>
            <w:pPr>
              <w:pStyle w:val="TableText"/>
              <w:spacing w:before="23" w:line="206" w:lineRule="auto"/>
              <w:rPr/>
            </w:pPr>
            <w:r>
              <w:rPr>
                <w:color w:val="231F20"/>
                <w:spacing w:val="-3"/>
              </w:rPr>
              <w:t>第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-3"/>
              </w:rPr>
              <w:t>36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3"/>
              </w:rPr>
              <w:t>卷  半月刊  第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3"/>
              </w:rPr>
              <w:t>19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期</w:t>
            </w:r>
          </w:p>
        </w:tc>
        <w:tc>
          <w:tcPr>
            <w:tcW w:w="4083" w:type="dxa"/>
            <w:vAlign w:val="top"/>
          </w:tcPr>
          <w:p>
            <w:pPr>
              <w:pStyle w:val="TableText"/>
              <w:ind w:left="476"/>
              <w:spacing w:before="56" w:line="172" w:lineRule="auto"/>
              <w:rPr/>
            </w:pPr>
            <w:r>
              <w:rPr>
                <w:color w:val="231F20"/>
                <w:spacing w:val="-13"/>
              </w:rPr>
              <w:t>Medical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3"/>
              </w:rPr>
              <w:t>Journal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13"/>
              </w:rPr>
              <w:t>of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3"/>
              </w:rPr>
              <w:t>Chinese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13"/>
              </w:rPr>
              <w:t>People's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13"/>
              </w:rPr>
              <w:t>Health</w:t>
            </w:r>
          </w:p>
        </w:tc>
        <w:tc>
          <w:tcPr>
            <w:tcW w:w="2726" w:type="dxa"/>
            <w:vAlign w:val="top"/>
          </w:tcPr>
          <w:p>
            <w:pPr>
              <w:pStyle w:val="TableText"/>
              <w:spacing w:before="56" w:line="172" w:lineRule="auto"/>
              <w:jc w:val="right"/>
              <w:rPr/>
            </w:pPr>
            <w:r>
              <w:rPr>
                <w:color w:val="231F20"/>
                <w:spacing w:val="-9"/>
              </w:rPr>
              <w:t>Vol.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9"/>
              </w:rPr>
              <w:t>36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9"/>
              </w:rPr>
              <w:t>Semimonthly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9"/>
              </w:rPr>
              <w:t>No.19</w:t>
            </w:r>
          </w:p>
        </w:tc>
      </w:tr>
    </w:tbl>
    <w:p>
      <w:pPr>
        <w:ind w:firstLine="710"/>
        <w:spacing w:before="109" w:line="37" w:lineRule="exact"/>
        <w:rPr/>
      </w:pPr>
      <w:r>
        <w:rPr/>
        <w:pict>
          <v:shape id="_x0000_s18" style="mso-position-vertical-relative:line;mso-position-horizontal-relative:char;width:481.9pt;height:1.9pt;" filled="false" strokecolor="#231F20" strokeweight="0.30pt" coordsize="9637,37" coordorigin="0,0" path="m0,3l9637,3m0,34l9637,34e">
            <v:stroke joinstyle="miter" miterlimit="4"/>
          </v:shape>
        </w:pict>
      </w:r>
    </w:p>
    <w:p>
      <w:pPr>
        <w:ind w:left="3132"/>
        <w:spacing w:before="207" w:line="207" w:lineRule="auto"/>
        <w:outlineLvl w:val="1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8"/>
        </w:rPr>
        <w:t>表</w:t>
      </w:r>
      <w:r>
        <w:rPr>
          <w:rFonts w:ascii="SimHei" w:hAnsi="SimHei" w:eastAsia="SimHei" w:cs="SimHei"/>
          <w:sz w:val="18"/>
          <w:szCs w:val="18"/>
          <w:color w:val="231F20"/>
          <w:spacing w:val="-39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8"/>
        </w:rPr>
        <w:t>2</w:t>
      </w:r>
      <w:r>
        <w:rPr>
          <w:rFonts w:ascii="SimHei" w:hAnsi="SimHei" w:eastAsia="SimHei" w:cs="SimHei"/>
          <w:sz w:val="18"/>
          <w:szCs w:val="18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</w:rPr>
        <w:t>MSCT</w:t>
      </w:r>
      <w:r>
        <w:rPr>
          <w:rFonts w:ascii="SimHei" w:hAnsi="SimHei" w:eastAsia="SimHei" w:cs="SimHei"/>
          <w:sz w:val="18"/>
          <w:szCs w:val="18"/>
          <w:color w:val="231F20"/>
          <w:spacing w:val="-4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8"/>
        </w:rPr>
        <w:t>检查检出不同分型</w:t>
      </w:r>
      <w:r>
        <w:rPr>
          <w:rFonts w:ascii="SimHei" w:hAnsi="SimHei" w:eastAsia="SimHei" w:cs="SimHei"/>
          <w:sz w:val="18"/>
          <w:szCs w:val="18"/>
          <w:color w:val="231F20"/>
          <w:spacing w:val="-42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AA</w:t>
      </w:r>
      <w:r>
        <w:rPr>
          <w:rFonts w:ascii="SimHei" w:hAnsi="SimHei" w:eastAsia="SimHei" w:cs="SimHei"/>
          <w:sz w:val="18"/>
          <w:szCs w:val="18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8"/>
        </w:rPr>
        <w:t>结果与术后病理结果比较</w:t>
      </w:r>
    </w:p>
    <w:p>
      <w:pPr>
        <w:spacing w:line="29" w:lineRule="exact"/>
        <w:rPr/>
      </w:pPr>
      <w:r/>
    </w:p>
    <w:tbl>
      <w:tblPr>
        <w:tblStyle w:val="TableNormal"/>
        <w:tblW w:w="9637" w:type="dxa"/>
        <w:tblInd w:w="7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770"/>
        <w:gridCol w:w="1261"/>
        <w:gridCol w:w="1406"/>
        <w:gridCol w:w="1282"/>
        <w:gridCol w:w="1672"/>
        <w:gridCol w:w="1246"/>
      </w:tblGrid>
      <w:tr>
        <w:trPr>
          <w:trHeight w:val="277" w:hRule="atLeast"/>
        </w:trPr>
        <w:tc>
          <w:tcPr>
            <w:tcW w:w="2770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016"/>
              <w:spacing w:before="202" w:line="20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</w:rPr>
              <w:t>MSCT</w:t>
            </w:r>
            <w:r>
              <w:rPr>
                <w:sz w:val="16"/>
                <w:szCs w:val="16"/>
                <w:color w:val="231F20"/>
                <w:spacing w:val="-36"/>
              </w:rPr>
              <w:t xml:space="preserve"> </w:t>
            </w:r>
            <w:r>
              <w:rPr>
                <w:sz w:val="16"/>
                <w:szCs w:val="16"/>
                <w:color w:val="231F20"/>
                <w:spacing w:val="30"/>
              </w:rPr>
              <w:t>检查</w:t>
            </w:r>
          </w:p>
        </w:tc>
        <w:tc>
          <w:tcPr>
            <w:tcW w:w="5621" w:type="dxa"/>
            <w:vAlign w:val="top"/>
            <w:gridSpan w:val="4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493"/>
              <w:spacing w:before="60" w:line="21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术后病理</w:t>
            </w:r>
          </w:p>
        </w:tc>
        <w:tc>
          <w:tcPr>
            <w:tcW w:w="1246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466"/>
              <w:spacing w:before="200" w:line="21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合计</w:t>
            </w:r>
          </w:p>
        </w:tc>
      </w:tr>
      <w:tr>
        <w:trPr>
          <w:trHeight w:val="277" w:hRule="atLeast"/>
        </w:trPr>
        <w:tc>
          <w:tcPr>
            <w:tcW w:w="277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474"/>
              <w:spacing w:before="62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45"/>
              </w:rPr>
              <w:t>非</w:t>
            </w:r>
            <w:r>
              <w:rPr>
                <w:sz w:val="16"/>
                <w:szCs w:val="16"/>
                <w:color w:val="231F20"/>
                <w:spacing w:val="-37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AA</w:t>
            </w:r>
          </w:p>
        </w:tc>
        <w:tc>
          <w:tcPr>
            <w:tcW w:w="140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381"/>
              <w:spacing w:before="60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5"/>
              </w:rPr>
              <w:t>单纯性</w:t>
            </w:r>
            <w:r>
              <w:rPr>
                <w:sz w:val="16"/>
                <w:szCs w:val="16"/>
                <w:color w:val="231F20"/>
                <w:spacing w:val="-37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AA</w:t>
            </w:r>
          </w:p>
        </w:tc>
        <w:tc>
          <w:tcPr>
            <w:tcW w:w="128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98"/>
              <w:spacing w:before="63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5"/>
              </w:rPr>
              <w:t>化脓性</w:t>
            </w:r>
            <w:r>
              <w:rPr>
                <w:sz w:val="16"/>
                <w:szCs w:val="16"/>
                <w:color w:val="231F20"/>
                <w:spacing w:val="-37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AA</w:t>
            </w:r>
          </w:p>
        </w:tc>
        <w:tc>
          <w:tcPr>
            <w:tcW w:w="167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259"/>
              <w:spacing w:before="61" w:line="21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7"/>
              </w:rPr>
              <w:t>坏疽及穿孔性</w:t>
            </w:r>
            <w:r>
              <w:rPr>
                <w:sz w:val="16"/>
                <w:szCs w:val="16"/>
                <w:color w:val="231F20"/>
                <w:spacing w:val="-35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AA</w:t>
            </w:r>
          </w:p>
        </w:tc>
        <w:tc>
          <w:tcPr>
            <w:tcW w:w="124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6" w:hRule="atLeast"/>
        </w:trPr>
        <w:tc>
          <w:tcPr>
            <w:tcW w:w="277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182"/>
              <w:spacing w:before="64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45"/>
              </w:rPr>
              <w:t>非</w:t>
            </w:r>
            <w:r>
              <w:rPr>
                <w:sz w:val="16"/>
                <w:szCs w:val="16"/>
                <w:color w:val="231F20"/>
                <w:spacing w:val="-37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AA</w:t>
            </w:r>
          </w:p>
        </w:tc>
        <w:tc>
          <w:tcPr>
            <w:tcW w:w="126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05"/>
              <w:spacing w:before="54"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  <w:position w:val="1"/>
              </w:rPr>
              <w:t>30</w:t>
            </w:r>
          </w:p>
        </w:tc>
        <w:tc>
          <w:tcPr>
            <w:tcW w:w="14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49"/>
              <w:spacing w:before="54"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position w:val="1"/>
              </w:rPr>
              <w:t>0</w:t>
            </w:r>
          </w:p>
        </w:tc>
        <w:tc>
          <w:tcPr>
            <w:tcW w:w="128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65"/>
              <w:spacing w:before="54"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position w:val="1"/>
              </w:rPr>
              <w:t>0</w:t>
            </w:r>
          </w:p>
        </w:tc>
        <w:tc>
          <w:tcPr>
            <w:tcW w:w="167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65"/>
              <w:spacing w:before="54"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position w:val="1"/>
              </w:rPr>
              <w:t>0</w:t>
            </w:r>
          </w:p>
        </w:tc>
        <w:tc>
          <w:tcPr>
            <w:tcW w:w="124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91"/>
              <w:spacing w:before="54" w:line="211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  <w:position w:val="1"/>
              </w:rPr>
              <w:t>30</w:t>
            </w:r>
          </w:p>
        </w:tc>
      </w:tr>
      <w:tr>
        <w:trPr>
          <w:trHeight w:val="284" w:hRule="atLeast"/>
        </w:trPr>
        <w:tc>
          <w:tcPr>
            <w:tcW w:w="2770" w:type="dxa"/>
            <w:vAlign w:val="top"/>
          </w:tcPr>
          <w:p>
            <w:pPr>
              <w:pStyle w:val="TableText"/>
              <w:ind w:left="1021"/>
              <w:spacing w:before="69" w:line="21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5"/>
              </w:rPr>
              <w:t>单纯性</w:t>
            </w:r>
            <w:r>
              <w:rPr>
                <w:sz w:val="16"/>
                <w:szCs w:val="16"/>
                <w:color w:val="231F20"/>
                <w:spacing w:val="-37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AA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681"/>
              <w:spacing w:before="62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position w:val="1"/>
              </w:rPr>
              <w:t>0</w:t>
            </w:r>
          </w:p>
        </w:tc>
        <w:tc>
          <w:tcPr>
            <w:tcW w:w="1406" w:type="dxa"/>
            <w:vAlign w:val="top"/>
          </w:tcPr>
          <w:p>
            <w:pPr>
              <w:pStyle w:val="TableText"/>
              <w:ind w:left="672"/>
              <w:spacing w:before="62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  <w:position w:val="1"/>
              </w:rPr>
              <w:t>30</w:t>
            </w:r>
          </w:p>
        </w:tc>
        <w:tc>
          <w:tcPr>
            <w:tcW w:w="1282" w:type="dxa"/>
            <w:vAlign w:val="top"/>
          </w:tcPr>
          <w:p>
            <w:pPr>
              <w:pStyle w:val="TableText"/>
              <w:ind w:left="679"/>
              <w:spacing w:before="62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position w:val="1"/>
              </w:rPr>
              <w:t>1</w:t>
            </w:r>
          </w:p>
        </w:tc>
        <w:tc>
          <w:tcPr>
            <w:tcW w:w="1672" w:type="dxa"/>
            <w:vAlign w:val="top"/>
          </w:tcPr>
          <w:p>
            <w:pPr>
              <w:pStyle w:val="TableText"/>
              <w:ind w:left="865"/>
              <w:spacing w:before="62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position w:val="1"/>
              </w:rPr>
              <w:t>0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591"/>
              <w:spacing w:before="62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  <w:position w:val="1"/>
              </w:rPr>
              <w:t>31</w:t>
            </w:r>
          </w:p>
        </w:tc>
      </w:tr>
      <w:tr>
        <w:trPr>
          <w:trHeight w:val="280" w:hRule="atLeast"/>
        </w:trPr>
        <w:tc>
          <w:tcPr>
            <w:tcW w:w="2770" w:type="dxa"/>
            <w:vAlign w:val="top"/>
          </w:tcPr>
          <w:p>
            <w:pPr>
              <w:pStyle w:val="TableText"/>
              <w:ind w:left="1022"/>
              <w:spacing w:before="71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15"/>
              </w:rPr>
              <w:t>化脓性</w:t>
            </w:r>
            <w:r>
              <w:rPr>
                <w:sz w:val="16"/>
                <w:szCs w:val="16"/>
                <w:color w:val="231F20"/>
                <w:spacing w:val="-37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AA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681"/>
              <w:spacing w:before="61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</w:rPr>
              <w:t>0</w:t>
            </w:r>
          </w:p>
        </w:tc>
        <w:tc>
          <w:tcPr>
            <w:tcW w:w="1406" w:type="dxa"/>
            <w:vAlign w:val="top"/>
          </w:tcPr>
          <w:p>
            <w:pPr>
              <w:pStyle w:val="TableText"/>
              <w:ind w:left="763"/>
              <w:spacing w:before="61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</w:rPr>
              <w:t>1</w:t>
            </w:r>
          </w:p>
        </w:tc>
        <w:tc>
          <w:tcPr>
            <w:tcW w:w="1282" w:type="dxa"/>
            <w:vAlign w:val="top"/>
          </w:tcPr>
          <w:p>
            <w:pPr>
              <w:pStyle w:val="TableText"/>
              <w:ind w:left="583"/>
              <w:spacing w:before="61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45</w:t>
            </w:r>
          </w:p>
        </w:tc>
        <w:tc>
          <w:tcPr>
            <w:tcW w:w="1672" w:type="dxa"/>
            <w:vAlign w:val="top"/>
          </w:tcPr>
          <w:p>
            <w:pPr>
              <w:pStyle w:val="TableText"/>
              <w:ind w:left="865"/>
              <w:spacing w:before="61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</w:rPr>
              <w:t>0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586"/>
              <w:spacing w:before="61" w:line="24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46</w:t>
            </w:r>
          </w:p>
        </w:tc>
      </w:tr>
      <w:tr>
        <w:trPr>
          <w:trHeight w:val="281" w:hRule="atLeast"/>
        </w:trPr>
        <w:tc>
          <w:tcPr>
            <w:tcW w:w="2770" w:type="dxa"/>
            <w:vAlign w:val="top"/>
          </w:tcPr>
          <w:p>
            <w:pPr>
              <w:pStyle w:val="TableText"/>
              <w:ind w:left="782"/>
              <w:spacing w:before="73" w:line="21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7"/>
              </w:rPr>
              <w:t>坏疽及穿孔性</w:t>
            </w:r>
            <w:r>
              <w:rPr>
                <w:sz w:val="16"/>
                <w:szCs w:val="16"/>
                <w:color w:val="231F20"/>
                <w:spacing w:val="-35"/>
              </w:rPr>
              <w:t xml:space="preserve"> </w:t>
            </w:r>
            <w:r>
              <w:rPr>
                <w:sz w:val="16"/>
                <w:szCs w:val="16"/>
                <w:color w:val="231F20"/>
              </w:rPr>
              <w:t>AA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681"/>
              <w:spacing w:before="64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</w:rPr>
              <w:t>0</w:t>
            </w:r>
          </w:p>
        </w:tc>
        <w:tc>
          <w:tcPr>
            <w:tcW w:w="1406" w:type="dxa"/>
            <w:vAlign w:val="top"/>
          </w:tcPr>
          <w:p>
            <w:pPr>
              <w:pStyle w:val="TableText"/>
              <w:ind w:left="749"/>
              <w:spacing w:before="64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</w:rPr>
              <w:t>0</w:t>
            </w:r>
          </w:p>
        </w:tc>
        <w:tc>
          <w:tcPr>
            <w:tcW w:w="1282" w:type="dxa"/>
            <w:vAlign w:val="top"/>
          </w:tcPr>
          <w:p>
            <w:pPr>
              <w:pStyle w:val="TableText"/>
              <w:ind w:left="665"/>
              <w:spacing w:before="64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</w:rPr>
              <w:t>0</w:t>
            </w:r>
          </w:p>
        </w:tc>
        <w:tc>
          <w:tcPr>
            <w:tcW w:w="1672" w:type="dxa"/>
            <w:vAlign w:val="top"/>
          </w:tcPr>
          <w:p>
            <w:pPr>
              <w:pStyle w:val="TableText"/>
              <w:ind w:left="799"/>
              <w:spacing w:before="64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</w:rPr>
              <w:t>19</w:t>
            </w:r>
          </w:p>
        </w:tc>
        <w:tc>
          <w:tcPr>
            <w:tcW w:w="1246" w:type="dxa"/>
            <w:vAlign w:val="top"/>
          </w:tcPr>
          <w:p>
            <w:pPr>
              <w:pStyle w:val="TableText"/>
              <w:ind w:left="601"/>
              <w:spacing w:before="64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</w:rPr>
              <w:t>19</w:t>
            </w:r>
          </w:p>
        </w:tc>
      </w:tr>
      <w:tr>
        <w:trPr>
          <w:trHeight w:val="289" w:hRule="atLeast"/>
        </w:trPr>
        <w:tc>
          <w:tcPr>
            <w:tcW w:w="277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227"/>
              <w:spacing w:before="74" w:line="21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</w:rPr>
              <w:t>合计</w:t>
            </w:r>
          </w:p>
        </w:tc>
        <w:tc>
          <w:tcPr>
            <w:tcW w:w="126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05"/>
              <w:spacing w:before="67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  <w:position w:val="1"/>
              </w:rPr>
              <w:t>30</w:t>
            </w:r>
          </w:p>
        </w:tc>
        <w:tc>
          <w:tcPr>
            <w:tcW w:w="140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72"/>
              <w:spacing w:before="67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3"/>
                <w:position w:val="1"/>
              </w:rPr>
              <w:t>31</w:t>
            </w:r>
          </w:p>
        </w:tc>
        <w:tc>
          <w:tcPr>
            <w:tcW w:w="128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83"/>
              <w:spacing w:before="67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1"/>
                <w:position w:val="1"/>
              </w:rPr>
              <w:t>46</w:t>
            </w:r>
          </w:p>
        </w:tc>
        <w:tc>
          <w:tcPr>
            <w:tcW w:w="167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99"/>
              <w:spacing w:before="67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  <w:position w:val="1"/>
              </w:rPr>
              <w:t>19</w:t>
            </w:r>
          </w:p>
        </w:tc>
        <w:tc>
          <w:tcPr>
            <w:tcW w:w="124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21"/>
              <w:spacing w:before="67" w:line="212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231F20"/>
                <w:spacing w:val="-5"/>
                <w:position w:val="1"/>
              </w:rPr>
              <w:t>126</w:t>
            </w:r>
          </w:p>
        </w:tc>
      </w:tr>
    </w:tbl>
    <w:p>
      <w:pPr>
        <w:spacing w:line="61" w:lineRule="exact"/>
        <w:rPr>
          <w:rFonts w:ascii="Arial"/>
          <w:sz w:val="5"/>
        </w:rPr>
      </w:pPr>
      <w:r/>
    </w:p>
    <w:p>
      <w:pPr>
        <w:spacing w:line="61" w:lineRule="exact"/>
        <w:sectPr>
          <w:headerReference w:type="default" r:id="rId5"/>
          <w:footerReference w:type="default" r:id="rId6"/>
          <w:pgSz w:w="11906" w:h="16838"/>
          <w:pgMar w:top="400" w:right="1081" w:bottom="1108" w:left="424" w:header="0" w:footer="898" w:gutter="0"/>
          <w:cols w:equalWidth="0" w:num="1">
            <w:col w:w="10400" w:space="0"/>
          </w:cols>
        </w:sectPr>
        <w:rPr>
          <w:rFonts w:ascii="Arial" w:hAnsi="Arial" w:eastAsia="Arial" w:cs="Arial"/>
          <w:sz w:val="5"/>
          <w:szCs w:val="5"/>
        </w:rPr>
      </w:pPr>
    </w:p>
    <w:p>
      <w:pPr>
        <w:ind w:left="714" w:right="247" w:firstLine="18"/>
        <w:spacing w:before="41" w:line="2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因此，探寻可准确诊断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病理分型的影像学检查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方法，对指导临床治疗具有重要意义。</w:t>
      </w:r>
    </w:p>
    <w:p>
      <w:pPr>
        <w:ind w:left="713" w:right="163" w:firstLine="426"/>
        <w:spacing w:before="35" w:line="280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影像学检查是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患者术前的快速筛查和不同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分型鉴别方法，超声、X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线等常规影像学检查方法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的图像分辨率较低、扫描层次单一，且易受呼吸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运动干扰产生伪影，进而导致诊断准确度下降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2"/>
          <w:position w:val="9"/>
        </w:rPr>
        <w:t>[8-9]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。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本研究结果显示，不同分型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患者粪石影、盲肠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壁增厚、阑尾边界不清晰、回盲部淋巴结肿大等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征象比较，差异均无统计学意义；不同分型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患者阑尾周围渗出、阑尾管径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&gt;6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9"/>
        </w:rPr>
        <w:t>等</w:t>
      </w:r>
      <w:r>
        <w:rPr>
          <w:rFonts w:ascii="SimSun" w:hAnsi="SimSun" w:eastAsia="SimSun" w:cs="SimSun"/>
          <w:sz w:val="21"/>
          <w:szCs w:val="21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MSCT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征象比较，单纯性</w:t>
      </w:r>
      <w:r>
        <w:rPr>
          <w:rFonts w:ascii="SimSun" w:hAnsi="SimSun" w:eastAsia="SimSun" w:cs="SimSun"/>
          <w:sz w:val="21"/>
          <w:szCs w:val="21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&lt;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化脓性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&lt;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0"/>
        </w:rPr>
        <w:t>坏疽及穿孔性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，积气影、管壁厚度</w:t>
      </w:r>
      <w:r>
        <w:rPr>
          <w:rFonts w:ascii="SimSun" w:hAnsi="SimSun" w:eastAsia="SimSun" w:cs="SimSun"/>
          <w:sz w:val="21"/>
          <w:szCs w:val="21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&gt;3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等</w:t>
      </w:r>
      <w:r>
        <w:rPr>
          <w:rFonts w:ascii="SimSun" w:hAnsi="SimSun" w:eastAsia="SimSun" w:cs="SimSun"/>
          <w:sz w:val="21"/>
          <w:szCs w:val="21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征象比较，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单纯性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&gt;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化脓性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&gt;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坏疽及穿孔性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20"/>
        </w:rPr>
        <w:t>；本研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究一致性分析结果显示，</w:t>
      </w:r>
      <w:r>
        <w:rPr>
          <w:rFonts w:ascii="SimSun" w:hAnsi="SimSun" w:eastAsia="SimSun" w:cs="SimSun"/>
          <w:sz w:val="21"/>
          <w:szCs w:val="21"/>
          <w:color w:val="231F20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9"/>
        </w:rPr>
        <w:t>检查检出不同分型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>结果与术后病理结果的一致性较好。分析原因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为</w:t>
      </w:r>
      <w:r>
        <w:rPr>
          <w:rFonts w:ascii="SimSun" w:hAnsi="SimSun" w:eastAsia="SimSun" w:cs="SimSun"/>
          <w:sz w:val="21"/>
          <w:szCs w:val="21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>具有操作简单、无创、扫描层次全面、空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间分辨率高的特点，且扫描速度快，不受周围肠气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干扰，容积扫描也实现了图像连续性，可清晰显示</w:t>
      </w:r>
      <w:r>
        <w:rPr>
          <w:rFonts w:ascii="SimSun" w:hAnsi="SimSun" w:eastAsia="SimSun" w:cs="SimSun"/>
          <w:sz w:val="21"/>
          <w:szCs w:val="21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阑尾与周围组织关系及空间走行，可早期发现阑尾</w:t>
      </w:r>
      <w:r>
        <w:rPr>
          <w:rFonts w:ascii="SimSun" w:hAnsi="SimSun" w:eastAsia="SimSun" w:cs="SimSun"/>
          <w:sz w:val="21"/>
          <w:szCs w:val="21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腔内少量积液及其他微小病变，故临床中被广泛应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用</w:t>
      </w:r>
      <w:r>
        <w:rPr>
          <w:rFonts w:ascii="SimSun" w:hAnsi="SimSun" w:eastAsia="SimSun" w:cs="SimSun"/>
          <w:sz w:val="21"/>
          <w:szCs w:val="21"/>
          <w:color w:val="231F20"/>
          <w:spacing w:val="-40"/>
          <w:position w:val="-1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position w:val="8"/>
        </w:rPr>
        <w:t>[10-11]</w:t>
      </w:r>
      <w:r>
        <w:rPr>
          <w:rFonts w:ascii="SimSun" w:hAnsi="SimSun" w:eastAsia="SimSun" w:cs="SimSun"/>
          <w:sz w:val="12"/>
          <w:szCs w:val="12"/>
          <w:color w:val="231F20"/>
          <w:spacing w:val="-35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。同时</w:t>
      </w:r>
      <w:r>
        <w:rPr>
          <w:rFonts w:ascii="SimSun" w:hAnsi="SimSun" w:eastAsia="SimSun" w:cs="SimSun"/>
          <w:sz w:val="21"/>
          <w:szCs w:val="21"/>
          <w:color w:val="231F20"/>
          <w:spacing w:val="-35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31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图像后处理技术可对图像进行 </w:t>
      </w:r>
      <w:r>
        <w:rPr>
          <w:rFonts w:ascii="SimSun" w:hAnsi="SimSun" w:eastAsia="SimSun" w:cs="SimSun"/>
          <w:sz w:val="21"/>
          <w:szCs w:val="21"/>
          <w:color w:val="231F20"/>
        </w:rPr>
        <w:t>多平面重组，将阑尾基部、盲肠及回肠末端显示于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</w:rPr>
        <w:t>同一平面，可更清晰、直观显示各组织器官之间的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5"/>
          <w:position w:val="-1"/>
        </w:rPr>
        <w:t>结构，有助于鉴别不同病理类型</w:t>
      </w:r>
      <w:r>
        <w:rPr>
          <w:rFonts w:ascii="SimSun" w:hAnsi="SimSun" w:eastAsia="SimSun" w:cs="SimSun"/>
          <w:sz w:val="21"/>
          <w:szCs w:val="21"/>
          <w:color w:val="231F20"/>
          <w:spacing w:val="-32"/>
          <w:position w:val="-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>AA</w:t>
      </w:r>
      <w:r>
        <w:rPr>
          <w:rFonts w:ascii="SimSun" w:hAnsi="SimSun" w:eastAsia="SimSun" w:cs="SimSun"/>
          <w:sz w:val="12"/>
          <w:szCs w:val="12"/>
          <w:color w:val="231F20"/>
          <w:spacing w:val="5"/>
          <w:position w:val="8"/>
        </w:rPr>
        <w:t>[12-1</w:t>
      </w:r>
      <w:r>
        <w:rPr>
          <w:rFonts w:ascii="SimSun" w:hAnsi="SimSun" w:eastAsia="SimSun" w:cs="SimSun"/>
          <w:sz w:val="12"/>
          <w:szCs w:val="12"/>
          <w:color w:val="231F20"/>
          <w:spacing w:val="4"/>
          <w:position w:val="8"/>
        </w:rPr>
        <w:t>3]</w:t>
      </w:r>
      <w:r>
        <w:rPr>
          <w:rFonts w:ascii="SimSun" w:hAnsi="SimSun" w:eastAsia="SimSun" w:cs="SimSun"/>
          <w:sz w:val="12"/>
          <w:szCs w:val="12"/>
          <w:color w:val="231F20"/>
          <w:spacing w:val="-35"/>
          <w:position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4"/>
          <w:position w:val="-1"/>
        </w:rPr>
        <w:t>。由于阑</w:t>
      </w:r>
      <w:r>
        <w:rPr>
          <w:rFonts w:ascii="SimSun" w:hAnsi="SimSun" w:eastAsia="SimSun" w:cs="SimSun"/>
          <w:sz w:val="21"/>
          <w:szCs w:val="21"/>
          <w:color w:val="231F20"/>
          <w:position w:val="-1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尾重构，坏疽及穿孔性</w:t>
      </w:r>
      <w:r>
        <w:rPr>
          <w:rFonts w:ascii="SimSun" w:hAnsi="SimSun" w:eastAsia="SimSun" w:cs="SimSun"/>
          <w:sz w:val="21"/>
          <w:szCs w:val="21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>穿孔后管壁存在中断，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腔内液体及炎性渗出可自中断处外渗，故阑尾周围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渗出占比较多，积气影、管壁厚度</w:t>
      </w:r>
      <w:r>
        <w:rPr>
          <w:rFonts w:ascii="SimSun" w:hAnsi="SimSun" w:eastAsia="SimSun" w:cs="SimSun"/>
          <w:sz w:val="21"/>
          <w:szCs w:val="21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&gt;3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</w:t>
      </w:r>
      <w:r>
        <w:rPr>
          <w:rFonts w:ascii="SimSun" w:hAnsi="SimSun" w:eastAsia="SimSun" w:cs="SimSun"/>
          <w:sz w:val="21"/>
          <w:szCs w:val="21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1"/>
        </w:rPr>
        <w:t>征象占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比较少</w:t>
      </w:r>
      <w:r>
        <w:rPr>
          <w:rFonts w:ascii="SimSun" w:hAnsi="SimSun" w:eastAsia="SimSun" w:cs="SimSun"/>
          <w:sz w:val="21"/>
          <w:szCs w:val="21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3"/>
          <w:position w:val="9"/>
        </w:rPr>
        <w:t>[14]</w:t>
      </w:r>
      <w:r>
        <w:rPr>
          <w:rFonts w:ascii="SimSun" w:hAnsi="SimSun" w:eastAsia="SimSun" w:cs="SimSun"/>
          <w:sz w:val="12"/>
          <w:szCs w:val="12"/>
          <w:color w:val="231F20"/>
          <w:spacing w:val="-36"/>
          <w:position w:val="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。阑尾管径增粗至</w:t>
      </w:r>
      <w:r>
        <w:rPr>
          <w:rFonts w:ascii="SimSun" w:hAnsi="SimSun" w:eastAsia="SimSun" w:cs="SimSun"/>
          <w:sz w:val="21"/>
          <w:szCs w:val="21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6</w:t>
      </w:r>
      <w:r>
        <w:rPr>
          <w:rFonts w:ascii="SimSun" w:hAnsi="SimSun" w:eastAsia="SimSun" w:cs="SimSun"/>
          <w:sz w:val="21"/>
          <w:szCs w:val="21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mm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3"/>
        </w:rPr>
        <w:t>以上、粪石影、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阑尾周围渗出等征象是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的主要表现，</w:t>
      </w:r>
      <w:r>
        <w:rPr>
          <w:rFonts w:ascii="SimSun" w:hAnsi="SimSun" w:eastAsia="SimSun" w:cs="SimSun"/>
          <w:sz w:val="21"/>
          <w:szCs w:val="21"/>
          <w:color w:val="231F20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4"/>
        </w:rPr>
        <w:t>多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平面重组图像可清晰显示阑尾大小、走向、基部位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置、周围渗出等情况，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有助于预测术中及术后情况，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对临床诊疗具有一定指导价值</w:t>
      </w:r>
      <w:r>
        <w:rPr>
          <w:rFonts w:ascii="SimSun" w:hAnsi="SimSun" w:eastAsia="SimSun" w:cs="SimSun"/>
          <w:sz w:val="21"/>
          <w:szCs w:val="21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231F20"/>
          <w:spacing w:val="-3"/>
          <w:position w:val="9"/>
        </w:rPr>
        <w:t>[15]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。因本研究纳入的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样本量较少，且为单中心研究，其结果尚需后续扩</w:t>
      </w:r>
      <w:r>
        <w:rPr>
          <w:rFonts w:ascii="SimSun" w:hAnsi="SimSun" w:eastAsia="SimSun" w:cs="SimSun"/>
          <w:sz w:val="21"/>
          <w:szCs w:val="21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大样本量，进行多中心深入研究予以印证。</w:t>
      </w:r>
    </w:p>
    <w:p>
      <w:pPr>
        <w:ind w:left="713" w:right="247" w:firstLine="424"/>
        <w:spacing w:before="13" w:line="2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综上所述，</w:t>
      </w:r>
      <w:r>
        <w:rPr>
          <w:rFonts w:ascii="SimSun" w:hAnsi="SimSun" w:eastAsia="SimSun" w:cs="SimSun"/>
          <w:sz w:val="21"/>
          <w:szCs w:val="21"/>
          <w:color w:val="231F20"/>
        </w:rPr>
        <w:t>MSCT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检查在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</w:rPr>
        <w:t>AA</w:t>
      </w:r>
      <w:r>
        <w:rPr>
          <w:rFonts w:ascii="SimSun" w:hAnsi="SimSun" w:eastAsia="SimSun" w:cs="SimSun"/>
          <w:sz w:val="21"/>
          <w:szCs w:val="21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>病理分型诊断中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具有一定的应用价值。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963"/>
        <w:spacing w:before="41" w:line="208" w:lineRule="auto"/>
        <w:outlineLvl w:val="1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参考文献</w:t>
      </w:r>
    </w:p>
    <w:p>
      <w:pPr>
        <w:ind w:left="390" w:right="51" w:hanging="391"/>
        <w:spacing w:before="107" w:line="28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[1]   马锦山，王文清，杨长安</w:t>
      </w:r>
      <w:r>
        <w:rPr>
          <w:rFonts w:ascii="SimSun" w:hAnsi="SimSun" w:eastAsia="SimSun" w:cs="SimSun"/>
          <w:sz w:val="16"/>
          <w:szCs w:val="16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观察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微创小切口急诊手术后快速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康复理念对急性阑尾炎的治疗效果及对睡眠质量的影响</w:t>
      </w:r>
      <w:r>
        <w:rPr>
          <w:rFonts w:ascii="SimSun" w:hAnsi="SimSun" w:eastAsia="SimSun" w:cs="SimSun"/>
          <w:sz w:val="16"/>
          <w:szCs w:val="16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[J].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世界睡眠医学杂志，2022，9（</w:t>
      </w:r>
      <w:r>
        <w:rPr>
          <w:rFonts w:ascii="SimSun" w:hAnsi="SimSun" w:eastAsia="SimSun" w:cs="SimSun"/>
          <w:sz w:val="16"/>
          <w:szCs w:val="16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11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2019-2021.</w:t>
      </w:r>
    </w:p>
    <w:p>
      <w:pPr>
        <w:ind w:left="392" w:right="52" w:hanging="392"/>
        <w:spacing w:before="42" w:line="28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[2]</w:t>
      </w:r>
      <w:r>
        <w:rPr>
          <w:rFonts w:ascii="SimSun" w:hAnsi="SimSun" w:eastAsia="SimSun" w:cs="SimSun"/>
          <w:sz w:val="16"/>
          <w:szCs w:val="16"/>
          <w:color w:val="231F20"/>
          <w:spacing w:val="36"/>
        </w:rPr>
        <w:t xml:space="preserve"> 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宋蕾，黄海，李若静，等</w:t>
      </w:r>
      <w:r>
        <w:rPr>
          <w:rFonts w:ascii="SimSun" w:hAnsi="SimSun" w:eastAsia="SimSun" w:cs="SimSun"/>
          <w:sz w:val="16"/>
          <w:szCs w:val="16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急性阑尾炎患者术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后切口感染的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病原菌分析及</w:t>
      </w:r>
      <w:r>
        <w:rPr>
          <w:rFonts w:ascii="SimSun" w:hAnsi="SimSun" w:eastAsia="SimSun" w:cs="SimSun"/>
          <w:sz w:val="16"/>
          <w:szCs w:val="16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NLR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、</w:t>
      </w:r>
      <w:r>
        <w:rPr>
          <w:rFonts w:ascii="SimSun" w:hAnsi="SimSun" w:eastAsia="SimSun" w:cs="SimSun"/>
          <w:sz w:val="16"/>
          <w:szCs w:val="16"/>
          <w:color w:val="231F20"/>
        </w:rPr>
        <w:t>PCT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、</w:t>
      </w:r>
      <w:r>
        <w:rPr>
          <w:rFonts w:ascii="SimSun" w:hAnsi="SimSun" w:eastAsia="SimSun" w:cs="SimSun"/>
          <w:sz w:val="16"/>
          <w:szCs w:val="16"/>
          <w:color w:val="231F20"/>
        </w:rPr>
        <w:t>CRP</w:t>
      </w:r>
      <w:r>
        <w:rPr>
          <w:rFonts w:ascii="SimSun" w:hAnsi="SimSun" w:eastAsia="SimSun" w:cs="SimSun"/>
          <w:sz w:val="16"/>
          <w:szCs w:val="16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联合检测的预测价值研究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[J].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现代生物医学进展，2023，23（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17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3359-3364.</w:t>
      </w:r>
    </w:p>
    <w:p>
      <w:pPr>
        <w:ind w:left="390" w:hanging="391"/>
        <w:spacing w:before="41" w:line="28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</w:rPr>
        <w:t>[3]</w:t>
      </w:r>
      <w:r>
        <w:rPr>
          <w:rFonts w:ascii="SimSun" w:hAnsi="SimSun" w:eastAsia="SimSun" w:cs="SimSun"/>
          <w:sz w:val="16"/>
          <w:szCs w:val="16"/>
          <w:color w:val="231F20"/>
          <w:spacing w:val="44"/>
        </w:rPr>
        <w:t xml:space="preserve">  </w:t>
      </w:r>
      <w:r>
        <w:rPr>
          <w:rFonts w:ascii="SimSun" w:hAnsi="SimSun" w:eastAsia="SimSun" w:cs="SimSun"/>
          <w:sz w:val="16"/>
          <w:szCs w:val="16"/>
          <w:color w:val="231F20"/>
        </w:rPr>
        <w:t>葛明，涂丹丹，杨湃，等</w:t>
      </w:r>
      <w:r>
        <w:rPr>
          <w:rFonts w:ascii="SimSun" w:hAnsi="SimSun" w:eastAsia="SimSun" w:cs="SimSun"/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. 多层螺旋</w:t>
      </w:r>
      <w:r>
        <w:rPr>
          <w:rFonts w:ascii="SimSun" w:hAnsi="SimSun" w:eastAsia="SimSun" w:cs="SimSun"/>
          <w:sz w:val="16"/>
          <w:szCs w:val="16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CT</w:t>
      </w:r>
      <w:r>
        <w:rPr>
          <w:rFonts w:ascii="SimSun" w:hAnsi="SimSun" w:eastAsia="SimSun" w:cs="SimSun"/>
          <w:sz w:val="16"/>
          <w:szCs w:val="16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平扫阑尾腔内气体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及小气泡征在诊断急性阑尾炎中的价值</w:t>
      </w:r>
      <w:r>
        <w:rPr>
          <w:rFonts w:ascii="SimSun" w:hAnsi="SimSun" w:eastAsia="SimSun" w:cs="SimSun"/>
          <w:sz w:val="16"/>
          <w:szCs w:val="16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[J].</w:t>
      </w:r>
      <w:r>
        <w:rPr>
          <w:rFonts w:ascii="SimSun" w:hAnsi="SimSun" w:eastAsia="SimSun" w:cs="SimSun"/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实用放射学杂志，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2021，37（</w:t>
      </w:r>
      <w:r>
        <w:rPr>
          <w:rFonts w:ascii="SimSun" w:hAnsi="SimSun" w:eastAsia="SimSun" w:cs="SimSun"/>
          <w:sz w:val="16"/>
          <w:szCs w:val="16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1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80-83.</w:t>
      </w:r>
    </w:p>
    <w:p>
      <w:pPr>
        <w:ind w:left="395" w:hanging="396"/>
        <w:spacing w:before="32" w:line="28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[4]</w:t>
      </w:r>
      <w:r>
        <w:rPr>
          <w:rFonts w:ascii="SimSun" w:hAnsi="SimSun" w:eastAsia="SimSun" w:cs="SimSun"/>
          <w:sz w:val="16"/>
          <w:szCs w:val="16"/>
          <w:color w:val="231F20"/>
          <w:spacing w:val="37"/>
        </w:rPr>
        <w:t xml:space="preserve"> 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周柯均，谢梦忆，刘瑜，等</w:t>
      </w:r>
      <w:r>
        <w:rPr>
          <w:rFonts w:ascii="SimSun" w:hAnsi="SimSun" w:eastAsia="SimSun" w:cs="SimSun"/>
          <w:sz w:val="16"/>
          <w:szCs w:val="16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MSCT</w:t>
      </w:r>
      <w:r>
        <w:rPr>
          <w:rFonts w:ascii="SimSun" w:hAnsi="SimSun" w:eastAsia="SimSun" w:cs="SimSun"/>
          <w:sz w:val="16"/>
          <w:szCs w:val="16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在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儿童急性阑尾炎术前诊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断中的应用及影像特点分析</w:t>
      </w:r>
      <w:r>
        <w:rPr>
          <w:rFonts w:ascii="SimSun" w:hAnsi="SimSun" w:eastAsia="SimSun" w:cs="SimSun"/>
          <w:sz w:val="16"/>
          <w:szCs w:val="16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[J]. 中国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CT</w:t>
      </w:r>
      <w:r>
        <w:rPr>
          <w:rFonts w:ascii="SimSun" w:hAnsi="SimSun" w:eastAsia="SimSun" w:cs="SimSun"/>
          <w:sz w:val="16"/>
          <w:szCs w:val="16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和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MRI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杂志，2021，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19（5</w:t>
      </w:r>
      <w:r>
        <w:rPr>
          <w:rFonts w:ascii="SimSun" w:hAnsi="SimSun" w:eastAsia="SimSun" w:cs="SimSun"/>
          <w:sz w:val="16"/>
          <w:szCs w:val="16"/>
          <w:color w:val="231F20"/>
          <w:spacing w:val="8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106-108.</w:t>
      </w:r>
    </w:p>
    <w:p>
      <w:pPr>
        <w:ind w:left="390" w:hanging="391"/>
        <w:spacing w:before="31" w:line="28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[5]</w:t>
      </w:r>
      <w:r>
        <w:rPr>
          <w:rFonts w:ascii="SimSun" w:hAnsi="SimSun" w:eastAsia="SimSun" w:cs="SimSun"/>
          <w:sz w:val="16"/>
          <w:szCs w:val="16"/>
          <w:color w:val="231F20"/>
          <w:spacing w:val="40"/>
        </w:rPr>
        <w:t xml:space="preserve"> 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张玮</w:t>
      </w:r>
      <w:r>
        <w:rPr>
          <w:rFonts w:ascii="SimSun" w:hAnsi="SimSun" w:eastAsia="SimSun" w:cs="SimSun"/>
          <w:sz w:val="16"/>
          <w:szCs w:val="16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3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2"/>
        </w:rPr>
        <w:t>《小儿胃肠病诊治》出版：小儿胃肠外科腹腔镜治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疗阑尾炎的诊治特点及临床效果分析</w:t>
      </w:r>
      <w:r>
        <w:rPr>
          <w:rFonts w:ascii="SimSun" w:hAnsi="SimSun" w:eastAsia="SimSun" w:cs="SimSun"/>
          <w:sz w:val="16"/>
          <w:szCs w:val="16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[J].</w:t>
      </w:r>
      <w:r>
        <w:rPr>
          <w:rFonts w:ascii="SimSun" w:hAnsi="SimSun" w:eastAsia="SimSun" w:cs="SimSun"/>
          <w:sz w:val="16"/>
          <w:szCs w:val="16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1"/>
        </w:rPr>
        <w:t>介入放射学</w:t>
      </w:r>
      <w:r>
        <w:rPr>
          <w:rFonts w:ascii="SimSun" w:hAnsi="SimSun" w:eastAsia="SimSun" w:cs="SimSun"/>
          <w:sz w:val="16"/>
          <w:szCs w:val="16"/>
          <w:color w:val="231F20"/>
        </w:rPr>
        <w:t>杂志，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2023，32（4</w:t>
      </w:r>
      <w:r>
        <w:rPr>
          <w:rFonts w:ascii="SimSun" w:hAnsi="SimSun" w:eastAsia="SimSun" w:cs="SimSun"/>
          <w:sz w:val="16"/>
          <w:szCs w:val="16"/>
          <w:color w:val="231F20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后插</w:t>
      </w:r>
      <w:r>
        <w:rPr>
          <w:rFonts w:ascii="SimSun" w:hAnsi="SimSun" w:eastAsia="SimSun" w:cs="SimSun"/>
          <w:sz w:val="16"/>
          <w:szCs w:val="16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8.</w:t>
      </w:r>
    </w:p>
    <w:p>
      <w:pPr>
        <w:ind w:left="400" w:right="52" w:hanging="401"/>
        <w:spacing w:before="42" w:line="27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[6]   苏海燕，江文匡，钟李强，等</w:t>
      </w:r>
      <w:r>
        <w:rPr>
          <w:rFonts w:ascii="SimSun" w:hAnsi="SimSun" w:eastAsia="SimSun" w:cs="SimSun"/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多层螺旋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CT</w:t>
      </w:r>
      <w:r>
        <w:rPr>
          <w:rFonts w:ascii="SimSun" w:hAnsi="SimSun" w:eastAsia="SimSun" w:cs="SimSun"/>
          <w:sz w:val="16"/>
          <w:szCs w:val="16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诊断急性阑尾炎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临床价值分析</w:t>
      </w:r>
      <w:r>
        <w:rPr>
          <w:rFonts w:ascii="SimSun" w:hAnsi="SimSun" w:eastAsia="SimSun" w:cs="SimSun"/>
          <w:sz w:val="16"/>
          <w:szCs w:val="16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[J].</w:t>
      </w:r>
      <w:r>
        <w:rPr>
          <w:rFonts w:ascii="SimSun" w:hAnsi="SimSun" w:eastAsia="SimSun" w:cs="SimSun"/>
          <w:sz w:val="16"/>
          <w:szCs w:val="16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母婴世界，2018（3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50.</w:t>
      </w:r>
    </w:p>
    <w:p>
      <w:pPr>
        <w:ind w:left="405" w:right="1" w:hanging="405"/>
        <w:spacing w:before="44" w:line="29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[7]</w:t>
      </w:r>
      <w:r>
        <w:rPr>
          <w:rFonts w:ascii="SimSun" w:hAnsi="SimSun" w:eastAsia="SimSun" w:cs="SimSun"/>
          <w:sz w:val="16"/>
          <w:szCs w:val="16"/>
          <w:color w:val="231F20"/>
          <w:spacing w:val="36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周桂荣</w:t>
      </w:r>
      <w:r>
        <w:rPr>
          <w:rFonts w:ascii="SimSun" w:hAnsi="SimSun" w:eastAsia="SimSun" w:cs="SimSun"/>
          <w:sz w:val="16"/>
          <w:szCs w:val="16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急性阑尾炎不同病理类型患者临床体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征表现及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MSCT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的诊断价值研究</w:t>
      </w:r>
      <w:r>
        <w:rPr>
          <w:rFonts w:ascii="SimSun" w:hAnsi="SimSun" w:eastAsia="SimSun" w:cs="SimSun"/>
          <w:sz w:val="16"/>
          <w:szCs w:val="16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[J]. 中国</w:t>
      </w:r>
      <w:r>
        <w:rPr>
          <w:rFonts w:ascii="SimSun" w:hAnsi="SimSun" w:eastAsia="SimSun" w:cs="SimSun"/>
          <w:sz w:val="16"/>
          <w:szCs w:val="16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CT</w:t>
      </w:r>
      <w:r>
        <w:rPr>
          <w:rFonts w:ascii="SimSun" w:hAnsi="SimSun" w:eastAsia="SimSun" w:cs="SimSun"/>
          <w:sz w:val="16"/>
          <w:szCs w:val="16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和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MRI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杂志，2020，18（</w:t>
      </w:r>
      <w:r>
        <w:rPr>
          <w:rFonts w:ascii="SimSun" w:hAnsi="SimSun" w:eastAsia="SimSun" w:cs="SimSun"/>
          <w:sz w:val="16"/>
          <w:szCs w:val="16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12</w:t>
      </w:r>
      <w:r>
        <w:rPr>
          <w:rFonts w:ascii="SimSun" w:hAnsi="SimSun" w:eastAsia="SimSun" w:cs="SimSun"/>
          <w:sz w:val="16"/>
          <w:szCs w:val="16"/>
          <w:color w:val="231F20"/>
          <w:spacing w:val="-13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128-131.</w:t>
      </w:r>
    </w:p>
    <w:p>
      <w:pPr>
        <w:ind w:left="382" w:right="52" w:hanging="382"/>
        <w:spacing w:before="25" w:line="28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[8]</w:t>
      </w:r>
      <w:r>
        <w:rPr>
          <w:rFonts w:ascii="SimSun" w:hAnsi="SimSun" w:eastAsia="SimSun" w:cs="SimSun"/>
          <w:sz w:val="16"/>
          <w:szCs w:val="16"/>
          <w:color w:val="231F20"/>
          <w:spacing w:val="46"/>
        </w:rPr>
        <w:t xml:space="preserve"> 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郭悦，朱晓旭，韩煦</w:t>
      </w:r>
      <w:r>
        <w:rPr>
          <w:rFonts w:ascii="SimSun" w:hAnsi="SimSun" w:eastAsia="SimSun" w:cs="SimSun"/>
          <w:sz w:val="16"/>
          <w:szCs w:val="16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急性阑尾炎</w:t>
      </w:r>
      <w:r>
        <w:rPr>
          <w:rFonts w:ascii="SimSun" w:hAnsi="SimSun" w:eastAsia="SimSun" w:cs="SimSun"/>
          <w:sz w:val="16"/>
          <w:szCs w:val="16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B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型超声、MSCT</w:t>
      </w:r>
      <w:r>
        <w:rPr>
          <w:rFonts w:ascii="SimSun" w:hAnsi="SimSun" w:eastAsia="SimSun" w:cs="SimSun"/>
          <w:sz w:val="16"/>
          <w:szCs w:val="16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检查影像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学表现及临床诊治价值对比</w:t>
      </w:r>
      <w:r>
        <w:rPr>
          <w:rFonts w:ascii="SimSun" w:hAnsi="SimSun" w:eastAsia="SimSun" w:cs="SimSun"/>
          <w:sz w:val="16"/>
          <w:szCs w:val="16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[J]. 中国</w:t>
      </w:r>
      <w:r>
        <w:rPr>
          <w:rFonts w:ascii="SimSun" w:hAnsi="SimSun" w:eastAsia="SimSun" w:cs="SimSun"/>
          <w:sz w:val="16"/>
          <w:szCs w:val="16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CT</w:t>
      </w:r>
      <w:r>
        <w:rPr>
          <w:rFonts w:ascii="SimSun" w:hAnsi="SimSun" w:eastAsia="SimSun" w:cs="SimSun"/>
          <w:sz w:val="16"/>
          <w:szCs w:val="16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和</w:t>
      </w:r>
      <w:r>
        <w:rPr>
          <w:rFonts w:ascii="SimSun" w:hAnsi="SimSun" w:eastAsia="SimSun" w:cs="SimSun"/>
          <w:sz w:val="16"/>
          <w:szCs w:val="16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MRI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杂志，2022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（2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143-145.</w:t>
      </w:r>
    </w:p>
    <w:p>
      <w:pPr>
        <w:ind w:left="392" w:right="52" w:hanging="393"/>
        <w:spacing w:before="32" w:line="29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[9]</w:t>
      </w:r>
      <w:r>
        <w:rPr>
          <w:rFonts w:ascii="SimSun" w:hAnsi="SimSun" w:eastAsia="SimSun" w:cs="SimSun"/>
          <w:sz w:val="16"/>
          <w:szCs w:val="16"/>
          <w:color w:val="231F20"/>
          <w:spacing w:val="38"/>
        </w:rPr>
        <w:t xml:space="preserve"> 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杨秀益，肖行斌，龙观林，等</w:t>
      </w:r>
      <w:r>
        <w:rPr>
          <w:rFonts w:ascii="SimSun" w:hAnsi="SimSun" w:eastAsia="SimSun" w:cs="SimSun"/>
          <w:sz w:val="16"/>
          <w:szCs w:val="16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腹部超声与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CT</w:t>
      </w:r>
      <w:r>
        <w:rPr>
          <w:rFonts w:ascii="SimSun" w:hAnsi="SimSun" w:eastAsia="SimSun" w:cs="SimSun"/>
          <w:sz w:val="16"/>
          <w:szCs w:val="16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检查急性阑尾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炎临床价值分析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[J].</w:t>
      </w:r>
      <w:r>
        <w:rPr>
          <w:rFonts w:ascii="SimSun" w:hAnsi="SimSun" w:eastAsia="SimSun" w:cs="SimSun"/>
          <w:sz w:val="16"/>
          <w:szCs w:val="16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医学影像学杂志，2023，33（7</w:t>
      </w:r>
      <w:r>
        <w:rPr>
          <w:rFonts w:ascii="SimSun" w:hAnsi="SimSun" w:eastAsia="SimSun" w:cs="SimSun"/>
          <w:sz w:val="16"/>
          <w:szCs w:val="16"/>
          <w:color w:val="231F20"/>
          <w:spacing w:val="12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1308-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8"/>
        </w:rPr>
        <w:t>1311.</w:t>
      </w:r>
    </w:p>
    <w:p>
      <w:pPr>
        <w:ind w:left="390" w:right="52" w:hanging="391"/>
        <w:spacing w:before="24" w:line="28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[10]</w:t>
      </w:r>
      <w:r>
        <w:rPr>
          <w:rFonts w:ascii="SimSun" w:hAnsi="SimSun" w:eastAsia="SimSun" w:cs="SimSun"/>
          <w:sz w:val="16"/>
          <w:szCs w:val="16"/>
          <w:color w:val="231F20"/>
          <w:spacing w:val="81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曹振，张仕兵，肖正文，等</w:t>
      </w:r>
      <w:r>
        <w:rPr>
          <w:rFonts w:ascii="SimSun" w:hAnsi="SimSun" w:eastAsia="SimSun" w:cs="SimSun"/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MSCT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征象及</w:t>
      </w:r>
      <w:r>
        <w:rPr>
          <w:rFonts w:ascii="SimSun" w:hAnsi="SimSun" w:eastAsia="SimSun" w:cs="SimSun"/>
          <w:sz w:val="16"/>
          <w:szCs w:val="16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MPR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、</w:t>
      </w:r>
      <w:r>
        <w:rPr>
          <w:rFonts w:ascii="SimSun" w:hAnsi="SimSun" w:eastAsia="SimSun" w:cs="SimSun"/>
          <w:sz w:val="16"/>
          <w:szCs w:val="16"/>
          <w:color w:val="231F20"/>
        </w:rPr>
        <w:t>CPR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重建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对急性复杂性与非复杂性阑尾炎的鉴别价值分析</w:t>
      </w:r>
      <w:r>
        <w:rPr>
          <w:rFonts w:ascii="SimSun" w:hAnsi="SimSun" w:eastAsia="SimSun" w:cs="SimSun"/>
          <w:sz w:val="16"/>
          <w:szCs w:val="16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[J]. 内蒙古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医科大学学报，2021，43（6</w:t>
      </w:r>
      <w:r>
        <w:rPr>
          <w:rFonts w:ascii="SimSun" w:hAnsi="SimSun" w:eastAsia="SimSun" w:cs="SimSun"/>
          <w:sz w:val="16"/>
          <w:szCs w:val="16"/>
          <w:color w:val="231F20"/>
          <w:spacing w:val="9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626-628.</w:t>
      </w:r>
    </w:p>
    <w:p>
      <w:pPr>
        <w:ind w:left="394" w:right="51" w:hanging="394"/>
        <w:spacing w:before="43" w:line="27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[11]</w:t>
      </w:r>
      <w:r>
        <w:rPr>
          <w:rFonts w:ascii="SimSun" w:hAnsi="SimSun" w:eastAsia="SimSun" w:cs="SimSun"/>
          <w:sz w:val="16"/>
          <w:szCs w:val="16"/>
          <w:color w:val="231F20"/>
          <w:spacing w:val="8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吴小勤</w:t>
      </w:r>
      <w:r>
        <w:rPr>
          <w:rFonts w:ascii="SimSun" w:hAnsi="SimSun" w:eastAsia="SimSun" w:cs="SimSun"/>
          <w:sz w:val="16"/>
          <w:szCs w:val="16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分析急性阑尾炎螺旋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CT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多平面重组技术的影像学表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现及诊断价值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[J].</w:t>
      </w:r>
      <w:r>
        <w:rPr>
          <w:rFonts w:ascii="SimSun" w:hAnsi="SimSun" w:eastAsia="SimSun" w:cs="SimSun"/>
          <w:sz w:val="16"/>
          <w:szCs w:val="16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当代医学，2020，26（25</w:t>
      </w:r>
      <w:r>
        <w:rPr>
          <w:rFonts w:ascii="SimSun" w:hAnsi="SimSun" w:eastAsia="SimSun" w:cs="SimSun"/>
          <w:sz w:val="16"/>
          <w:szCs w:val="16"/>
          <w:color w:val="231F20"/>
          <w:spacing w:val="18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6"/>
        </w:rPr>
        <w:t>185-186.</w:t>
      </w:r>
    </w:p>
    <w:p>
      <w:pPr>
        <w:ind w:left="392" w:right="52" w:hanging="392"/>
        <w:spacing w:before="44" w:line="28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[12]</w:t>
      </w:r>
      <w:r>
        <w:rPr>
          <w:rFonts w:ascii="SimSun" w:hAnsi="SimSun" w:eastAsia="SimSun" w:cs="SimSun"/>
          <w:sz w:val="16"/>
          <w:szCs w:val="16"/>
          <w:color w:val="231F20"/>
          <w:spacing w:val="73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苑乐添，王艺霖，沈子剑，等</w:t>
      </w:r>
      <w:r>
        <w:rPr>
          <w:rFonts w:ascii="SimSun" w:hAnsi="SimSun" w:eastAsia="SimSun" w:cs="SimSun"/>
          <w:sz w:val="16"/>
          <w:szCs w:val="16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急性阑尾炎螺旋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CT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多平面重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组技术的影像学表现及诊断价值研究</w:t>
      </w:r>
      <w:r>
        <w:rPr>
          <w:rFonts w:ascii="SimSun" w:hAnsi="SimSun" w:eastAsia="SimSun" w:cs="SimSun"/>
          <w:sz w:val="16"/>
          <w:szCs w:val="16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[J].</w:t>
      </w:r>
      <w:r>
        <w:rPr>
          <w:rFonts w:ascii="SimSun" w:hAnsi="SimSun" w:eastAsia="SimSun" w:cs="SimSun"/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影像研究与医学应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用，2023，7（22</w:t>
      </w:r>
      <w:r>
        <w:rPr>
          <w:rFonts w:ascii="SimSun" w:hAnsi="SimSun" w:eastAsia="SimSun" w:cs="SimSun"/>
          <w:sz w:val="16"/>
          <w:szCs w:val="16"/>
          <w:color w:val="231F20"/>
          <w:spacing w:val="6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76-78.</w:t>
      </w:r>
    </w:p>
    <w:p>
      <w:pPr>
        <w:ind w:left="382" w:right="51" w:hanging="382"/>
        <w:spacing w:before="41" w:line="28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[13]  臧文远，王炬玮，张晶石，等</w:t>
      </w:r>
      <w:r>
        <w:rPr>
          <w:rFonts w:ascii="SimSun" w:hAnsi="SimSun" w:eastAsia="SimSun" w:cs="SimSun"/>
          <w:sz w:val="16"/>
          <w:szCs w:val="16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多层螺旋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CT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平扫及重建技术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在急性阑尾炎诊断中的应用</w:t>
      </w:r>
      <w:r>
        <w:rPr>
          <w:rFonts w:ascii="SimSun" w:hAnsi="SimSun" w:eastAsia="SimSun" w:cs="SimSun"/>
          <w:sz w:val="16"/>
          <w:szCs w:val="16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[J].</w:t>
      </w:r>
      <w:r>
        <w:rPr>
          <w:rFonts w:ascii="SimSun" w:hAnsi="SimSun" w:eastAsia="SimSun" w:cs="SimSun"/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中国实验诊断学，2020，24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（4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</w:rPr>
        <w:t>605-606.</w:t>
      </w:r>
    </w:p>
    <w:p>
      <w:pPr>
        <w:ind w:left="390" w:right="52" w:hanging="390"/>
        <w:spacing w:before="31" w:line="27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[14]  高志友，高源，方同漫</w:t>
      </w:r>
      <w:r>
        <w:rPr>
          <w:rFonts w:ascii="SimSun" w:hAnsi="SimSun" w:eastAsia="SimSun" w:cs="SimSun"/>
          <w:sz w:val="16"/>
          <w:szCs w:val="16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老年急性阑尾炎穿孔</w:t>
      </w:r>
      <w:r>
        <w:rPr>
          <w:rFonts w:ascii="SimSun" w:hAnsi="SimSun" w:eastAsia="SimSun" w:cs="SimSun"/>
          <w:sz w:val="16"/>
          <w:szCs w:val="16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CT</w:t>
      </w:r>
      <w:r>
        <w:rPr>
          <w:rFonts w:ascii="SimSun" w:hAnsi="SimSun" w:eastAsia="SimSun" w:cs="SimSun"/>
          <w:sz w:val="16"/>
          <w:szCs w:val="16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4"/>
        </w:rPr>
        <w:t>征象预测探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讨</w:t>
      </w:r>
      <w:r>
        <w:rPr>
          <w:rFonts w:ascii="SimSun" w:hAnsi="SimSun" w:eastAsia="SimSun" w:cs="SimSun"/>
          <w:sz w:val="16"/>
          <w:szCs w:val="16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[J].</w:t>
      </w:r>
      <w:r>
        <w:rPr>
          <w:rFonts w:ascii="SimSun" w:hAnsi="SimSun" w:eastAsia="SimSun" w:cs="SimSun"/>
          <w:sz w:val="16"/>
          <w:szCs w:val="16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影像科学与光化学，2023，41（6</w:t>
      </w:r>
      <w:r>
        <w:rPr>
          <w:rFonts w:ascii="SimSun" w:hAnsi="SimSun" w:eastAsia="SimSun" w:cs="SimSun"/>
          <w:sz w:val="16"/>
          <w:szCs w:val="16"/>
          <w:color w:val="231F20"/>
          <w:spacing w:val="4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  <w:spacing w:val="-5"/>
        </w:rPr>
        <w:t>326-331.</w:t>
      </w:r>
    </w:p>
    <w:p>
      <w:pPr>
        <w:ind w:left="395" w:right="51" w:hanging="396"/>
        <w:spacing w:before="43" w:line="28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[15]</w:t>
      </w:r>
      <w:r>
        <w:rPr>
          <w:rFonts w:ascii="SimSun" w:hAnsi="SimSun" w:eastAsia="SimSun" w:cs="SimSun"/>
          <w:sz w:val="16"/>
          <w:szCs w:val="16"/>
          <w:color w:val="231F20"/>
          <w:spacing w:val="7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刘新爱，王同明，任月勤</w:t>
      </w:r>
      <w:r>
        <w:rPr>
          <w:rFonts w:ascii="SimSun" w:hAnsi="SimSun" w:eastAsia="SimSun" w:cs="SimSun"/>
          <w:sz w:val="16"/>
          <w:szCs w:val="16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.</w:t>
      </w:r>
      <w:r>
        <w:rPr>
          <w:rFonts w:ascii="SimSun" w:hAnsi="SimSun" w:eastAsia="SimSun" w:cs="SimSun"/>
          <w:sz w:val="16"/>
          <w:szCs w:val="16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三种病理类型急性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阑尾炎患者的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临床体征及多层螺旋</w:t>
      </w:r>
      <w:r>
        <w:rPr>
          <w:rFonts w:ascii="SimSun" w:hAnsi="SimSun" w:eastAsia="SimSun" w:cs="SimSun"/>
          <w:sz w:val="16"/>
          <w:szCs w:val="16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CT</w:t>
      </w:r>
      <w:r>
        <w:rPr>
          <w:rFonts w:ascii="SimSun" w:hAnsi="SimSun" w:eastAsia="SimSun" w:cs="SimSun"/>
          <w:sz w:val="16"/>
          <w:szCs w:val="16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征象特点差异性分析</w:t>
      </w:r>
      <w:r>
        <w:rPr>
          <w:rFonts w:ascii="SimSun" w:hAnsi="SimSun" w:eastAsia="SimSun" w:cs="SimSun"/>
          <w:sz w:val="16"/>
          <w:szCs w:val="16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[J]. 中国</w:t>
      </w:r>
      <w:r>
        <w:rPr>
          <w:rFonts w:ascii="SimSun" w:hAnsi="SimSun" w:eastAsia="SimSun" w:cs="SimSun"/>
          <w:sz w:val="16"/>
          <w:szCs w:val="16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CT</w:t>
      </w:r>
      <w:r>
        <w:rPr>
          <w:rFonts w:ascii="SimSun" w:hAnsi="SimSun" w:eastAsia="SimSun" w:cs="SimSun"/>
          <w:sz w:val="16"/>
          <w:szCs w:val="16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  <w:spacing w:val="-3"/>
        </w:rPr>
        <w:t>和</w:t>
      </w:r>
      <w:r>
        <w:rPr>
          <w:rFonts w:ascii="SimSun" w:hAnsi="SimSun" w:eastAsia="SimSun" w:cs="SimSun"/>
          <w:sz w:val="16"/>
          <w:szCs w:val="16"/>
          <w:color w:val="231F20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MRI</w:t>
      </w:r>
      <w:r>
        <w:rPr>
          <w:rFonts w:ascii="SimSun" w:hAnsi="SimSun" w:eastAsia="SimSun" w:cs="SimSun"/>
          <w:sz w:val="16"/>
          <w:szCs w:val="16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1F20"/>
        </w:rPr>
        <w:t>杂志，2017，15（8</w:t>
      </w:r>
      <w:r>
        <w:rPr>
          <w:rFonts w:ascii="SimSun" w:hAnsi="SimSun" w:eastAsia="SimSun" w:cs="SimSun"/>
          <w:sz w:val="16"/>
          <w:szCs w:val="16"/>
          <w:color w:val="231F20"/>
          <w:spacing w:val="14"/>
        </w:rPr>
        <w:t>）：</w:t>
      </w:r>
      <w:r>
        <w:rPr>
          <w:rFonts w:ascii="SimSun" w:hAnsi="SimSun" w:eastAsia="SimSun" w:cs="SimSun"/>
          <w:sz w:val="16"/>
          <w:szCs w:val="16"/>
          <w:color w:val="231F20"/>
        </w:rPr>
        <w:t>124-127.</w:t>
      </w:r>
    </w:p>
    <w:p>
      <w:pPr>
        <w:ind w:left="3749"/>
        <w:spacing w:before="51" w:line="17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编辑：李静</w:t>
      </w:r>
    </w:p>
    <w:sectPr>
      <w:type w:val="continuous"/>
      <w:pgSz w:w="11906" w:h="16838"/>
      <w:pgMar w:top="400" w:right="1081" w:bottom="1108" w:left="424" w:header="0" w:footer="898" w:gutter="0"/>
      <w:cols w:equalWidth="0" w:num="2">
        <w:col w:w="5607" w:space="100"/>
        <w:col w:w="469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44"/>
      <w:spacing w:line="175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color w:val="231F20"/>
        <w:spacing w:val="-6"/>
      </w:rPr>
      <w:t>128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830"/>
      <w:spacing w:line="177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color w:val="231F20"/>
        <w:spacing w:val="-6"/>
      </w:rPr>
      <w:t>129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44"/>
      <w:spacing w:before="1" w:line="175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color w:val="231F20"/>
        <w:spacing w:val="-6"/>
      </w:rPr>
      <w:t>130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tbl>
    <w:tblPr>
      <w:tblStyle w:val="TableNormal"/>
      <w:tblW w:w="9437" w:type="dxa"/>
      <w:tblInd w:w="800" w:type="dxa"/>
      <w:tblLayout w:type="fixed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</w:tblPr>
    <w:tblGrid>
      <w:gridCol w:w="2628"/>
      <w:gridCol w:w="4083"/>
      <w:gridCol w:w="2726"/>
    </w:tblGrid>
    <w:tr>
      <w:trPr>
        <w:trHeight w:val="233" w:hRule="atLeast"/>
      </w:trPr>
      <w:tc>
        <w:tcPr>
          <w:tcW w:w="2628" w:type="dxa"/>
          <w:vAlign w:val="top"/>
        </w:tcPr>
        <w:p>
          <w:pPr>
            <w:pStyle w:val="TableText"/>
            <w:ind w:left="634"/>
            <w:spacing w:line="228" w:lineRule="auto"/>
            <w:rPr/>
          </w:pPr>
          <w:r>
            <w:pict>
      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      <v:imagedata o:title="" r:id="rId1"/>
              </v:shape>
            </w:pict>
          </w:r>
          <w:r>
            <w:pict>
              <v:shape id="_x0000_s4" style="position:absolute;margin-left:56.7025pt;margin-top:70.2576pt;mso-position-vertical-relative:page;mso-position-horizontal-relative:page;width:481.9pt;height:0.35pt;z-index:251659264;" o:allowincell="f" filled="false" strokecolor="#231F20" strokeweight="0.30pt" coordsize="9637,6" coordorigin="0,0" path="m0,3l9637,3e">
                <v:stroke joinstyle="miter" miterlimit="4"/>
              </v:shape>
            </w:pict>
          </w:r>
          <w:r>
            <w:rPr>
              <w:color w:val="231F20"/>
              <w:spacing w:val="-5"/>
            </w:rPr>
            <w:t>2024</w:t>
          </w:r>
          <w:r>
            <w:rPr>
              <w:color w:val="231F20"/>
              <w:spacing w:val="-35"/>
            </w:rPr>
            <w:t xml:space="preserve"> </w:t>
          </w:r>
          <w:r>
            <w:rPr>
              <w:color w:val="231F20"/>
              <w:spacing w:val="-5"/>
            </w:rPr>
            <w:t>年</w:t>
          </w:r>
          <w:r>
            <w:rPr>
              <w:color w:val="231F20"/>
              <w:spacing w:val="-26"/>
            </w:rPr>
            <w:t xml:space="preserve"> </w:t>
          </w:r>
          <w:r>
            <w:rPr>
              <w:color w:val="231F20"/>
              <w:spacing w:val="-5"/>
            </w:rPr>
            <w:t>10</w:t>
          </w:r>
          <w:r>
            <w:rPr>
              <w:color w:val="231F20"/>
              <w:spacing w:val="-38"/>
            </w:rPr>
            <w:t xml:space="preserve"> </w:t>
          </w:r>
          <w:r>
            <w:rPr>
              <w:color w:val="231F20"/>
              <w:spacing w:val="-5"/>
            </w:rPr>
            <w:t>月</w:t>
          </w:r>
        </w:p>
      </w:tc>
      <w:tc>
        <w:tcPr>
          <w:tcW w:w="4083" w:type="dxa"/>
          <w:vAlign w:val="top"/>
        </w:tcPr>
        <w:p>
          <w:pPr>
            <w:pStyle w:val="TableText"/>
            <w:ind w:left="1573"/>
            <w:spacing w:before="7" w:line="215" w:lineRule="auto"/>
            <w:rPr/>
          </w:pPr>
          <w:r>
            <w:rPr>
              <w:color w:val="231F20"/>
              <w:spacing w:val="-4"/>
            </w:rPr>
            <w:t>中国民康医学</w:t>
          </w:r>
        </w:p>
      </w:tc>
      <w:tc>
        <w:tcPr>
          <w:tcW w:w="2726" w:type="dxa"/>
          <w:vAlign w:val="top"/>
        </w:tcPr>
        <w:p>
          <w:pPr>
            <w:pStyle w:val="TableText"/>
            <w:ind w:left="1347"/>
            <w:spacing w:line="228" w:lineRule="auto"/>
            <w:rPr/>
          </w:pPr>
          <w:r>
            <w:rPr>
              <w:color w:val="231F20"/>
              <w:spacing w:val="-18"/>
            </w:rPr>
            <w:t>Oct.，2024</w:t>
          </w:r>
        </w:p>
      </w:tc>
    </w:tr>
    <w:tr>
      <w:trPr>
        <w:trHeight w:val="234" w:hRule="atLeast"/>
      </w:trPr>
      <w:tc>
        <w:tcPr>
          <w:tcW w:w="2628" w:type="dxa"/>
          <w:vAlign w:val="top"/>
        </w:tcPr>
        <w:p>
          <w:pPr>
            <w:pStyle w:val="TableText"/>
            <w:spacing w:before="23" w:line="206" w:lineRule="auto"/>
            <w:rPr/>
          </w:pPr>
          <w:r>
            <w:rPr>
              <w:color w:val="231F20"/>
              <w:spacing w:val="-3"/>
            </w:rPr>
            <w:t>第</w:t>
          </w:r>
          <w:r>
            <w:rPr>
              <w:color w:val="231F20"/>
              <w:spacing w:val="-31"/>
            </w:rPr>
            <w:t xml:space="preserve"> </w:t>
          </w:r>
          <w:r>
            <w:rPr>
              <w:color w:val="231F20"/>
              <w:spacing w:val="-3"/>
            </w:rPr>
            <w:t>36</w:t>
          </w:r>
          <w:r>
            <w:rPr>
              <w:color w:val="231F20"/>
              <w:spacing w:val="-41"/>
            </w:rPr>
            <w:t xml:space="preserve"> </w:t>
          </w:r>
          <w:r>
            <w:rPr>
              <w:color w:val="231F20"/>
              <w:spacing w:val="-3"/>
            </w:rPr>
            <w:t>卷  半月刊  第</w:t>
          </w:r>
          <w:r>
            <w:rPr>
              <w:color w:val="231F20"/>
              <w:spacing w:val="-27"/>
            </w:rPr>
            <w:t xml:space="preserve"> </w:t>
          </w:r>
          <w:r>
            <w:rPr>
              <w:color w:val="231F20"/>
              <w:spacing w:val="-3"/>
            </w:rPr>
            <w:t>19</w:t>
          </w:r>
          <w:r>
            <w:rPr>
              <w:color w:val="231F20"/>
              <w:spacing w:val="-42"/>
            </w:rPr>
            <w:t xml:space="preserve"> </w:t>
          </w:r>
          <w:r>
            <w:rPr>
              <w:color w:val="231F20"/>
              <w:spacing w:val="-3"/>
            </w:rPr>
            <w:t>期</w:t>
          </w:r>
        </w:p>
      </w:tc>
      <w:tc>
        <w:tcPr>
          <w:tcW w:w="4083" w:type="dxa"/>
          <w:vAlign w:val="top"/>
        </w:tcPr>
        <w:p>
          <w:pPr>
            <w:pStyle w:val="TableText"/>
            <w:ind w:left="476"/>
            <w:spacing w:before="56" w:line="172" w:lineRule="auto"/>
            <w:rPr/>
          </w:pPr>
          <w:r>
            <w:rPr>
              <w:color w:val="231F20"/>
              <w:spacing w:val="-13"/>
            </w:rPr>
            <w:t>Medical</w:t>
          </w:r>
          <w:r>
            <w:rPr>
              <w:color w:val="231F20"/>
              <w:spacing w:val="-38"/>
            </w:rPr>
            <w:t xml:space="preserve"> </w:t>
          </w:r>
          <w:r>
            <w:rPr>
              <w:color w:val="231F20"/>
              <w:spacing w:val="-13"/>
            </w:rPr>
            <w:t>Journal</w:t>
          </w:r>
          <w:r>
            <w:rPr>
              <w:color w:val="231F20"/>
              <w:spacing w:val="-40"/>
            </w:rPr>
            <w:t xml:space="preserve"> </w:t>
          </w:r>
          <w:r>
            <w:rPr>
              <w:color w:val="231F20"/>
              <w:spacing w:val="-13"/>
            </w:rPr>
            <w:t>of</w:t>
          </w:r>
          <w:r>
            <w:rPr>
              <w:color w:val="231F20"/>
              <w:spacing w:val="-47"/>
            </w:rPr>
            <w:t xml:space="preserve"> </w:t>
          </w:r>
          <w:r>
            <w:rPr>
              <w:color w:val="231F20"/>
              <w:spacing w:val="-13"/>
            </w:rPr>
            <w:t>Chinese</w:t>
          </w:r>
          <w:r>
            <w:rPr>
              <w:color w:val="231F20"/>
              <w:spacing w:val="-40"/>
            </w:rPr>
            <w:t xml:space="preserve"> </w:t>
          </w:r>
          <w:r>
            <w:rPr>
              <w:color w:val="231F20"/>
              <w:spacing w:val="-13"/>
            </w:rPr>
            <w:t>People's</w:t>
          </w:r>
          <w:r>
            <w:rPr>
              <w:color w:val="231F20"/>
              <w:spacing w:val="-38"/>
            </w:rPr>
            <w:t xml:space="preserve"> </w:t>
          </w:r>
          <w:r>
            <w:rPr>
              <w:color w:val="231F20"/>
              <w:spacing w:val="-13"/>
            </w:rPr>
            <w:t>Health</w:t>
          </w:r>
        </w:p>
      </w:tc>
      <w:tc>
        <w:tcPr>
          <w:tcW w:w="2726" w:type="dxa"/>
          <w:vAlign w:val="top"/>
        </w:tcPr>
        <w:p>
          <w:pPr>
            <w:pStyle w:val="TableText"/>
            <w:spacing w:before="56" w:line="172" w:lineRule="auto"/>
            <w:jc w:val="right"/>
            <w:rPr/>
          </w:pPr>
          <w:r>
            <w:rPr>
              <w:color w:val="231F20"/>
              <w:spacing w:val="-9"/>
            </w:rPr>
            <w:t>Vol.</w:t>
          </w:r>
          <w:r>
            <w:rPr>
              <w:color w:val="231F20"/>
              <w:spacing w:val="-41"/>
            </w:rPr>
            <w:t xml:space="preserve"> </w:t>
          </w:r>
          <w:r>
            <w:rPr>
              <w:color w:val="231F20"/>
              <w:spacing w:val="-9"/>
            </w:rPr>
            <w:t>36</w:t>
          </w:r>
          <w:r>
            <w:rPr>
              <w:color w:val="231F20"/>
              <w:spacing w:val="3"/>
            </w:rPr>
            <w:t xml:space="preserve">  </w:t>
          </w:r>
          <w:r>
            <w:rPr>
              <w:color w:val="231F20"/>
              <w:spacing w:val="-9"/>
            </w:rPr>
            <w:t>Semimonthly</w:t>
          </w:r>
          <w:r>
            <w:rPr>
              <w:color w:val="231F20"/>
              <w:spacing w:val="3"/>
            </w:rPr>
            <w:t xml:space="preserve">  </w:t>
          </w:r>
          <w:r>
            <w:rPr>
              <w:color w:val="231F20"/>
              <w:spacing w:val="-9"/>
            </w:rPr>
            <w:t>No.19</w:t>
          </w:r>
        </w:p>
      </w:tc>
    </w:tr>
  </w:tbl>
  <w:p>
    <w:pPr>
      <w:spacing w:line="105" w:lineRule="exact"/>
      <w:rPr>
        <w:rFonts w:ascii="Arial"/>
        <w:sz w:val="9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tbl>
    <w:tblPr>
      <w:tblStyle w:val="TableNormal"/>
      <w:tblW w:w="9437" w:type="dxa"/>
      <w:tblInd w:w="829" w:type="dxa"/>
      <w:tblLayout w:type="fixed"/>
      <w:tblBorders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</w:tblPr>
    <w:tblGrid>
      <w:gridCol w:w="2628"/>
      <w:gridCol w:w="4083"/>
      <w:gridCol w:w="2726"/>
    </w:tblGrid>
    <w:tr>
      <w:trPr>
        <w:trHeight w:val="233" w:hRule="atLeast"/>
      </w:trPr>
      <w:tc>
        <w:tcPr>
          <w:tcW w:w="2628" w:type="dxa"/>
          <w:vAlign w:val="top"/>
        </w:tcPr>
        <w:p>
          <w:pPr>
            <w:pStyle w:val="TableText"/>
            <w:ind w:left="634"/>
            <w:spacing w:line="228" w:lineRule="auto"/>
            <w:rPr/>
          </w:pPr>
          <w:r>
            <w:pict>
              <v:shape id="WordPictureWatermark10" style="position:absolute;margin-left:21.2pt;margin-top:811.69pt;mso-position-vertical-relative:page;mso-position-horizontal-relative:page;width:168.95pt;height:12.5pt;z-index:-251656192;" o:allowincell="f" filled="false" stroked="false" type="#_x0000_t75">
                <v:imagedata o:title="" r:id="rId1"/>
              </v:shape>
            </w:pict>
          </w:r>
          <w:r>
            <w:pict>
              <v:shape id="_x0000_s12" style="position:absolute;margin-left:56.5491pt;margin-top:70.5205pt;mso-position-vertical-relative:page;mso-position-horizontal-relative:page;width:481.9pt;height:0.35pt;z-index:251661312;" o:allowincell="f" filled="false" strokecolor="#231F20" strokeweight="0.30pt" coordsize="9637,6" coordorigin="0,0" path="m0,3l9637,3e">
                <v:stroke joinstyle="miter" miterlimit="4"/>
              </v:shape>
            </w:pict>
          </w:r>
          <w:r>
            <w:rPr>
              <w:color w:val="231F20"/>
              <w:spacing w:val="-5"/>
            </w:rPr>
            <w:t>2024</w:t>
          </w:r>
          <w:r>
            <w:rPr>
              <w:color w:val="231F20"/>
              <w:spacing w:val="-35"/>
            </w:rPr>
            <w:t xml:space="preserve"> </w:t>
          </w:r>
          <w:r>
            <w:rPr>
              <w:color w:val="231F20"/>
              <w:spacing w:val="-5"/>
            </w:rPr>
            <w:t>年</w:t>
          </w:r>
          <w:r>
            <w:rPr>
              <w:color w:val="231F20"/>
              <w:spacing w:val="-26"/>
            </w:rPr>
            <w:t xml:space="preserve"> </w:t>
          </w:r>
          <w:r>
            <w:rPr>
              <w:color w:val="231F20"/>
              <w:spacing w:val="-5"/>
            </w:rPr>
            <w:t>10</w:t>
          </w:r>
          <w:r>
            <w:rPr>
              <w:color w:val="231F20"/>
              <w:spacing w:val="-38"/>
            </w:rPr>
            <w:t xml:space="preserve"> </w:t>
          </w:r>
          <w:r>
            <w:rPr>
              <w:color w:val="231F20"/>
              <w:spacing w:val="-5"/>
            </w:rPr>
            <w:t>月</w:t>
          </w:r>
        </w:p>
      </w:tc>
      <w:tc>
        <w:tcPr>
          <w:tcW w:w="4083" w:type="dxa"/>
          <w:vAlign w:val="top"/>
        </w:tcPr>
        <w:p>
          <w:pPr>
            <w:pStyle w:val="TableText"/>
            <w:ind w:left="1573"/>
            <w:spacing w:before="7" w:line="215" w:lineRule="auto"/>
            <w:rPr/>
          </w:pPr>
          <w:r>
            <w:rPr>
              <w:color w:val="231F20"/>
              <w:spacing w:val="-4"/>
            </w:rPr>
            <w:t>中国民康医学</w:t>
          </w:r>
        </w:p>
      </w:tc>
      <w:tc>
        <w:tcPr>
          <w:tcW w:w="2726" w:type="dxa"/>
          <w:vAlign w:val="top"/>
        </w:tcPr>
        <w:p>
          <w:pPr>
            <w:pStyle w:val="TableText"/>
            <w:ind w:left="1347"/>
            <w:spacing w:line="228" w:lineRule="auto"/>
            <w:rPr/>
          </w:pPr>
          <w:r>
            <w:rPr>
              <w:color w:val="231F20"/>
              <w:spacing w:val="-18"/>
            </w:rPr>
            <w:t>Oct.，2024</w:t>
          </w:r>
        </w:p>
      </w:tc>
    </w:tr>
    <w:tr>
      <w:trPr>
        <w:trHeight w:val="234" w:hRule="atLeast"/>
      </w:trPr>
      <w:tc>
        <w:tcPr>
          <w:tcW w:w="2628" w:type="dxa"/>
          <w:vAlign w:val="top"/>
        </w:tcPr>
        <w:p>
          <w:pPr>
            <w:pStyle w:val="TableText"/>
            <w:spacing w:before="23" w:line="206" w:lineRule="auto"/>
            <w:rPr/>
          </w:pPr>
          <w:r>
            <w:rPr>
              <w:color w:val="231F20"/>
              <w:spacing w:val="-3"/>
            </w:rPr>
            <w:t>第</w:t>
          </w:r>
          <w:r>
            <w:rPr>
              <w:color w:val="231F20"/>
              <w:spacing w:val="-31"/>
            </w:rPr>
            <w:t xml:space="preserve"> </w:t>
          </w:r>
          <w:r>
            <w:rPr>
              <w:color w:val="231F20"/>
              <w:spacing w:val="-3"/>
            </w:rPr>
            <w:t>36</w:t>
          </w:r>
          <w:r>
            <w:rPr>
              <w:color w:val="231F20"/>
              <w:spacing w:val="-41"/>
            </w:rPr>
            <w:t xml:space="preserve"> </w:t>
          </w:r>
          <w:r>
            <w:rPr>
              <w:color w:val="231F20"/>
              <w:spacing w:val="-3"/>
            </w:rPr>
            <w:t>卷  半月刊  第</w:t>
          </w:r>
          <w:r>
            <w:rPr>
              <w:color w:val="231F20"/>
              <w:spacing w:val="-27"/>
            </w:rPr>
            <w:t xml:space="preserve"> </w:t>
          </w:r>
          <w:r>
            <w:rPr>
              <w:color w:val="231F20"/>
              <w:spacing w:val="-3"/>
            </w:rPr>
            <w:t>19</w:t>
          </w:r>
          <w:r>
            <w:rPr>
              <w:color w:val="231F20"/>
              <w:spacing w:val="-42"/>
            </w:rPr>
            <w:t xml:space="preserve"> </w:t>
          </w:r>
          <w:r>
            <w:rPr>
              <w:color w:val="231F20"/>
              <w:spacing w:val="-3"/>
            </w:rPr>
            <w:t>期</w:t>
          </w:r>
        </w:p>
      </w:tc>
      <w:tc>
        <w:tcPr>
          <w:tcW w:w="4083" w:type="dxa"/>
          <w:vAlign w:val="top"/>
        </w:tcPr>
        <w:p>
          <w:pPr>
            <w:pStyle w:val="TableText"/>
            <w:ind w:left="476"/>
            <w:spacing w:before="56" w:line="172" w:lineRule="auto"/>
            <w:rPr/>
          </w:pPr>
          <w:r>
            <w:rPr>
              <w:color w:val="231F20"/>
              <w:spacing w:val="-13"/>
            </w:rPr>
            <w:t>Medical</w:t>
          </w:r>
          <w:r>
            <w:rPr>
              <w:color w:val="231F20"/>
              <w:spacing w:val="-38"/>
            </w:rPr>
            <w:t xml:space="preserve"> </w:t>
          </w:r>
          <w:r>
            <w:rPr>
              <w:color w:val="231F20"/>
              <w:spacing w:val="-13"/>
            </w:rPr>
            <w:t>Journal</w:t>
          </w:r>
          <w:r>
            <w:rPr>
              <w:color w:val="231F20"/>
              <w:spacing w:val="-40"/>
            </w:rPr>
            <w:t xml:space="preserve"> </w:t>
          </w:r>
          <w:r>
            <w:rPr>
              <w:color w:val="231F20"/>
              <w:spacing w:val="-13"/>
            </w:rPr>
            <w:t>of</w:t>
          </w:r>
          <w:r>
            <w:rPr>
              <w:color w:val="231F20"/>
              <w:spacing w:val="-47"/>
            </w:rPr>
            <w:t xml:space="preserve"> </w:t>
          </w:r>
          <w:r>
            <w:rPr>
              <w:color w:val="231F20"/>
              <w:spacing w:val="-13"/>
            </w:rPr>
            <w:t>Chinese</w:t>
          </w:r>
          <w:r>
            <w:rPr>
              <w:color w:val="231F20"/>
              <w:spacing w:val="-40"/>
            </w:rPr>
            <w:t xml:space="preserve"> </w:t>
          </w:r>
          <w:r>
            <w:rPr>
              <w:color w:val="231F20"/>
              <w:spacing w:val="-13"/>
            </w:rPr>
            <w:t>People's</w:t>
          </w:r>
          <w:r>
            <w:rPr>
              <w:color w:val="231F20"/>
              <w:spacing w:val="-38"/>
            </w:rPr>
            <w:t xml:space="preserve"> </w:t>
          </w:r>
          <w:r>
            <w:rPr>
              <w:color w:val="231F20"/>
              <w:spacing w:val="-13"/>
            </w:rPr>
            <w:t>Health</w:t>
          </w:r>
        </w:p>
      </w:tc>
      <w:tc>
        <w:tcPr>
          <w:tcW w:w="2726" w:type="dxa"/>
          <w:vAlign w:val="top"/>
        </w:tcPr>
        <w:p>
          <w:pPr>
            <w:pStyle w:val="TableText"/>
            <w:spacing w:before="56" w:line="172" w:lineRule="auto"/>
            <w:jc w:val="right"/>
            <w:rPr/>
          </w:pPr>
          <w:r>
            <w:rPr>
              <w:color w:val="231F20"/>
              <w:spacing w:val="-9"/>
            </w:rPr>
            <w:t>Vol.</w:t>
          </w:r>
          <w:r>
            <w:rPr>
              <w:color w:val="231F20"/>
              <w:spacing w:val="-41"/>
            </w:rPr>
            <w:t xml:space="preserve"> </w:t>
          </w:r>
          <w:r>
            <w:rPr>
              <w:color w:val="231F20"/>
              <w:spacing w:val="-9"/>
            </w:rPr>
            <w:t>36</w:t>
          </w:r>
          <w:r>
            <w:rPr>
              <w:color w:val="231F20"/>
              <w:spacing w:val="3"/>
            </w:rPr>
            <w:t xml:space="preserve">  </w:t>
          </w:r>
          <w:r>
            <w:rPr>
              <w:color w:val="231F20"/>
              <w:spacing w:val="-9"/>
            </w:rPr>
            <w:t>Semimonthly</w:t>
          </w:r>
          <w:r>
            <w:rPr>
              <w:color w:val="231F20"/>
              <w:spacing w:val="3"/>
            </w:rPr>
            <w:t xml:space="preserve">  </w:t>
          </w:r>
          <w:r>
            <w:rPr>
              <w:color w:val="231F20"/>
              <w:spacing w:val="-9"/>
            </w:rPr>
            <w:t>No.19</w:t>
          </w:r>
        </w:p>
      </w:tc>
    </w:tr>
  </w:tbl>
  <w:p>
    <w:pPr>
      <w:spacing w:line="110" w:lineRule="exact"/>
      <w:rPr>
        <w:rFonts w:ascii="Arial"/>
        <w:sz w:val="9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6" style="position:absolute;margin-left:21.2pt;margin-top:811.69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2024-10-12T18:42:23Z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2025-10-28T21:32:17</vt:filetime>
  </property>
</Properties>
</file>