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727"/>
        <w:spacing w:before="90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西藏医药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2024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年第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45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卷第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期（总 176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期）</w:t>
      </w:r>
    </w:p>
    <w:p>
      <w:pPr>
        <w:pStyle w:val="BodyText"/>
        <w:ind w:left="739"/>
        <w:spacing w:before="193" w:line="3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●</w:t>
      </w:r>
      <w:r>
        <w:rPr>
          <w:rFonts w:ascii="SimHei" w:hAnsi="SimHei" w:eastAsia="SimHei" w:cs="SimHei"/>
          <w:sz w:val="25"/>
          <w:szCs w:val="25"/>
          <w:color w:val="231F20"/>
          <w:spacing w:val="4"/>
          <w:position w:val="1"/>
        </w:rPr>
        <w:t>临床医学</w:t>
      </w:r>
      <w:r>
        <w:rPr>
          <w:sz w:val="20"/>
          <w:szCs w:val="20"/>
          <w:color w:val="231F20"/>
          <w:spacing w:val="4"/>
          <w:position w:val="1"/>
        </w:rPr>
        <w:t>●</w:t>
      </w:r>
    </w:p>
    <w:p>
      <w:pPr>
        <w:ind w:left="2114"/>
        <w:spacing w:before="215" w:line="205" w:lineRule="auto"/>
        <w:rPr>
          <w:rFonts w:ascii="Microsoft YaHei" w:hAnsi="Microsoft YaHei" w:eastAsia="Microsoft YaHei" w:cs="Microsoft YaHei"/>
          <w:sz w:val="37"/>
          <w:szCs w:val="37"/>
        </w:rPr>
      </w:pPr>
      <w:r>
        <w:rPr>
          <w:rFonts w:ascii="Microsoft YaHei" w:hAnsi="Microsoft YaHei" w:eastAsia="Microsoft YaHei" w:cs="Microsoft YaHei"/>
          <w:sz w:val="37"/>
          <w:szCs w:val="37"/>
          <w:color w:val="231F20"/>
          <w:spacing w:val="-9"/>
          <w:w w:val="91"/>
        </w:rPr>
        <w:t>奥硝唑联合头孢唑肟钠对慢性阑尾炎患者的疗效</w:t>
      </w:r>
    </w:p>
    <w:p>
      <w:pPr>
        <w:ind w:left="5268"/>
        <w:spacing w:before="138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洪宏伟</w:t>
      </w:r>
    </w:p>
    <w:p>
      <w:pPr>
        <w:ind w:left="2810"/>
        <w:spacing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福建省南安市美林街道社区卫生服务中心全科科室   福建南安  362300</w:t>
      </w:r>
    </w:p>
    <w:p>
      <w:pPr>
        <w:ind w:left="720" w:right="50" w:firstLine="378"/>
        <w:spacing w:before="215" w:line="18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摘    要：目的   探讨奥硝唑联合头孢唑肟钠对慢性阑尾炎患者的疗效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。方法   选取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2021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年 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月~2023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年 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月我院收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治的慢性阑尾炎 120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例，均符合保守治疗条件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。按治疗药物不同分为单一组（60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例）选择头孢唑肟钠注射剂治疗，联合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组（60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例）选择奥硝唑+头孢唑肟钠治疗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。观察两组临床疗效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。结果   症状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消失时间及临床治疗效果：联合组比单一组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更优（P＜0.05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  <w:w w:val="59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不良反应率：两组无差异（P＞0.05）。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结论   慢性阑尾炎确诊后通过奥硝唑+头孢唑肟钠联合治疗，可加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快症状消失时间，提高临床治疗效果，保障临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床用药安全，值得推广普及。</w:t>
      </w:r>
    </w:p>
    <w:p>
      <w:pPr>
        <w:ind w:left="1101"/>
        <w:spacing w:line="20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关键词：慢性阑尾炎   奥硝唑   头孢唑肟钠</w:t>
      </w:r>
    </w:p>
    <w:p>
      <w:pPr>
        <w:spacing w:line="223" w:lineRule="exact"/>
        <w:rPr/>
      </w:pPr>
      <w:r/>
    </w:p>
    <w:p>
      <w:pPr>
        <w:spacing w:line="223" w:lineRule="exact"/>
        <w:sectPr>
          <w:headerReference w:type="default" r:id="rId1"/>
          <w:footerReference w:type="default" r:id="rId2"/>
          <w:pgSz w:w="11906" w:h="16158"/>
          <w:pgMar w:top="400" w:right="1085" w:bottom="901" w:left="424" w:header="0" w:footer="674" w:gutter="0"/>
          <w:cols w:equalWidth="0" w:num="1">
            <w:col w:w="10396" w:space="0"/>
          </w:cols>
        </w:sectPr>
        <w:rPr/>
      </w:pPr>
    </w:p>
    <w:p>
      <w:pPr>
        <w:pStyle w:val="BodyText"/>
        <w:ind w:left="718" w:right="231" w:firstLine="395"/>
        <w:spacing w:before="51" w:line="28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阑尾炎属于常见腹部疾病，右下腹疼痛、发热以及恶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心呕吐等是该病典型症状</w:t>
      </w:r>
      <w:r>
        <w:rPr>
          <w:sz w:val="10"/>
          <w:szCs w:val="10"/>
          <w:color w:val="231F20"/>
          <w:spacing w:val="11"/>
          <w:position w:val="6"/>
        </w:rPr>
        <w:t>[1]</w:t>
      </w:r>
      <w:r>
        <w:rPr>
          <w:sz w:val="10"/>
          <w:szCs w:val="10"/>
          <w:color w:val="231F20"/>
          <w:spacing w:val="-9"/>
          <w:position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。临床结合阑尾炎的症状体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征，将其分为急性、慢性两种类型</w:t>
      </w:r>
      <w:r>
        <w:rPr>
          <w:sz w:val="10"/>
          <w:szCs w:val="10"/>
          <w:color w:val="231F20"/>
          <w:spacing w:val="4"/>
          <w:position w:val="6"/>
        </w:rPr>
        <w:t>[2]</w:t>
      </w:r>
      <w:r>
        <w:rPr>
          <w:sz w:val="10"/>
          <w:szCs w:val="10"/>
          <w:color w:val="231F20"/>
          <w:spacing w:val="-12"/>
          <w:position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。慢性阑尾炎也有原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发性、继发性两种，前者起病隐匿，多数患者病程在几年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甚至更久，疾病症状早期轻微，病情精湛速度缓慢，病程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中未见反复急性发作表现</w:t>
      </w:r>
      <w:r>
        <w:rPr>
          <w:sz w:val="10"/>
          <w:szCs w:val="10"/>
          <w:color w:val="231F20"/>
          <w:spacing w:val="5"/>
          <w:position w:val="6"/>
        </w:rPr>
        <w:t>[3]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；后者属于急性阑尾炎首次发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病保守治疗症状缓解但遗留后遗症、无法痊愈的疾病，容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易反复发作，影响患者的身心健康</w:t>
      </w:r>
      <w:r>
        <w:rPr>
          <w:sz w:val="10"/>
          <w:szCs w:val="10"/>
          <w:color w:val="231F20"/>
          <w:spacing w:val="4"/>
          <w:position w:val="6"/>
        </w:rPr>
        <w:t>[4]</w:t>
      </w:r>
      <w:r>
        <w:rPr>
          <w:sz w:val="10"/>
          <w:szCs w:val="10"/>
          <w:color w:val="231F20"/>
          <w:spacing w:val="-11"/>
          <w:position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。外科手术是慢性阑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尾炎典型治疗患者，但对于体质虚弱、可疑、伴有严重合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并症或慢性病、拒绝手术的患者，则建议通过药物保守疗</w:t>
      </w:r>
      <w:r>
        <w:rPr>
          <w:rFonts w:ascii="SimSun" w:hAnsi="SimSun" w:eastAsia="SimSun" w:cs="SimSun"/>
          <w:sz w:val="18"/>
          <w:szCs w:val="18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法治疗疾病。此次研究分析药物联合应用治疗慢性阑尾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炎的作用，相关报道如下。</w:t>
      </w:r>
    </w:p>
    <w:p>
      <w:pPr>
        <w:pStyle w:val="BodyText"/>
        <w:ind w:left="729"/>
        <w:spacing w:line="244" w:lineRule="exact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1"/>
        </w:rPr>
        <w:t>1</w:t>
      </w:r>
      <w:r>
        <w:rPr>
          <w:sz w:val="18"/>
          <w:szCs w:val="18"/>
          <w:color w:val="231F20"/>
          <w:spacing w:val="89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231F20"/>
          <w:spacing w:val="2"/>
          <w:position w:val="1"/>
        </w:rPr>
        <w:t>资料与方法</w:t>
      </w:r>
    </w:p>
    <w:p>
      <w:pPr>
        <w:pStyle w:val="BodyText"/>
        <w:ind w:left="730"/>
        <w:spacing w:before="35" w:line="20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1.1</w:t>
      </w:r>
      <w:r>
        <w:rPr>
          <w:sz w:val="18"/>
          <w:szCs w:val="18"/>
          <w:color w:val="231F20"/>
          <w:spacing w:val="8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一般资料</w:t>
      </w:r>
    </w:p>
    <w:p>
      <w:pPr>
        <w:pStyle w:val="BodyText"/>
        <w:ind w:left="661" w:right="167" w:firstLine="437"/>
        <w:spacing w:before="16" w:line="28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>选取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sz w:val="18"/>
          <w:szCs w:val="18"/>
          <w:color w:val="231F20"/>
          <w:spacing w:val="10"/>
        </w:rPr>
        <w:t>2021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>年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>月</w:t>
      </w:r>
      <w:r>
        <w:rPr>
          <w:sz w:val="18"/>
          <w:szCs w:val="18"/>
          <w:color w:val="231F20"/>
          <w:spacing w:val="10"/>
        </w:rPr>
        <w:t>~2023</w:t>
      </w:r>
      <w:r>
        <w:rPr>
          <w:sz w:val="18"/>
          <w:szCs w:val="18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>年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>月我院收治的慢性阑尾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炎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sz w:val="18"/>
          <w:szCs w:val="18"/>
          <w:color w:val="231F20"/>
          <w:spacing w:val="8"/>
        </w:rPr>
        <w:t>120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例，符合保守治疗条件。按治疗药物不同分为单一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组（</w:t>
      </w:r>
      <w:r>
        <w:rPr>
          <w:sz w:val="18"/>
          <w:szCs w:val="18"/>
          <w:color w:val="231F20"/>
          <w:spacing w:val="-9"/>
        </w:rPr>
        <w:t>60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例）和联合组（</w:t>
      </w:r>
      <w:r>
        <w:rPr>
          <w:sz w:val="18"/>
          <w:szCs w:val="18"/>
          <w:color w:val="231F20"/>
          <w:spacing w:val="-9"/>
        </w:rPr>
        <w:t>60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例）。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单一组：男</w:t>
      </w:r>
      <w:r>
        <w:rPr>
          <w:sz w:val="18"/>
          <w:szCs w:val="18"/>
          <w:color w:val="231F20"/>
          <w:spacing w:val="-9"/>
        </w:rPr>
        <w:t>28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例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、女</w:t>
      </w:r>
      <w:r>
        <w:rPr>
          <w:rFonts w:ascii="SimSun" w:hAnsi="SimSun" w:eastAsia="SimSun" w:cs="SimSun"/>
          <w:sz w:val="18"/>
          <w:szCs w:val="18"/>
          <w:color w:val="231F20"/>
          <w:spacing w:val="-54"/>
        </w:rPr>
        <w:t xml:space="preserve"> </w:t>
      </w:r>
      <w:r>
        <w:rPr>
          <w:sz w:val="18"/>
          <w:szCs w:val="18"/>
          <w:color w:val="231F20"/>
          <w:spacing w:val="-10"/>
        </w:rPr>
        <w:t>32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例；年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龄 </w:t>
      </w:r>
      <w:r>
        <w:rPr>
          <w:sz w:val="18"/>
          <w:szCs w:val="18"/>
          <w:color w:val="231F20"/>
          <w:spacing w:val="-8"/>
        </w:rPr>
        <w:t>20~55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岁</w:t>
      </w:r>
      <w:r>
        <w:rPr>
          <w:rFonts w:ascii="SimSun" w:hAnsi="SimSun" w:eastAsia="SimSun" w:cs="SimSun"/>
          <w:sz w:val="18"/>
          <w:szCs w:val="18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、平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均（</w:t>
      </w:r>
      <w:r>
        <w:rPr>
          <w:sz w:val="18"/>
          <w:szCs w:val="18"/>
          <w:color w:val="231F20"/>
          <w:spacing w:val="-8"/>
        </w:rPr>
        <w:t>37.79</w:t>
      </w:r>
      <w:r>
        <w:rPr>
          <w:sz w:val="18"/>
          <w:szCs w:val="18"/>
          <w:color w:val="231F20"/>
          <w:spacing w:val="-41"/>
        </w:rPr>
        <w:t xml:space="preserve"> </w:t>
      </w:r>
      <w:r>
        <w:rPr>
          <w:sz w:val="18"/>
          <w:szCs w:val="18"/>
          <w:color w:val="231F20"/>
          <w:spacing w:val="-8"/>
        </w:rPr>
        <w:t>±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sz w:val="18"/>
          <w:szCs w:val="18"/>
          <w:color w:val="231F20"/>
          <w:spacing w:val="-8"/>
        </w:rPr>
        <w:t>4.35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）岁</w:t>
      </w:r>
      <w:r>
        <w:rPr>
          <w:rFonts w:ascii="SimSun" w:hAnsi="SimSun" w:eastAsia="SimSun" w:cs="SimSun"/>
          <w:sz w:val="18"/>
          <w:szCs w:val="18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；体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重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指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数 </w:t>
      </w:r>
      <w:r>
        <w:rPr>
          <w:sz w:val="18"/>
          <w:szCs w:val="18"/>
          <w:color w:val="231F20"/>
          <w:spacing w:val="-8"/>
        </w:rPr>
        <w:t>19</w:t>
      </w:r>
      <w:r>
        <w:rPr>
          <w:sz w:val="18"/>
          <w:szCs w:val="18"/>
          <w:color w:val="231F20"/>
          <w:spacing w:val="-9"/>
        </w:rPr>
        <w:t>.21~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27.67kg/m</w:t>
      </w:r>
      <w:r>
        <w:rPr>
          <w:sz w:val="10"/>
          <w:szCs w:val="10"/>
          <w:color w:val="231F20"/>
          <w:spacing w:val="-2"/>
          <w:position w:val="6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，平均（</w:t>
      </w:r>
      <w:r>
        <w:rPr>
          <w:sz w:val="18"/>
          <w:szCs w:val="18"/>
          <w:color w:val="231F20"/>
          <w:spacing w:val="-2"/>
        </w:rPr>
        <w:t>23.44</w:t>
      </w:r>
      <w:r>
        <w:rPr>
          <w:sz w:val="18"/>
          <w:szCs w:val="18"/>
          <w:color w:val="231F20"/>
          <w:spacing w:val="-50"/>
        </w:rPr>
        <w:t xml:space="preserve"> </w:t>
      </w:r>
      <w:r>
        <w:rPr>
          <w:sz w:val="18"/>
          <w:szCs w:val="18"/>
          <w:color w:val="231F20"/>
          <w:spacing w:val="-15"/>
        </w:rPr>
        <w:t>±</w:t>
      </w:r>
      <w:r>
        <w:rPr>
          <w:sz w:val="18"/>
          <w:szCs w:val="18"/>
          <w:color w:val="231F20"/>
          <w:spacing w:val="-47"/>
        </w:rPr>
        <w:t xml:space="preserve"> </w:t>
      </w:r>
      <w:r>
        <w:rPr>
          <w:sz w:val="18"/>
          <w:szCs w:val="18"/>
          <w:color w:val="231F20"/>
          <w:spacing w:val="-15"/>
        </w:rPr>
        <w:t>1.08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）</w:t>
      </w:r>
      <w:r>
        <w:rPr>
          <w:sz w:val="18"/>
          <w:szCs w:val="18"/>
          <w:color w:val="231F20"/>
          <w:spacing w:val="-15"/>
        </w:rPr>
        <w:t>kg/m</w:t>
      </w:r>
      <w:r>
        <w:rPr>
          <w:sz w:val="10"/>
          <w:szCs w:val="10"/>
          <w:color w:val="231F20"/>
          <w:spacing w:val="-3"/>
          <w:position w:val="6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；病程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3"/>
        </w:rPr>
        <w:t>1~7</w:t>
      </w:r>
      <w:r>
        <w:rPr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年、平均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（</w:t>
      </w:r>
      <w:r>
        <w:rPr>
          <w:sz w:val="18"/>
          <w:szCs w:val="18"/>
          <w:color w:val="231F20"/>
          <w:spacing w:val="-8"/>
        </w:rPr>
        <w:t>4.35±</w:t>
      </w:r>
      <w:r>
        <w:rPr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color w:val="231F20"/>
          <w:spacing w:val="-8"/>
        </w:rPr>
        <w:t>1.02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）年。联合组：男</w:t>
      </w:r>
      <w:r>
        <w:rPr>
          <w:sz w:val="18"/>
          <w:szCs w:val="18"/>
          <w:color w:val="231F20"/>
          <w:spacing w:val="-8"/>
        </w:rPr>
        <w:t>28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例、女</w:t>
      </w:r>
      <w:r>
        <w:rPr>
          <w:sz w:val="18"/>
          <w:szCs w:val="18"/>
          <w:color w:val="231F20"/>
          <w:spacing w:val="-8"/>
        </w:rPr>
        <w:t>32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例；年龄</w:t>
      </w:r>
      <w:r>
        <w:rPr>
          <w:sz w:val="18"/>
          <w:szCs w:val="18"/>
          <w:color w:val="231F20"/>
          <w:spacing w:val="-8"/>
        </w:rPr>
        <w:t>20~55</w:t>
      </w:r>
      <w:r>
        <w:rPr>
          <w:sz w:val="18"/>
          <w:szCs w:val="18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岁、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平均（</w:t>
      </w:r>
      <w:r>
        <w:rPr>
          <w:sz w:val="18"/>
          <w:szCs w:val="18"/>
          <w:color w:val="231F20"/>
          <w:spacing w:val="-4"/>
        </w:rPr>
        <w:t>37.96</w:t>
      </w:r>
      <w:r>
        <w:rPr>
          <w:sz w:val="18"/>
          <w:szCs w:val="18"/>
          <w:color w:val="231F20"/>
          <w:spacing w:val="-62"/>
        </w:rPr>
        <w:t xml:space="preserve"> </w:t>
      </w:r>
      <w:r>
        <w:rPr>
          <w:sz w:val="18"/>
          <w:szCs w:val="18"/>
          <w:color w:val="231F20"/>
          <w:spacing w:val="-4"/>
        </w:rPr>
        <w:t>±</w:t>
      </w:r>
      <w:r>
        <w:rPr>
          <w:sz w:val="18"/>
          <w:szCs w:val="18"/>
          <w:color w:val="231F20"/>
          <w:spacing w:val="-68"/>
        </w:rPr>
        <w:t xml:space="preserve"> </w:t>
      </w:r>
      <w:r>
        <w:rPr>
          <w:sz w:val="18"/>
          <w:szCs w:val="18"/>
          <w:color w:val="231F20"/>
          <w:spacing w:val="-4"/>
        </w:rPr>
        <w:t>4.38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）岁；体重指数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4"/>
        </w:rPr>
        <w:t>19.</w:t>
      </w:r>
      <w:r>
        <w:rPr>
          <w:sz w:val="18"/>
          <w:szCs w:val="18"/>
          <w:color w:val="231F20"/>
          <w:spacing w:val="-5"/>
        </w:rPr>
        <w:t>03~27.43kg/m</w:t>
      </w:r>
      <w:r>
        <w:rPr>
          <w:sz w:val="10"/>
          <w:szCs w:val="10"/>
          <w:color w:val="231F20"/>
          <w:spacing w:val="-5"/>
          <w:position w:val="6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，平均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6"/>
        </w:rPr>
        <w:t>（</w:t>
      </w:r>
      <w:r>
        <w:rPr>
          <w:sz w:val="18"/>
          <w:szCs w:val="18"/>
          <w:color w:val="231F20"/>
          <w:spacing w:val="-16"/>
        </w:rPr>
        <w:t>23.23</w:t>
      </w:r>
      <w:r>
        <w:rPr>
          <w:sz w:val="18"/>
          <w:szCs w:val="18"/>
          <w:color w:val="231F20"/>
          <w:spacing w:val="-67"/>
        </w:rPr>
        <w:t xml:space="preserve"> </w:t>
      </w:r>
      <w:r>
        <w:rPr>
          <w:sz w:val="18"/>
          <w:szCs w:val="18"/>
          <w:color w:val="231F20"/>
          <w:spacing w:val="-16"/>
        </w:rPr>
        <w:t>±</w:t>
      </w:r>
      <w:r>
        <w:rPr>
          <w:sz w:val="18"/>
          <w:szCs w:val="18"/>
          <w:color w:val="231F20"/>
          <w:spacing w:val="-59"/>
        </w:rPr>
        <w:t xml:space="preserve"> </w:t>
      </w:r>
      <w:r>
        <w:rPr>
          <w:sz w:val="18"/>
          <w:szCs w:val="18"/>
          <w:color w:val="231F20"/>
          <w:spacing w:val="-16"/>
        </w:rPr>
        <w:t>1.04</w:t>
      </w:r>
      <w:r>
        <w:rPr>
          <w:rFonts w:ascii="SimSun" w:hAnsi="SimSun" w:eastAsia="SimSun" w:cs="SimSun"/>
          <w:sz w:val="18"/>
          <w:szCs w:val="18"/>
          <w:color w:val="231F20"/>
          <w:spacing w:val="-16"/>
        </w:rPr>
        <w:t>）</w:t>
      </w:r>
      <w:r>
        <w:rPr>
          <w:sz w:val="18"/>
          <w:szCs w:val="18"/>
          <w:color w:val="231F20"/>
          <w:spacing w:val="-16"/>
        </w:rPr>
        <w:t>kg/m</w:t>
      </w:r>
      <w:r>
        <w:rPr>
          <w:sz w:val="10"/>
          <w:szCs w:val="10"/>
          <w:color w:val="231F20"/>
          <w:spacing w:val="12"/>
          <w:position w:val="6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>；病程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sz w:val="18"/>
          <w:szCs w:val="18"/>
          <w:color w:val="231F20"/>
          <w:spacing w:val="-17"/>
        </w:rPr>
        <w:t>1~8</w:t>
      </w:r>
      <w:r>
        <w:rPr>
          <w:sz w:val="18"/>
          <w:szCs w:val="18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>年、平均（</w:t>
      </w:r>
      <w:r>
        <w:rPr>
          <w:sz w:val="18"/>
          <w:szCs w:val="18"/>
          <w:color w:val="231F20"/>
          <w:spacing w:val="-17"/>
        </w:rPr>
        <w:t>4.59</w:t>
      </w:r>
      <w:r>
        <w:rPr>
          <w:sz w:val="18"/>
          <w:szCs w:val="18"/>
          <w:color w:val="231F20"/>
          <w:spacing w:val="-72"/>
        </w:rPr>
        <w:t xml:space="preserve"> </w:t>
      </w:r>
      <w:r>
        <w:rPr>
          <w:sz w:val="18"/>
          <w:szCs w:val="18"/>
          <w:color w:val="231F20"/>
          <w:spacing w:val="-17"/>
        </w:rPr>
        <w:t>±</w:t>
      </w:r>
      <w:r>
        <w:rPr>
          <w:sz w:val="18"/>
          <w:szCs w:val="18"/>
          <w:color w:val="231F20"/>
          <w:spacing w:val="-60"/>
        </w:rPr>
        <w:t xml:space="preserve"> </w:t>
      </w:r>
      <w:r>
        <w:rPr>
          <w:sz w:val="18"/>
          <w:szCs w:val="18"/>
          <w:color w:val="231F20"/>
          <w:spacing w:val="-17"/>
        </w:rPr>
        <w:t>1.06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>）年</w:t>
      </w:r>
      <w:r>
        <w:rPr>
          <w:rFonts w:ascii="SimSun" w:hAnsi="SimSun" w:eastAsia="SimSun" w:cs="SimSun"/>
          <w:sz w:val="18"/>
          <w:szCs w:val="18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>。对</w:t>
      </w:r>
    </w:p>
    <w:p>
      <w:pPr>
        <w:spacing w:line="2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0"/>
        <w:spacing w:before="41" w:line="248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6"/>
          <w:position w:val="1"/>
        </w:rPr>
        <w:t>上述资料实施统计比较，无两组差异（</w:t>
      </w:r>
      <w:r>
        <w:rPr>
          <w:sz w:val="18"/>
          <w:szCs w:val="18"/>
          <w:color w:val="231F20"/>
          <w:spacing w:val="-6"/>
          <w:position w:val="1"/>
        </w:rPr>
        <w:t>P</w:t>
      </w:r>
      <w:r>
        <w:rPr>
          <w:rFonts w:ascii="SimSun" w:hAnsi="SimSun" w:eastAsia="SimSun" w:cs="SimSun"/>
          <w:sz w:val="18"/>
          <w:szCs w:val="18"/>
          <w:color w:val="231F20"/>
          <w:spacing w:val="-6"/>
          <w:position w:val="1"/>
        </w:rPr>
        <w:t>＞</w:t>
      </w:r>
      <w:r>
        <w:rPr>
          <w:sz w:val="18"/>
          <w:szCs w:val="18"/>
          <w:color w:val="231F20"/>
          <w:spacing w:val="-6"/>
          <w:position w:val="1"/>
        </w:rPr>
        <w:t>0.05</w:t>
      </w:r>
      <w:r>
        <w:rPr>
          <w:rFonts w:ascii="SimSun" w:hAnsi="SimSun" w:eastAsia="SimSun" w:cs="SimSun"/>
          <w:sz w:val="18"/>
          <w:szCs w:val="18"/>
          <w:color w:val="231F20"/>
          <w:spacing w:val="-6"/>
          <w:position w:val="1"/>
        </w:rPr>
        <w:t>）。</w:t>
      </w:r>
    </w:p>
    <w:p>
      <w:pPr>
        <w:pStyle w:val="BodyText"/>
        <w:ind w:left="57" w:firstLine="381"/>
        <w:spacing w:before="33" w:line="279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纳入标准</w:t>
      </w:r>
      <w:r>
        <w:rPr>
          <w:rFonts w:ascii="SimSun" w:hAnsi="SimSun" w:eastAsia="SimSun" w:cs="SimSun"/>
          <w:sz w:val="18"/>
          <w:szCs w:val="18"/>
          <w:color w:val="231F20"/>
          <w:spacing w:val="-38"/>
          <w:w w:val="79"/>
        </w:rPr>
        <w:t>：（</w:t>
      </w:r>
      <w:r>
        <w:rPr>
          <w:sz w:val="18"/>
          <w:szCs w:val="18"/>
          <w:color w:val="231F20"/>
          <w:spacing w:val="7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）症状表现、灌肠检查以及相关影像学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检查结果符合《外科学》第</w:t>
      </w:r>
      <w:r>
        <w:rPr>
          <w:rFonts w:ascii="SimSun" w:hAnsi="SimSun" w:eastAsia="SimSun" w:cs="SimSun"/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color w:val="231F20"/>
          <w:spacing w:val="3"/>
        </w:rPr>
        <w:t>9</w:t>
      </w:r>
      <w:r>
        <w:rPr>
          <w:sz w:val="18"/>
          <w:szCs w:val="18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版中慢性阑尾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炎的诊断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w w:val="76"/>
        </w:rPr>
        <w:t>；（</w:t>
      </w:r>
      <w:r>
        <w:rPr>
          <w:sz w:val="18"/>
          <w:szCs w:val="18"/>
          <w:color w:val="231F20"/>
          <w:spacing w:val="2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）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患者知晓慢性阑尾炎并选择保守疗法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w w:val="75"/>
        </w:rPr>
        <w:t>；（</w:t>
      </w:r>
      <w:r>
        <w:rPr>
          <w:sz w:val="18"/>
          <w:szCs w:val="18"/>
          <w:color w:val="231F20"/>
          <w:spacing w:val="8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）有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两项药物的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应用指征并遵从医嘱用药。</w:t>
      </w:r>
    </w:p>
    <w:p>
      <w:pPr>
        <w:pStyle w:val="BodyText"/>
        <w:spacing w:before="31" w:line="249" w:lineRule="exact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"/>
          <w:position w:val="1"/>
        </w:rPr>
        <w:t>排除标准</w:t>
      </w:r>
      <w:r>
        <w:rPr>
          <w:rFonts w:ascii="SimSun" w:hAnsi="SimSun" w:eastAsia="SimSun" w:cs="SimSun"/>
          <w:sz w:val="18"/>
          <w:szCs w:val="18"/>
          <w:color w:val="231F20"/>
          <w:spacing w:val="-38"/>
          <w:w w:val="80"/>
          <w:position w:val="1"/>
        </w:rPr>
        <w:t>：（</w:t>
      </w:r>
      <w:r>
        <w:rPr>
          <w:sz w:val="18"/>
          <w:szCs w:val="18"/>
          <w:color w:val="231F20"/>
          <w:spacing w:val="1"/>
          <w:position w:val="1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1"/>
          <w:position w:val="1"/>
        </w:rPr>
        <w:t>）合并肝癌、肺癌等多种恶性肿瘤疾病；</w:t>
      </w:r>
    </w:p>
    <w:p>
      <w:pPr>
        <w:pStyle w:val="BodyText"/>
        <w:ind w:left="56" w:right="51" w:hanging="57"/>
        <w:spacing w:before="31" w:line="27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（</w:t>
      </w:r>
      <w:r>
        <w:rPr>
          <w:sz w:val="18"/>
          <w:szCs w:val="18"/>
          <w:color w:val="231F20"/>
          <w:spacing w:val="1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）合并肝肾功能不全</w:t>
      </w:r>
      <w:r>
        <w:rPr>
          <w:rFonts w:ascii="SimSun" w:hAnsi="SimSun" w:eastAsia="SimSun" w:cs="SimSun"/>
          <w:sz w:val="18"/>
          <w:szCs w:val="18"/>
          <w:color w:val="231F20"/>
          <w:spacing w:val="-37"/>
          <w:w w:val="78"/>
        </w:rPr>
        <w:t>；（</w:t>
      </w:r>
      <w:r>
        <w:rPr>
          <w:sz w:val="18"/>
          <w:szCs w:val="18"/>
          <w:color w:val="231F20"/>
          <w:spacing w:val="1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）合并器官器质性病变</w:t>
      </w:r>
      <w:r>
        <w:rPr>
          <w:rFonts w:ascii="SimSun" w:hAnsi="SimSun" w:eastAsia="SimSun" w:cs="SimSun"/>
          <w:sz w:val="18"/>
          <w:szCs w:val="18"/>
          <w:color w:val="231F20"/>
          <w:spacing w:val="-37"/>
          <w:w w:val="78"/>
        </w:rPr>
        <w:t>；（</w:t>
      </w:r>
      <w:r>
        <w:rPr>
          <w:sz w:val="18"/>
          <w:szCs w:val="18"/>
          <w:color w:val="231F20"/>
          <w:spacing w:val="1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）对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所用药物过敏。</w:t>
      </w:r>
    </w:p>
    <w:p>
      <w:pPr>
        <w:pStyle w:val="BodyText"/>
        <w:ind w:left="69"/>
        <w:spacing w:before="18" w:line="20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1.2</w:t>
      </w:r>
      <w:r>
        <w:rPr>
          <w:sz w:val="18"/>
          <w:szCs w:val="18"/>
          <w:color w:val="231F20"/>
          <w:spacing w:val="7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方法</w:t>
      </w:r>
    </w:p>
    <w:p>
      <w:pPr>
        <w:pStyle w:val="BodyText"/>
        <w:ind w:left="58" w:right="50" w:firstLine="380"/>
        <w:spacing w:before="18" w:line="282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单一组：注射用头孢唑肟钠（西南药业股份有限公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司，国药准字号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  <w:spacing w:val="-2"/>
        </w:rPr>
        <w:t>H10890004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，规格</w:t>
      </w:r>
      <w:r>
        <w:rPr>
          <w:rFonts w:ascii="SimSun" w:hAnsi="SimSun" w:eastAsia="SimSun" w:cs="SimSun"/>
          <w:sz w:val="18"/>
          <w:szCs w:val="18"/>
          <w:color w:val="231F20"/>
          <w:spacing w:val="-51"/>
        </w:rPr>
        <w:t xml:space="preserve"> </w:t>
      </w:r>
      <w:r>
        <w:rPr>
          <w:sz w:val="18"/>
          <w:szCs w:val="18"/>
          <w:color w:val="231F20"/>
          <w:spacing w:val="-2"/>
        </w:rPr>
        <w:t>0.5g×10</w:t>
      </w:r>
      <w:r>
        <w:rPr>
          <w:sz w:val="18"/>
          <w:szCs w:val="18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瓶</w:t>
      </w:r>
      <w:r>
        <w:rPr>
          <w:sz w:val="18"/>
          <w:szCs w:val="18"/>
          <w:color w:val="231F20"/>
          <w:spacing w:val="-2"/>
        </w:rPr>
        <w:t>/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盒</w:t>
      </w:r>
      <w:r>
        <w:rPr>
          <w:rFonts w:ascii="SimSun" w:hAnsi="SimSun" w:eastAsia="SimSun" w:cs="SimSun"/>
          <w:sz w:val="18"/>
          <w:szCs w:val="18"/>
          <w:color w:val="231F20"/>
          <w:spacing w:val="-42"/>
          <w:w w:val="88"/>
        </w:rPr>
        <w:t>），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一次静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脉滴注</w:t>
      </w:r>
      <w:r>
        <w:rPr>
          <w:sz w:val="18"/>
          <w:szCs w:val="18"/>
          <w:color w:val="231F20"/>
        </w:rPr>
        <w:t>2g+0.9%</w:t>
      </w:r>
      <w:r>
        <w:rPr>
          <w:rFonts w:ascii="SimSun" w:hAnsi="SimSun" w:eastAsia="SimSun" w:cs="SimSun"/>
          <w:sz w:val="18"/>
          <w:szCs w:val="18"/>
          <w:color w:val="231F20"/>
        </w:rPr>
        <w:t>生理盐水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</w:rPr>
        <w:t>100ml</w:t>
      </w:r>
      <w:r>
        <w:rPr>
          <w:rFonts w:ascii="SimSun" w:hAnsi="SimSun" w:eastAsia="SimSun" w:cs="SimSun"/>
          <w:sz w:val="18"/>
          <w:szCs w:val="18"/>
          <w:color w:val="231F20"/>
        </w:rPr>
        <w:t>，</w:t>
      </w:r>
      <w:r>
        <w:rPr>
          <w:sz w:val="18"/>
          <w:szCs w:val="18"/>
          <w:color w:val="231F20"/>
        </w:rPr>
        <w:t>bid</w:t>
      </w:r>
      <w:r>
        <w:rPr>
          <w:rFonts w:ascii="SimSun" w:hAnsi="SimSun" w:eastAsia="SimSun" w:cs="SimSun"/>
          <w:sz w:val="18"/>
          <w:szCs w:val="18"/>
          <w:color w:val="231F20"/>
        </w:rPr>
        <w:t>，持续治疗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sz w:val="18"/>
          <w:szCs w:val="18"/>
          <w:color w:val="231F20"/>
        </w:rPr>
        <w:t>1</w:t>
      </w:r>
      <w:r>
        <w:rPr>
          <w:rFonts w:ascii="SimSun" w:hAnsi="SimSun" w:eastAsia="SimSun" w:cs="SimSun"/>
          <w:sz w:val="18"/>
          <w:szCs w:val="18"/>
          <w:color w:val="231F20"/>
        </w:rPr>
        <w:t>周。</w:t>
      </w:r>
    </w:p>
    <w:p>
      <w:pPr>
        <w:pStyle w:val="BodyText"/>
        <w:ind w:left="57" w:right="50" w:firstLine="380"/>
        <w:spacing w:before="18" w:line="284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</w:rPr>
        <w:t>联合组：头孢唑肟钠（用法同单一组）</w:t>
      </w:r>
      <w:r>
        <w:rPr>
          <w:sz w:val="18"/>
          <w:szCs w:val="18"/>
          <w:color w:val="231F20"/>
        </w:rPr>
        <w:t>,</w:t>
      </w:r>
      <w:r>
        <w:rPr>
          <w:rFonts w:ascii="SimSun" w:hAnsi="SimSun" w:eastAsia="SimSun" w:cs="SimSun"/>
          <w:sz w:val="18"/>
          <w:szCs w:val="18"/>
          <w:color w:val="231F20"/>
        </w:rPr>
        <w:t>奥硝唑氯化钠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2"/>
        </w:rPr>
        <w:t>注射液</w:t>
      </w:r>
      <w:r>
        <w:rPr>
          <w:sz w:val="18"/>
          <w:szCs w:val="18"/>
          <w:color w:val="231F20"/>
          <w:spacing w:val="32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32"/>
        </w:rPr>
        <w:t>四川科伦药业股份有限公司</w:t>
      </w:r>
      <w:r>
        <w:rPr>
          <w:rFonts w:ascii="SimSun" w:hAnsi="SimSun" w:eastAsia="SimSun" w:cs="SimSun"/>
          <w:sz w:val="18"/>
          <w:szCs w:val="18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2"/>
        </w:rPr>
        <w:t>，国药准字号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H20060634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，规格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-5"/>
        </w:rPr>
        <w:t>100ml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：奥硝唑</w:t>
      </w:r>
      <w:r>
        <w:rPr>
          <w:rFonts w:ascii="SimSun" w:hAnsi="SimSun" w:eastAsia="SimSun" w:cs="SimSun"/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color w:val="231F20"/>
          <w:spacing w:val="-5"/>
        </w:rPr>
        <w:t>0.5g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与氯化钠</w:t>
      </w:r>
      <w:r>
        <w:rPr>
          <w:rFonts w:ascii="SimSun" w:hAnsi="SimSun" w:eastAsia="SimSun" w:cs="SimSun"/>
          <w:sz w:val="18"/>
          <w:szCs w:val="18"/>
          <w:color w:val="231F20"/>
          <w:spacing w:val="-53"/>
        </w:rPr>
        <w:t xml:space="preserve"> </w:t>
      </w:r>
      <w:r>
        <w:rPr>
          <w:sz w:val="18"/>
          <w:szCs w:val="18"/>
          <w:color w:val="231F20"/>
          <w:spacing w:val="-5"/>
        </w:rPr>
        <w:t>0.9g)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，</w:t>
      </w:r>
      <w:r>
        <w:rPr>
          <w:sz w:val="18"/>
          <w:szCs w:val="18"/>
          <w:color w:val="231F20"/>
          <w:spacing w:val="-5"/>
        </w:rPr>
        <w:t>1g</w:t>
      </w:r>
      <w:r>
        <w:rPr>
          <w:sz w:val="18"/>
          <w:szCs w:val="18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静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滴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</w:rPr>
        <w:t>qd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，持续治疗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sz w:val="18"/>
          <w:szCs w:val="18"/>
          <w:color w:val="231F20"/>
          <w:spacing w:val="1"/>
        </w:rPr>
        <w:t>1</w:t>
      </w:r>
      <w:r>
        <w:rPr>
          <w:sz w:val="18"/>
          <w:szCs w:val="18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周。两种药物不能连续静脉滴注，应在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0"/>
        </w:rPr>
        <w:t>注射完前一种药物后输注适量生理盐水，持</w:t>
      </w:r>
      <w:r>
        <w:rPr>
          <w:rFonts w:ascii="SimSun" w:hAnsi="SimSun" w:eastAsia="SimSun" w:cs="SimSun"/>
          <w:sz w:val="18"/>
          <w:szCs w:val="18"/>
          <w:color w:val="231F20"/>
          <w:spacing w:val="29"/>
        </w:rPr>
        <w:t>续静滴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10</w:t>
      </w:r>
      <w:r>
        <w:rPr>
          <w:sz w:val="18"/>
          <w:szCs w:val="18"/>
          <w:color w:val="231F20"/>
        </w:rPr>
        <w:t>min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，确定充分冲管后，才能再次滴注第二种药物，避免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药物混合后发生配伍禁忌。</w:t>
      </w:r>
    </w:p>
    <w:p>
      <w:pPr>
        <w:pStyle w:val="BodyText"/>
        <w:ind w:left="70"/>
        <w:spacing w:before="13" w:line="20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</w:rPr>
        <w:t>1.3</w:t>
      </w:r>
      <w:r>
        <w:rPr>
          <w:sz w:val="18"/>
          <w:szCs w:val="18"/>
          <w:color w:val="231F20"/>
          <w:spacing w:val="7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观察指标</w:t>
      </w:r>
    </w:p>
    <w:p>
      <w:pPr>
        <w:pStyle w:val="BodyText"/>
        <w:ind w:left="64" w:right="50" w:firstLine="373"/>
        <w:spacing w:before="17" w:line="28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症状消失时间：涉及症状如下，</w:t>
      </w:r>
      <w:r>
        <w:rPr>
          <w:sz w:val="18"/>
          <w:szCs w:val="18"/>
          <w:color w:val="231F20"/>
          <w:spacing w:val="-4"/>
        </w:rPr>
        <w:t>①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发热、</w:t>
      </w:r>
      <w:r>
        <w:rPr>
          <w:sz w:val="18"/>
          <w:szCs w:val="18"/>
          <w:color w:val="231F20"/>
          <w:spacing w:val="-4"/>
        </w:rPr>
        <w:t>②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腹痛、</w:t>
      </w:r>
      <w:r>
        <w:rPr>
          <w:sz w:val="18"/>
          <w:szCs w:val="18"/>
          <w:color w:val="231F20"/>
          <w:spacing w:val="-4"/>
        </w:rPr>
        <w:t>③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恶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心呕吐、</w:t>
      </w:r>
      <w:r>
        <w:rPr>
          <w:sz w:val="18"/>
          <w:szCs w:val="18"/>
          <w:color w:val="231F20"/>
          <w:spacing w:val="-4"/>
        </w:rPr>
        <w:t>④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消化不良、</w:t>
      </w:r>
      <w:r>
        <w:rPr>
          <w:sz w:val="18"/>
          <w:szCs w:val="18"/>
          <w:color w:val="231F20"/>
          <w:spacing w:val="-4"/>
        </w:rPr>
        <w:t>⑤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全身乏力。</w:t>
      </w:r>
    </w:p>
    <w:p>
      <w:pPr>
        <w:spacing w:line="280" w:lineRule="auto"/>
        <w:sectPr>
          <w:type w:val="continuous"/>
          <w:pgSz w:w="11906" w:h="16158"/>
          <w:pgMar w:top="400" w:right="1085" w:bottom="901" w:left="424" w:header="0" w:footer="674" w:gutter="0"/>
          <w:cols w:equalWidth="0" w:num="2">
            <w:col w:w="5570" w:space="100"/>
            <w:col w:w="4727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709"/>
        <w:spacing w:line="21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■■■■■■■■■■■■■■■■■■■■■■■■■■■■■■■■■■■■■■■■■■■■■■■■■■■■■■■■■</w:t>
      </w:r>
    </w:p>
    <w:p>
      <w:pPr>
        <w:spacing w:line="210" w:lineRule="auto"/>
        <w:sectPr>
          <w:type w:val="continuous"/>
          <w:pgSz w:w="11906" w:h="16158"/>
          <w:pgMar w:top="400" w:right="1085" w:bottom="901" w:left="424" w:header="0" w:footer="674" w:gutter="0"/>
          <w:cols w:equalWidth="0" w:num="1">
            <w:col w:w="10396" w:space="0"/>
          </w:cols>
        </w:sectPr>
        <w:rPr>
          <w:sz w:val="16"/>
          <w:szCs w:val="16"/>
        </w:rPr>
      </w:pPr>
    </w:p>
    <w:p>
      <w:pPr>
        <w:pStyle w:val="BodyText"/>
        <w:ind w:left="715" w:right="281"/>
        <w:spacing w:before="8" w:line="279" w:lineRule="auto"/>
        <w:jc w:val="both"/>
        <w:rPr/>
      </w:pPr>
      <w:r>
        <w:rPr>
          <w:color w:val="231F20"/>
          <w:spacing w:val="-9"/>
        </w:rPr>
        <w:t>back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training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lower-limb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motor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dysfunction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after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stroke: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random⁃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ized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controlled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8"/>
        </w:rPr>
        <w:t>trial].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8"/>
        </w:rPr>
        <w:t>Zhongguo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8"/>
        </w:rPr>
        <w:t>Zhen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J</w:t>
      </w:r>
      <w:r>
        <w:rPr>
          <w:color w:val="231F20"/>
          <w:spacing w:val="-9"/>
        </w:rPr>
        <w:t>iu.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2021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May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12;41(5):471-7.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Chi⁃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nese.</w:t>
      </w:r>
    </w:p>
    <w:p>
      <w:pPr>
        <w:pStyle w:val="BodyText"/>
        <w:ind w:left="717" w:right="285" w:firstLine="321"/>
        <w:spacing w:line="274" w:lineRule="auto"/>
        <w:rPr/>
      </w:pPr>
      <w:r>
        <w:rPr>
          <w:color w:val="231F20"/>
          <w:spacing w:val="-5"/>
        </w:rPr>
        <w:t>[3]Burke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5"/>
        </w:rPr>
        <w:t>MJ,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5"/>
        </w:rPr>
        <w:t>Fried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PJ,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Pas</w:t>
      </w:r>
      <w:r>
        <w:rPr>
          <w:color w:val="231F20"/>
          <w:spacing w:val="-6"/>
        </w:rPr>
        <w:t>cual-Leone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Transcranial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magnetic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stimulation: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Neurophysiological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clinical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applications.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Handb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Clin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Neurol.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2019;163:73-92.</w:t>
      </w:r>
    </w:p>
    <w:p>
      <w:pPr>
        <w:pStyle w:val="BodyText"/>
        <w:ind w:left="716" w:right="283" w:firstLine="322"/>
        <w:spacing w:before="12" w:line="268" w:lineRule="auto"/>
        <w:rPr/>
      </w:pPr>
      <w:r>
        <w:rPr>
          <w:color w:val="231F20"/>
          <w:spacing w:val="11"/>
        </w:rPr>
        <w:t>[4]</w:t>
      </w:r>
      <w:r>
        <w:rPr>
          <w:rFonts w:ascii="SimSun" w:hAnsi="SimSun" w:eastAsia="SimSun" w:cs="SimSun"/>
          <w:color w:val="231F20"/>
          <w:spacing w:val="11"/>
        </w:rPr>
        <w:t>春风化雨一心润物——记中国卒中学会第四届学术年会暨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天坛国际脑血管病会议</w:t>
      </w:r>
      <w:r>
        <w:rPr>
          <w:color w:val="231F20"/>
          <w:spacing w:val="5"/>
        </w:rPr>
        <w:t>2018</w:t>
      </w:r>
      <w:r>
        <w:rPr>
          <w:color w:val="231F20"/>
          <w:spacing w:val="-43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启动会在京召开</w:t>
      </w:r>
      <w:r>
        <w:rPr>
          <w:color w:val="231F20"/>
          <w:spacing w:val="5"/>
        </w:rPr>
        <w:t>[J].</w:t>
      </w:r>
      <w:r>
        <w:rPr>
          <w:rFonts w:ascii="SimSun" w:hAnsi="SimSun" w:eastAsia="SimSun" w:cs="SimSun"/>
          <w:color w:val="231F20"/>
          <w:spacing w:val="5"/>
        </w:rPr>
        <w:t>中华医学</w:t>
      </w:r>
      <w:r>
        <w:rPr>
          <w:rFonts w:ascii="SimSun" w:hAnsi="SimSun" w:eastAsia="SimSun" w:cs="SimSun"/>
          <w:color w:val="231F20"/>
          <w:spacing w:val="4"/>
        </w:rPr>
        <w:t>信息导报</w:t>
      </w:r>
      <w:r>
        <w:rPr>
          <w:color w:val="231F20"/>
          <w:spacing w:val="4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2018,33(6):15.</w:t>
      </w:r>
    </w:p>
    <w:p>
      <w:pPr>
        <w:pStyle w:val="BodyText"/>
        <w:ind w:left="719" w:right="283" w:firstLine="320"/>
        <w:spacing w:before="25" w:line="269" w:lineRule="auto"/>
        <w:rPr/>
      </w:pPr>
      <w:r>
        <w:rPr>
          <w:color w:val="231F20"/>
          <w:spacing w:val="9"/>
        </w:rPr>
        <w:t>[5]</w:t>
      </w:r>
      <w:r>
        <w:rPr>
          <w:rFonts w:ascii="SimSun" w:hAnsi="SimSun" w:eastAsia="SimSun" w:cs="SimSun"/>
          <w:color w:val="231F20"/>
          <w:spacing w:val="9"/>
        </w:rPr>
        <w:t>程拉娜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许一帆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连续康复护理对脑卒中偏瘫患者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</w:rPr>
        <w:t>FMA</w:t>
      </w:r>
      <w:r>
        <w:rPr>
          <w:color w:val="231F20"/>
          <w:spacing w:val="-41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运动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功能、</w:t>
      </w:r>
      <w:r>
        <w:rPr>
          <w:color w:val="231F20"/>
        </w:rPr>
        <w:t>Barthe</w:t>
      </w:r>
      <w:r>
        <w:rPr>
          <w:color w:val="231F20"/>
          <w:spacing w:val="3"/>
        </w:rPr>
        <w:t>1</w:t>
      </w:r>
      <w:r>
        <w:rPr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指数及服药依从性的影响</w:t>
      </w:r>
      <w:r>
        <w:rPr>
          <w:color w:val="231F20"/>
          <w:spacing w:val="3"/>
        </w:rPr>
        <w:t>[J].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中国当代医药</w:t>
      </w:r>
      <w:r>
        <w:rPr>
          <w:color w:val="231F20"/>
          <w:spacing w:val="3"/>
        </w:rPr>
        <w:t>,2019,26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(28):224-226.</w:t>
      </w:r>
    </w:p>
    <w:p>
      <w:pPr>
        <w:pStyle w:val="BodyText"/>
        <w:ind w:left="718" w:right="283" w:firstLine="321"/>
        <w:spacing w:before="25" w:line="262" w:lineRule="auto"/>
        <w:rPr/>
      </w:pPr>
      <w:r>
        <w:pict>
          <v:shape id="_x0000_s4" style="position:absolute;margin-left:35.1764pt;margin-top:29.2513pt;mso-position-vertical-relative:text;mso-position-horizontal-relative:text;width:482.9pt;height:0.4pt;z-index:251658240;" filled="false" strokecolor="#231F20" strokeweight="0.37pt" coordsize="9657,8" coordorigin="0,0" path="m0,3l9657,3e">
            <v:stroke joinstyle="miter" miterlimit="4"/>
          </v:shape>
        </w:pict>
      </w:r>
      <w:r>
        <w:rPr>
          <w:color w:val="231F20"/>
          <w:spacing w:val="6"/>
        </w:rPr>
        <w:t>[6]</w:t>
      </w:r>
      <w:r>
        <w:rPr>
          <w:rFonts w:ascii="SimSun" w:hAnsi="SimSun" w:eastAsia="SimSun" w:cs="SimSun"/>
          <w:color w:val="231F20"/>
          <w:spacing w:val="6"/>
        </w:rPr>
        <w:t>王亚博</w:t>
      </w:r>
      <w:r>
        <w:rPr>
          <w:color w:val="231F20"/>
          <w:spacing w:val="6"/>
        </w:rPr>
        <w:t>,</w:t>
      </w:r>
      <w:r>
        <w:rPr>
          <w:rFonts w:ascii="SimSun" w:hAnsi="SimSun" w:eastAsia="SimSun" w:cs="SimSun"/>
          <w:color w:val="231F20"/>
          <w:spacing w:val="6"/>
        </w:rPr>
        <w:t>郑候婷</w:t>
      </w:r>
      <w:r>
        <w:rPr>
          <w:color w:val="231F20"/>
          <w:spacing w:val="6"/>
        </w:rPr>
        <w:t>,</w:t>
      </w:r>
      <w:r>
        <w:rPr>
          <w:rFonts w:ascii="SimSun" w:hAnsi="SimSun" w:eastAsia="SimSun" w:cs="SimSun"/>
          <w:color w:val="231F20"/>
          <w:spacing w:val="6"/>
        </w:rPr>
        <w:t>刘亚林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6"/>
        </w:rPr>
        <w:t>.</w:t>
      </w:r>
      <w:r>
        <w:rPr>
          <w:color w:val="231F20"/>
          <w:spacing w:val="-39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高压氧联合</w:t>
      </w:r>
      <w:r>
        <w:rPr>
          <w:rFonts w:ascii="SimSun" w:hAnsi="SimSun" w:eastAsia="SimSun" w:cs="SimSun"/>
          <w:color w:val="231F20"/>
          <w:spacing w:val="5"/>
        </w:rPr>
        <w:t>尿激酶溶栓对急性脑梗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死患者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</w:rPr>
        <w:t>NIHSS</w:t>
      </w:r>
      <w:r>
        <w:rPr>
          <w:rFonts w:ascii="SimSun" w:hAnsi="SimSun" w:eastAsia="SimSun" w:cs="SimSun"/>
          <w:color w:val="231F20"/>
          <w:spacing w:val="5"/>
        </w:rPr>
        <w:t>评分及血清细胞因子水平的影响</w:t>
      </w:r>
      <w:r>
        <w:rPr>
          <w:color w:val="231F20"/>
          <w:spacing w:val="5"/>
        </w:rPr>
        <w:t>[J].</w:t>
      </w:r>
      <w:r>
        <w:rPr>
          <w:rFonts w:ascii="SimSun" w:hAnsi="SimSun" w:eastAsia="SimSun" w:cs="SimSun"/>
          <w:color w:val="231F20"/>
          <w:spacing w:val="5"/>
        </w:rPr>
        <w:t>临床研究</w:t>
      </w:r>
      <w:r>
        <w:rPr>
          <w:color w:val="231F20"/>
          <w:spacing w:val="5"/>
        </w:rPr>
        <w:t>,2023,31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8" w:line="201" w:lineRule="exact"/>
        <w:rPr/>
      </w:pPr>
      <w:r>
        <w:rPr>
          <w:color w:val="231F20"/>
          <w:spacing w:val="-6"/>
          <w:position w:val="1"/>
        </w:rPr>
        <w:t>(8):48-51.</w:t>
      </w:r>
    </w:p>
    <w:p>
      <w:pPr>
        <w:pStyle w:val="BodyText"/>
        <w:ind w:left="4" w:right="50" w:firstLine="320"/>
        <w:spacing w:before="26" w:line="262" w:lineRule="auto"/>
        <w:rPr/>
      </w:pPr>
      <w:r>
        <w:rPr>
          <w:color w:val="231F20"/>
          <w:spacing w:val="3"/>
        </w:rPr>
        <w:t>[7]</w:t>
      </w:r>
      <w:r>
        <w:rPr>
          <w:rFonts w:ascii="SimSun" w:hAnsi="SimSun" w:eastAsia="SimSun" w:cs="SimSun"/>
          <w:color w:val="231F20"/>
          <w:spacing w:val="3"/>
        </w:rPr>
        <w:t>谢玉宝</w:t>
      </w:r>
      <w:r>
        <w:rPr>
          <w:color w:val="231F20"/>
          <w:spacing w:val="3"/>
        </w:rPr>
        <w:t>,</w:t>
      </w:r>
      <w:r>
        <w:rPr>
          <w:rFonts w:ascii="SimSun" w:hAnsi="SimSun" w:eastAsia="SimSun" w:cs="SimSun"/>
          <w:color w:val="231F20"/>
          <w:spacing w:val="3"/>
        </w:rPr>
        <w:t>郑凯</w:t>
      </w:r>
      <w:r>
        <w:rPr>
          <w:color w:val="231F20"/>
          <w:spacing w:val="3"/>
        </w:rPr>
        <w:t>,</w:t>
      </w:r>
      <w:r>
        <w:rPr>
          <w:rFonts w:ascii="SimSun" w:hAnsi="SimSun" w:eastAsia="SimSun" w:cs="SimSun"/>
          <w:color w:val="231F20"/>
          <w:spacing w:val="3"/>
        </w:rPr>
        <w:t>徐新蕾</w:t>
      </w:r>
      <w:r>
        <w:rPr>
          <w:color w:val="231F20"/>
          <w:spacing w:val="3"/>
        </w:rPr>
        <w:t>,</w:t>
      </w:r>
      <w:r>
        <w:rPr>
          <w:rFonts w:ascii="SimSun" w:hAnsi="SimSun" w:eastAsia="SimSun" w:cs="SimSun"/>
          <w:color w:val="231F20"/>
          <w:spacing w:val="3"/>
        </w:rPr>
        <w:t>等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3"/>
        </w:rPr>
        <w:t>.</w:t>
      </w:r>
      <w:r>
        <w:rPr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脑卒中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个月家庭步行能力恢复的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预测因素</w:t>
      </w:r>
      <w:r>
        <w:rPr>
          <w:color w:val="231F20"/>
          <w:spacing w:val="-3"/>
        </w:rPr>
        <w:t>[J].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中国康复医学杂志</w:t>
      </w:r>
      <w:r>
        <w:rPr>
          <w:color w:val="231F20"/>
          <w:spacing w:val="-3"/>
        </w:rPr>
        <w:t>,2023,38(3):337-341.</w:t>
      </w:r>
    </w:p>
    <w:p>
      <w:pPr>
        <w:pStyle w:val="BodyText"/>
        <w:ind w:left="3" w:right="50" w:firstLine="321"/>
        <w:spacing w:before="26" w:line="262" w:lineRule="auto"/>
        <w:rPr/>
      </w:pPr>
      <w:r>
        <w:rPr>
          <w:color w:val="231F20"/>
          <w:spacing w:val="5"/>
        </w:rPr>
        <w:t>[8]</w:t>
      </w:r>
      <w:r>
        <w:rPr>
          <w:rFonts w:ascii="SimSun" w:hAnsi="SimSun" w:eastAsia="SimSun" w:cs="SimSun"/>
          <w:color w:val="231F20"/>
          <w:spacing w:val="5"/>
        </w:rPr>
        <w:t>许婉婷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5"/>
        </w:rPr>
        <w:t>.</w:t>
      </w:r>
      <w:r>
        <w:rPr>
          <w:rFonts w:ascii="SimSun" w:hAnsi="SimSun" w:eastAsia="SimSun" w:cs="SimSun"/>
          <w:color w:val="231F20"/>
          <w:spacing w:val="5"/>
        </w:rPr>
        <w:t>积极心理干预对脑卒中患者伤残接受度及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</w:rPr>
        <w:t>BI</w:t>
      </w:r>
      <w:r>
        <w:rPr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指数的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影响</w:t>
      </w:r>
      <w:r>
        <w:rPr>
          <w:color w:val="231F20"/>
          <w:spacing w:val="-4"/>
        </w:rPr>
        <w:t>[J].</w:t>
      </w:r>
      <w:r>
        <w:rPr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中外医学研究</w:t>
      </w:r>
      <w:r>
        <w:rPr>
          <w:color w:val="231F20"/>
          <w:spacing w:val="-4"/>
        </w:rPr>
        <w:t>,2022,20(19):118-121.</w:t>
      </w:r>
    </w:p>
    <w:p>
      <w:pPr>
        <w:pStyle w:val="BodyText"/>
        <w:ind w:right="47" w:firstLine="325"/>
        <w:spacing w:before="27" w:line="272" w:lineRule="auto"/>
        <w:rPr/>
      </w:pPr>
      <w:r>
        <w:rPr>
          <w:color w:val="231F20"/>
          <w:spacing w:val="-9"/>
        </w:rPr>
        <w:t>[9]Ikenouchi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9"/>
        </w:rPr>
        <w:t>H,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Yoshimoto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T,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Ihara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M.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Postprandial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cerebral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infarc⁃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tion.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J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Clin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Neurosci.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2021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Dec;</w:t>
      </w:r>
      <w:r>
        <w:rPr>
          <w:color w:val="231F20"/>
          <w:spacing w:val="-7"/>
        </w:rPr>
        <w:t>94:38-40.</w:t>
      </w:r>
    </w:p>
    <w:p>
      <w:pPr>
        <w:pStyle w:val="BodyText"/>
        <w:ind w:left="3" w:right="48" w:firstLine="320"/>
        <w:spacing w:before="11" w:line="275" w:lineRule="auto"/>
        <w:rPr/>
      </w:pPr>
      <w:r>
        <w:rPr>
          <w:color w:val="231F20"/>
          <w:spacing w:val="3"/>
        </w:rPr>
        <w:t>[10]</w:t>
      </w:r>
      <w:r>
        <w:rPr>
          <w:rFonts w:ascii="SimSun" w:hAnsi="SimSun" w:eastAsia="SimSun" w:cs="SimSun"/>
          <w:color w:val="231F20"/>
          <w:spacing w:val="3"/>
        </w:rPr>
        <w:t>尹贻锟</w:t>
      </w:r>
      <w:r>
        <w:rPr>
          <w:color w:val="231F20"/>
          <w:spacing w:val="3"/>
        </w:rPr>
        <w:t>,</w:t>
      </w:r>
      <w:r>
        <w:rPr>
          <w:rFonts w:ascii="SimSun" w:hAnsi="SimSun" w:eastAsia="SimSun" w:cs="SimSun"/>
          <w:color w:val="231F20"/>
          <w:spacing w:val="3"/>
        </w:rPr>
        <w:t>王佳林</w:t>
      </w:r>
      <w:r>
        <w:rPr>
          <w:color w:val="231F20"/>
          <w:spacing w:val="3"/>
        </w:rPr>
        <w:t>,</w:t>
      </w:r>
      <w:r>
        <w:rPr>
          <w:rFonts w:ascii="SimSun" w:hAnsi="SimSun" w:eastAsia="SimSun" w:cs="SimSun"/>
          <w:color w:val="231F20"/>
          <w:spacing w:val="3"/>
        </w:rPr>
        <w:t>孙君志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3"/>
        </w:rPr>
        <w:t>.</w:t>
      </w:r>
      <w:r>
        <w:rPr>
          <w:color w:val="231F20"/>
          <w:spacing w:val="-4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不同频率重复经颅磁刺激对脑卒中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后认知障碍疗效的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分析</w:t>
      </w:r>
      <w:r>
        <w:rPr>
          <w:color w:val="231F20"/>
          <w:spacing w:val="6"/>
        </w:rPr>
        <w:t>[J].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中国组织工程研</w:t>
      </w:r>
      <w:r>
        <w:rPr>
          <w:rFonts w:ascii="SimSun" w:hAnsi="SimSun" w:eastAsia="SimSun" w:cs="SimSun"/>
          <w:color w:val="231F20"/>
          <w:spacing w:val="5"/>
        </w:rPr>
        <w:t>究</w:t>
      </w:r>
      <w:r>
        <w:rPr>
          <w:color w:val="231F20"/>
          <w:spacing w:val="5"/>
        </w:rPr>
        <w:t>,2023,27(20):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3274-3280.</w:t>
      </w:r>
    </w:p>
    <w:p>
      <w:pPr>
        <w:pStyle w:val="BodyText"/>
        <w:ind w:right="49" w:firstLine="323"/>
        <w:spacing w:before="9" w:line="275" w:lineRule="auto"/>
        <w:rPr/>
      </w:pPr>
      <w:r>
        <w:rPr>
          <w:color w:val="231F20"/>
        </w:rPr>
        <w:t>[11]</w:t>
      </w:r>
      <w:r>
        <w:rPr>
          <w:rFonts w:ascii="SimSun" w:hAnsi="SimSun" w:eastAsia="SimSun" w:cs="SimSun"/>
          <w:color w:val="231F20"/>
        </w:rPr>
        <w:t>黄凯琪</w:t>
      </w:r>
      <w:r>
        <w:rPr>
          <w:color w:val="231F20"/>
        </w:rPr>
        <w:t>,</w:t>
      </w:r>
      <w:r>
        <w:rPr>
          <w:rFonts w:ascii="SimSun" w:hAnsi="SimSun" w:eastAsia="SimSun" w:cs="SimSun"/>
          <w:color w:val="231F20"/>
        </w:rPr>
        <w:t>辛榕</w:t>
      </w:r>
      <w:r>
        <w:rPr>
          <w:color w:val="231F20"/>
        </w:rPr>
        <w:t>,</w:t>
      </w:r>
      <w:r>
        <w:rPr>
          <w:rFonts w:ascii="SimSun" w:hAnsi="SimSun" w:eastAsia="SimSun" w:cs="SimSun"/>
          <w:color w:val="231F20"/>
        </w:rPr>
        <w:t>凌耿强</w:t>
      </w:r>
      <w:r>
        <w:rPr>
          <w:color w:val="231F20"/>
        </w:rPr>
        <w:t>,</w:t>
      </w:r>
      <w:r>
        <w:rPr>
          <w:rFonts w:ascii="SimSun" w:hAnsi="SimSun" w:eastAsia="SimSun" w:cs="SimSun"/>
          <w:color w:val="231F20"/>
        </w:rPr>
        <w:t>等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</w:rPr>
        <w:t>.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</w:rPr>
        <w:t>重复经颅磁刺激治疗脑卒中后下肢 </w:t>
      </w:r>
      <w:r>
        <w:rPr>
          <w:rFonts w:ascii="SimSun" w:hAnsi="SimSun" w:eastAsia="SimSun" w:cs="SimSun"/>
          <w:color w:val="231F20"/>
          <w:spacing w:val="2"/>
        </w:rPr>
        <w:t>运动功能障碍的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</w:rPr>
        <w:t>Scoping</w:t>
      </w:r>
      <w:r>
        <w:rPr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综述</w:t>
      </w:r>
      <w:r>
        <w:rPr>
          <w:color w:val="231F20"/>
          <w:spacing w:val="2"/>
        </w:rPr>
        <w:t>[J].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中国康复理论与实践</w:t>
      </w:r>
      <w:r>
        <w:rPr>
          <w:color w:val="231F20"/>
          <w:spacing w:val="2"/>
        </w:rPr>
        <w:t>,2023,29</w:t>
      </w:r>
      <w:r>
        <w:rPr>
          <w:color w:val="231F20"/>
          <w:spacing w:val="1"/>
        </w:rPr>
        <w:t>(3):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286-293.</w:t>
      </w:r>
    </w:p>
    <w:p>
      <w:pPr>
        <w:ind w:left="2713"/>
        <w:spacing w:before="9" w:line="18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本文责任编辑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邓长安</w:t>
      </w:r>
    </w:p>
    <w:p>
      <w:pPr>
        <w:spacing w:line="189" w:lineRule="auto"/>
        <w:sectPr>
          <w:type w:val="continuous"/>
          <w:pgSz w:w="11906" w:h="16158"/>
          <w:pgMar w:top="400" w:right="1085" w:bottom="901" w:left="424" w:header="0" w:footer="674" w:gutter="0"/>
          <w:cols w:equalWidth="0" w:num="2">
            <w:col w:w="5623" w:space="100"/>
            <w:col w:w="4674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718"/>
        <w:spacing w:before="235" w:line="16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基金项目：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山西省高校科技创新计划项目（2023L477）</w:t>
      </w:r>
    </w:p>
    <w:p>
      <w:pPr>
        <w:spacing w:line="163" w:lineRule="auto"/>
        <w:sectPr>
          <w:type w:val="continuous"/>
          <w:pgSz w:w="11906" w:h="16158"/>
          <w:pgMar w:top="400" w:right="1085" w:bottom="901" w:left="424" w:header="0" w:footer="674" w:gutter="0"/>
          <w:cols w:equalWidth="0" w:num="1">
            <w:col w:w="10396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before="90" w:line="200" w:lineRule="auto"/>
        <w:jc w:val="righ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7"/>
        </w:rPr>
        <w:t>西藏医药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7"/>
        </w:rPr>
        <w:t>2024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7"/>
        </w:rPr>
        <w:t>年第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7"/>
        </w:rPr>
        <w:t>45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7"/>
        </w:rPr>
        <w:t>卷第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7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7"/>
        </w:rPr>
        <w:t>期（总 176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7"/>
        </w:rPr>
        <w:t>期）</w:t>
      </w: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3"/>
          <w:footerReference w:type="default" r:id="rId4"/>
          <w:pgSz w:w="11906" w:h="16158"/>
          <w:pgMar w:top="400" w:right="1077" w:bottom="901" w:left="424" w:header="0" w:footer="674" w:gutter="0"/>
          <w:cols w:equalWidth="0" w:num="1">
            <w:col w:w="10405" w:space="0"/>
          </w:cols>
        </w:sectPr>
        <w:rPr/>
      </w:pPr>
    </w:p>
    <w:p>
      <w:pPr>
        <w:pStyle w:val="BodyText"/>
        <w:ind w:left="718" w:right="238" w:firstLine="390"/>
        <w:spacing w:before="48" w:line="28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临床治疗效果：涉及评估指标是各项症状变化（包含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发热、腹痛与消化不良等）、实验室检查结果变化（包含白</w:t>
      </w:r>
      <w:r>
        <w:rPr>
          <w:rFonts w:ascii="SimSun" w:hAnsi="SimSun" w:eastAsia="SimSun" w:cs="SimSun"/>
          <w:sz w:val="18"/>
          <w:szCs w:val="18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细胞介素等多种炎症指标</w:t>
      </w:r>
      <w:r>
        <w:rPr>
          <w:rFonts w:ascii="SimSun" w:hAnsi="SimSun" w:eastAsia="SimSun" w:cs="SimSun"/>
          <w:sz w:val="18"/>
          <w:szCs w:val="18"/>
          <w:color w:val="231F20"/>
          <w:spacing w:val="-39"/>
          <w:w w:val="82"/>
        </w:rPr>
        <w:t>），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疗效评估标准</w:t>
      </w:r>
      <w:r>
        <w:rPr>
          <w:sz w:val="10"/>
          <w:szCs w:val="10"/>
          <w:color w:val="231F20"/>
          <w:spacing w:val="6"/>
          <w:position w:val="6"/>
        </w:rPr>
        <w:t>[5]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如下，显效：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症状消失、检查结果正常</w:t>
      </w:r>
      <w:r>
        <w:rPr>
          <w:rFonts w:ascii="SimSun" w:hAnsi="SimSun" w:eastAsia="SimSun" w:cs="SimSun"/>
          <w:sz w:val="18"/>
          <w:szCs w:val="18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。有效：症状改善、检查结果改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善。无效：症状及检查结果无明显变化。</w:t>
      </w:r>
    </w:p>
    <w:p>
      <w:pPr>
        <w:pStyle w:val="BodyText"/>
        <w:ind w:left="717" w:right="287" w:firstLine="383"/>
        <w:spacing w:line="26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不良反应发生率：涉及评估指标如下，</w:t>
      </w:r>
      <w:r>
        <w:rPr>
          <w:sz w:val="18"/>
          <w:szCs w:val="18"/>
          <w:color w:val="231F20"/>
          <w:spacing w:val="4"/>
        </w:rPr>
        <w:t>①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过敏、</w:t>
      </w:r>
      <w:r>
        <w:rPr>
          <w:sz w:val="18"/>
          <w:szCs w:val="18"/>
          <w:color w:val="231F20"/>
          <w:spacing w:val="4"/>
        </w:rPr>
        <w:t>②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头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痛、</w:t>
      </w:r>
      <w:r>
        <w:rPr>
          <w:sz w:val="18"/>
          <w:szCs w:val="18"/>
          <w:color w:val="231F20"/>
          <w:spacing w:val="-10"/>
        </w:rPr>
        <w:t>③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便秘。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/>
        <w:spacing w:before="41" w:line="20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</w:rPr>
        <w:t>1.4</w:t>
      </w:r>
      <w:r>
        <w:rPr>
          <w:sz w:val="18"/>
          <w:szCs w:val="18"/>
          <w:color w:val="231F20"/>
          <w:spacing w:val="8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统计学方法</w:t>
      </w:r>
    </w:p>
    <w:p>
      <w:pPr>
        <w:pStyle w:val="BodyText"/>
        <w:ind w:right="8" w:firstLine="383"/>
        <w:spacing w:before="18" w:line="253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</w:rPr>
        <w:t>通过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</w:rPr>
        <w:t>SPSS26.0</w:t>
      </w:r>
      <w:r>
        <w:rPr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统计比较</w:t>
      </w:r>
      <w:r>
        <w:rPr>
          <w:rFonts w:ascii="SimSun" w:hAnsi="SimSun" w:eastAsia="SimSun" w:cs="SimSun"/>
          <w:sz w:val="18"/>
          <w:szCs w:val="18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。计数资料以（</w:t>
      </w:r>
      <w:r>
        <w:rPr>
          <w:sz w:val="18"/>
          <w:szCs w:val="18"/>
          <w:color w:val="231F20"/>
        </w:rPr>
        <w:t>n</w:t>
      </w:r>
      <w:r>
        <w:rPr>
          <w:rFonts w:ascii="SimSun" w:hAnsi="SimSun" w:eastAsia="SimSun" w:cs="SimSun"/>
          <w:sz w:val="18"/>
          <w:szCs w:val="18"/>
          <w:color w:val="231F20"/>
        </w:rPr>
        <w:t>，</w:t>
      </w:r>
      <w:r>
        <w:rPr>
          <w:sz w:val="18"/>
          <w:szCs w:val="18"/>
          <w:color w:val="231F20"/>
        </w:rPr>
        <w:t>%</w:t>
      </w:r>
      <w:r>
        <w:rPr>
          <w:rFonts w:ascii="SimSun" w:hAnsi="SimSun" w:eastAsia="SimSun" w:cs="SimSun"/>
          <w:sz w:val="18"/>
          <w:szCs w:val="18"/>
          <w:color w:val="231F20"/>
        </w:rPr>
        <w:t>）表示，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进行卡方检验；计量资料以</w:t>
      </w:r>
      <w:r>
        <w:rPr>
          <w:sz w:val="18"/>
          <w:szCs w:val="18"/>
          <w:color w:val="231F20"/>
          <w:spacing w:val="-6"/>
        </w:rPr>
        <w:t>χ</w:t>
      </w:r>
      <w:r>
        <w:rPr>
          <w:sz w:val="18"/>
          <w:szCs w:val="18"/>
          <w:color w:val="231F20"/>
          <w:spacing w:val="-6"/>
          <w:position w:val="9"/>
        </w:rPr>
        <w:t>-</w:t>
      </w:r>
      <w:r>
        <w:rPr>
          <w:sz w:val="18"/>
          <w:szCs w:val="18"/>
          <w:color w:val="231F20"/>
          <w:spacing w:val="-61"/>
          <w:position w:val="9"/>
        </w:rPr>
        <w:t xml:space="preserve"> </w:t>
      </w:r>
      <w:r>
        <w:rPr>
          <w:sz w:val="18"/>
          <w:szCs w:val="18"/>
          <w:color w:val="231F20"/>
          <w:spacing w:val="-6"/>
        </w:rPr>
        <w:t>±s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表示，进行</w:t>
      </w:r>
      <w:r>
        <w:rPr>
          <w:sz w:val="18"/>
          <w:szCs w:val="18"/>
          <w:color w:val="231F20"/>
          <w:spacing w:val="-6"/>
        </w:rPr>
        <w:t>t</w:t>
      </w:r>
      <w:r>
        <w:rPr>
          <w:sz w:val="18"/>
          <w:szCs w:val="18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检验。</w:t>
      </w:r>
      <w:r>
        <w:rPr>
          <w:sz w:val="18"/>
          <w:szCs w:val="18"/>
          <w:color w:val="231F20"/>
          <w:spacing w:val="-6"/>
        </w:rPr>
        <w:t>P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小于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0.05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，具有统计学意义。</w:t>
      </w:r>
    </w:p>
    <w:p>
      <w:pPr>
        <w:pStyle w:val="BodyText"/>
        <w:spacing w:before="4" w:line="250" w:lineRule="exact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1"/>
        </w:rPr>
        <w:t>2</w:t>
      </w:r>
      <w:r>
        <w:rPr>
          <w:sz w:val="18"/>
          <w:szCs w:val="18"/>
          <w:color w:val="231F20"/>
          <w:spacing w:val="82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231F20"/>
          <w:spacing w:val="3"/>
          <w:position w:val="1"/>
        </w:rPr>
        <w:t>结果</w:t>
      </w:r>
    </w:p>
    <w:p>
      <w:pPr>
        <w:pStyle w:val="BodyText"/>
        <w:ind w:left="5"/>
        <w:spacing w:before="30" w:line="208" w:lineRule="auto"/>
        <w:rPr>
          <w:rFonts w:ascii="SimSun" w:hAnsi="SimSun" w:eastAsia="SimSun" w:cs="SimSun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2.1   症状消失时间 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见表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sz w:val="18"/>
          <w:szCs w:val="18"/>
          <w:color w:val="231F20"/>
          <w:spacing w:val="2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。</w:t>
      </w:r>
    </w:p>
    <w:p>
      <w:pPr>
        <w:spacing w:line="208" w:lineRule="auto"/>
        <w:sectPr>
          <w:type w:val="continuous"/>
          <w:pgSz w:w="11906" w:h="16158"/>
          <w:pgMar w:top="400" w:right="1077" w:bottom="901" w:left="424" w:header="0" w:footer="674" w:gutter="0"/>
          <w:cols w:equalWidth="0" w:num="2">
            <w:col w:w="5625" w:space="100"/>
            <w:col w:w="4681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4071"/>
        <w:spacing w:line="173" w:lineRule="auto"/>
        <w:outlineLvl w:val="0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>表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20"/>
        </w:rPr>
        <w:t>1  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>症状消失时间（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20"/>
        </w:rPr>
        <w:t>n=60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>例，</w:t>
      </w:r>
      <w:r>
        <w:rPr>
          <w:sz w:val="18"/>
          <w:szCs w:val="18"/>
          <w:color w:val="231F20"/>
          <w:spacing w:val="-20"/>
        </w:rPr>
        <w:t>χ</w:t>
      </w:r>
      <w:r>
        <w:rPr>
          <w:sz w:val="18"/>
          <w:szCs w:val="18"/>
          <w:color w:val="231F20"/>
          <w:spacing w:val="-20"/>
          <w:position w:val="9"/>
        </w:rPr>
        <w:t>-</w:t>
      </w:r>
      <w:r>
        <w:rPr>
          <w:sz w:val="18"/>
          <w:szCs w:val="18"/>
          <w:color w:val="231F20"/>
          <w:spacing w:val="-79"/>
          <w:position w:val="9"/>
        </w:rPr>
        <w:t xml:space="preserve"> </w:t>
      </w:r>
      <w:r>
        <w:rPr>
          <w:sz w:val="18"/>
          <w:szCs w:val="18"/>
          <w:color w:val="231F20"/>
          <w:spacing w:val="-20"/>
        </w:rPr>
        <w:t>±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20"/>
        </w:rPr>
        <w:t>s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>，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20"/>
        </w:rPr>
        <w:t>d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>）</w:t>
      </w:r>
    </w:p>
    <w:p>
      <w:pPr>
        <w:spacing w:line="35" w:lineRule="exact"/>
        <w:rPr/>
      </w:pPr>
      <w:r/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1"/>
        <w:gridCol w:w="1646"/>
        <w:gridCol w:w="1668"/>
        <w:gridCol w:w="1651"/>
        <w:gridCol w:w="1665"/>
        <w:gridCol w:w="1666"/>
      </w:tblGrid>
      <w:tr>
        <w:trPr>
          <w:trHeight w:val="199" w:hRule="atLeast"/>
        </w:trPr>
        <w:tc>
          <w:tcPr>
            <w:tcW w:w="134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20"/>
              <w:spacing w:before="16" w:line="161" w:lineRule="auto"/>
              <w:rPr/>
            </w:pPr>
            <w:r>
              <w:rPr>
                <w:color w:val="231F20"/>
                <w:spacing w:val="4"/>
              </w:rPr>
              <w:t>组别</w:t>
            </w:r>
          </w:p>
        </w:tc>
        <w:tc>
          <w:tcPr>
            <w:tcW w:w="164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68"/>
              <w:spacing w:before="16" w:line="161" w:lineRule="auto"/>
              <w:rPr/>
            </w:pPr>
            <w:r>
              <w:rPr>
                <w:color w:val="231F20"/>
                <w:spacing w:val="4"/>
              </w:rPr>
              <w:t>发热</w:t>
            </w:r>
          </w:p>
        </w:tc>
        <w:tc>
          <w:tcPr>
            <w:tcW w:w="166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84"/>
              <w:spacing w:before="16" w:line="161" w:lineRule="auto"/>
              <w:rPr/>
            </w:pPr>
            <w:r>
              <w:rPr>
                <w:color w:val="231F20"/>
                <w:spacing w:val="5"/>
              </w:rPr>
              <w:t>腹痛</w:t>
            </w:r>
          </w:p>
        </w:tc>
        <w:tc>
          <w:tcPr>
            <w:tcW w:w="165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22"/>
              <w:spacing w:before="26" w:line="163" w:lineRule="exact"/>
              <w:rPr/>
            </w:pPr>
            <w:r>
              <w:rPr>
                <w:color w:val="231F20"/>
                <w:spacing w:val="7"/>
              </w:rPr>
              <w:t>恶心呕吐</w:t>
            </w:r>
          </w:p>
        </w:tc>
        <w:tc>
          <w:tcPr>
            <w:tcW w:w="166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4"/>
              <w:spacing w:before="25" w:line="164" w:lineRule="exact"/>
              <w:rPr/>
            </w:pPr>
            <w:r>
              <w:rPr>
                <w:color w:val="231F20"/>
                <w:spacing w:val="7"/>
              </w:rPr>
              <w:t>消化不良消</w:t>
            </w:r>
          </w:p>
        </w:tc>
        <w:tc>
          <w:tcPr>
            <w:tcW w:w="166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21"/>
              <w:spacing w:before="16" w:line="161" w:lineRule="auto"/>
              <w:rPr/>
            </w:pPr>
            <w:r>
              <w:rPr>
                <w:color w:val="231F20"/>
                <w:spacing w:val="7"/>
              </w:rPr>
              <w:t>全身乏力</w:t>
            </w:r>
          </w:p>
        </w:tc>
      </w:tr>
      <w:tr>
        <w:trPr>
          <w:trHeight w:val="194" w:hRule="atLeast"/>
        </w:trPr>
        <w:tc>
          <w:tcPr>
            <w:tcW w:w="13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9"/>
              <w:spacing w:before="23" w:line="161" w:lineRule="exact"/>
              <w:rPr/>
            </w:pPr>
            <w:r>
              <w:rPr>
                <w:color w:val="231F20"/>
                <w:spacing w:val="6"/>
              </w:rPr>
              <w:t>联合组</w:t>
            </w:r>
          </w:p>
        </w:tc>
        <w:tc>
          <w:tcPr>
            <w:tcW w:w="16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6"/>
              <w:spacing w:before="14" w:line="158" w:lineRule="auto"/>
              <w:rPr/>
            </w:pPr>
            <w:r>
              <w:rPr>
                <w:color w:val="231F20"/>
                <w:spacing w:val="3"/>
              </w:rPr>
              <w:t>0.31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3"/>
              </w:rPr>
              <w:t>±0.06</w:t>
            </w:r>
          </w:p>
        </w:tc>
        <w:tc>
          <w:tcPr>
            <w:tcW w:w="16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3"/>
              <w:spacing w:before="14" w:line="158" w:lineRule="auto"/>
              <w:rPr/>
            </w:pPr>
            <w:r>
              <w:rPr>
                <w:color w:val="231F20"/>
                <w:spacing w:val="6"/>
              </w:rPr>
              <w:t>4.39±0.94</w:t>
            </w:r>
          </w:p>
        </w:tc>
        <w:tc>
          <w:tcPr>
            <w:tcW w:w="16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4"/>
              <w:spacing w:before="14" w:line="158" w:lineRule="auto"/>
              <w:rPr/>
            </w:pPr>
            <w:r>
              <w:rPr>
                <w:color w:val="231F20"/>
                <w:spacing w:val="4"/>
              </w:rPr>
              <w:t>3.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4"/>
              </w:rPr>
              <w:t>15±0.71</w:t>
            </w:r>
          </w:p>
        </w:tc>
        <w:tc>
          <w:tcPr>
            <w:tcW w:w="16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9"/>
              <w:spacing w:before="14" w:line="158" w:lineRule="auto"/>
              <w:rPr/>
            </w:pPr>
            <w:r>
              <w:rPr>
                <w:color w:val="231F20"/>
                <w:spacing w:val="6"/>
              </w:rPr>
              <w:t>4.28±1.05</w:t>
            </w:r>
          </w:p>
        </w:tc>
        <w:tc>
          <w:tcPr>
            <w:tcW w:w="16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0"/>
              <w:spacing w:before="14" w:line="158" w:lineRule="auto"/>
              <w:rPr/>
            </w:pPr>
            <w:r>
              <w:rPr>
                <w:color w:val="231F20"/>
                <w:spacing w:val="6"/>
              </w:rPr>
              <w:t>4.78±1.10</w:t>
            </w:r>
          </w:p>
        </w:tc>
      </w:tr>
      <w:tr>
        <w:trPr>
          <w:trHeight w:val="212" w:hRule="atLeast"/>
        </w:trPr>
        <w:tc>
          <w:tcPr>
            <w:tcW w:w="1341" w:type="dxa"/>
            <w:vAlign w:val="top"/>
          </w:tcPr>
          <w:p>
            <w:pPr>
              <w:pStyle w:val="TableText"/>
              <w:ind w:left="439"/>
              <w:spacing w:before="22" w:line="167" w:lineRule="auto"/>
              <w:rPr/>
            </w:pPr>
            <w:r>
              <w:rPr>
                <w:color w:val="231F20"/>
                <w:spacing w:val="6"/>
              </w:rPr>
              <w:t>单一组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436"/>
              <w:spacing w:before="22" w:line="167" w:lineRule="auto"/>
              <w:rPr/>
            </w:pPr>
            <w:r>
              <w:rPr>
                <w:color w:val="231F20"/>
                <w:spacing w:val="6"/>
              </w:rPr>
              <w:t>0.45±0.08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455"/>
              <w:spacing w:before="22" w:line="167" w:lineRule="auto"/>
              <w:rPr/>
            </w:pPr>
            <w:r>
              <w:rPr>
                <w:color w:val="231F20"/>
                <w:spacing w:val="6"/>
              </w:rPr>
              <w:t>6.57±1.16</w:t>
            </w:r>
          </w:p>
        </w:tc>
        <w:tc>
          <w:tcPr>
            <w:tcW w:w="1651" w:type="dxa"/>
            <w:vAlign w:val="top"/>
          </w:tcPr>
          <w:p>
            <w:pPr>
              <w:pStyle w:val="TableText"/>
              <w:ind w:left="454"/>
              <w:spacing w:before="22" w:line="167" w:lineRule="auto"/>
              <w:rPr/>
            </w:pPr>
            <w:r>
              <w:rPr>
                <w:color w:val="231F20"/>
                <w:spacing w:val="6"/>
              </w:rPr>
              <w:t>5.63±0.99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451"/>
              <w:spacing w:before="22" w:line="167" w:lineRule="auto"/>
              <w:rPr/>
            </w:pPr>
            <w:r>
              <w:rPr>
                <w:color w:val="231F20"/>
                <w:spacing w:val="6"/>
              </w:rPr>
              <w:t>6.48±1.23</w:t>
            </w:r>
          </w:p>
        </w:tc>
        <w:tc>
          <w:tcPr>
            <w:tcW w:w="1666" w:type="dxa"/>
            <w:vAlign w:val="top"/>
          </w:tcPr>
          <w:p>
            <w:pPr>
              <w:pStyle w:val="TableText"/>
              <w:ind w:left="454"/>
              <w:spacing w:before="22" w:line="167" w:lineRule="auto"/>
              <w:rPr/>
            </w:pPr>
            <w:r>
              <w:rPr>
                <w:color w:val="231F20"/>
                <w:spacing w:val="6"/>
              </w:rPr>
              <w:t>7.86±1.28</w:t>
            </w:r>
          </w:p>
        </w:tc>
      </w:tr>
      <w:tr>
        <w:trPr>
          <w:trHeight w:val="193" w:hRule="atLeast"/>
        </w:trPr>
        <w:tc>
          <w:tcPr>
            <w:tcW w:w="1341" w:type="dxa"/>
            <w:vAlign w:val="top"/>
          </w:tcPr>
          <w:p>
            <w:pPr>
              <w:pStyle w:val="TableText"/>
              <w:ind w:left="655"/>
              <w:spacing w:before="13" w:line="158" w:lineRule="auto"/>
              <w:rPr/>
            </w:pPr>
            <w:r>
              <w:rPr>
                <w:color w:val="231F20"/>
                <w:spacing w:val="1"/>
              </w:rPr>
              <w:t>t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27"/>
              <w:spacing w:before="13" w:line="158" w:lineRule="auto"/>
              <w:rPr/>
            </w:pPr>
            <w:r>
              <w:rPr>
                <w:color w:val="231F20"/>
              </w:rPr>
              <w:t>6.872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648"/>
              <w:spacing w:before="13" w:line="158" w:lineRule="auto"/>
              <w:rPr/>
            </w:pPr>
            <w:r>
              <w:rPr>
                <w:color w:val="231F20"/>
              </w:rPr>
              <w:t>5.347</w:t>
            </w:r>
          </w:p>
        </w:tc>
        <w:tc>
          <w:tcPr>
            <w:tcW w:w="1651" w:type="dxa"/>
            <w:vAlign w:val="top"/>
          </w:tcPr>
          <w:p>
            <w:pPr>
              <w:pStyle w:val="TableText"/>
              <w:ind w:left="645"/>
              <w:spacing w:before="13" w:line="158" w:lineRule="auto"/>
              <w:rPr/>
            </w:pPr>
            <w:r>
              <w:rPr>
                <w:color w:val="231F20"/>
              </w:rPr>
              <w:t>5.009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644"/>
              <w:spacing w:before="13" w:line="158" w:lineRule="auto"/>
              <w:rPr/>
            </w:pPr>
            <w:r>
              <w:rPr>
                <w:color w:val="231F20"/>
              </w:rPr>
              <w:t>5.112</w:t>
            </w:r>
          </w:p>
        </w:tc>
        <w:tc>
          <w:tcPr>
            <w:tcW w:w="1666" w:type="dxa"/>
            <w:vAlign w:val="top"/>
          </w:tcPr>
          <w:p>
            <w:pPr>
              <w:pStyle w:val="TableText"/>
              <w:ind w:left="644"/>
              <w:spacing w:before="13" w:line="158" w:lineRule="auto"/>
              <w:rPr/>
            </w:pPr>
            <w:r>
              <w:rPr>
                <w:color w:val="231F20"/>
              </w:rPr>
              <w:t>5.176</w:t>
            </w:r>
          </w:p>
        </w:tc>
      </w:tr>
      <w:tr>
        <w:trPr>
          <w:trHeight w:val="204" w:hRule="atLeast"/>
        </w:trPr>
        <w:tc>
          <w:tcPr>
            <w:tcW w:w="134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27"/>
              <w:spacing w:before="53" w:line="141" w:lineRule="exact"/>
              <w:rPr/>
            </w:pPr>
            <w:r>
              <w:rPr>
                <w:color w:val="231F20"/>
                <w:position w:val="-3"/>
              </w:rPr>
              <w:t>P</w:t>
            </w:r>
          </w:p>
        </w:tc>
        <w:tc>
          <w:tcPr>
            <w:tcW w:w="164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27"/>
              <w:spacing w:before="22" w:line="160" w:lineRule="auto"/>
              <w:rPr/>
            </w:pPr>
            <w:r>
              <w:rPr>
                <w:color w:val="231F20"/>
              </w:rPr>
              <w:t>0.001</w:t>
            </w:r>
          </w:p>
        </w:tc>
        <w:tc>
          <w:tcPr>
            <w:tcW w:w="166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46"/>
              <w:spacing w:before="22" w:line="160" w:lineRule="auto"/>
              <w:rPr/>
            </w:pPr>
            <w:r>
              <w:rPr>
                <w:color w:val="231F20"/>
              </w:rPr>
              <w:t>0.001</w:t>
            </w:r>
          </w:p>
        </w:tc>
        <w:tc>
          <w:tcPr>
            <w:tcW w:w="165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43"/>
              <w:spacing w:before="22" w:line="160" w:lineRule="auto"/>
              <w:rPr/>
            </w:pPr>
            <w:r>
              <w:rPr>
                <w:color w:val="231F20"/>
              </w:rPr>
              <w:t>0.001</w:t>
            </w:r>
          </w:p>
        </w:tc>
        <w:tc>
          <w:tcPr>
            <w:tcW w:w="166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42"/>
              <w:spacing w:before="22" w:line="160" w:lineRule="auto"/>
              <w:rPr/>
            </w:pPr>
            <w:r>
              <w:rPr>
                <w:color w:val="231F20"/>
              </w:rPr>
              <w:t>0.001</w:t>
            </w:r>
          </w:p>
        </w:tc>
        <w:tc>
          <w:tcPr>
            <w:tcW w:w="166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42"/>
              <w:spacing w:before="22" w:line="160" w:lineRule="auto"/>
              <w:rPr/>
            </w:pPr>
            <w:r>
              <w:rPr>
                <w:color w:val="231F20"/>
              </w:rPr>
              <w:t>0.001</w:t>
            </w:r>
          </w:p>
        </w:tc>
      </w:tr>
    </w:tbl>
    <w:p>
      <w:pPr>
        <w:pStyle w:val="BodyText"/>
        <w:ind w:left="721"/>
        <w:spacing w:before="81" w:line="208" w:lineRule="auto"/>
        <w:outlineLvl w:val="1"/>
        <w:rPr>
          <w:rFonts w:ascii="SimSun" w:hAnsi="SimSun" w:eastAsia="SimSun" w:cs="SimSun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2.2   临床治疗效果 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见表</w:t>
      </w:r>
      <w:r>
        <w:rPr>
          <w:sz w:val="18"/>
          <w:szCs w:val="18"/>
          <w:color w:val="231F20"/>
          <w:spacing w:val="5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。</w:t>
      </w:r>
    </w:p>
    <w:p>
      <w:pPr>
        <w:ind w:left="4167"/>
        <w:spacing w:before="1" w:line="266" w:lineRule="exact"/>
        <w:outlineLvl w:val="0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5"/>
          <w:position w:val="2"/>
        </w:rPr>
        <w:t>表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  <w:position w:val="2"/>
        </w:rPr>
        <w:t>2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  <w:position w:val="2"/>
        </w:rPr>
        <w:t>临床治疗效果（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  <w:position w:val="2"/>
        </w:rPr>
        <w:t>n=60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7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  <w:position w:val="2"/>
        </w:rPr>
        <w:t>例，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  <w:position w:val="2"/>
        </w:rPr>
        <w:t>n/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2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  <w:position w:val="2"/>
        </w:rPr>
        <w:t>%)</w:t>
      </w:r>
    </w:p>
    <w:p>
      <w:pPr>
        <w:spacing w:line="29" w:lineRule="exact"/>
        <w:rPr/>
      </w:pPr>
      <w:r/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5"/>
        <w:gridCol w:w="1763"/>
        <w:gridCol w:w="1825"/>
        <w:gridCol w:w="1811"/>
        <w:gridCol w:w="2643"/>
      </w:tblGrid>
      <w:tr>
        <w:trPr>
          <w:trHeight w:val="171" w:hRule="atLeast"/>
        </w:trPr>
        <w:tc>
          <w:tcPr>
            <w:tcW w:w="159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18"/>
              <w:spacing w:before="1" w:line="159" w:lineRule="exact"/>
              <w:rPr/>
            </w:pPr>
            <w:r>
              <w:rPr>
                <w:color w:val="231F20"/>
                <w:spacing w:val="4"/>
              </w:rPr>
              <w:t>组别</w:t>
            </w:r>
          </w:p>
        </w:tc>
        <w:tc>
          <w:tcPr>
            <w:tcW w:w="176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94"/>
              <w:spacing w:before="1" w:line="159" w:lineRule="exact"/>
              <w:rPr/>
            </w:pPr>
            <w:r>
              <w:rPr>
                <w:color w:val="231F20"/>
                <w:spacing w:val="-14"/>
              </w:rPr>
              <w:t>显效（n）</w:t>
            </w:r>
          </w:p>
        </w:tc>
        <w:tc>
          <w:tcPr>
            <w:tcW w:w="18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53"/>
              <w:spacing w:before="2" w:line="158" w:lineRule="exact"/>
              <w:rPr/>
            </w:pPr>
            <w:r>
              <w:rPr>
                <w:color w:val="231F20"/>
                <w:spacing w:val="-13"/>
              </w:rPr>
              <w:t>有效（n）</w:t>
            </w:r>
          </w:p>
        </w:tc>
        <w:tc>
          <w:tcPr>
            <w:tcW w:w="181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54"/>
              <w:spacing w:before="2" w:line="158" w:lineRule="exact"/>
              <w:rPr/>
            </w:pPr>
            <w:r>
              <w:rPr>
                <w:color w:val="231F20"/>
                <w:spacing w:val="-13"/>
              </w:rPr>
              <w:t>无效（n）</w:t>
            </w:r>
          </w:p>
        </w:tc>
        <w:tc>
          <w:tcPr>
            <w:tcW w:w="264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39"/>
              <w:spacing w:before="2" w:line="158" w:lineRule="exact"/>
              <w:rPr/>
            </w:pPr>
            <w:r>
              <w:rPr>
                <w:color w:val="231F20"/>
                <w:spacing w:val="4"/>
              </w:rPr>
              <w:t>临床治疗有效率 (%)</w:t>
            </w:r>
          </w:p>
        </w:tc>
      </w:tr>
      <w:tr>
        <w:trPr>
          <w:trHeight w:val="165" w:hRule="atLeast"/>
        </w:trPr>
        <w:tc>
          <w:tcPr>
            <w:tcW w:w="15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7"/>
              <w:spacing w:before="8" w:line="146" w:lineRule="exact"/>
              <w:rPr/>
            </w:pPr>
            <w:r>
              <w:rPr>
                <w:color w:val="231F20"/>
                <w:spacing w:val="6"/>
                <w:position w:val="-1"/>
              </w:rPr>
              <w:t>联合组</w:t>
            </w:r>
          </w:p>
        </w:tc>
        <w:tc>
          <w:tcPr>
            <w:tcW w:w="17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5"/>
              <w:spacing w:line="155" w:lineRule="exact"/>
              <w:rPr/>
            </w:pPr>
            <w:r>
              <w:rPr>
                <w:color w:val="231F20"/>
                <w:spacing w:val="-3"/>
                <w:position w:val="-1"/>
              </w:rPr>
              <w:t>45</w:t>
            </w:r>
          </w:p>
        </w:tc>
        <w:tc>
          <w:tcPr>
            <w:tcW w:w="18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0"/>
              <w:spacing w:line="155" w:lineRule="exact"/>
              <w:rPr/>
            </w:pPr>
            <w:r>
              <w:rPr>
                <w:color w:val="231F20"/>
                <w:spacing w:val="-9"/>
                <w:position w:val="-1"/>
              </w:rPr>
              <w:t>14</w:t>
            </w:r>
          </w:p>
        </w:tc>
        <w:tc>
          <w:tcPr>
            <w:tcW w:w="18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4"/>
              <w:spacing w:line="155" w:lineRule="exact"/>
              <w:rPr/>
            </w:pPr>
            <w:r>
              <w:rPr>
                <w:color w:val="231F20"/>
                <w:position w:val="-1"/>
              </w:rPr>
              <w:t>1</w:t>
            </w:r>
          </w:p>
        </w:tc>
        <w:tc>
          <w:tcPr>
            <w:tcW w:w="26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2"/>
              <w:spacing w:line="155" w:lineRule="exact"/>
              <w:rPr/>
            </w:pPr>
            <w:r>
              <w:rPr>
                <w:color w:val="231F20"/>
                <w:position w:val="-1"/>
              </w:rPr>
              <w:t>98.33</w:t>
            </w:r>
          </w:p>
        </w:tc>
      </w:tr>
      <w:tr>
        <w:trPr>
          <w:trHeight w:val="179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537"/>
              <w:spacing w:before="8" w:line="161" w:lineRule="exact"/>
              <w:rPr/>
            </w:pPr>
            <w:r>
              <w:rPr>
                <w:color w:val="231F20"/>
                <w:spacing w:val="6"/>
              </w:rPr>
              <w:t>单一组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789"/>
              <w:spacing w:before="9" w:line="160" w:lineRule="exact"/>
              <w:rPr/>
            </w:pPr>
            <w:r>
              <w:rPr>
                <w:color w:val="231F20"/>
                <w:spacing w:val="-5"/>
                <w:position w:val="-1"/>
              </w:rPr>
              <w:t>34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860"/>
              <w:spacing w:before="9" w:line="160" w:lineRule="exact"/>
              <w:rPr/>
            </w:pPr>
            <w:r>
              <w:rPr>
                <w:color w:val="231F20"/>
                <w:spacing w:val="-9"/>
                <w:position w:val="-1"/>
              </w:rPr>
              <w:t>17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893"/>
              <w:spacing w:before="9" w:line="160" w:lineRule="exact"/>
              <w:rPr/>
            </w:pPr>
            <w:r>
              <w:rPr>
                <w:color w:val="231F20"/>
                <w:position w:val="-1"/>
              </w:rPr>
              <w:t>9</w:t>
            </w:r>
          </w:p>
        </w:tc>
        <w:tc>
          <w:tcPr>
            <w:tcW w:w="2643" w:type="dxa"/>
            <w:vAlign w:val="top"/>
          </w:tcPr>
          <w:p>
            <w:pPr>
              <w:pStyle w:val="TableText"/>
              <w:ind w:left="1152"/>
              <w:spacing w:before="9" w:line="160" w:lineRule="exact"/>
              <w:rPr/>
            </w:pPr>
            <w:r>
              <w:rPr>
                <w:color w:val="231F20"/>
                <w:position w:val="-1"/>
              </w:rPr>
              <w:t>85.00</w:t>
            </w:r>
          </w:p>
        </w:tc>
      </w:tr>
      <w:tr>
        <w:trPr>
          <w:trHeight w:val="187" w:hRule="atLeast"/>
        </w:trPr>
        <w:tc>
          <w:tcPr>
            <w:tcW w:w="1595" w:type="dxa"/>
            <w:vAlign w:val="top"/>
          </w:tcPr>
          <w:p>
            <w:pPr>
              <w:pStyle w:val="TableText"/>
              <w:ind w:left="708"/>
              <w:spacing w:before="4" w:line="221" w:lineRule="auto"/>
              <w:rPr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8"/>
                <w:position w:val="-2"/>
              </w:rPr>
              <w:t>χ</w:t>
            </w:r>
            <w:r>
              <w:rPr>
                <w:sz w:val="9"/>
                <w:szCs w:val="9"/>
                <w:color w:val="231F20"/>
                <w:position w:val="2"/>
              </w:rPr>
              <w:t>2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821"/>
              <w:spacing w:before="82" w:line="95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883"/>
              <w:spacing w:before="82" w:line="95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883"/>
              <w:spacing w:before="82" w:line="95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2643" w:type="dxa"/>
            <w:vAlign w:val="top"/>
          </w:tcPr>
          <w:p>
            <w:pPr>
              <w:pStyle w:val="TableText"/>
              <w:ind w:left="1154"/>
              <w:spacing w:before="5" w:line="160" w:lineRule="auto"/>
              <w:rPr/>
            </w:pPr>
            <w:r>
              <w:rPr>
                <w:color w:val="231F20"/>
              </w:rPr>
              <w:t>5.422</w:t>
            </w:r>
          </w:p>
        </w:tc>
      </w:tr>
      <w:tr>
        <w:trPr>
          <w:trHeight w:val="164" w:hRule="atLeast"/>
        </w:trPr>
        <w:tc>
          <w:tcPr>
            <w:tcW w:w="159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25"/>
              <w:spacing w:before="21" w:line="133" w:lineRule="exact"/>
              <w:rPr/>
            </w:pPr>
            <w:r>
              <w:rPr>
                <w:color w:val="231F20"/>
                <w:position w:val="-3"/>
              </w:rPr>
              <w:t>P</w:t>
            </w:r>
          </w:p>
        </w:tc>
        <w:tc>
          <w:tcPr>
            <w:tcW w:w="176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21"/>
              <w:spacing w:before="69" w:line="85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182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83"/>
              <w:spacing w:before="69" w:line="85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181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83"/>
              <w:spacing w:before="69" w:line="85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264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152"/>
              <w:spacing w:line="154" w:lineRule="exact"/>
              <w:rPr/>
            </w:pPr>
            <w:r>
              <w:rPr>
                <w:color w:val="231F20"/>
                <w:position w:val="-1"/>
              </w:rPr>
              <w:t>0.001</w:t>
            </w:r>
          </w:p>
        </w:tc>
      </w:tr>
    </w:tbl>
    <w:p>
      <w:pPr>
        <w:pStyle w:val="BodyText"/>
        <w:ind w:left="721"/>
        <w:spacing w:before="75" w:line="208" w:lineRule="auto"/>
        <w:outlineLvl w:val="1"/>
        <w:rPr>
          <w:rFonts w:ascii="SimSun" w:hAnsi="SimSun" w:eastAsia="SimSun" w:cs="SimSun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2.3   不良反应发生率 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见表</w:t>
      </w:r>
      <w:r>
        <w:rPr>
          <w:sz w:val="18"/>
          <w:szCs w:val="18"/>
          <w:color w:val="231F20"/>
          <w:spacing w:val="5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。</w:t>
      </w:r>
    </w:p>
    <w:p>
      <w:pPr>
        <w:ind w:left="4072"/>
        <w:spacing w:before="1" w:line="266" w:lineRule="exact"/>
        <w:outlineLvl w:val="0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3"/>
          <w:position w:val="2"/>
        </w:rPr>
        <w:t>表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 </w:t>
      </w:r>
      <w:r>
        <w:rPr>
          <w:rFonts w:ascii="SimSun" w:hAnsi="SimSun" w:eastAsia="SimSun" w:cs="SimSun"/>
          <w:sz w:val="18"/>
          <w:szCs w:val="18"/>
          <w:color w:val="231F20"/>
          <w:spacing w:val="-3"/>
          <w:position w:val="2"/>
        </w:rPr>
        <w:t>不良反应发生率（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n=60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3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  <w:position w:val="2"/>
        </w:rPr>
        <w:t>例，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n/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21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  <w:position w:val="2"/>
        </w:rPr>
        <w:t>%)</w:t>
      </w:r>
    </w:p>
    <w:p>
      <w:pPr>
        <w:spacing w:line="28" w:lineRule="exact"/>
        <w:rPr/>
      </w:pPr>
      <w:r/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4"/>
        <w:gridCol w:w="1765"/>
        <w:gridCol w:w="1824"/>
        <w:gridCol w:w="1808"/>
        <w:gridCol w:w="2646"/>
      </w:tblGrid>
      <w:tr>
        <w:trPr>
          <w:trHeight w:val="189" w:hRule="atLeast"/>
        </w:trPr>
        <w:tc>
          <w:tcPr>
            <w:tcW w:w="159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18"/>
              <w:spacing w:before="10" w:line="157" w:lineRule="auto"/>
              <w:rPr/>
            </w:pPr>
            <w:r>
              <w:rPr>
                <w:color w:val="231F20"/>
                <w:spacing w:val="4"/>
              </w:rPr>
              <w:t>组别</w:t>
            </w:r>
          </w:p>
        </w:tc>
        <w:tc>
          <w:tcPr>
            <w:tcW w:w="176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92"/>
              <w:spacing w:before="10" w:line="157" w:lineRule="auto"/>
              <w:rPr/>
            </w:pPr>
            <w:r>
              <w:rPr>
                <w:color w:val="231F20"/>
                <w:spacing w:val="-13"/>
              </w:rPr>
              <w:t>过敏（n）</w:t>
            </w:r>
          </w:p>
        </w:tc>
        <w:tc>
          <w:tcPr>
            <w:tcW w:w="182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54"/>
              <w:spacing w:before="10" w:line="157" w:lineRule="auto"/>
              <w:rPr/>
            </w:pPr>
            <w:r>
              <w:rPr>
                <w:color w:val="231F20"/>
                <w:spacing w:val="-13"/>
              </w:rPr>
              <w:t>头痛（n）</w:t>
            </w:r>
          </w:p>
        </w:tc>
        <w:tc>
          <w:tcPr>
            <w:tcW w:w="180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53"/>
              <w:spacing w:before="10" w:line="157" w:lineRule="auto"/>
              <w:rPr/>
            </w:pPr>
            <w:r>
              <w:rPr>
                <w:color w:val="231F20"/>
                <w:spacing w:val="-13"/>
              </w:rPr>
              <w:t>便秘（n）</w:t>
            </w:r>
          </w:p>
        </w:tc>
        <w:tc>
          <w:tcPr>
            <w:tcW w:w="264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36"/>
              <w:spacing w:before="11" w:line="168" w:lineRule="exact"/>
              <w:rPr/>
            </w:pPr>
            <w:r>
              <w:rPr>
                <w:color w:val="231F20"/>
                <w:spacing w:val="5"/>
              </w:rPr>
              <w:t>不良反应发生率 (%)</w:t>
            </w:r>
          </w:p>
        </w:tc>
      </w:tr>
      <w:tr>
        <w:trPr>
          <w:trHeight w:val="183" w:hRule="atLeast"/>
        </w:trPr>
        <w:tc>
          <w:tcPr>
            <w:tcW w:w="15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7"/>
              <w:spacing w:before="17" w:line="155" w:lineRule="exact"/>
              <w:rPr/>
            </w:pPr>
            <w:r>
              <w:rPr>
                <w:color w:val="231F20"/>
                <w:spacing w:val="6"/>
              </w:rPr>
              <w:t>联合组</w:t>
            </w:r>
          </w:p>
        </w:tc>
        <w:tc>
          <w:tcPr>
            <w:tcW w:w="17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3"/>
              <w:spacing w:before="8" w:line="164" w:lineRule="exact"/>
              <w:rPr/>
            </w:pPr>
            <w:r>
              <w:rPr>
                <w:color w:val="231F20"/>
                <w:position w:val="-1"/>
              </w:rPr>
              <w:t>2</w:t>
            </w:r>
          </w:p>
        </w:tc>
        <w:tc>
          <w:tcPr>
            <w:tcW w:w="18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3"/>
              <w:spacing w:before="8" w:line="164" w:lineRule="exact"/>
              <w:rPr/>
            </w:pPr>
            <w:r>
              <w:rPr>
                <w:color w:val="231F20"/>
                <w:position w:val="-1"/>
              </w:rPr>
              <w:t>2</w:t>
            </w:r>
          </w:p>
        </w:tc>
        <w:tc>
          <w:tcPr>
            <w:tcW w:w="18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4"/>
              <w:spacing w:before="9" w:line="163" w:lineRule="exact"/>
              <w:rPr/>
            </w:pPr>
            <w:r>
              <w:rPr>
                <w:color w:val="231F20"/>
                <w:position w:val="-1"/>
              </w:rPr>
              <w:t>1</w:t>
            </w:r>
          </w:p>
        </w:tc>
        <w:tc>
          <w:tcPr>
            <w:tcW w:w="26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99"/>
              <w:spacing w:before="9" w:line="163" w:lineRule="exact"/>
              <w:rPr/>
            </w:pPr>
            <w:r>
              <w:rPr>
                <w:color w:val="231F20"/>
                <w:position w:val="-1"/>
              </w:rPr>
              <w:t>8.33</w:t>
            </w:r>
          </w:p>
        </w:tc>
      </w:tr>
      <w:tr>
        <w:trPr>
          <w:trHeight w:val="197" w:hRule="atLeast"/>
        </w:trPr>
        <w:tc>
          <w:tcPr>
            <w:tcW w:w="1594" w:type="dxa"/>
            <w:vAlign w:val="top"/>
          </w:tcPr>
          <w:p>
            <w:pPr>
              <w:pStyle w:val="TableText"/>
              <w:ind w:left="537"/>
              <w:spacing w:before="17" w:line="158" w:lineRule="auto"/>
              <w:rPr/>
            </w:pPr>
            <w:r>
              <w:rPr>
                <w:color w:val="231F20"/>
                <w:spacing w:val="6"/>
              </w:rPr>
              <w:t>单一组</w:t>
            </w:r>
          </w:p>
        </w:tc>
        <w:tc>
          <w:tcPr>
            <w:tcW w:w="1765" w:type="dxa"/>
            <w:vAlign w:val="top"/>
          </w:tcPr>
          <w:p>
            <w:pPr>
              <w:pStyle w:val="TableText"/>
              <w:ind w:left="843"/>
              <w:spacing w:before="17" w:line="158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824" w:type="dxa"/>
            <w:vAlign w:val="top"/>
          </w:tcPr>
          <w:p>
            <w:pPr>
              <w:pStyle w:val="TableText"/>
              <w:ind w:left="893"/>
              <w:spacing w:before="17" w:line="158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808" w:type="dxa"/>
            <w:vAlign w:val="top"/>
          </w:tcPr>
          <w:p>
            <w:pPr>
              <w:pStyle w:val="TableText"/>
              <w:ind w:left="904"/>
              <w:spacing w:before="17" w:line="158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200"/>
              <w:spacing w:before="18" w:line="157" w:lineRule="auto"/>
              <w:rPr/>
            </w:pPr>
            <w:r>
              <w:rPr>
                <w:color w:val="231F20"/>
              </w:rPr>
              <w:t>6.67</w:t>
            </w:r>
          </w:p>
        </w:tc>
      </w:tr>
      <w:tr>
        <w:trPr>
          <w:trHeight w:val="205" w:hRule="atLeast"/>
        </w:trPr>
        <w:tc>
          <w:tcPr>
            <w:tcW w:w="1594" w:type="dxa"/>
            <w:vAlign w:val="top"/>
          </w:tcPr>
          <w:p>
            <w:pPr>
              <w:pStyle w:val="TableText"/>
              <w:ind w:left="708"/>
              <w:spacing w:before="13" w:line="222" w:lineRule="auto"/>
              <w:rPr>
                <w:sz w:val="9"/>
                <w:szCs w:val="9"/>
              </w:rPr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8"/>
                <w:position w:val="-2"/>
              </w:rPr>
              <w:t>χ</w:t>
            </w:r>
            <w:r>
              <w:rPr>
                <w:sz w:val="9"/>
                <w:szCs w:val="9"/>
                <w:color w:val="231F20"/>
                <w:position w:val="2"/>
              </w:rPr>
              <w:t>2</w:t>
            </w:r>
          </w:p>
        </w:tc>
        <w:tc>
          <w:tcPr>
            <w:tcW w:w="1765" w:type="dxa"/>
            <w:vAlign w:val="top"/>
          </w:tcPr>
          <w:p>
            <w:pPr>
              <w:pStyle w:val="TableText"/>
              <w:ind w:left="822"/>
              <w:spacing w:before="90" w:line="105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1824" w:type="dxa"/>
            <w:vAlign w:val="top"/>
          </w:tcPr>
          <w:p>
            <w:pPr>
              <w:pStyle w:val="TableText"/>
              <w:ind w:left="882"/>
              <w:spacing w:before="90" w:line="105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1808" w:type="dxa"/>
            <w:vAlign w:val="top"/>
          </w:tcPr>
          <w:p>
            <w:pPr>
              <w:pStyle w:val="TableText"/>
              <w:ind w:left="883"/>
              <w:spacing w:before="91" w:line="103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155"/>
              <w:spacing w:before="12" w:line="170" w:lineRule="auto"/>
              <w:rPr/>
            </w:pPr>
            <w:r>
              <w:rPr>
                <w:color w:val="231F20"/>
              </w:rPr>
              <w:t>0.785</w:t>
            </w:r>
          </w:p>
        </w:tc>
      </w:tr>
      <w:tr>
        <w:trPr>
          <w:trHeight w:val="176" w:hRule="atLeast"/>
        </w:trPr>
        <w:tc>
          <w:tcPr>
            <w:tcW w:w="159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25"/>
              <w:spacing w:before="29" w:line="136" w:lineRule="exact"/>
              <w:rPr/>
            </w:pPr>
            <w:r>
              <w:rPr>
                <w:color w:val="231F20"/>
                <w:position w:val="-3"/>
              </w:rPr>
              <w:t>P</w:t>
            </w:r>
          </w:p>
        </w:tc>
        <w:tc>
          <w:tcPr>
            <w:tcW w:w="176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22"/>
              <w:spacing w:before="77" w:line="88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182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82"/>
              <w:spacing w:before="77" w:line="88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180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83"/>
              <w:spacing w:before="78" w:line="87" w:lineRule="exact"/>
              <w:rPr/>
            </w:pPr>
            <w:r>
              <w:rPr>
                <w:color w:val="231F20"/>
                <w:spacing w:val="20"/>
                <w:w w:val="120"/>
                <w:position w:val="-6"/>
              </w:rPr>
              <w:t>-</w:t>
            </w:r>
          </w:p>
        </w:tc>
        <w:tc>
          <w:tcPr>
            <w:tcW w:w="264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155"/>
              <w:spacing w:line="165" w:lineRule="exact"/>
              <w:rPr/>
            </w:pPr>
            <w:r>
              <w:rPr>
                <w:color w:val="231F20"/>
                <w:position w:val="-1"/>
              </w:rPr>
              <w:t>0.336</w:t>
            </w:r>
          </w:p>
        </w:tc>
      </w:tr>
    </w:tbl>
    <w:p>
      <w:pPr>
        <w:spacing w:line="59" w:lineRule="exact"/>
        <w:rPr>
          <w:rFonts w:ascii="Arial"/>
          <w:sz w:val="5"/>
        </w:rPr>
      </w:pPr>
      <w:r/>
    </w:p>
    <w:p>
      <w:pPr>
        <w:spacing w:line="59" w:lineRule="exact"/>
        <w:sectPr>
          <w:type w:val="continuous"/>
          <w:pgSz w:w="11906" w:h="16158"/>
          <w:pgMar w:top="400" w:right="1077" w:bottom="901" w:left="424" w:header="0" w:footer="674" w:gutter="0"/>
          <w:cols w:equalWidth="0" w:num="1">
            <w:col w:w="10405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pStyle w:val="BodyText"/>
        <w:ind w:left="715"/>
        <w:spacing w:before="42" w:line="247" w:lineRule="exact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1"/>
        </w:rPr>
        <w:t>3</w:t>
      </w:r>
      <w:r>
        <w:rPr>
          <w:sz w:val="18"/>
          <w:szCs w:val="18"/>
          <w:color w:val="231F20"/>
          <w:spacing w:val="79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231F20"/>
          <w:spacing w:val="4"/>
          <w:position w:val="1"/>
        </w:rPr>
        <w:t>讨论</w:t>
      </w:r>
    </w:p>
    <w:p>
      <w:pPr>
        <w:pStyle w:val="BodyText"/>
        <w:ind w:left="717" w:right="219" w:firstLine="381"/>
        <w:spacing w:before="22" w:line="263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慢性阑尾炎多因阑尾急性期炎症逐步消退后遗留的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慢性炎症病变诱发</w:t>
      </w:r>
      <w:r>
        <w:rPr>
          <w:sz w:val="10"/>
          <w:szCs w:val="10"/>
          <w:color w:val="231F20"/>
          <w:spacing w:val="4"/>
          <w:position w:val="6"/>
        </w:rPr>
        <w:t>[6]</w:t>
      </w:r>
      <w:r>
        <w:rPr>
          <w:sz w:val="10"/>
          <w:szCs w:val="10"/>
          <w:color w:val="231F20"/>
          <w:spacing w:val="-11"/>
          <w:position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。患者的阑尾管腔狭窄，开口比较狭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小，整体卷曲并构成弧状，阑尾壁内部有丰富淋巴组织，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所以容易被寄生虫以及食物残渣等聚集，最终诱发炎症， 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促使慢性阑尾炎形成</w:t>
      </w:r>
      <w:r>
        <w:rPr>
          <w:sz w:val="10"/>
          <w:szCs w:val="10"/>
          <w:color w:val="231F20"/>
          <w:spacing w:val="11"/>
          <w:position w:val="6"/>
        </w:rPr>
        <w:t>[7]</w:t>
      </w:r>
      <w:r>
        <w:rPr>
          <w:sz w:val="10"/>
          <w:szCs w:val="10"/>
          <w:color w:val="231F20"/>
          <w:spacing w:val="-9"/>
          <w:position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。该病典型表现是右下腹间断性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疼痛，以隐痛或是胀痛为主。患者的疼痛严重程度难以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保证，疼痛部位固定，运动过度、劳累过度、长期站立、受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凉等多种因素均可导致腹痛，部分患者病程中会有急性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阑尾炎发作</w:t>
      </w:r>
      <w:r>
        <w:rPr>
          <w:sz w:val="10"/>
          <w:szCs w:val="10"/>
          <w:color w:val="231F20"/>
          <w:spacing w:val="11"/>
          <w:position w:val="6"/>
        </w:rPr>
        <w:t>[8]</w:t>
      </w:r>
      <w:r>
        <w:rPr>
          <w:sz w:val="10"/>
          <w:szCs w:val="10"/>
          <w:color w:val="231F20"/>
          <w:spacing w:val="-9"/>
          <w:position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>。临床将外科手术作为慢性阑尾炎的首选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治疗方案，可获得较好效果。但部分患者不适合手术，不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能手术，尤其是儿童或老年人，所以采用药物保守治疗</w:t>
      </w:r>
      <w:r>
        <w:rPr>
          <w:sz w:val="10"/>
          <w:szCs w:val="10"/>
          <w:color w:val="231F20"/>
          <w:spacing w:val="1"/>
          <w:position w:val="6"/>
        </w:rPr>
        <w:t>[9]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。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奥硝唑是第三代硝基咪唑衍生物类抗生素，分子中有硝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基存在，可在无氧状态下生成氨基或自由基，导致细胞相</w:t>
      </w:r>
      <w:r>
        <w:rPr>
          <w:rFonts w:ascii="SimSun" w:hAnsi="SimSun" w:eastAsia="SimSun" w:cs="SimSun"/>
          <w:sz w:val="18"/>
          <w:szCs w:val="18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互作用，继而发挥杀灭微生物作用。头孢唑肟钠是三代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头孢菌素类药物，具有理想的抗感染效果，可在敏感菌诱</w:t>
      </w:r>
      <w:r>
        <w:rPr>
          <w:rFonts w:ascii="SimSun" w:hAnsi="SimSun" w:eastAsia="SimSun" w:cs="SimSun"/>
          <w:sz w:val="18"/>
          <w:szCs w:val="18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发的腹腔感染、呼吸道感染、泌尿系统感染以及皮肤软组</w:t>
      </w:r>
      <w:r>
        <w:rPr>
          <w:rFonts w:ascii="SimSun" w:hAnsi="SimSun" w:eastAsia="SimSun" w:cs="SimSun"/>
          <w:sz w:val="18"/>
          <w:szCs w:val="18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织感染等疾病治疗中发挥较好作用。奥硝唑联合头孢唑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肟钠应用可发挥协同作用，改善阑尾炎症状体征，提高临</w:t>
      </w:r>
      <w:r>
        <w:rPr>
          <w:rFonts w:ascii="SimSun" w:hAnsi="SimSun" w:eastAsia="SimSun" w:cs="SimSun"/>
          <w:sz w:val="18"/>
          <w:szCs w:val="18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  <w:position w:val="-1"/>
        </w:rPr>
        <w:t>床治疗效果</w:t>
      </w:r>
      <w:r>
        <w:rPr>
          <w:sz w:val="10"/>
          <w:szCs w:val="10"/>
          <w:color w:val="231F20"/>
          <w:spacing w:val="1"/>
          <w:position w:val="5"/>
        </w:rPr>
        <w:t>[10]</w:t>
      </w:r>
      <w:r>
        <w:rPr>
          <w:rFonts w:ascii="SimSun" w:hAnsi="SimSun" w:eastAsia="SimSun" w:cs="SimSun"/>
          <w:sz w:val="18"/>
          <w:szCs w:val="18"/>
          <w:color w:val="231F20"/>
          <w:spacing w:val="1"/>
          <w:position w:val="-1"/>
        </w:rPr>
        <w:t>。</w:t>
      </w:r>
    </w:p>
    <w:p>
      <w:pPr>
        <w:ind w:left="718" w:right="284" w:firstLine="380"/>
        <w:spacing w:line="264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基于上述研究可知，慢性阑尾炎会对患者身心健康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造成直接影响，故需提高对治疗的重视程度。单一用药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大多无法获得理想效果，故需联合用药效果。奥硝唑、头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孢唑肟钠可发挥协同作用，可加快症状消失速度，提高治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疗有效性与安全性，应用价值显著。</w:t>
      </w:r>
    </w:p>
    <w:p>
      <w:pPr>
        <w:ind w:left="1031"/>
        <w:spacing w:before="240" w:line="20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【参考文献】</w:t>
      </w:r>
    </w:p>
    <w:p>
      <w:pPr>
        <w:pStyle w:val="BodyText"/>
        <w:ind w:left="1039"/>
        <w:spacing w:line="241" w:lineRule="auto"/>
        <w:rPr/>
      </w:pPr>
      <w:r>
        <w:rPr>
          <w:color w:val="231F20"/>
          <w:spacing w:val="16"/>
        </w:rPr>
        <w:t>[1]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16"/>
        </w:rPr>
        <w:t>IGOR</w:t>
      </w:r>
      <w:r>
        <w:rPr>
          <w:color w:val="231F20"/>
          <w:spacing w:val="61"/>
        </w:rPr>
        <w:t xml:space="preserve"> </w:t>
      </w:r>
      <w:r>
        <w:rPr>
          <w:color w:val="231F20"/>
          <w:spacing w:val="16"/>
        </w:rPr>
        <w:t>KHVOROSTOV,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16"/>
        </w:rPr>
        <w:t>ALEXEY</w:t>
      </w:r>
      <w:r>
        <w:rPr>
          <w:color w:val="231F20"/>
          <w:spacing w:val="60"/>
        </w:rPr>
        <w:t xml:space="preserve"> </w:t>
      </w:r>
      <w:r>
        <w:rPr>
          <w:color w:val="231F20"/>
          <w:spacing w:val="15"/>
        </w:rPr>
        <w:t>SINITSYN,</w:t>
      </w:r>
      <w:r>
        <w:rPr>
          <w:color w:val="231F20"/>
          <w:spacing w:val="61"/>
        </w:rPr>
        <w:t xml:space="preserve"> </w:t>
      </w:r>
      <w:r>
        <w:rPr>
          <w:color w:val="231F20"/>
          <w:spacing w:val="15"/>
        </w:rPr>
        <w:t>GREGORY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7" w:firstLine="5"/>
        <w:spacing w:before="45" w:line="279" w:lineRule="auto"/>
        <w:jc w:val="both"/>
        <w:rPr/>
      </w:pPr>
      <w:r>
        <w:rPr>
          <w:color w:val="231F20"/>
          <w:spacing w:val="-7"/>
        </w:rPr>
        <w:t>SNIGUR,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Clinical,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Morphological,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-8"/>
        </w:rPr>
        <w:t>nd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Immunohistochemical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Justi-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fication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Surgery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Chronic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Appendicitis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Children[J].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1"/>
        </w:rPr>
        <w:t>Journal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laparoendoscopic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advanced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surgical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t</w:t>
      </w:r>
      <w:r>
        <w:rPr>
          <w:color w:val="231F20"/>
          <w:spacing w:val="-8"/>
        </w:rPr>
        <w:t>echniques,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Part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A,2021,31(12):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1397-1401.</w:t>
      </w:r>
    </w:p>
    <w:p>
      <w:pPr>
        <w:pStyle w:val="BodyText"/>
        <w:ind w:left="4" w:right="55" w:firstLine="322"/>
        <w:spacing w:before="1" w:line="271" w:lineRule="auto"/>
        <w:rPr/>
      </w:pPr>
      <w:r>
        <w:rPr>
          <w:color w:val="231F20"/>
          <w:spacing w:val="18"/>
        </w:rPr>
        <w:t>[2]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8"/>
        </w:rPr>
        <w:t>FAWAZ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8"/>
        </w:rPr>
        <w:t>ARAIM,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8"/>
        </w:rPr>
        <w:t>ARTEM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8"/>
        </w:rPr>
        <w:t>SHME</w:t>
      </w:r>
      <w:r>
        <w:rPr>
          <w:color w:val="231F20"/>
          <w:spacing w:val="17"/>
        </w:rPr>
        <w:t>LEV,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7"/>
        </w:rPr>
        <w:t>GOPAL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7"/>
        </w:rPr>
        <w:t>C.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KOWDLEY.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Incidence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Complicated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Append</w:t>
      </w:r>
      <w:r>
        <w:rPr>
          <w:color w:val="231F20"/>
          <w:spacing w:val="-8"/>
        </w:rPr>
        <w:t>icitis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Metric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8"/>
        </w:rPr>
        <w:t>Health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Deliv-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ery[J].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Journal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9"/>
        </w:rPr>
        <w:t>pharmacology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experimental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therapeutics.,2022,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380(3):597-607.</w:t>
      </w:r>
    </w:p>
    <w:p>
      <w:pPr>
        <w:pStyle w:val="BodyText"/>
        <w:ind w:left="6" w:right="59" w:firstLine="320"/>
        <w:spacing w:before="24" w:line="263" w:lineRule="auto"/>
        <w:rPr/>
      </w:pPr>
      <w:r>
        <w:rPr>
          <w:color w:val="231F20"/>
          <w:spacing w:val="4"/>
        </w:rPr>
        <w:t>[3]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王传启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4"/>
        </w:rPr>
        <w:t>.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头孢曲松钠联合甲硝唑治疗慢性阑尾炎临床疗</w:t>
      </w:r>
      <w:r>
        <w:rPr>
          <w:rFonts w:ascii="SimSun" w:hAnsi="SimSun" w:eastAsia="SimSun" w:cs="SimSun"/>
          <w:color w:val="231F20"/>
          <w:spacing w:val="3"/>
        </w:rPr>
        <w:t>效分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析</w:t>
      </w:r>
      <w:r>
        <w:rPr>
          <w:color w:val="231F20"/>
          <w:spacing w:val="-5"/>
        </w:rPr>
        <w:t>[J].</w:t>
      </w:r>
      <w:r>
        <w:rPr>
          <w:color w:val="231F20"/>
          <w:spacing w:val="-5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中国实用医药</w:t>
      </w:r>
      <w:r>
        <w:rPr>
          <w:color w:val="231F20"/>
          <w:spacing w:val="-5"/>
        </w:rPr>
        <w:t>,2021,16(19):166-168.</w:t>
      </w:r>
    </w:p>
    <w:p>
      <w:pPr>
        <w:pStyle w:val="BodyText"/>
        <w:ind w:left="2" w:right="56" w:firstLine="323"/>
        <w:spacing w:before="28" w:line="271" w:lineRule="auto"/>
        <w:rPr/>
      </w:pPr>
      <w:r>
        <w:rPr>
          <w:color w:val="231F20"/>
          <w:spacing w:val="13"/>
        </w:rPr>
        <w:t>[4]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3"/>
        </w:rPr>
        <w:t>ZIA,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SABA,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SALEEM,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MOHAMMAD,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ASIF,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MUHAMM</w:t>
      </w:r>
      <w:r>
        <w:rPr>
          <w:color w:val="231F20"/>
          <w:spacing w:val="12"/>
        </w:rPr>
        <w:t>AD,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et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al.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Diospyros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malabarica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(Desr.)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Kostel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f</w:t>
      </w:r>
      <w:r>
        <w:rPr>
          <w:color w:val="231F20"/>
          <w:spacing w:val="-12"/>
        </w:rPr>
        <w:t>ruits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extract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attenuated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chronic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inflammation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through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mod</w:t>
      </w:r>
      <w:r>
        <w:rPr>
          <w:color w:val="231F20"/>
          <w:spacing w:val="-8"/>
        </w:rPr>
        <w:t>ulation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expression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anti-inflammatory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biomarkers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rat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models[J].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-8"/>
        </w:rPr>
        <w:t>flammopharmacol-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ogy,2022,30(6):2211-2227.</w:t>
      </w:r>
    </w:p>
    <w:p>
      <w:pPr>
        <w:pStyle w:val="BodyText"/>
        <w:ind w:left="1" w:right="55" w:firstLine="324"/>
        <w:spacing w:before="32" w:line="272" w:lineRule="auto"/>
        <w:rPr/>
      </w:pPr>
      <w:r>
        <w:rPr>
          <w:color w:val="231F20"/>
          <w:spacing w:val="12"/>
        </w:rPr>
        <w:t>[5]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HAUSBURG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2"/>
        </w:rPr>
        <w:t>.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2"/>
        </w:rPr>
        <w:t>A.,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BOCKER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2"/>
        </w:rPr>
        <w:t>.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2"/>
        </w:rPr>
        <w:t>M.,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MADAYAG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2"/>
        </w:rPr>
        <w:t>.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2"/>
        </w:rPr>
        <w:t>M.,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2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Characterization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peritoneal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reactive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ascites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collected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acu</w:t>
      </w:r>
      <w:r>
        <w:rPr>
          <w:color w:val="231F20"/>
          <w:spacing w:val="-12"/>
        </w:rPr>
        <w:t>te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2"/>
        </w:rPr>
        <w:t>ap-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pendicitis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small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bowel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obstruction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patients</w:t>
      </w:r>
      <w:r>
        <w:rPr>
          <w:color w:val="231F20"/>
          <w:spacing w:val="-12"/>
        </w:rPr>
        <w:t>[J].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Clinica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chimica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acta: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International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journal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clinical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chemistry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applied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molecular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biology,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2022,531126-136.</w:t>
      </w:r>
    </w:p>
    <w:p>
      <w:pPr>
        <w:pStyle w:val="BodyText"/>
        <w:ind w:left="19" w:right="56" w:firstLine="307"/>
        <w:spacing w:before="26" w:line="263" w:lineRule="auto"/>
        <w:rPr/>
      </w:pPr>
      <w:r>
        <w:rPr>
          <w:color w:val="231F20"/>
          <w:spacing w:val="3"/>
        </w:rPr>
        <w:t>[6]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夏盛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3"/>
        </w:rPr>
        <w:t>.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头孢曲松钠联合甲硝唑治疗慢性阑尾炎疗效分析</w:t>
      </w:r>
      <w:r>
        <w:rPr>
          <w:color w:val="231F20"/>
          <w:spacing w:val="3"/>
        </w:rPr>
        <w:t>[J].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中国处方药</w:t>
      </w:r>
      <w:r>
        <w:rPr>
          <w:color w:val="231F20"/>
          <w:spacing w:val="-3"/>
        </w:rPr>
        <w:t>,2020,18(9):95-96.</w:t>
      </w:r>
    </w:p>
    <w:p>
      <w:pPr>
        <w:pStyle w:val="BodyText"/>
        <w:ind w:left="7" w:right="60" w:firstLine="318"/>
        <w:spacing w:before="27" w:line="262" w:lineRule="auto"/>
        <w:rPr/>
      </w:pPr>
      <w:r>
        <w:rPr>
          <w:color w:val="231F20"/>
          <w:spacing w:val="4"/>
        </w:rPr>
        <w:t>[7]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洪飞虎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4"/>
        </w:rPr>
        <w:t>.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头孢唑肟钠联合奥硝唑注射液治疗慢性阑尾炎</w:t>
      </w:r>
      <w:r>
        <w:rPr>
          <w:rFonts w:ascii="SimSun" w:hAnsi="SimSun" w:eastAsia="SimSun" w:cs="SimSun"/>
          <w:color w:val="231F20"/>
          <w:spacing w:val="3"/>
        </w:rPr>
        <w:t>的效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果观察</w:t>
      </w:r>
      <w:r>
        <w:rPr>
          <w:color w:val="231F20"/>
          <w:spacing w:val="-4"/>
        </w:rPr>
        <w:t>[J].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江西医药</w:t>
      </w:r>
      <w:r>
        <w:rPr>
          <w:color w:val="231F20"/>
          <w:spacing w:val="-4"/>
        </w:rPr>
        <w:t>,2022,57(</w:t>
      </w:r>
      <w:r>
        <w:rPr>
          <w:color w:val="231F20"/>
          <w:spacing w:val="-5"/>
        </w:rPr>
        <w:t>5):519-521.</w:t>
      </w:r>
    </w:p>
    <w:p>
      <w:pPr>
        <w:pStyle w:val="BodyText"/>
        <w:ind w:left="5" w:right="60" w:firstLine="320"/>
        <w:spacing w:before="27" w:line="262" w:lineRule="auto"/>
        <w:rPr/>
      </w:pPr>
      <w:r>
        <w:rPr>
          <w:color w:val="231F20"/>
          <w:spacing w:val="4"/>
        </w:rPr>
        <w:t>[8]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徐贵兴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4"/>
        </w:rPr>
        <w:t>.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头孢唑肟钠与奥硝唑联合治疗慢性阑尾炎疗效观察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8"/>
        </w:rPr>
        <w:t>[J].</w:t>
      </w:r>
      <w:r>
        <w:rPr>
          <w:color w:val="231F20"/>
          <w:spacing w:val="-8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中国保健营养</w:t>
      </w:r>
      <w:r>
        <w:rPr>
          <w:color w:val="231F20"/>
          <w:spacing w:val="-8"/>
        </w:rPr>
        <w:t>,2020,30(25):93,95.</w:t>
      </w:r>
    </w:p>
    <w:p>
      <w:pPr>
        <w:pStyle w:val="BodyText"/>
        <w:ind w:left="4" w:right="57" w:firstLine="322"/>
        <w:spacing w:before="25" w:line="262" w:lineRule="auto"/>
        <w:rPr/>
      </w:pPr>
      <w:r>
        <w:rPr>
          <w:color w:val="231F20"/>
          <w:spacing w:val="1"/>
        </w:rPr>
        <w:t>[9]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王樾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黄冉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吴文涌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等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1"/>
        </w:rPr>
        <w:t>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68</w:t>
      </w:r>
      <w:r>
        <w:rPr>
          <w:rFonts w:ascii="SimSun" w:hAnsi="SimSun" w:eastAsia="SimSun" w:cs="SimSun"/>
          <w:color w:val="231F20"/>
          <w:spacing w:val="1"/>
        </w:rPr>
        <w:t>例小儿慢性阑尾炎的临床特点和治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疗体会</w:t>
      </w:r>
      <w:r>
        <w:rPr>
          <w:color w:val="231F20"/>
          <w:spacing w:val="-2"/>
        </w:rPr>
        <w:t>[J].</w:t>
      </w:r>
      <w:r>
        <w:rPr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中国普外基础与临床杂志</w:t>
      </w:r>
      <w:r>
        <w:rPr>
          <w:color w:val="231F20"/>
          <w:spacing w:val="-2"/>
        </w:rPr>
        <w:t>,2020,27(12):1491-1495.</w:t>
      </w:r>
    </w:p>
    <w:p>
      <w:pPr>
        <w:pStyle w:val="BodyText"/>
        <w:ind w:left="4" w:right="59" w:firstLine="322"/>
        <w:spacing w:before="27" w:line="263" w:lineRule="auto"/>
        <w:rPr/>
      </w:pPr>
      <w:r>
        <w:rPr>
          <w:color w:val="231F20"/>
          <w:spacing w:val="1"/>
        </w:rPr>
        <w:t>[10]</w:t>
      </w:r>
      <w:r>
        <w:rPr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林宝湖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陈建才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苏文全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1"/>
        </w:rPr>
        <w:t>.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奥硝唑注射液和头孢唑肟钠联合治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疗慢性阑尾炎的效果分析</w:t>
      </w:r>
      <w:r>
        <w:rPr>
          <w:color w:val="231F20"/>
          <w:spacing w:val="-2"/>
        </w:rPr>
        <w:t>[J].</w:t>
      </w:r>
      <w:r>
        <w:rPr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中国医药指南</w:t>
      </w:r>
      <w:r>
        <w:rPr>
          <w:color w:val="231F20"/>
          <w:spacing w:val="-2"/>
        </w:rPr>
        <w:t>,2023,21(9):72-75.</w:t>
      </w:r>
    </w:p>
    <w:p>
      <w:pPr>
        <w:ind w:left="2525"/>
        <w:spacing w:before="150" w:line="15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本文责任编辑    欧阳良美</w:t>
      </w:r>
    </w:p>
    <w:sectPr>
      <w:type w:val="continuous"/>
      <w:pgSz w:w="11906" w:h="16158"/>
      <w:pgMar w:top="400" w:right="1077" w:bottom="901" w:left="424" w:header="0" w:footer="674" w:gutter="0"/>
      <w:cols w:equalWidth="0" w:num="2">
        <w:col w:w="5622" w:space="100"/>
        <w:col w:w="46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7"/>
      <w:spacing w:line="235" w:lineRule="auto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  <w:color w:val="231F20"/>
      </w:rPr>
      <w:t>66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95"/>
      <w:spacing w:line="235" w:lineRule="auto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  <w:color w:val="231F20"/>
      </w:rPr>
      <w:t>67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777.674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S Gothic" w:hAnsi="MS Gothic" w:eastAsia="MS Gothic" w:cs="MS Gothic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2024-10-25T17:08:15Z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2025-10-28T21:32:23</vt:filetime>
  </property>
</Properties>
</file>