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19"/>
        <w:spacing w:before="90" w:line="200" w:lineRule="auto"/>
        <w:rPr>
          <w:sz w:val="21"/>
          <w:szCs w:val="21"/>
        </w:rPr>
      </w:pPr>
      <w:r>
        <w:rPr>
          <w:sz w:val="21"/>
          <w:szCs w:val="21"/>
          <w:u w:val="single" w:color="auto"/>
          <w:color w:val="231F20"/>
          <w:spacing w:val="-18"/>
        </w:rPr>
        <w:t>西藏医药</w:t>
      </w:r>
      <w:r>
        <w:rPr>
          <w:sz w:val="21"/>
          <w:szCs w:val="21"/>
          <w:u w:val="single" w:color="auto"/>
          <w:color w:val="231F20"/>
          <w:spacing w:val="-22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2025</w:t>
      </w:r>
      <w:r>
        <w:rPr>
          <w:sz w:val="21"/>
          <w:szCs w:val="21"/>
          <w:u w:val="single" w:color="auto"/>
          <w:color w:val="231F20"/>
          <w:spacing w:val="-25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年第</w:t>
      </w:r>
      <w:r>
        <w:rPr>
          <w:sz w:val="21"/>
          <w:szCs w:val="21"/>
          <w:u w:val="single" w:color="auto"/>
          <w:color w:val="231F20"/>
          <w:spacing w:val="-25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46</w:t>
      </w:r>
      <w:r>
        <w:rPr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卷第 1</w:t>
      </w:r>
      <w:r>
        <w:rPr>
          <w:sz w:val="21"/>
          <w:szCs w:val="21"/>
          <w:u w:val="single" w:color="auto"/>
          <w:color w:val="231F20"/>
          <w:spacing w:val="-23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期（总 178</w:t>
      </w:r>
      <w:r>
        <w:rPr>
          <w:sz w:val="21"/>
          <w:szCs w:val="21"/>
          <w:u w:val="single" w:color="auto"/>
          <w:color w:val="231F20"/>
          <w:spacing w:val="-23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期）</w:t>
      </w:r>
    </w:p>
    <w:p>
      <w:pPr>
        <w:pStyle w:val="BodyText"/>
        <w:ind w:left="731"/>
        <w:spacing w:before="182" w:line="35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2"/>
        </w:rPr>
        <w:t>●</w:t>
      </w:r>
      <w:r>
        <w:rPr>
          <w:rFonts w:ascii="SimHei" w:hAnsi="SimHei" w:eastAsia="SimHei" w:cs="SimHei"/>
          <w:sz w:val="25"/>
          <w:szCs w:val="25"/>
          <w:color w:val="231F20"/>
          <w:spacing w:val="6"/>
          <w:position w:val="2"/>
        </w:rPr>
        <w:t>个案·短篇</w:t>
      </w:r>
      <w:r>
        <w:rPr>
          <w:sz w:val="20"/>
          <w:szCs w:val="20"/>
          <w:color w:val="231F20"/>
          <w:spacing w:val="6"/>
          <w:position w:val="2"/>
        </w:rPr>
        <w:t>●</w:t>
      </w:r>
    </w:p>
    <w:p>
      <w:pPr>
        <w:pStyle w:val="BodyText"/>
        <w:ind w:left="2289"/>
        <w:spacing w:before="192" w:line="207" w:lineRule="auto"/>
        <w:outlineLvl w:val="0"/>
        <w:rPr>
          <w:sz w:val="39"/>
          <w:szCs w:val="39"/>
        </w:rPr>
      </w:pPr>
      <w:r>
        <w:rPr>
          <w:sz w:val="39"/>
          <w:szCs w:val="39"/>
          <w:color w:val="231F20"/>
          <w:spacing w:val="-17"/>
          <w:w w:val="93"/>
        </w:rPr>
        <w:t>急性阑尾炎合并食物源性回肠梗阻 1例报告</w:t>
      </w:r>
    </w:p>
    <w:p>
      <w:pPr>
        <w:pStyle w:val="BodyText"/>
        <w:ind w:left="3959"/>
        <w:spacing w:before="125" w:line="181" w:lineRule="auto"/>
        <w:rPr>
          <w:sz w:val="9"/>
          <w:szCs w:val="9"/>
        </w:rPr>
      </w:pPr>
      <w:r>
        <w:rPr>
          <w:sz w:val="17"/>
          <w:szCs w:val="17"/>
          <w:color w:val="231F20"/>
        </w:rPr>
        <w:t>琼达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9"/>
          <w:szCs w:val="9"/>
          <w:color w:val="231F20"/>
          <w:position w:val="6"/>
        </w:rPr>
        <w:t>1      </w:t>
      </w:r>
      <w:r>
        <w:rPr>
          <w:sz w:val="17"/>
          <w:szCs w:val="17"/>
          <w:color w:val="231F20"/>
        </w:rPr>
        <w:t>郭军</w:t>
      </w:r>
      <w:r>
        <w:rPr>
          <w:sz w:val="9"/>
          <w:szCs w:val="9"/>
          <w:color w:val="231F20"/>
          <w:position w:val="6"/>
        </w:rPr>
        <w:t>*2      </w:t>
      </w:r>
      <w:r>
        <w:rPr>
          <w:sz w:val="17"/>
          <w:szCs w:val="17"/>
          <w:color w:val="231F20"/>
        </w:rPr>
        <w:t>桑布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9"/>
          <w:szCs w:val="9"/>
          <w:color w:val="231F20"/>
          <w:position w:val="6"/>
        </w:rPr>
        <w:t>1      </w:t>
      </w:r>
      <w:r>
        <w:rPr>
          <w:sz w:val="17"/>
          <w:szCs w:val="17"/>
          <w:color w:val="231F20"/>
        </w:rPr>
        <w:t>桑杰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9"/>
          <w:szCs w:val="9"/>
          <w:color w:val="231F20"/>
          <w:position w:val="6"/>
        </w:rPr>
        <w:t>1      </w:t>
      </w:r>
      <w:r>
        <w:rPr>
          <w:sz w:val="17"/>
          <w:szCs w:val="17"/>
          <w:color w:val="231F20"/>
        </w:rPr>
        <w:t>洛桑卓玛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9"/>
          <w:szCs w:val="9"/>
          <w:color w:val="231F20"/>
          <w:position w:val="6"/>
        </w:rPr>
        <w:t>3</w:t>
      </w:r>
    </w:p>
    <w:p>
      <w:pPr>
        <w:pStyle w:val="BodyText"/>
        <w:ind w:left="3908"/>
        <w:spacing w:line="18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1.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"/>
        </w:rPr>
        <w:t>西藏洛扎县中心医院  西藏洛扎   851</w:t>
      </w:r>
      <w:r>
        <w:rPr>
          <w:sz w:val="17"/>
          <w:szCs w:val="17"/>
          <w:color w:val="231F20"/>
        </w:rPr>
        <w:t>200</w:t>
      </w:r>
    </w:p>
    <w:p>
      <w:pPr>
        <w:pStyle w:val="BodyText"/>
        <w:ind w:left="3152"/>
        <w:spacing w:line="18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2.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3"/>
        </w:rPr>
        <w:t>联勤保障部队第九八〇医院普通外科  河北石家庄   050000</w:t>
      </w:r>
    </w:p>
    <w:p>
      <w:pPr>
        <w:pStyle w:val="BodyText"/>
        <w:ind w:left="4014"/>
        <w:spacing w:before="1" w:line="201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3. 西藏自治区医院</w:t>
      </w:r>
      <w:r>
        <w:rPr>
          <w:sz w:val="17"/>
          <w:szCs w:val="17"/>
          <w:color w:val="231F20"/>
          <w:spacing w:val="6"/>
        </w:rPr>
        <w:t xml:space="preserve">    </w:t>
      </w:r>
      <w:r>
        <w:rPr>
          <w:sz w:val="17"/>
          <w:szCs w:val="17"/>
          <w:color w:val="231F20"/>
        </w:rPr>
        <w:t>西藏拉萨   850000</w:t>
      </w: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1"/>
          <w:pgSz w:w="11906" w:h="16158"/>
          <w:pgMar w:top="400" w:right="1071" w:bottom="0" w:left="432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721"/>
        <w:spacing w:before="43" w:line="214" w:lineRule="auto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   </w:t>
      </w:r>
      <w:r>
        <w:rPr>
          <w:rFonts w:ascii="SimHei" w:hAnsi="SimHei" w:eastAsia="SimHei" w:cs="SimHei"/>
          <w:sz w:val="18"/>
          <w:szCs w:val="18"/>
          <w:b/>
          <w:bCs/>
          <w:color w:val="231F20"/>
          <w:spacing w:val="1"/>
        </w:rPr>
        <w:t>病例简介</w:t>
      </w:r>
    </w:p>
    <w:p>
      <w:pPr>
        <w:pStyle w:val="BodyText"/>
        <w:ind w:left="724" w:right="290" w:firstLine="375"/>
        <w:spacing w:before="10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患者男、</w:t>
      </w:r>
      <w:r>
        <w:rPr>
          <w:sz w:val="18"/>
          <w:szCs w:val="18"/>
          <w:color w:val="231F20"/>
          <w:spacing w:val="-10"/>
        </w:rPr>
        <w:t>37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岁</w:t>
      </w:r>
      <w:r>
        <w:rPr>
          <w:rFonts w:ascii="SimSun" w:hAnsi="SimSun" w:eastAsia="SimSun" w:cs="SimSun"/>
          <w:sz w:val="18"/>
          <w:szCs w:val="18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因“腹痛、腹胀伴呕吐 </w:t>
      </w:r>
      <w:r>
        <w:rPr>
          <w:sz w:val="18"/>
          <w:szCs w:val="18"/>
          <w:color w:val="231F20"/>
          <w:spacing w:val="-10"/>
        </w:rPr>
        <w:t>13h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”入院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。于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13h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前进食风干牛肉干后</w:t>
      </w:r>
    </w:p>
    <w:p>
      <w:pPr>
        <w:pStyle w:val="BodyText"/>
        <w:ind w:left="653" w:right="286" w:firstLine="453"/>
        <w:spacing w:before="5" w:line="234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出现腹痛，以剑突下及脐周为主，呈阵发性胀痛，伴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恶心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、呕吐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次，呕吐物为胃内容物，肛门停止排气、排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便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。查体：</w:t>
      </w:r>
      <w:r>
        <w:rPr>
          <w:sz w:val="18"/>
          <w:szCs w:val="18"/>
          <w:color w:val="231F20"/>
          <w:spacing w:val="2"/>
        </w:rPr>
        <w:t>T:36.   2℃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R:18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次／分</w:t>
      </w:r>
      <w:r>
        <w:rPr>
          <w:rFonts w:ascii="SimSun" w:hAnsi="SimSun" w:eastAsia="SimSun" w:cs="SimSun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2"/>
        </w:rPr>
        <w:t>P:76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次／分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BP</w:t>
      </w:r>
      <w:r>
        <w:rPr>
          <w:sz w:val="18"/>
          <w:szCs w:val="18"/>
          <w:color w:val="231F20"/>
          <w:spacing w:val="2"/>
        </w:rPr>
        <w:t>:144/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74mmHg,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发育正常，营养中等。神志清，精神欠佳，被 动</w:t>
      </w:r>
      <w:r>
        <w:rPr>
          <w:rFonts w:ascii="SimSun" w:hAnsi="SimSun" w:eastAsia="SimSun" w:cs="SimSun"/>
          <w:sz w:val="18"/>
          <w:szCs w:val="18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体位，皮肤巩膜无黄染，心肺未见异常，腹部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稍隆起、轻度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>腹肌紧张、全腹散在压痛及反 跳痛阳性，右下腹麦氏点</w:t>
      </w:r>
      <w:r>
        <w:rPr>
          <w:rFonts w:ascii="SimSun" w:hAnsi="SimSun" w:eastAsia="SimSun" w:cs="SimSun"/>
          <w:sz w:val="18"/>
          <w:szCs w:val="18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压痛、反跳痛强阳性，闭孔内肌试验（一）结肠充气试验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（</w:t>
      </w:r>
      <w:r>
        <w:rPr>
          <w:sz w:val="18"/>
          <w:szCs w:val="18"/>
          <w:color w:val="231F20"/>
        </w:rPr>
        <w:t>-</w:t>
      </w:r>
      <w:r>
        <w:rPr>
          <w:rFonts w:ascii="SimSun" w:hAnsi="SimSun" w:eastAsia="SimSun" w:cs="SimSun"/>
          <w:sz w:val="18"/>
          <w:szCs w:val="18"/>
          <w:color w:val="231F20"/>
          <w:spacing w:val="-29"/>
          <w:w w:val="61"/>
        </w:rPr>
        <w:t>），</w:t>
      </w:r>
      <w:r>
        <w:rPr>
          <w:rFonts w:ascii="SimSun" w:hAnsi="SimSun" w:eastAsia="SimSun" w:cs="SimSun"/>
          <w:sz w:val="18"/>
          <w:szCs w:val="18"/>
          <w:color w:val="231F20"/>
        </w:rPr>
        <w:t>腰大肌试验（</w:t>
      </w:r>
      <w:r>
        <w:rPr>
          <w:sz w:val="18"/>
          <w:szCs w:val="18"/>
          <w:color w:val="231F20"/>
        </w:rPr>
        <w:t>+</w:t>
      </w:r>
      <w:r>
        <w:rPr>
          <w:rFonts w:ascii="SimSun" w:hAnsi="SimSun" w:eastAsia="SimSun" w:cs="SimSun"/>
          <w:sz w:val="18"/>
          <w:szCs w:val="18"/>
          <w:color w:val="231F20"/>
          <w:spacing w:val="-29"/>
          <w:w w:val="61"/>
        </w:rPr>
        <w:t>），</w:t>
      </w:r>
      <w:r>
        <w:rPr>
          <w:rFonts w:ascii="SimSun" w:hAnsi="SimSun" w:eastAsia="SimSun" w:cs="SimSun"/>
          <w:sz w:val="18"/>
          <w:szCs w:val="18"/>
          <w:color w:val="231F20"/>
        </w:rPr>
        <w:t>墨菲氏征阴性，肝脾肋下未触及，肝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肾区叩击痛阴性，移动性浊音阴性，肠鸣音：</w:t>
      </w:r>
      <w:r>
        <w:rPr>
          <w:sz w:val="18"/>
          <w:szCs w:val="18"/>
          <w:color w:val="231F20"/>
          <w:spacing w:val="-2"/>
        </w:rPr>
        <w:t>2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次</w:t>
      </w:r>
      <w:r>
        <w:rPr>
          <w:sz w:val="18"/>
          <w:szCs w:val="18"/>
          <w:color w:val="231F20"/>
          <w:spacing w:val="-3"/>
        </w:rPr>
        <w:t>/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分，双下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肢无浮肿。辅助检查：腹部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7"/>
        </w:rPr>
        <w:t>CT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提示：</w:t>
      </w:r>
      <w:r>
        <w:rPr>
          <w:sz w:val="18"/>
          <w:szCs w:val="18"/>
          <w:color w:val="231F20"/>
          <w:spacing w:val="-7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、肠梗阻；</w:t>
      </w:r>
      <w:r>
        <w:rPr>
          <w:sz w:val="18"/>
          <w:szCs w:val="18"/>
          <w:color w:val="231F20"/>
          <w:spacing w:val="-7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、阑尾增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粗、根 部见一高密度粪石影，考虑急性阑尾炎（图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6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12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血常规：</w:t>
      </w:r>
      <w:r>
        <w:rPr>
          <w:sz w:val="18"/>
          <w:szCs w:val="18"/>
          <w:color w:val="231F20"/>
          <w:spacing w:val="-1"/>
        </w:rPr>
        <w:t>WBC:13.54×10</w:t>
      </w:r>
      <w:r>
        <w:rPr>
          <w:sz w:val="10"/>
          <w:szCs w:val="10"/>
          <w:color w:val="231F20"/>
          <w:spacing w:val="-1"/>
          <w:position w:val="6"/>
        </w:rPr>
        <w:t>9</w:t>
      </w:r>
      <w:r>
        <w:rPr>
          <w:sz w:val="18"/>
          <w:szCs w:val="18"/>
          <w:color w:val="231F20"/>
          <w:spacing w:val="-1"/>
        </w:rPr>
        <w:t>/L,N:88.7%,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中性粒细胞数：</w:t>
      </w:r>
    </w:p>
    <w:p>
      <w:pPr>
        <w:pStyle w:val="BodyText"/>
        <w:ind w:firstLine="14"/>
        <w:spacing w:before="9" w:line="23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12.07×10</w:t>
      </w:r>
      <w:r>
        <w:rPr>
          <w:sz w:val="10"/>
          <w:szCs w:val="10"/>
          <w:color w:val="231F20"/>
          <w:spacing w:val="5"/>
          <w:position w:val="6"/>
        </w:rPr>
        <w:t>9</w:t>
      </w:r>
      <w:r>
        <w:rPr>
          <w:sz w:val="18"/>
          <w:szCs w:val="18"/>
          <w:color w:val="231F20"/>
          <w:spacing w:val="5"/>
        </w:rPr>
        <w:t>/L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，其余未见明显异常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。心</w:t>
      </w:r>
      <w:r>
        <w:rPr>
          <w:rFonts w:ascii="SimSun" w:hAnsi="SimSun" w:eastAsia="SimSun" w:cs="SimSun"/>
          <w:sz w:val="18"/>
          <w:szCs w:val="18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电图：窦性心律。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胸部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</w:rPr>
        <w:t>X </w:t>
      </w:r>
      <w:r>
        <w:rPr>
          <w:rFonts w:ascii="SimSun" w:hAnsi="SimSun" w:eastAsia="SimSun" w:cs="SimSun"/>
          <w:sz w:val="18"/>
          <w:szCs w:val="18"/>
          <w:color w:val="231F20"/>
        </w:rPr>
        <w:t>线：心肺未见明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显异常。诊断：腹痛待查：小肠梗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阻；急性阑尾炎伴腹膜炎。于全麻下行腹腔镜  探查</w:t>
      </w:r>
      <w:r>
        <w:rPr>
          <w:sz w:val="18"/>
          <w:szCs w:val="18"/>
          <w:color w:val="231F20"/>
          <w:spacing w:val="5"/>
        </w:rPr>
        <w:t>+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中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转开腹</w:t>
      </w:r>
      <w:r>
        <w:rPr>
          <w:sz w:val="18"/>
          <w:szCs w:val="18"/>
          <w:color w:val="231F20"/>
          <w:spacing w:val="7"/>
        </w:rPr>
        <w:t>+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回肠异物取出</w:t>
      </w:r>
      <w:r>
        <w:rPr>
          <w:sz w:val="18"/>
          <w:szCs w:val="18"/>
          <w:color w:val="231F20"/>
          <w:spacing w:val="7"/>
        </w:rPr>
        <w:t>+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阑尾切除</w:t>
      </w:r>
      <w:r>
        <w:rPr>
          <w:sz w:val="18"/>
          <w:szCs w:val="18"/>
          <w:color w:val="231F20"/>
          <w:spacing w:val="7"/>
        </w:rPr>
        <w:t>+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腹腔冲洗引流术。术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中见腹腔内少量血性渗液，空肠及部分回肠显著扩张，肠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壁充血水肿，浆膜面大量渗血；距回盲部</w:t>
      </w:r>
      <w:r>
        <w:rPr>
          <w:sz w:val="18"/>
          <w:szCs w:val="18"/>
          <w:color w:val="231F20"/>
          <w:spacing w:val="-2"/>
        </w:rPr>
        <w:t>50cm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处，空肠内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触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及坚硬团块，大小约</w:t>
      </w:r>
      <w:r>
        <w:rPr>
          <w:rFonts w:ascii="SimSun" w:hAnsi="SimSun" w:eastAsia="SimSun" w:cs="SimSun"/>
          <w:sz w:val="18"/>
          <w:szCs w:val="18"/>
          <w:color w:val="231F20"/>
          <w:spacing w:val="-50"/>
        </w:rPr>
        <w:t xml:space="preserve"> </w:t>
      </w:r>
      <w:r>
        <w:rPr>
          <w:sz w:val="18"/>
          <w:szCs w:val="18"/>
          <w:color w:val="231F20"/>
          <w:spacing w:val="-8"/>
        </w:rPr>
        <w:t>4*2cm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，远端肠管正常（图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8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、</w:t>
      </w:r>
      <w:r>
        <w:rPr>
          <w:sz w:val="18"/>
          <w:szCs w:val="18"/>
          <w:color w:val="231F20"/>
          <w:spacing w:val="-8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）。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考虑食物源性回肠梗阻，进一步探 查发现，继续探查阑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尾位于盲肠后位，显著增粗，表面充血水肿，与后腹膜粘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连紧密。中转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开腹行回肠异物取出、阑尾逆行切除术，术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后病理：急性阑尾炎（图</w:t>
      </w:r>
      <w:r>
        <w:rPr>
          <w:sz w:val="18"/>
          <w:szCs w:val="18"/>
          <w:color w:val="231F20"/>
          <w:spacing w:val="6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41"/>
          <w:w w:val="85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给予禁食补液及对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症治疗，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痊愈出院。</w:t>
      </w:r>
    </w:p>
    <w:p>
      <w:pPr>
        <w:spacing w:before="4" w:line="243" w:lineRule="exact"/>
        <w:jc w:val="righ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9"/>
          <w:position w:val="1"/>
        </w:rPr>
        <w:t>（下转封四）</w:t>
      </w:r>
    </w:p>
    <w:p>
      <w:pPr>
        <w:spacing w:line="243" w:lineRule="exact"/>
        <w:sectPr>
          <w:type w:val="continuous"/>
          <w:pgSz w:w="11906" w:h="16158"/>
          <w:pgMar w:top="400" w:right="1071" w:bottom="0" w:left="432" w:header="0" w:footer="0" w:gutter="0"/>
          <w:cols w:equalWidth="0" w:num="2">
            <w:col w:w="5620" w:space="100"/>
            <w:col w:w="4684" w:space="0"/>
          </w:cols>
        </w:sectPr>
        <w:rPr>
          <w:rFonts w:ascii="SimHei" w:hAnsi="SimHei" w:eastAsia="SimHei" w:cs="SimHei"/>
          <w:sz w:val="18"/>
          <w:szCs w:val="18"/>
        </w:rPr>
      </w:pPr>
    </w:p>
    <w:p>
      <w:pPr>
        <w:pStyle w:val="BodyText"/>
        <w:ind w:left="701"/>
        <w:spacing w:line="16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6"/>
          <w:w w:val="127"/>
        </w:rPr>
        <w:t>■■■■■■■■■■■■■■■■■■■■■■■■■■■■■■■■■■■■■■■■■■■■■■■■■■■■■■■■■</w:t>
      </w:r>
    </w:p>
    <w:p>
      <w:pPr>
        <w:spacing w:line="160" w:lineRule="auto"/>
        <w:sectPr>
          <w:type w:val="continuous"/>
          <w:pgSz w:w="11906" w:h="16158"/>
          <w:pgMar w:top="400" w:right="1071" w:bottom="0" w:left="432" w:header="0" w:footer="0" w:gutter="0"/>
          <w:cols w:equalWidth="0" w:num="1">
            <w:col w:w="10403" w:space="0"/>
          </w:cols>
        </w:sectPr>
        <w:rPr>
          <w:sz w:val="16"/>
          <w:szCs w:val="16"/>
        </w:rPr>
      </w:pPr>
    </w:p>
    <w:p>
      <w:pPr>
        <w:pStyle w:val="BodyText"/>
        <w:ind w:left="710" w:right="286" w:firstLine="3"/>
        <w:spacing w:before="32" w:line="24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行肾部分切除术是一种保留肾脏的选择，可以最大限度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地减少心血管等不良反应的发生和术后死亡率。与其他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肾细胞癌类似，放疗和化疗对</w:t>
      </w:r>
      <w:r>
        <w:rPr>
          <w:sz w:val="18"/>
          <w:szCs w:val="18"/>
          <w:color w:val="231F20"/>
        </w:rPr>
        <w:t>MiT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家族易位肿瘤的治疗效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果不明显。近年来，随着全基因组</w:t>
      </w:r>
      <w:r>
        <w:rPr>
          <w:rFonts w:ascii="SimSun" w:hAnsi="SimSun" w:eastAsia="SimSun" w:cs="SimSun"/>
          <w:sz w:val="18"/>
          <w:szCs w:val="18"/>
          <w:color w:val="231F20"/>
          <w:spacing w:val="-48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和</w:t>
      </w:r>
      <w:r>
        <w:rPr>
          <w:rFonts w:ascii="SimSun" w:hAnsi="SimSun" w:eastAsia="SimSun" w:cs="SimSun"/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color w:val="231F20"/>
        </w:rPr>
        <w:t>RNA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测序技术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在</w:t>
      </w:r>
      <w:r>
        <w:rPr>
          <w:sz w:val="18"/>
          <w:szCs w:val="18"/>
          <w:color w:val="231F20"/>
        </w:rPr>
        <w:t>MiT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家族易位性肾细胞癌中寻找治疗靶点的应用，分子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靶向治疗为患者带来了希望。</w:t>
      </w:r>
    </w:p>
    <w:p>
      <w:pPr>
        <w:pStyle w:val="BodyText"/>
        <w:ind w:left="710" w:right="236" w:firstLine="398"/>
        <w:spacing w:before="6" w:line="23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国内外相关研究显示，</w:t>
      </w:r>
      <w:r>
        <w:rPr>
          <w:sz w:val="18"/>
          <w:szCs w:val="18"/>
          <w:color w:val="231F20"/>
        </w:rPr>
        <w:t>Xp</w:t>
      </w:r>
      <w:r>
        <w:rPr>
          <w:sz w:val="18"/>
          <w:szCs w:val="18"/>
          <w:color w:val="231F20"/>
          <w:spacing w:val="8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易位肾细胞癌病程进展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迅速，常发生淋巴结转移，患者术后平均存活时间为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</w:rPr>
        <w:t>18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个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月。其可能比肾透明细胞癌具有更强的侵袭性</w:t>
      </w:r>
      <w:r>
        <w:rPr>
          <w:sz w:val="10"/>
          <w:szCs w:val="10"/>
          <w:color w:val="231F20"/>
          <w:spacing w:val="6"/>
          <w:position w:val="6"/>
        </w:rPr>
        <w:t>[8]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，但也有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相关报道提示，</w:t>
      </w:r>
      <w:r>
        <w:rPr>
          <w:sz w:val="18"/>
          <w:szCs w:val="18"/>
          <w:color w:val="231F20"/>
        </w:rPr>
        <w:t>Xp</w:t>
      </w:r>
      <w:r>
        <w:rPr>
          <w:sz w:val="18"/>
          <w:szCs w:val="18"/>
          <w:color w:val="231F20"/>
          <w:spacing w:val="9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易位肾细胞癌的预后与肾透明细胞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癌相似，但比肾乳头状细胞癌差。</w:t>
      </w:r>
      <w:r>
        <w:rPr>
          <w:sz w:val="18"/>
          <w:szCs w:val="18"/>
          <w:color w:val="231F20"/>
          <w:spacing w:val="-3"/>
        </w:rPr>
        <w:t>t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；</w:t>
      </w:r>
      <w:r>
        <w:rPr>
          <w:sz w:val="18"/>
          <w:szCs w:val="18"/>
          <w:color w:val="231F20"/>
          <w:spacing w:val="-3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）易位肾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细胞癌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大多表现为惰性病程，预后较好，但由于相关报道极少，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还没有明确证据支持这一观点。</w:t>
      </w:r>
    </w:p>
    <w:p>
      <w:pPr>
        <w:pStyle w:val="BodyText"/>
        <w:ind w:left="710" w:right="286" w:firstLine="382"/>
        <w:spacing w:before="19" w:line="25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综上，</w:t>
      </w:r>
      <w:r>
        <w:rPr>
          <w:sz w:val="18"/>
          <w:szCs w:val="18"/>
          <w:color w:val="231F20"/>
          <w:spacing w:val="-2"/>
        </w:rPr>
        <w:t>MiT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家族易位性肾细胞癌是一种罕见的基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因易位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型肾细胞癌，确诊不仅需要其形态学特征，还非常依赖于分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子检测，要注意与肾透明细胞癌、肾嫌色细胞癌、肾乳头状细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胞癌等的鉴别诊断。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目前，</w:t>
      </w:r>
      <w:r>
        <w:rPr>
          <w:sz w:val="18"/>
          <w:szCs w:val="18"/>
          <w:color w:val="231F20"/>
          <w:spacing w:val="-3"/>
        </w:rPr>
        <w:t>MiT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家族易位性肾细胞癌还没有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相关治疗指南，首选手术切除治疗，其预后较差。相关研究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表明，分子靶向治疗会较大提高患者的治疗效果。</w:t>
      </w:r>
    </w:p>
    <w:p>
      <w:pPr>
        <w:ind w:left="1023"/>
        <w:spacing w:before="260" w:line="242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1"/>
          <w:position w:val="1"/>
        </w:rPr>
        <w:t>【参考文献】</w:t>
      </w:r>
    </w:p>
    <w:p>
      <w:pPr>
        <w:pStyle w:val="BodyText"/>
        <w:ind w:left="711" w:right="284" w:firstLine="319"/>
        <w:spacing w:before="38" w:line="215" w:lineRule="auto"/>
        <w:rPr/>
      </w:pPr>
      <w:r>
        <w:rPr>
          <w:color w:val="231F20"/>
          <w:spacing w:val="9"/>
        </w:rPr>
        <w:t>[1]</w:t>
      </w:r>
      <w:r>
        <w:rPr>
          <w:rFonts w:ascii="SimSun" w:hAnsi="SimSun" w:eastAsia="SimSun" w:cs="SimSun"/>
          <w:color w:val="231F20"/>
          <w:spacing w:val="9"/>
        </w:rPr>
        <w:t>韩景霞</w:t>
      </w:r>
      <w:r>
        <w:rPr>
          <w:color w:val="231F20"/>
          <w:spacing w:val="9"/>
        </w:rPr>
        <w:t>,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宁薇薇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李博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</w:rPr>
        <w:t>MIT</w:t>
      </w:r>
      <w:r>
        <w:rPr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家族易位肾细胞癌的研究进展</w:t>
      </w:r>
      <w:r>
        <w:rPr>
          <w:color w:val="231F20"/>
          <w:spacing w:val="9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泌尿外科杂志</w:t>
      </w:r>
      <w:r>
        <w:rPr>
          <w:color w:val="231F20"/>
          <w:spacing w:val="-1"/>
        </w:rPr>
        <w:t>(</w:t>
      </w:r>
      <w:r>
        <w:rPr>
          <w:rFonts w:ascii="SimSun" w:hAnsi="SimSun" w:eastAsia="SimSun" w:cs="SimSun"/>
          <w:color w:val="231F20"/>
          <w:spacing w:val="-1"/>
        </w:rPr>
        <w:t>电子版</w:t>
      </w:r>
      <w:r>
        <w:rPr>
          <w:color w:val="231F20"/>
          <w:spacing w:val="-1"/>
        </w:rPr>
        <w:t>),2017,9(04):41-44+24.</w:t>
      </w:r>
    </w:p>
    <w:p>
      <w:pPr>
        <w:pStyle w:val="BodyText"/>
        <w:ind w:left="709" w:right="284" w:firstLine="321"/>
        <w:spacing w:before="30" w:line="209" w:lineRule="auto"/>
        <w:rPr/>
      </w:pPr>
      <w:r>
        <w:pict>
          <v:shape id="_x0000_s2" style="position:absolute;margin-left:34.7766pt;margin-top:29.2891pt;mso-position-vertical-relative:text;mso-position-horizontal-relative:text;width:482.9pt;height:0.4pt;z-index:251659264;" filled="false" strokecolor="#231F20" strokeweight="0.37pt" coordsize="9657,8" coordorigin="0,0" path="m0,3l9657,3e">
            <v:stroke joinstyle="miter" miterlimit="4"/>
          </v:shape>
        </w:pict>
      </w:r>
      <w:r>
        <w:rPr>
          <w:color w:val="231F20"/>
          <w:spacing w:val="-7"/>
        </w:rPr>
        <w:t>[2]ljungberg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Bensalah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Canfield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Ea</w:t>
      </w:r>
      <w:r>
        <w:rPr>
          <w:color w:val="231F20"/>
          <w:spacing w:val="-8"/>
        </w:rPr>
        <w:t>u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Guidelines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Cell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Carcinoma: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2014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Up</w:t>
      </w:r>
      <w:r>
        <w:rPr>
          <w:color w:val="231F20"/>
          <w:spacing w:val="-9"/>
        </w:rPr>
        <w:t>date[j].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European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Urology,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2015,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67(5):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27" w:line="222" w:lineRule="auto"/>
        <w:rPr/>
      </w:pPr>
      <w:r>
        <w:rPr>
          <w:color w:val="231F20"/>
          <w:spacing w:val="-4"/>
        </w:rPr>
        <w:t>913-924.</w:t>
      </w:r>
    </w:p>
    <w:p>
      <w:pPr>
        <w:pStyle w:val="BodyText"/>
        <w:ind w:left="3" w:right="61" w:firstLine="321"/>
        <w:spacing w:before="6" w:line="219" w:lineRule="auto"/>
        <w:rPr/>
      </w:pPr>
      <w:r>
        <w:rPr>
          <w:color w:val="231F20"/>
          <w:spacing w:val="-9"/>
        </w:rPr>
        <w:t>[3]magers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Mj,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Udager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Am,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Mehra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R.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Mit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Fam</w:t>
      </w:r>
      <w:r>
        <w:rPr>
          <w:color w:val="231F20"/>
          <w:spacing w:val="-10"/>
        </w:rPr>
        <w:t>ily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Translocation-as-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sociated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Renal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Cell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Carcinoma: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Contemporary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Upd</w:t>
      </w:r>
      <w:r>
        <w:rPr>
          <w:color w:val="231F20"/>
          <w:spacing w:val="-11"/>
        </w:rPr>
        <w:t>ate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Emphasis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Morphologic,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Immunophenotypic,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0"/>
        </w:rPr>
        <w:t>Molecular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Mimics[j].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Archives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 Pathology &amp; Laborato</w:t>
      </w:r>
      <w:r>
        <w:rPr>
          <w:color w:val="231F20"/>
          <w:spacing w:val="-9"/>
        </w:rPr>
        <w:t>ry Medicine, 2015,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139(10):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1224-1233.</w:t>
      </w:r>
    </w:p>
    <w:p>
      <w:pPr>
        <w:pStyle w:val="BodyText"/>
        <w:ind w:right="61" w:firstLine="324"/>
        <w:spacing w:before="43" w:line="221" w:lineRule="auto"/>
        <w:rPr/>
      </w:pPr>
      <w:r>
        <w:rPr>
          <w:color w:val="231F20"/>
          <w:spacing w:val="-7"/>
        </w:rPr>
        <w:t>[4]argani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Antonescu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Cr,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7"/>
        </w:rPr>
        <w:t>Illei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P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Primary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Re</w:t>
      </w:r>
      <w:r>
        <w:rPr>
          <w:color w:val="231F20"/>
          <w:spacing w:val="-8"/>
        </w:rPr>
        <w:t>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Neo-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plasms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Aspl-tfe3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Gene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Fusion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Of Alveolar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Soft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9"/>
        </w:rPr>
        <w:t>Part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Sarcom</w:t>
      </w:r>
      <w:r>
        <w:rPr>
          <w:color w:val="231F20"/>
          <w:spacing w:val="-10"/>
        </w:rPr>
        <w:t>a: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 Distinctive Tumor Entity Previously Included Among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Renal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Cell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Carci-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nomas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Of Children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Adolescents[j].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American Journal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Of Pathol-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ogy, 2001,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159(1):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179-192.</w:t>
      </w:r>
    </w:p>
    <w:p>
      <w:pPr>
        <w:pStyle w:val="BodyText"/>
        <w:ind w:right="62" w:firstLine="324"/>
        <w:spacing w:before="42" w:line="219" w:lineRule="auto"/>
        <w:rPr/>
      </w:pPr>
      <w:r>
        <w:rPr>
          <w:color w:val="231F20"/>
          <w:spacing w:val="-6"/>
        </w:rPr>
        <w:t>[5]argani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Reuter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Ve,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Zhang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Tfeb-amplified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Renal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Cell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Carcinomas:  An  Aggressive  Molecular  Subse</w:t>
      </w:r>
      <w:r>
        <w:rPr>
          <w:color w:val="231F20"/>
          <w:spacing w:val="-10"/>
        </w:rPr>
        <w:t>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0"/>
        </w:rPr>
        <w:t>Demonstrating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0"/>
        </w:rPr>
        <w:t>Variable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Melanocytic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Marker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Expression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Morphologic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0"/>
        </w:rPr>
        <w:t>Het</w:t>
      </w:r>
      <w:r>
        <w:rPr>
          <w:color w:val="231F20"/>
          <w:spacing w:val="-11"/>
        </w:rPr>
        <w:t>erogeneity[j].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American Journal Of Surgical Pathol</w:t>
      </w:r>
      <w:r>
        <w:rPr>
          <w:color w:val="231F20"/>
          <w:spacing w:val="-8"/>
        </w:rPr>
        <w:t>ogy, 2016, 40(11):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1484-1495.</w:t>
      </w:r>
    </w:p>
    <w:p>
      <w:pPr>
        <w:pStyle w:val="BodyText"/>
        <w:ind w:right="62" w:firstLine="324"/>
        <w:spacing w:before="45" w:line="227" w:lineRule="auto"/>
        <w:rPr/>
      </w:pPr>
      <w:r>
        <w:rPr>
          <w:color w:val="231F20"/>
          <w:spacing w:val="-8"/>
        </w:rPr>
        <w:t>[6]duan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Xh,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Zhang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Mf,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Ren Jz,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Urgent Transcatheter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Arterial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Embolization  For  The  Treatment  Of  R</w:t>
      </w:r>
      <w:r>
        <w:rPr>
          <w:color w:val="231F20"/>
          <w:spacing w:val="-10"/>
        </w:rPr>
        <w:t>uptured  Renal  Angiomyolipoma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 Spontaneous Hemorrhage[</w:t>
      </w:r>
      <w:r>
        <w:rPr>
          <w:color w:val="231F20"/>
          <w:spacing w:val="-9"/>
        </w:rPr>
        <w:t>j]. Acta Radiologica,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2016,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57(11):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1360-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1365.</w:t>
      </w:r>
    </w:p>
    <w:p>
      <w:pPr>
        <w:pStyle w:val="BodyText"/>
        <w:ind w:left="1" w:right="61" w:firstLine="322"/>
        <w:spacing w:before="8" w:line="215" w:lineRule="auto"/>
        <w:rPr/>
      </w:pPr>
      <w:r>
        <w:rPr>
          <w:color w:val="231F20"/>
          <w:spacing w:val="-6"/>
        </w:rPr>
        <w:t>[7]komai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Y,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Fujiwara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Fujii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Xp11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Translocation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Renal  Cell  Carcinoma  Diagnosed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0"/>
        </w:rPr>
        <w:t>By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0"/>
        </w:rPr>
        <w:t>Cytogenetics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0"/>
        </w:rPr>
        <w:t>Immunohisto-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chemistry[j]. Clinical Cancer Research, 2009,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15(4):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1170-1176.</w:t>
      </w:r>
    </w:p>
    <w:p>
      <w:pPr>
        <w:pStyle w:val="BodyText"/>
        <w:ind w:right="62" w:firstLine="324"/>
        <w:spacing w:before="43" w:line="219" w:lineRule="auto"/>
        <w:rPr/>
      </w:pPr>
      <w:r>
        <w:rPr>
          <w:color w:val="231F20"/>
          <w:spacing w:val="-9"/>
        </w:rPr>
        <w:t>[8]sukov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Wr,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Hodge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Jc,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Lohse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Cm,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Tfe3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Rearrangem</w:t>
      </w:r>
      <w:r>
        <w:rPr>
          <w:color w:val="231F20"/>
          <w:spacing w:val="-10"/>
        </w:rPr>
        <w:t>ents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Adult Renal Cell Car</w:t>
      </w:r>
      <w:r>
        <w:rPr>
          <w:color w:val="231F20"/>
          <w:spacing w:val="-8"/>
        </w:rPr>
        <w:t>cinoma: Clinical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Pathologic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Features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Out-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Large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Series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Of Conse</w:t>
      </w:r>
      <w:r>
        <w:rPr>
          <w:color w:val="231F20"/>
          <w:spacing w:val="-9"/>
        </w:rPr>
        <w:t>cutively Treated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Patients[j].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Ameri-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can Journal Of Surgical Pathology, 2012, 36(5): 663-670.</w:t>
      </w:r>
    </w:p>
    <w:p>
      <w:pPr>
        <w:pStyle w:val="BodyText"/>
        <w:ind w:left="2659"/>
        <w:spacing w:before="44" w:line="20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本文责任编辑</w:t>
      </w:r>
      <w:r>
        <w:rPr>
          <w:sz w:val="18"/>
          <w:szCs w:val="18"/>
          <w:color w:val="231F20"/>
          <w:spacing w:val="2"/>
        </w:rPr>
        <w:t xml:space="preserve">     </w:t>
      </w:r>
      <w:r>
        <w:rPr>
          <w:sz w:val="18"/>
          <w:szCs w:val="18"/>
          <w:color w:val="231F20"/>
          <w:spacing w:val="7"/>
        </w:rPr>
        <w:t>李海英</w:t>
      </w:r>
    </w:p>
    <w:p>
      <w:pPr>
        <w:spacing w:line="202" w:lineRule="auto"/>
        <w:sectPr>
          <w:type w:val="continuous"/>
          <w:pgSz w:w="11906" w:h="16158"/>
          <w:pgMar w:top="400" w:right="1071" w:bottom="0" w:left="432" w:header="0" w:footer="0" w:gutter="0"/>
          <w:cols w:equalWidth="0" w:num="2">
            <w:col w:w="5616" w:space="100"/>
            <w:col w:w="4687" w:space="0"/>
          </w:cols>
        </w:sectPr>
        <w:rPr>
          <w:sz w:val="18"/>
          <w:szCs w:val="18"/>
        </w:rPr>
      </w:pPr>
    </w:p>
    <w:p>
      <w:pPr>
        <w:pStyle w:val="BodyText"/>
        <w:ind w:left="710"/>
        <w:spacing w:before="221" w:line="20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通讯作者</w:t>
      </w:r>
      <w:r>
        <w:rPr>
          <w:sz w:val="17"/>
          <w:szCs w:val="17"/>
          <w:color w:val="231F20"/>
          <w:spacing w:val="-5"/>
        </w:rPr>
        <w:t>：郭军</w:t>
      </w:r>
    </w:p>
    <w:p>
      <w:pPr>
        <w:ind w:left="709"/>
        <w:spacing w:before="113" w:line="227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196</w:t>
      </w:r>
    </w:p>
    <w:p>
      <w:pPr>
        <w:pStyle w:val="BodyText"/>
        <w:spacing w:before="74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4" style="position:absolute;margin-left:46.4pt;margin-top:13.7343pt;mso-position-vertical-relative:text;mso-position-horizontal-relative:text;width:0pt;height:0pt;z-index:-251658240;" fillcolor="#999999" filled="true" stroked="false" coordsize="0,0" coordorigin="0,0" path="m,c0,0,0,0,0,0e"/>
        </w:pict>
      </w:r>
      <w:r>
        <w:rPr>
          <w:sz w:val="23"/>
          <w:szCs w:val="23"/>
          <w:color w:val="999999"/>
          <w:spacing w:val="4"/>
        </w:rPr>
        <w:t>中国知网</w:t>
      </w:r>
      <w:r>
        <w:rPr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6" w:h="16158"/>
          <w:pgMar w:top="400" w:right="1071" w:bottom="0" w:left="432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32"/>
        <w:spacing w:before="99" w:line="240" w:lineRule="exact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color w:val="999999"/>
          <w:spacing w:val="3"/>
        </w:rPr>
        <w:t>中国知网</w:t>
      </w:r>
      <w:r>
        <w:rPr>
          <w:sz w:val="23"/>
          <w:szCs w:val="23"/>
          <w:color w:val="999999"/>
          <w:spacing w:val="10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3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3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2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3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32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3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sectPr>
      <w:headerReference w:type="default" r:id="rId2"/>
      <w:pgSz w:w="11905" w:h="16157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39" cy="10259567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039" cy="102595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2025-03-17T23:14:49Z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2025-10-28T21:32:34</vt:filetime>
  </property>
</Properties>
</file>