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727"/>
        <w:spacing w:before="90" w:line="200" w:lineRule="auto"/>
        <w:rPr>
          <w:sz w:val="21"/>
          <w:szCs w:val="21"/>
        </w:rPr>
      </w:pPr>
      <w:r>
        <w:rPr>
          <w:sz w:val="21"/>
          <w:szCs w:val="21"/>
          <w:u w:val="single" w:color="auto"/>
          <w:color w:val="231F20"/>
          <w:spacing w:val="-18"/>
        </w:rPr>
        <w:t>西藏医药</w:t>
      </w:r>
      <w:r>
        <w:rPr>
          <w:sz w:val="21"/>
          <w:szCs w:val="21"/>
          <w:u w:val="single" w:color="auto"/>
          <w:color w:val="231F20"/>
          <w:spacing w:val="-22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2025</w:t>
      </w:r>
      <w:r>
        <w:rPr>
          <w:sz w:val="21"/>
          <w:szCs w:val="21"/>
          <w:u w:val="single" w:color="auto"/>
          <w:color w:val="231F20"/>
          <w:spacing w:val="-25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年第</w:t>
      </w:r>
      <w:r>
        <w:rPr>
          <w:sz w:val="21"/>
          <w:szCs w:val="21"/>
          <w:u w:val="single" w:color="auto"/>
          <w:color w:val="231F20"/>
          <w:spacing w:val="-25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46</w:t>
      </w:r>
      <w:r>
        <w:rPr>
          <w:sz w:val="21"/>
          <w:szCs w:val="21"/>
          <w:u w:val="single" w:color="auto"/>
          <w:color w:val="231F20"/>
          <w:spacing w:val="-24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卷第 1</w:t>
      </w:r>
      <w:r>
        <w:rPr>
          <w:sz w:val="21"/>
          <w:szCs w:val="21"/>
          <w:u w:val="single" w:color="auto"/>
          <w:color w:val="231F20"/>
          <w:spacing w:val="-23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期（总 178</w:t>
      </w:r>
      <w:r>
        <w:rPr>
          <w:sz w:val="21"/>
          <w:szCs w:val="21"/>
          <w:u w:val="single" w:color="auto"/>
          <w:color w:val="231F20"/>
          <w:spacing w:val="-23"/>
        </w:rPr>
        <w:t xml:space="preserve"> </w:t>
      </w:r>
      <w:r>
        <w:rPr>
          <w:sz w:val="21"/>
          <w:szCs w:val="21"/>
          <w:u w:val="single" w:color="auto"/>
          <w:color w:val="231F20"/>
          <w:spacing w:val="-18"/>
        </w:rPr>
        <w:t>期）</w:t>
      </w:r>
    </w:p>
    <w:p>
      <w:pPr>
        <w:pStyle w:val="BodyText"/>
        <w:ind w:left="739"/>
        <w:spacing w:before="182" w:line="353" w:lineRule="exact"/>
        <w:rPr>
          <w:sz w:val="20"/>
          <w:szCs w:val="20"/>
        </w:rPr>
      </w:pPr>
      <w:r>
        <w:rPr>
          <w:sz w:val="20"/>
          <w:szCs w:val="20"/>
          <w:color w:val="231F20"/>
          <w:spacing w:val="6"/>
          <w:position w:val="2"/>
        </w:rPr>
        <w:t>●</w:t>
      </w:r>
      <w:r>
        <w:rPr>
          <w:rFonts w:ascii="SimHei" w:hAnsi="SimHei" w:eastAsia="SimHei" w:cs="SimHei"/>
          <w:sz w:val="25"/>
          <w:szCs w:val="25"/>
          <w:color w:val="231F20"/>
          <w:spacing w:val="6"/>
          <w:position w:val="2"/>
        </w:rPr>
        <w:t>个案·短篇</w:t>
      </w:r>
      <w:r>
        <w:rPr>
          <w:sz w:val="20"/>
          <w:szCs w:val="20"/>
          <w:color w:val="231F20"/>
          <w:spacing w:val="6"/>
          <w:position w:val="2"/>
        </w:rPr>
        <w:t>●</w:t>
      </w:r>
    </w:p>
    <w:p>
      <w:pPr>
        <w:pStyle w:val="BodyText"/>
        <w:ind w:left="2297"/>
        <w:spacing w:before="192" w:line="207" w:lineRule="auto"/>
        <w:outlineLvl w:val="0"/>
        <w:rPr>
          <w:sz w:val="39"/>
          <w:szCs w:val="39"/>
        </w:rPr>
      </w:pPr>
      <w:r>
        <w:rPr>
          <w:sz w:val="39"/>
          <w:szCs w:val="39"/>
          <w:color w:val="231F20"/>
          <w:spacing w:val="-17"/>
          <w:w w:val="93"/>
        </w:rPr>
        <w:t>急性阑尾炎合并食物源性回肠梗阻 1例报告</w:t>
      </w:r>
    </w:p>
    <w:p>
      <w:pPr>
        <w:pStyle w:val="BodyText"/>
        <w:ind w:left="3967"/>
        <w:spacing w:before="125" w:line="181" w:lineRule="auto"/>
        <w:rPr>
          <w:sz w:val="9"/>
          <w:szCs w:val="9"/>
        </w:rPr>
      </w:pPr>
      <w:r>
        <w:rPr>
          <w:sz w:val="17"/>
          <w:szCs w:val="17"/>
          <w:color w:val="231F20"/>
        </w:rPr>
        <w:t>琼达</w:t>
      </w:r>
      <w:r>
        <w:rPr>
          <w:sz w:val="17"/>
          <w:szCs w:val="17"/>
          <w:color w:val="231F20"/>
          <w:spacing w:val="3"/>
        </w:rPr>
        <w:t xml:space="preserve"> </w:t>
      </w:r>
      <w:r>
        <w:rPr>
          <w:sz w:val="9"/>
          <w:szCs w:val="9"/>
          <w:color w:val="231F20"/>
          <w:position w:val="6"/>
        </w:rPr>
        <w:t>1      </w:t>
      </w:r>
      <w:r>
        <w:rPr>
          <w:sz w:val="17"/>
          <w:szCs w:val="17"/>
          <w:color w:val="231F20"/>
        </w:rPr>
        <w:t>郭军</w:t>
      </w:r>
      <w:r>
        <w:rPr>
          <w:sz w:val="9"/>
          <w:szCs w:val="9"/>
          <w:color w:val="231F20"/>
          <w:position w:val="6"/>
        </w:rPr>
        <w:t>*2      </w:t>
      </w:r>
      <w:r>
        <w:rPr>
          <w:sz w:val="17"/>
          <w:szCs w:val="17"/>
          <w:color w:val="231F20"/>
        </w:rPr>
        <w:t>桑布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9"/>
          <w:szCs w:val="9"/>
          <w:color w:val="231F20"/>
          <w:position w:val="6"/>
        </w:rPr>
        <w:t>1      </w:t>
      </w:r>
      <w:r>
        <w:rPr>
          <w:sz w:val="17"/>
          <w:szCs w:val="17"/>
          <w:color w:val="231F20"/>
        </w:rPr>
        <w:t>桑杰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sz w:val="9"/>
          <w:szCs w:val="9"/>
          <w:color w:val="231F20"/>
          <w:position w:val="6"/>
        </w:rPr>
        <w:t>1      </w:t>
      </w:r>
      <w:r>
        <w:rPr>
          <w:sz w:val="17"/>
          <w:szCs w:val="17"/>
          <w:color w:val="231F20"/>
        </w:rPr>
        <w:t>洛桑卓玛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sz w:val="9"/>
          <w:szCs w:val="9"/>
          <w:color w:val="231F20"/>
          <w:position w:val="6"/>
        </w:rPr>
        <w:t>3</w:t>
      </w:r>
    </w:p>
    <w:p>
      <w:pPr>
        <w:pStyle w:val="BodyText"/>
        <w:ind w:left="3916"/>
        <w:spacing w:line="18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1"/>
        </w:rPr>
        <w:t>1.</w:t>
      </w:r>
      <w:r>
        <w:rPr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1"/>
        </w:rPr>
        <w:t>西藏洛扎县中心医院  西藏洛扎   851</w:t>
      </w:r>
      <w:r>
        <w:rPr>
          <w:sz w:val="17"/>
          <w:szCs w:val="17"/>
          <w:color w:val="231F20"/>
        </w:rPr>
        <w:t>200</w:t>
      </w:r>
    </w:p>
    <w:p>
      <w:pPr>
        <w:pStyle w:val="BodyText"/>
        <w:ind w:left="3160"/>
        <w:spacing w:line="181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2.</w:t>
      </w:r>
      <w:r>
        <w:rPr>
          <w:sz w:val="17"/>
          <w:szCs w:val="17"/>
          <w:color w:val="231F20"/>
          <w:spacing w:val="-4"/>
        </w:rPr>
        <w:t xml:space="preserve"> </w:t>
      </w:r>
      <w:r>
        <w:rPr>
          <w:sz w:val="17"/>
          <w:szCs w:val="17"/>
          <w:color w:val="231F20"/>
          <w:spacing w:val="3"/>
        </w:rPr>
        <w:t>联勤保障部队第九八〇医院普通外科  河北石家庄   050000</w:t>
      </w:r>
    </w:p>
    <w:p>
      <w:pPr>
        <w:pStyle w:val="BodyText"/>
        <w:ind w:left="4022"/>
        <w:spacing w:before="1" w:line="201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3. 西藏自治区医院</w:t>
      </w:r>
      <w:r>
        <w:rPr>
          <w:sz w:val="17"/>
          <w:szCs w:val="17"/>
          <w:color w:val="231F20"/>
          <w:spacing w:val="6"/>
        </w:rPr>
        <w:t xml:space="preserve">    </w:t>
      </w:r>
      <w:r>
        <w:rPr>
          <w:sz w:val="17"/>
          <w:szCs w:val="17"/>
          <w:color w:val="231F20"/>
        </w:rPr>
        <w:t>西藏拉萨   850000</w:t>
      </w: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1"/>
          <w:footerReference w:type="default" r:id="rId2"/>
          <w:pgSz w:w="11906" w:h="16158"/>
          <w:pgMar w:top="400" w:right="1071" w:bottom="901" w:left="424" w:header="0" w:footer="674" w:gutter="0"/>
          <w:cols w:equalWidth="0" w:num="1">
            <w:col w:w="10411" w:space="0"/>
          </w:cols>
        </w:sectPr>
        <w:rPr/>
      </w:pPr>
    </w:p>
    <w:p>
      <w:pPr>
        <w:pStyle w:val="BodyText"/>
        <w:ind w:left="729"/>
        <w:spacing w:before="43" w:line="214" w:lineRule="auto"/>
        <w:rPr>
          <w:rFonts w:ascii="SimHei" w:hAnsi="SimHei" w:eastAsia="SimHei" w:cs="SimHei"/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   </w:t>
      </w:r>
      <w:r>
        <w:rPr>
          <w:rFonts w:ascii="SimHei" w:hAnsi="SimHei" w:eastAsia="SimHei" w:cs="SimHei"/>
          <w:sz w:val="18"/>
          <w:szCs w:val="18"/>
          <w:b/>
          <w:bCs/>
          <w:color w:val="231F20"/>
          <w:spacing w:val="1"/>
        </w:rPr>
        <w:t>病例简介</w:t>
      </w:r>
    </w:p>
    <w:p>
      <w:pPr>
        <w:pStyle w:val="BodyText"/>
        <w:ind w:left="732" w:right="290" w:firstLine="375"/>
        <w:spacing w:before="10" w:line="216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患者男、</w:t>
      </w:r>
      <w:r>
        <w:rPr>
          <w:sz w:val="18"/>
          <w:szCs w:val="18"/>
          <w:color w:val="231F20"/>
          <w:spacing w:val="-10"/>
        </w:rPr>
        <w:t>37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岁</w:t>
      </w:r>
      <w:r>
        <w:rPr>
          <w:rFonts w:ascii="SimSun" w:hAnsi="SimSun" w:eastAsia="SimSun" w:cs="SimSun"/>
          <w:sz w:val="18"/>
          <w:szCs w:val="18"/>
          <w:color w:val="231F20"/>
          <w:spacing w:val="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因“腹痛、腹胀伴呕吐 </w:t>
      </w:r>
      <w:r>
        <w:rPr>
          <w:sz w:val="18"/>
          <w:szCs w:val="18"/>
          <w:color w:val="231F20"/>
          <w:spacing w:val="-10"/>
        </w:rPr>
        <w:t>13h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”入院</w:t>
      </w:r>
      <w:r>
        <w:rPr>
          <w:rFonts w:ascii="SimSun" w:hAnsi="SimSun" w:eastAsia="SimSun" w:cs="SimSun"/>
          <w:sz w:val="18"/>
          <w:szCs w:val="18"/>
          <w:color w:val="231F20"/>
          <w:spacing w:val="-5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。于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13h</w:t>
      </w:r>
      <w:r>
        <w:rPr>
          <w:sz w:val="18"/>
          <w:szCs w:val="18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"/>
        </w:rPr>
        <w:t>前进食风干牛肉干后</w:t>
      </w:r>
    </w:p>
    <w:p>
      <w:pPr>
        <w:pStyle w:val="BodyText"/>
        <w:ind w:left="661" w:right="286" w:firstLine="453"/>
        <w:spacing w:before="5" w:line="234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出现腹痛，以剑突下及脐周为主，呈阵发性胀痛，伴</w:t>
      </w:r>
      <w:r>
        <w:rPr>
          <w:rFonts w:ascii="SimSun" w:hAnsi="SimSun" w:eastAsia="SimSun" w:cs="SimSun"/>
          <w:sz w:val="18"/>
          <w:szCs w:val="18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恶心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、呕吐</w:t>
      </w:r>
      <w:r>
        <w:rPr>
          <w:rFonts w:ascii="SimSun" w:hAnsi="SimSun" w:eastAsia="SimSun" w:cs="SimSun"/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次，呕吐物为胃内容物，肛门停止排气、排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便</w:t>
      </w:r>
      <w:r>
        <w:rPr>
          <w:rFonts w:ascii="SimSun" w:hAnsi="SimSun" w:eastAsia="SimSun" w:cs="SimSun"/>
          <w:sz w:val="18"/>
          <w:szCs w:val="18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。查体：</w:t>
      </w:r>
      <w:r>
        <w:rPr>
          <w:sz w:val="18"/>
          <w:szCs w:val="18"/>
          <w:color w:val="231F20"/>
          <w:spacing w:val="2"/>
        </w:rPr>
        <w:t>T:36.   2℃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R:18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次／分</w:t>
      </w:r>
      <w:r>
        <w:rPr>
          <w:rFonts w:ascii="SimSun" w:hAnsi="SimSun" w:eastAsia="SimSun" w:cs="SimSun"/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2"/>
        </w:rPr>
        <w:t>P:76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次／分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</w:rPr>
        <w:t>BP</w:t>
      </w:r>
      <w:r>
        <w:rPr>
          <w:sz w:val="18"/>
          <w:szCs w:val="18"/>
          <w:color w:val="231F20"/>
          <w:spacing w:val="2"/>
        </w:rPr>
        <w:t>:144/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74mmHg,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发育正常，营养中等。神志清，精神欠佳，被 动</w:t>
      </w:r>
      <w:r>
        <w:rPr>
          <w:rFonts w:ascii="SimSun" w:hAnsi="SimSun" w:eastAsia="SimSun" w:cs="SimSun"/>
          <w:sz w:val="18"/>
          <w:szCs w:val="18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体位，皮肤巩膜无黄染，心肺未见异常，腹部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稍隆起、轻度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>腹肌紧张、全腹散在压痛及反 跳痛阳性，右下腹麦氏点</w:t>
      </w:r>
      <w:r>
        <w:rPr>
          <w:rFonts w:ascii="SimSun" w:hAnsi="SimSun" w:eastAsia="SimSun" w:cs="SimSun"/>
          <w:sz w:val="18"/>
          <w:szCs w:val="18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压痛、反跳痛强阳性，闭孔内肌试验（一）结肠充气试验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（</w:t>
      </w:r>
      <w:r>
        <w:rPr>
          <w:sz w:val="18"/>
          <w:szCs w:val="18"/>
          <w:color w:val="231F20"/>
        </w:rPr>
        <w:t>-</w:t>
      </w:r>
      <w:r>
        <w:rPr>
          <w:rFonts w:ascii="SimSun" w:hAnsi="SimSun" w:eastAsia="SimSun" w:cs="SimSun"/>
          <w:sz w:val="18"/>
          <w:szCs w:val="18"/>
          <w:color w:val="231F20"/>
          <w:spacing w:val="-29"/>
          <w:w w:val="61"/>
        </w:rPr>
        <w:t>），</w:t>
      </w:r>
      <w:r>
        <w:rPr>
          <w:rFonts w:ascii="SimSun" w:hAnsi="SimSun" w:eastAsia="SimSun" w:cs="SimSun"/>
          <w:sz w:val="18"/>
          <w:szCs w:val="18"/>
          <w:color w:val="231F20"/>
        </w:rPr>
        <w:t>腰大肌试验（</w:t>
      </w:r>
      <w:r>
        <w:rPr>
          <w:sz w:val="18"/>
          <w:szCs w:val="18"/>
          <w:color w:val="231F20"/>
        </w:rPr>
        <w:t>+</w:t>
      </w:r>
      <w:r>
        <w:rPr>
          <w:rFonts w:ascii="SimSun" w:hAnsi="SimSun" w:eastAsia="SimSun" w:cs="SimSun"/>
          <w:sz w:val="18"/>
          <w:szCs w:val="18"/>
          <w:color w:val="231F20"/>
          <w:spacing w:val="-29"/>
          <w:w w:val="61"/>
        </w:rPr>
        <w:t>），</w:t>
      </w:r>
      <w:r>
        <w:rPr>
          <w:rFonts w:ascii="SimSun" w:hAnsi="SimSun" w:eastAsia="SimSun" w:cs="SimSun"/>
          <w:sz w:val="18"/>
          <w:szCs w:val="18"/>
          <w:color w:val="231F20"/>
        </w:rPr>
        <w:t>墨菲氏征阴性，肝脾肋下未触及，肝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肾区叩击痛阴性，移动性浊音阴性，肠鸣音：</w:t>
      </w:r>
      <w:r>
        <w:rPr>
          <w:sz w:val="18"/>
          <w:szCs w:val="18"/>
          <w:color w:val="231F20"/>
          <w:spacing w:val="-2"/>
        </w:rPr>
        <w:t>2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次</w:t>
      </w:r>
      <w:r>
        <w:rPr>
          <w:sz w:val="18"/>
          <w:szCs w:val="18"/>
          <w:color w:val="231F20"/>
          <w:spacing w:val="-3"/>
        </w:rPr>
        <w:t>/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分，双下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肢无浮肿。辅助检查：腹部</w:t>
      </w:r>
      <w:r>
        <w:rPr>
          <w:rFonts w:ascii="SimSun" w:hAnsi="SimSun" w:eastAsia="SimSun" w:cs="SimSun"/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7"/>
        </w:rPr>
        <w:t>CT 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提示：</w:t>
      </w:r>
      <w:r>
        <w:rPr>
          <w:sz w:val="18"/>
          <w:szCs w:val="18"/>
          <w:color w:val="231F20"/>
          <w:spacing w:val="-7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、肠梗阻；</w:t>
      </w:r>
      <w:r>
        <w:rPr>
          <w:sz w:val="18"/>
          <w:szCs w:val="18"/>
          <w:color w:val="231F20"/>
          <w:spacing w:val="-7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、阑尾增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粗、根 部见一高密度粪石影，考虑急性阑尾炎（图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6"/>
        </w:rPr>
        <w:t>1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12" w:lineRule="auto"/>
        <w:jc w:val="righ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血常规：</w:t>
      </w:r>
      <w:r>
        <w:rPr>
          <w:sz w:val="18"/>
          <w:szCs w:val="18"/>
          <w:color w:val="231F20"/>
          <w:spacing w:val="-1"/>
        </w:rPr>
        <w:t>WBC:13.54×10</w:t>
      </w:r>
      <w:r>
        <w:rPr>
          <w:sz w:val="10"/>
          <w:szCs w:val="10"/>
          <w:color w:val="231F20"/>
          <w:spacing w:val="-1"/>
          <w:position w:val="6"/>
        </w:rPr>
        <w:t>9</w:t>
      </w:r>
      <w:r>
        <w:rPr>
          <w:sz w:val="18"/>
          <w:szCs w:val="18"/>
          <w:color w:val="231F20"/>
          <w:spacing w:val="-1"/>
        </w:rPr>
        <w:t>/L,N:88.7%,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1"/>
        </w:rPr>
        <w:t>中性粒细胞数：</w:t>
      </w:r>
    </w:p>
    <w:p>
      <w:pPr>
        <w:pStyle w:val="BodyText"/>
        <w:ind w:firstLine="14"/>
        <w:spacing w:before="9" w:line="237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12.07×10</w:t>
      </w:r>
      <w:r>
        <w:rPr>
          <w:sz w:val="10"/>
          <w:szCs w:val="10"/>
          <w:color w:val="231F20"/>
          <w:spacing w:val="5"/>
          <w:position w:val="6"/>
        </w:rPr>
        <w:t>9</w:t>
      </w:r>
      <w:r>
        <w:rPr>
          <w:sz w:val="18"/>
          <w:szCs w:val="18"/>
          <w:color w:val="231F20"/>
          <w:spacing w:val="5"/>
        </w:rPr>
        <w:t>/L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，其余未见明显异常</w:t>
      </w:r>
      <w:r>
        <w:rPr>
          <w:rFonts w:ascii="SimSun" w:hAnsi="SimSun" w:eastAsia="SimSun" w:cs="SimSun"/>
          <w:sz w:val="18"/>
          <w:szCs w:val="18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。心</w:t>
      </w:r>
      <w:r>
        <w:rPr>
          <w:rFonts w:ascii="SimSun" w:hAnsi="SimSun" w:eastAsia="SimSun" w:cs="SimSun"/>
          <w:sz w:val="18"/>
          <w:szCs w:val="18"/>
          <w:color w:val="231F20"/>
          <w:spacing w:val="5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电图：窦性心律。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胸部</w:t>
      </w:r>
      <w:r>
        <w:rPr>
          <w:rFonts w:ascii="SimSun" w:hAnsi="SimSun" w:eastAsia="SimSun" w:cs="SimSun"/>
          <w:sz w:val="18"/>
          <w:szCs w:val="18"/>
          <w:color w:val="231F20"/>
          <w:spacing w:val="-29"/>
        </w:rPr>
        <w:t xml:space="preserve"> </w:t>
      </w:r>
      <w:r>
        <w:rPr>
          <w:sz w:val="18"/>
          <w:szCs w:val="18"/>
          <w:color w:val="231F20"/>
        </w:rPr>
        <w:t>X </w:t>
      </w:r>
      <w:r>
        <w:rPr>
          <w:rFonts w:ascii="SimSun" w:hAnsi="SimSun" w:eastAsia="SimSun" w:cs="SimSun"/>
          <w:sz w:val="18"/>
          <w:szCs w:val="18"/>
          <w:color w:val="231F20"/>
        </w:rPr>
        <w:t>线：心肺未见明</w:t>
      </w:r>
      <w:r>
        <w:rPr>
          <w:rFonts w:ascii="SimSun" w:hAnsi="SimSun" w:eastAsia="SimSun" w:cs="SimSun"/>
          <w:sz w:val="18"/>
          <w:szCs w:val="18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显异常。诊断：腹痛待查：小肠梗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阻；急性阑尾炎伴腹膜炎。于全麻下行腹腔镜  探查</w:t>
      </w:r>
      <w:r>
        <w:rPr>
          <w:sz w:val="18"/>
          <w:szCs w:val="18"/>
          <w:color w:val="231F20"/>
          <w:spacing w:val="5"/>
        </w:rPr>
        <w:t>+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中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转开腹</w:t>
      </w:r>
      <w:r>
        <w:rPr>
          <w:sz w:val="18"/>
          <w:szCs w:val="18"/>
          <w:color w:val="231F20"/>
          <w:spacing w:val="7"/>
        </w:rPr>
        <w:t>+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回肠异物取出</w:t>
      </w:r>
      <w:r>
        <w:rPr>
          <w:sz w:val="18"/>
          <w:szCs w:val="18"/>
          <w:color w:val="231F20"/>
          <w:spacing w:val="7"/>
        </w:rPr>
        <w:t>+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阑尾切除</w:t>
      </w:r>
      <w:r>
        <w:rPr>
          <w:sz w:val="18"/>
          <w:szCs w:val="18"/>
          <w:color w:val="231F20"/>
          <w:spacing w:val="7"/>
        </w:rPr>
        <w:t>+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>腹腔冲洗引流术。术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中见腹腔内少量血性渗液，空肠及部分回肠显著扩张，肠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壁充血水肿，浆膜面大量渗血；距回盲部</w:t>
      </w:r>
      <w:r>
        <w:rPr>
          <w:sz w:val="18"/>
          <w:szCs w:val="18"/>
          <w:color w:val="231F20"/>
          <w:spacing w:val="-2"/>
        </w:rPr>
        <w:t>50cm 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处，空肠内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触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及坚硬团块，大小约</w:t>
      </w:r>
      <w:r>
        <w:rPr>
          <w:rFonts w:ascii="SimSun" w:hAnsi="SimSun" w:eastAsia="SimSun" w:cs="SimSun"/>
          <w:sz w:val="18"/>
          <w:szCs w:val="18"/>
          <w:color w:val="231F20"/>
          <w:spacing w:val="-50"/>
        </w:rPr>
        <w:t xml:space="preserve"> </w:t>
      </w:r>
      <w:r>
        <w:rPr>
          <w:sz w:val="18"/>
          <w:szCs w:val="18"/>
          <w:color w:val="231F20"/>
          <w:spacing w:val="-8"/>
        </w:rPr>
        <w:t>4*2cm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，远端肠管正常（图</w:t>
      </w:r>
      <w:r>
        <w:rPr>
          <w:rFonts w:ascii="SimSun" w:hAnsi="SimSun" w:eastAsia="SimSun" w:cs="SimSun"/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8"/>
        </w:rPr>
        <w:t>2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、</w:t>
      </w:r>
      <w:r>
        <w:rPr>
          <w:sz w:val="18"/>
          <w:szCs w:val="18"/>
          <w:color w:val="231F20"/>
          <w:spacing w:val="-8"/>
        </w:rPr>
        <w:t>3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）。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考虑食物源性回肠梗阻，进一步探 查发现，继续探查阑</w:t>
      </w:r>
      <w:r>
        <w:rPr>
          <w:rFonts w:ascii="SimSun" w:hAnsi="SimSun" w:eastAsia="SimSun" w:cs="SimSun"/>
          <w:sz w:val="18"/>
          <w:szCs w:val="18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4"/>
        </w:rPr>
        <w:t>尾位于盲肠后位，显著增粗，表面充血水肿，与后腹膜粘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连紧密。中转</w:t>
      </w:r>
      <w:r>
        <w:rPr>
          <w:rFonts w:ascii="SimSun" w:hAnsi="SimSun" w:eastAsia="SimSun" w:cs="SimSun"/>
          <w:sz w:val="18"/>
          <w:szCs w:val="18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开腹行回肠异物取出、阑尾逆行切除术，术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后病理：急性阑尾炎（图</w:t>
      </w:r>
      <w:r>
        <w:rPr>
          <w:sz w:val="18"/>
          <w:szCs w:val="18"/>
          <w:color w:val="231F20"/>
          <w:spacing w:val="6"/>
        </w:rPr>
        <w:t>4</w:t>
      </w:r>
      <w:r>
        <w:rPr>
          <w:rFonts w:ascii="SimSun" w:hAnsi="SimSun" w:eastAsia="SimSun" w:cs="SimSun"/>
          <w:sz w:val="18"/>
          <w:szCs w:val="18"/>
          <w:color w:val="231F20"/>
          <w:spacing w:val="-41"/>
          <w:w w:val="85"/>
        </w:rPr>
        <w:t>）；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给予禁食补液及对</w:t>
      </w:r>
      <w:r>
        <w:rPr>
          <w:rFonts w:ascii="SimSun" w:hAnsi="SimSun" w:eastAsia="SimSun" w:cs="SimSun"/>
          <w:sz w:val="18"/>
          <w:szCs w:val="18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症治疗，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痊愈出院。</w:t>
      </w:r>
    </w:p>
    <w:p>
      <w:pPr>
        <w:spacing w:before="4" w:line="243" w:lineRule="exact"/>
        <w:jc w:val="righ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9"/>
          <w:position w:val="1"/>
        </w:rPr>
        <w:t>（下转封四）</w:t>
      </w:r>
    </w:p>
    <w:p>
      <w:pPr>
        <w:spacing w:line="243" w:lineRule="exact"/>
        <w:sectPr>
          <w:type w:val="continuous"/>
          <w:pgSz w:w="11906" w:h="16158"/>
          <w:pgMar w:top="400" w:right="1071" w:bottom="901" w:left="424" w:header="0" w:footer="674" w:gutter="0"/>
          <w:cols w:equalWidth="0" w:num="2">
            <w:col w:w="5628" w:space="100"/>
            <w:col w:w="4684" w:space="0"/>
          </w:cols>
        </w:sectPr>
        <w:rPr>
          <w:rFonts w:ascii="SimHei" w:hAnsi="SimHei" w:eastAsia="SimHei" w:cs="SimHei"/>
          <w:sz w:val="18"/>
          <w:szCs w:val="18"/>
        </w:rPr>
      </w:pPr>
    </w:p>
    <w:p>
      <w:pPr>
        <w:pStyle w:val="BodyText"/>
        <w:ind w:left="709"/>
        <w:spacing w:line="160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46"/>
          <w:w w:val="127"/>
        </w:rPr>
        <w:t>■■■■■■■■■■■■■■■■■■■■■■■■■■■■■■■■■■■■■■■■■■■■■■■■■■■■■■■■■</w:t>
      </w:r>
    </w:p>
    <w:p>
      <w:pPr>
        <w:spacing w:line="160" w:lineRule="auto"/>
        <w:sectPr>
          <w:type w:val="continuous"/>
          <w:pgSz w:w="11906" w:h="16158"/>
          <w:pgMar w:top="400" w:right="1071" w:bottom="901" w:left="424" w:header="0" w:footer="674" w:gutter="0"/>
          <w:cols w:equalWidth="0" w:num="1">
            <w:col w:w="10411" w:space="0"/>
          </w:cols>
        </w:sectPr>
        <w:rPr>
          <w:sz w:val="16"/>
          <w:szCs w:val="16"/>
        </w:rPr>
      </w:pPr>
    </w:p>
    <w:p>
      <w:pPr>
        <w:pStyle w:val="BodyText"/>
        <w:ind w:left="718" w:right="286" w:firstLine="3"/>
        <w:spacing w:before="32" w:line="243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行肾部分切除术是一种保留肾脏的选择，可以最大限度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12"/>
        </w:rPr>
        <w:t>地减少心血管等不良反应的发生和术后死亡率。与其他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肾细胞癌类似，放疗和化疗对</w:t>
      </w:r>
      <w:r>
        <w:rPr>
          <w:sz w:val="18"/>
          <w:szCs w:val="18"/>
          <w:color w:val="231F20"/>
        </w:rPr>
        <w:t>MiT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家族易位肿瘤的治疗效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果不明显。近年来，随着全基因组</w:t>
      </w:r>
      <w:r>
        <w:rPr>
          <w:rFonts w:ascii="SimSun" w:hAnsi="SimSun" w:eastAsia="SimSun" w:cs="SimSun"/>
          <w:sz w:val="18"/>
          <w:szCs w:val="18"/>
          <w:color w:val="231F20"/>
          <w:spacing w:val="-48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和</w:t>
      </w:r>
      <w:r>
        <w:rPr>
          <w:rFonts w:ascii="SimSun" w:hAnsi="SimSun" w:eastAsia="SimSun" w:cs="SimSun"/>
          <w:sz w:val="18"/>
          <w:szCs w:val="18"/>
          <w:color w:val="231F20"/>
          <w:spacing w:val="-52"/>
        </w:rPr>
        <w:t xml:space="preserve"> </w:t>
      </w:r>
      <w:r>
        <w:rPr>
          <w:sz w:val="18"/>
          <w:szCs w:val="18"/>
          <w:color w:val="231F20"/>
        </w:rPr>
        <w:t>RNA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3"/>
        </w:rPr>
        <w:t>测序技术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在</w:t>
      </w:r>
      <w:r>
        <w:rPr>
          <w:sz w:val="18"/>
          <w:szCs w:val="18"/>
          <w:color w:val="231F20"/>
        </w:rPr>
        <w:t>MiT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5"/>
        </w:rPr>
        <w:t>家族易位性肾细胞癌中寻找治疗靶点的应用，分子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靶向治疗为患者带来了希望。</w:t>
      </w:r>
    </w:p>
    <w:p>
      <w:pPr>
        <w:pStyle w:val="BodyText"/>
        <w:ind w:left="718" w:right="236" w:firstLine="398"/>
        <w:spacing w:before="6" w:line="23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国内外相关研究显示，</w:t>
      </w:r>
      <w:r>
        <w:rPr>
          <w:sz w:val="18"/>
          <w:szCs w:val="18"/>
          <w:color w:val="231F20"/>
        </w:rPr>
        <w:t>Xp</w:t>
      </w:r>
      <w:r>
        <w:rPr>
          <w:sz w:val="18"/>
          <w:szCs w:val="18"/>
          <w:color w:val="231F20"/>
          <w:spacing w:val="8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易位肾细胞癌病程进展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迅速，常发生淋巴结转移，患者术后平均存活时间为</w:t>
      </w:r>
      <w:r>
        <w:rPr>
          <w:rFonts w:ascii="SimSun" w:hAnsi="SimSun" w:eastAsia="SimSun" w:cs="SimSun"/>
          <w:sz w:val="18"/>
          <w:szCs w:val="18"/>
          <w:color w:val="231F20"/>
          <w:spacing w:val="-38"/>
        </w:rPr>
        <w:t xml:space="preserve"> </w:t>
      </w:r>
      <w:r>
        <w:rPr>
          <w:sz w:val="18"/>
          <w:szCs w:val="18"/>
          <w:color w:val="231F20"/>
        </w:rPr>
        <w:t>18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</w:rPr>
        <w:t>个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月。其可能比肾透明细胞癌具有更强的侵袭性</w:t>
      </w:r>
      <w:r>
        <w:rPr>
          <w:sz w:val="10"/>
          <w:szCs w:val="10"/>
          <w:color w:val="231F20"/>
          <w:spacing w:val="6"/>
          <w:position w:val="6"/>
        </w:rPr>
        <w:t>[8]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，但也有</w:t>
      </w:r>
      <w:r>
        <w:rPr>
          <w:rFonts w:ascii="SimSun" w:hAnsi="SimSun" w:eastAsia="SimSun" w:cs="SimSun"/>
          <w:sz w:val="18"/>
          <w:szCs w:val="18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相关报道提示，</w:t>
      </w:r>
      <w:r>
        <w:rPr>
          <w:sz w:val="18"/>
          <w:szCs w:val="18"/>
          <w:color w:val="231F20"/>
        </w:rPr>
        <w:t>Xp</w:t>
      </w:r>
      <w:r>
        <w:rPr>
          <w:sz w:val="18"/>
          <w:szCs w:val="18"/>
          <w:color w:val="231F20"/>
          <w:spacing w:val="9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9"/>
        </w:rPr>
        <w:t>易位肾细胞癌的预后与肾透明细胞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癌相似，但比肾乳头状细胞癌差。</w:t>
      </w:r>
      <w:r>
        <w:rPr>
          <w:sz w:val="18"/>
          <w:szCs w:val="18"/>
          <w:color w:val="231F20"/>
          <w:spacing w:val="-3"/>
        </w:rPr>
        <w:t>t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（</w:t>
      </w:r>
      <w:r>
        <w:rPr>
          <w:sz w:val="18"/>
          <w:szCs w:val="18"/>
          <w:color w:val="231F20"/>
          <w:spacing w:val="-3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；</w:t>
      </w:r>
      <w:r>
        <w:rPr>
          <w:sz w:val="18"/>
          <w:szCs w:val="18"/>
          <w:color w:val="231F20"/>
          <w:spacing w:val="-3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）易位肾</w:t>
      </w:r>
      <w:r>
        <w:rPr>
          <w:rFonts w:ascii="SimSun" w:hAnsi="SimSun" w:eastAsia="SimSun" w:cs="SimSun"/>
          <w:sz w:val="18"/>
          <w:szCs w:val="18"/>
          <w:color w:val="231F20"/>
          <w:spacing w:val="-4"/>
        </w:rPr>
        <w:t>细胞癌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6"/>
        </w:rPr>
        <w:t>大多表现为惰性病程，预后较好，但由于相关报道极少，</w:t>
      </w:r>
      <w:r>
        <w:rPr>
          <w:rFonts w:ascii="SimSun" w:hAnsi="SimSun" w:eastAsia="SimSun" w:cs="SimSun"/>
          <w:sz w:val="18"/>
          <w:szCs w:val="18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8"/>
        </w:rPr>
        <w:t>还没有明确证据支持这一观点。</w:t>
      </w:r>
    </w:p>
    <w:p>
      <w:pPr>
        <w:pStyle w:val="BodyText"/>
        <w:ind w:left="718" w:right="286" w:firstLine="382"/>
        <w:spacing w:before="19" w:line="256" w:lineRule="auto"/>
        <w:jc w:val="both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综上，</w:t>
      </w:r>
      <w:r>
        <w:rPr>
          <w:sz w:val="18"/>
          <w:szCs w:val="18"/>
          <w:color w:val="231F20"/>
          <w:spacing w:val="-2"/>
        </w:rPr>
        <w:t>MiT</w:t>
      </w:r>
      <w:r>
        <w:rPr>
          <w:rFonts w:ascii="SimSun" w:hAnsi="SimSun" w:eastAsia="SimSun" w:cs="SimSun"/>
          <w:sz w:val="18"/>
          <w:szCs w:val="18"/>
          <w:color w:val="231F20"/>
          <w:spacing w:val="-2"/>
        </w:rPr>
        <w:t>家族易位性肾细胞癌是一种罕见的基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因易位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型肾细胞癌，确诊不仅需要其形态学特征，还非常依赖于分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子检测，要注意与肾透明细胞癌、肾嫌色细胞癌、肾乳头状细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胞癌等的鉴别诊断。</w:t>
      </w:r>
      <w:r>
        <w:rPr>
          <w:rFonts w:ascii="SimSun" w:hAnsi="SimSun" w:eastAsia="SimSun" w:cs="SimSun"/>
          <w:sz w:val="18"/>
          <w:szCs w:val="18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目前，</w:t>
      </w:r>
      <w:r>
        <w:rPr>
          <w:sz w:val="18"/>
          <w:szCs w:val="18"/>
          <w:color w:val="231F20"/>
          <w:spacing w:val="-3"/>
        </w:rPr>
        <w:t>MiT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家族易位性肾细胞癌还没有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相关治疗指南，首选手术切除治疗，其预后较差。相关研究</w:t>
      </w:r>
      <w:r>
        <w:rPr>
          <w:rFonts w:ascii="SimSun" w:hAnsi="SimSun" w:eastAsia="SimSun" w:cs="SimSun"/>
          <w:sz w:val="18"/>
          <w:szCs w:val="18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8"/>
          <w:szCs w:val="18"/>
          <w:color w:val="231F20"/>
          <w:spacing w:val="-3"/>
        </w:rPr>
        <w:t>表明，分子靶向治疗会较大提高患者的治疗效果。</w:t>
      </w:r>
    </w:p>
    <w:p>
      <w:pPr>
        <w:ind w:left="1031"/>
        <w:spacing w:before="260" w:line="242" w:lineRule="exact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1"/>
          <w:position w:val="1"/>
        </w:rPr>
        <w:t>【参考文献】</w:t>
      </w:r>
    </w:p>
    <w:p>
      <w:pPr>
        <w:pStyle w:val="BodyText"/>
        <w:ind w:left="719" w:right="284" w:firstLine="319"/>
        <w:spacing w:before="38" w:line="215" w:lineRule="auto"/>
        <w:rPr/>
      </w:pPr>
      <w:r>
        <w:rPr>
          <w:color w:val="231F20"/>
          <w:spacing w:val="9"/>
        </w:rPr>
        <w:t>[1]</w:t>
      </w:r>
      <w:r>
        <w:rPr>
          <w:rFonts w:ascii="SimSun" w:hAnsi="SimSun" w:eastAsia="SimSun" w:cs="SimSun"/>
          <w:color w:val="231F20"/>
          <w:spacing w:val="9"/>
        </w:rPr>
        <w:t>韩景霞</w:t>
      </w:r>
      <w:r>
        <w:rPr>
          <w:color w:val="231F20"/>
          <w:spacing w:val="9"/>
        </w:rPr>
        <w:t>,</w:t>
      </w:r>
      <w:r>
        <w:rPr>
          <w:color w:val="231F20"/>
          <w:spacing w:val="-19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宁薇薇</w:t>
      </w:r>
      <w:r>
        <w:rPr>
          <w:color w:val="231F20"/>
          <w:spacing w:val="9"/>
        </w:rPr>
        <w:t>,</w:t>
      </w:r>
      <w:r>
        <w:rPr>
          <w:rFonts w:ascii="SimSun" w:hAnsi="SimSun" w:eastAsia="SimSun" w:cs="SimSun"/>
          <w:color w:val="231F20"/>
          <w:spacing w:val="9"/>
        </w:rPr>
        <w:t>李博</w:t>
      </w:r>
      <w:r>
        <w:rPr>
          <w:rFonts w:ascii="SimSun" w:hAnsi="SimSun" w:eastAsia="SimSun" w:cs="SimSun"/>
          <w:color w:val="231F20"/>
          <w:spacing w:val="-35"/>
        </w:rPr>
        <w:t xml:space="preserve"> </w:t>
      </w:r>
      <w:r>
        <w:rPr>
          <w:color w:val="231F20"/>
          <w:spacing w:val="9"/>
        </w:rPr>
        <w:t>.</w:t>
      </w:r>
      <w:r>
        <w:rPr>
          <w:color w:val="231F20"/>
        </w:rPr>
        <w:t>MIT</w:t>
      </w:r>
      <w:r>
        <w:rPr>
          <w:color w:val="231F20"/>
          <w:spacing w:val="-9"/>
        </w:rPr>
        <w:t xml:space="preserve"> </w:t>
      </w:r>
      <w:r>
        <w:rPr>
          <w:rFonts w:ascii="SimSun" w:hAnsi="SimSun" w:eastAsia="SimSun" w:cs="SimSun"/>
          <w:color w:val="231F20"/>
          <w:spacing w:val="9"/>
        </w:rPr>
        <w:t>家族易位肾细胞癌的研究进展</w:t>
      </w:r>
      <w:r>
        <w:rPr>
          <w:color w:val="231F20"/>
          <w:spacing w:val="9"/>
        </w:rPr>
        <w:t>[J].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泌尿外科杂志</w:t>
      </w:r>
      <w:r>
        <w:rPr>
          <w:color w:val="231F20"/>
          <w:spacing w:val="-1"/>
        </w:rPr>
        <w:t>(</w:t>
      </w:r>
      <w:r>
        <w:rPr>
          <w:rFonts w:ascii="SimSun" w:hAnsi="SimSun" w:eastAsia="SimSun" w:cs="SimSun"/>
          <w:color w:val="231F20"/>
          <w:spacing w:val="-1"/>
        </w:rPr>
        <w:t>电子版</w:t>
      </w:r>
      <w:r>
        <w:rPr>
          <w:color w:val="231F20"/>
          <w:spacing w:val="-1"/>
        </w:rPr>
        <w:t>),2017,9(04):41-44+24.</w:t>
      </w:r>
    </w:p>
    <w:p>
      <w:pPr>
        <w:pStyle w:val="BodyText"/>
        <w:ind w:left="717" w:right="284" w:firstLine="321"/>
        <w:spacing w:before="30" w:line="209" w:lineRule="auto"/>
        <w:rPr/>
      </w:pPr>
      <w:r>
        <w:pict>
          <v:shape id="_x0000_s4" style="position:absolute;margin-left:35.1765pt;margin-top:29.2891pt;mso-position-vertical-relative:text;mso-position-horizontal-relative:text;width:482.9pt;height:0.4pt;z-index:251658240;" filled="false" strokecolor="#231F20" strokeweight="0.37pt" coordsize="9657,8" coordorigin="0,0" path="m0,3l9657,3e">
            <v:stroke joinstyle="miter" miterlimit="4"/>
          </v:shape>
        </w:pict>
      </w:r>
      <w:r>
        <w:rPr>
          <w:color w:val="231F20"/>
          <w:spacing w:val="-7"/>
        </w:rPr>
        <w:t>[2]ljungberg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7"/>
        </w:rPr>
        <w:t>Bensalah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K,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7"/>
        </w:rPr>
        <w:t>Canfield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7"/>
        </w:rPr>
        <w:t>S,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7"/>
        </w:rPr>
        <w:t>Ea</w:t>
      </w:r>
      <w:r>
        <w:rPr>
          <w:color w:val="231F20"/>
          <w:spacing w:val="-8"/>
        </w:rPr>
        <w:t>u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Guidelines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8"/>
        </w:rPr>
        <w:t>On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Renal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Cell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8"/>
        </w:rPr>
        <w:t>Carcinoma: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8"/>
        </w:rPr>
        <w:t>2014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8"/>
        </w:rPr>
        <w:t>Up</w:t>
      </w:r>
      <w:r>
        <w:rPr>
          <w:color w:val="231F20"/>
          <w:spacing w:val="-9"/>
        </w:rPr>
        <w:t>date[j].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European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-9"/>
        </w:rPr>
        <w:t>Urology,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2015,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9"/>
        </w:rPr>
        <w:t>67(5):</w:t>
      </w:r>
    </w:p>
    <w:p>
      <w:pPr>
        <w:spacing w:line="10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/>
        <w:spacing w:before="27" w:line="222" w:lineRule="auto"/>
        <w:rPr/>
      </w:pPr>
      <w:r>
        <w:rPr>
          <w:color w:val="231F20"/>
          <w:spacing w:val="-4"/>
        </w:rPr>
        <w:t>913-924.</w:t>
      </w:r>
    </w:p>
    <w:p>
      <w:pPr>
        <w:pStyle w:val="BodyText"/>
        <w:ind w:left="3" w:right="61" w:firstLine="321"/>
        <w:spacing w:before="6" w:line="219" w:lineRule="auto"/>
        <w:rPr/>
      </w:pPr>
      <w:r>
        <w:rPr>
          <w:color w:val="231F20"/>
          <w:spacing w:val="-9"/>
        </w:rPr>
        <w:t>[3]magers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Mj,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Udager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Am,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Mehra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R.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9"/>
        </w:rPr>
        <w:t>Mit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9"/>
        </w:rPr>
        <w:t>Fam</w:t>
      </w:r>
      <w:r>
        <w:rPr>
          <w:color w:val="231F20"/>
          <w:spacing w:val="-10"/>
        </w:rPr>
        <w:t>ily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0"/>
        </w:rPr>
        <w:t>Translocation-as-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sociated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Renal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0"/>
        </w:rPr>
        <w:t>Cell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0"/>
        </w:rPr>
        <w:t>Carcinoma: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A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0"/>
        </w:rPr>
        <w:t>Contemporary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Upd</w:t>
      </w:r>
      <w:r>
        <w:rPr>
          <w:color w:val="231F20"/>
          <w:spacing w:val="-11"/>
        </w:rPr>
        <w:t>ate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1"/>
        </w:rPr>
        <w:t>With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1"/>
        </w:rPr>
        <w:t>Emphasis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On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0"/>
        </w:rPr>
        <w:t>Morphologic,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Immunophenotypic,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10"/>
        </w:rPr>
        <w:t>Molecular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Mimics[j].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Archives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Of Pathology &amp; Laborato</w:t>
      </w:r>
      <w:r>
        <w:rPr>
          <w:color w:val="231F20"/>
          <w:spacing w:val="-9"/>
        </w:rPr>
        <w:t>ry Medicine, 2015,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9"/>
        </w:rPr>
        <w:t>139(10):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1224-1233.</w:t>
      </w:r>
    </w:p>
    <w:p>
      <w:pPr>
        <w:pStyle w:val="BodyText"/>
        <w:ind w:right="61" w:firstLine="324"/>
        <w:spacing w:before="43" w:line="221" w:lineRule="auto"/>
        <w:rPr/>
      </w:pPr>
      <w:r>
        <w:rPr>
          <w:color w:val="231F20"/>
          <w:spacing w:val="-7"/>
        </w:rPr>
        <w:t>[4]argani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-7"/>
        </w:rPr>
        <w:t>P,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-7"/>
        </w:rPr>
        <w:t>Antonescu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7"/>
        </w:rPr>
        <w:t>Cr,</w:t>
      </w:r>
      <w:r>
        <w:rPr>
          <w:color w:val="231F20"/>
          <w:spacing w:val="31"/>
          <w:w w:val="102"/>
        </w:rPr>
        <w:t xml:space="preserve"> </w:t>
      </w:r>
      <w:r>
        <w:rPr>
          <w:color w:val="231F20"/>
          <w:spacing w:val="-7"/>
        </w:rPr>
        <w:t>Illei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P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-7"/>
        </w:rPr>
        <w:t>B,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-7"/>
        </w:rPr>
        <w:t>Et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-7"/>
        </w:rPr>
        <w:t>Primary</w:t>
      </w:r>
      <w:r>
        <w:rPr>
          <w:color w:val="231F20"/>
          <w:spacing w:val="34"/>
        </w:rPr>
        <w:t xml:space="preserve"> </w:t>
      </w:r>
      <w:r>
        <w:rPr>
          <w:color w:val="231F20"/>
          <w:spacing w:val="-7"/>
        </w:rPr>
        <w:t>Re</w:t>
      </w:r>
      <w:r>
        <w:rPr>
          <w:color w:val="231F20"/>
          <w:spacing w:val="-8"/>
        </w:rPr>
        <w:t>nal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8"/>
        </w:rPr>
        <w:t>Neo-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plasms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9"/>
        </w:rPr>
        <w:t>With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The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9"/>
        </w:rPr>
        <w:t>Aspl-tfe3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Gene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Fusion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9"/>
        </w:rPr>
        <w:t>Of Alveolar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9"/>
        </w:rPr>
        <w:t>Soft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9"/>
        </w:rPr>
        <w:t>Part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Sarcom</w:t>
      </w:r>
      <w:r>
        <w:rPr>
          <w:color w:val="231F20"/>
          <w:spacing w:val="-10"/>
        </w:rPr>
        <w:t>a: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 Distinctive Tumor Entity Previously Included Among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Renal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Cell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Carci-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nomas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Of Children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Adolescents[j]. The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American Journal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9"/>
        </w:rPr>
        <w:t>Of Pathol-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ogy, 2001,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159(1):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8"/>
        </w:rPr>
        <w:t>179-192.</w:t>
      </w:r>
    </w:p>
    <w:p>
      <w:pPr>
        <w:pStyle w:val="BodyText"/>
        <w:ind w:right="62" w:firstLine="324"/>
        <w:spacing w:before="42" w:line="219" w:lineRule="auto"/>
        <w:rPr/>
      </w:pPr>
      <w:r>
        <w:rPr>
          <w:color w:val="231F20"/>
          <w:spacing w:val="-6"/>
        </w:rPr>
        <w:t>[5]argani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P,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Reuter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Ve,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  <w:spacing w:val="-6"/>
        </w:rPr>
        <w:t>Zhang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6"/>
        </w:rPr>
        <w:t>L,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7"/>
        </w:rPr>
        <w:t>Al.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7"/>
        </w:rPr>
        <w:t>Tfeb-amplified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7"/>
        </w:rPr>
        <w:t>Renal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7"/>
        </w:rPr>
        <w:t>Cell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Carcinomas:  An  Aggressive  Molecular  Subse</w:t>
      </w:r>
      <w:r>
        <w:rPr>
          <w:color w:val="231F20"/>
          <w:spacing w:val="-10"/>
        </w:rPr>
        <w:t>t</w:t>
      </w:r>
      <w:r>
        <w:rPr>
          <w:color w:val="231F20"/>
          <w:spacing w:val="43"/>
        </w:rPr>
        <w:t xml:space="preserve"> </w:t>
      </w:r>
      <w:r>
        <w:rPr>
          <w:color w:val="231F20"/>
          <w:spacing w:val="-10"/>
        </w:rPr>
        <w:t>Demonstrating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-10"/>
        </w:rPr>
        <w:t>Variable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Melanocytic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10"/>
        </w:rPr>
        <w:t>Marker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0"/>
        </w:rPr>
        <w:t>Expression</w:t>
      </w:r>
      <w:r>
        <w:rPr>
          <w:color w:val="231F20"/>
          <w:spacing w:val="23"/>
          <w:w w:val="102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0"/>
        </w:rPr>
        <w:t>Morphologic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-10"/>
        </w:rPr>
        <w:t>Het</w:t>
      </w:r>
      <w:r>
        <w:rPr>
          <w:color w:val="231F20"/>
          <w:spacing w:val="-11"/>
        </w:rPr>
        <w:t>erogeneity[j].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1"/>
        </w:rPr>
        <w:t>The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American Journal Of Surgical Pathol</w:t>
      </w:r>
      <w:r>
        <w:rPr>
          <w:color w:val="231F20"/>
          <w:spacing w:val="-8"/>
        </w:rPr>
        <w:t>ogy, 2016, 40(11):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8"/>
        </w:rPr>
        <w:t>1484-1495.</w:t>
      </w:r>
    </w:p>
    <w:p>
      <w:pPr>
        <w:pStyle w:val="BodyText"/>
        <w:ind w:right="62" w:firstLine="324"/>
        <w:spacing w:before="45" w:line="227" w:lineRule="auto"/>
        <w:rPr/>
      </w:pPr>
      <w:r>
        <w:rPr>
          <w:color w:val="231F20"/>
          <w:spacing w:val="-8"/>
        </w:rPr>
        <w:t>[6]duan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8"/>
        </w:rPr>
        <w:t>Xh,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Zhang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8"/>
        </w:rPr>
        <w:t>Mf,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8"/>
        </w:rPr>
        <w:t>Ren Jz,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Et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Al.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Urgent Transcatheter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Arterial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Embolization  For  The  Treatment  Of  R</w:t>
      </w:r>
      <w:r>
        <w:rPr>
          <w:color w:val="231F20"/>
          <w:spacing w:val="-10"/>
        </w:rPr>
        <w:t>uptured  Renal  Angiomyolipoma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With Spontaneous Hemorrhage[</w:t>
      </w:r>
      <w:r>
        <w:rPr>
          <w:color w:val="231F20"/>
          <w:spacing w:val="-9"/>
        </w:rPr>
        <w:t>j]. Acta Radiologica,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2016,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9"/>
        </w:rPr>
        <w:t>57(11):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1360-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1365.</w:t>
      </w:r>
    </w:p>
    <w:p>
      <w:pPr>
        <w:pStyle w:val="BodyText"/>
        <w:ind w:left="1" w:right="61" w:firstLine="322"/>
        <w:spacing w:before="8" w:line="215" w:lineRule="auto"/>
        <w:rPr/>
      </w:pPr>
      <w:r>
        <w:rPr>
          <w:color w:val="231F20"/>
          <w:spacing w:val="-6"/>
        </w:rPr>
        <w:t>[7]komai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6"/>
        </w:rPr>
        <w:t>Y,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Fujiwara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6"/>
        </w:rPr>
        <w:t>M,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6"/>
        </w:rPr>
        <w:t>Fujii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6"/>
        </w:rPr>
        <w:t>Y,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6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Al.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6"/>
        </w:rPr>
        <w:t>Adult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  <w:spacing w:val="-6"/>
        </w:rPr>
        <w:t>Xp11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6"/>
        </w:rPr>
        <w:t>Translocation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Renal  Cell  Carcinoma  Diagnosed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0"/>
        </w:rPr>
        <w:t>By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10"/>
        </w:rPr>
        <w:t>Cytogenetics</w:t>
      </w:r>
      <w:r>
        <w:rPr>
          <w:color w:val="231F20"/>
          <w:spacing w:val="40"/>
          <w:w w:val="102"/>
        </w:rPr>
        <w:t xml:space="preserve"> </w:t>
      </w:r>
      <w:r>
        <w:rPr>
          <w:color w:val="231F20"/>
          <w:spacing w:val="-10"/>
        </w:rPr>
        <w:t>And</w:t>
      </w:r>
      <w:r>
        <w:rPr>
          <w:color w:val="231F20"/>
          <w:spacing w:val="42"/>
        </w:rPr>
        <w:t xml:space="preserve"> </w:t>
      </w:r>
      <w:r>
        <w:rPr>
          <w:color w:val="231F20"/>
          <w:spacing w:val="-10"/>
        </w:rPr>
        <w:t>Immunohisto-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chemistry[j]. Clinical Cancer Research, 2009,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15(4):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6"/>
        </w:rPr>
        <w:t>1170-1176.</w:t>
      </w:r>
    </w:p>
    <w:p>
      <w:pPr>
        <w:pStyle w:val="BodyText"/>
        <w:ind w:right="62" w:firstLine="324"/>
        <w:spacing w:before="43" w:line="219" w:lineRule="auto"/>
        <w:rPr/>
      </w:pPr>
      <w:r>
        <w:rPr>
          <w:color w:val="231F20"/>
          <w:spacing w:val="-9"/>
        </w:rPr>
        <w:t>[8]sukov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Wr,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9"/>
        </w:rPr>
        <w:t>Hodge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Jc,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9"/>
        </w:rPr>
        <w:t>Lohse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9"/>
        </w:rPr>
        <w:t>Cm,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Et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Al.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Tfe3</w:t>
      </w:r>
      <w:r>
        <w:rPr>
          <w:color w:val="231F20"/>
          <w:spacing w:val="19"/>
          <w:w w:val="102"/>
        </w:rPr>
        <w:t xml:space="preserve"> </w:t>
      </w:r>
      <w:r>
        <w:rPr>
          <w:color w:val="231F20"/>
          <w:spacing w:val="-9"/>
        </w:rPr>
        <w:t>Rearrangem</w:t>
      </w:r>
      <w:r>
        <w:rPr>
          <w:color w:val="231F20"/>
          <w:spacing w:val="-10"/>
        </w:rPr>
        <w:t>ents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0"/>
        </w:rPr>
        <w:t>In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Adult Renal Cell Car</w:t>
      </w:r>
      <w:r>
        <w:rPr>
          <w:color w:val="231F20"/>
          <w:spacing w:val="-8"/>
        </w:rPr>
        <w:t>cinoma: Clinical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And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8"/>
        </w:rPr>
        <w:t>Pathologic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8"/>
        </w:rPr>
        <w:t>Features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8"/>
        </w:rPr>
        <w:t>With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8"/>
        </w:rPr>
        <w:t>Out-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come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8"/>
        </w:rPr>
        <w:t>In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8"/>
        </w:rPr>
        <w:t>A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8"/>
        </w:rPr>
        <w:t>Large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Series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8"/>
        </w:rPr>
        <w:t>Of Conse</w:t>
      </w:r>
      <w:r>
        <w:rPr>
          <w:color w:val="231F20"/>
          <w:spacing w:val="-9"/>
        </w:rPr>
        <w:t>cutively Treated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9"/>
        </w:rPr>
        <w:t>Patients[j]. 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9"/>
        </w:rPr>
        <w:t>Ameri-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can Journal Of Surgical Pathology, 2012, 36(5): 663-670.</w:t>
      </w:r>
    </w:p>
    <w:p>
      <w:pPr>
        <w:pStyle w:val="BodyText"/>
        <w:ind w:left="2659"/>
        <w:spacing w:before="44" w:line="20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本文责任编辑</w:t>
      </w:r>
      <w:r>
        <w:rPr>
          <w:sz w:val="18"/>
          <w:szCs w:val="18"/>
          <w:color w:val="231F20"/>
          <w:spacing w:val="2"/>
        </w:rPr>
        <w:t xml:space="preserve">     </w:t>
      </w:r>
      <w:r>
        <w:rPr>
          <w:sz w:val="18"/>
          <w:szCs w:val="18"/>
          <w:color w:val="231F20"/>
          <w:spacing w:val="7"/>
        </w:rPr>
        <w:t>李海英</w:t>
      </w:r>
    </w:p>
    <w:p>
      <w:pPr>
        <w:spacing w:line="202" w:lineRule="auto"/>
        <w:sectPr>
          <w:type w:val="continuous"/>
          <w:pgSz w:w="11906" w:h="16158"/>
          <w:pgMar w:top="400" w:right="1071" w:bottom="901" w:left="424" w:header="0" w:footer="674" w:gutter="0"/>
          <w:cols w:equalWidth="0" w:num="2">
            <w:col w:w="5624" w:space="100"/>
            <w:col w:w="4687" w:space="0"/>
          </w:cols>
        </w:sectPr>
        <w:rPr>
          <w:sz w:val="18"/>
          <w:szCs w:val="18"/>
        </w:rPr>
      </w:pPr>
    </w:p>
    <w:p>
      <w:pPr>
        <w:pStyle w:val="BodyText"/>
        <w:ind w:left="718"/>
        <w:spacing w:before="221" w:line="163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5"/>
        </w:rPr>
        <w:t>通讯作者</w:t>
      </w:r>
      <w:r>
        <w:rPr>
          <w:sz w:val="17"/>
          <w:szCs w:val="17"/>
          <w:color w:val="231F20"/>
          <w:spacing w:val="-5"/>
        </w:rPr>
        <w:t>：郭军</w:t>
      </w:r>
    </w:p>
    <w:p>
      <w:pPr>
        <w:spacing w:line="163" w:lineRule="auto"/>
        <w:sectPr>
          <w:type w:val="continuous"/>
          <w:pgSz w:w="11906" w:h="16158"/>
          <w:pgMar w:top="400" w:right="1071" w:bottom="901" w:left="424" w:header="0" w:footer="674" w:gutter="0"/>
          <w:cols w:equalWidth="0" w:num="1">
            <w:col w:w="10411" w:space="0"/>
          </w:cols>
        </w:sectPr>
        <w:rPr>
          <w:sz w:val="17"/>
          <w:szCs w:val="17"/>
        </w:rPr>
      </w:pPr>
    </w:p>
    <w:p>
      <w:pPr>
        <w:spacing w:line="16144" w:lineRule="exact"/>
        <w:rPr/>
      </w:pPr>
      <w:r>
        <w:pict>
          <v:shape id="_x0000_s6" style="position:absolute;margin-left:21.2pt;margin-top:777.571pt;mso-position-vertical-relative:text;mso-position-horizontal-relative:text;width:168.95pt;height:12.5pt;z-index:251659264;" fillcolor="#999999" filled="true" stroked="false" coordsize="3378,250" coordorigin="0,0" path="m81,0c81,6,81,12,83,18c83,22,83,28,83,32l83,56l40,56c35,56,30,56,21,56c13,56,5,56,1,54l0,54l0,56c0,60,1,66,1,72c1,78,1,84,1,88l1,130c1,142,1,154,0,168l0,170l21,170l21,154l83,154l83,204c83,206,83,210,83,218c81,224,81,230,81,236l81,238l107,238l107,236c105,232,105,226,105,218c105,212,105,206,105,204l105,154l167,154l167,168l190,168c187,160,187,148,187,134l187,88c187,84,187,80,187,72c187,66,190,60,190,56l190,54c180,56,170,56,163,56l105,56l105,10c105,10,105,10,107,10c107,10,107,8,110,8c110,8,110,6,110,4c110,4,110,4,107,2c103,2,97,2,90,0c87,0,85,0,81,0m21,134l21,78l83,78l83,134l21,134m105,134l105,78l167,78l167,134l105,134em377,160l345,160l345,118l364,118c365,120,370,120,374,120c377,120,384,120,387,120l387,98c384,98,380,100,374,100c370,100,365,100,364,100l345,100l345,66l371,66c375,66,377,68,384,68c387,68,394,68,397,68l397,46c394,46,387,46,384,48c377,48,375,48,371,46l300,46c294,48,285,46,275,46l274,46l274,68l275,68c277,68,284,68,287,68c294,68,297,66,300,66l324,66l324,100l304,100c301,100,297,100,294,100c290,100,285,98,281,98l281,98l281,120l281,120c285,120,287,120,291,120c297,120,300,120,304,118l324,118l324,160l291,160c290,162,285,162,280,162c275,162,271,160,267,160l267,182c270,182,274,182,280,182c284,180,290,180,291,180l375,180c377,180,381,180,387,182c394,182,397,182,401,182l404,182l404,160l401,160c400,160,395,162,390,162c384,162,380,162,377,160m371,122l371,122l370,124c367,126,364,130,357,134l360,134c361,138,365,142,371,146c375,152,380,156,380,160l381,160l381,160c384,156,387,154,390,150c391,150,394,148,395,146l395,146c394,144,390,140,385,134c380,128,375,124,371,122m411,234l435,234c435,228,434,222,434,216c434,208,434,202,434,198l434,42c434,40,434,34,434,26c434,20,435,14,435,8l435,8c431,8,425,8,417,8c411,8,407,8,404,8l265,8c261,8,257,8,251,8c245,8,240,8,237,8l235,8c235,12,235,18,237,24c237,32,237,38,237,40l237,194c237,200,237,208,235,216c235,224,235,230,235,234l235,234l260,234l260,216l411,216l411,234m260,194l260,30l411,30l411,194l260,194em477,226c477,228,480,230,480,232l481,232c491,222,500,210,510,198c517,184,525,172,531,160c535,166,541,174,550,182c557,192,564,200,567,206l567,208l570,206c575,196,580,190,585,188l585,186l584,184c577,178,564,162,537,138c537,130,540,126,540,122l560,122c565,122,575,122,585,124l585,102c584,102,580,102,574,104c570,104,565,104,564,104l540,104l540,64l555,64c557,64,560,64,565,64c570,64,574,64,575,64l577,64l577,42l575,42c574,42,570,42,565,44c560,44,557,44,555,44l514,44c515,40,517,36,517,32c520,28,521,24,524,22c524,22,525,20,525,20c527,18,527,18,530,16c530,16,530,14,531,12c530,12,530,12,530,10c525,10,521,8,517,6c511,6,507,4,505,2l505,4c504,16,500,28,491,42c485,56,477,68,467,78l467,78c474,82,480,88,485,94l485,94c491,84,497,74,504,64l505,64l520,64l520,104l491,104c490,104,485,104,480,104c475,102,471,102,470,102l470,124c471,124,475,124,480,124c485,122,490,122,491,122l517,122c515,160,495,188,464,210l464,212c470,216,475,222,477,226m677,220l677,218c675,212,675,198,675,174l675,68c675,64,675,58,675,50c675,44,675,38,677,32l677,32c664,32,654,34,645,34l621,34c620,34,615,34,610,32c604,32,597,32,591,32l591,32l591,32c591,38,591,46,591,54c591,60,594,66,594,70l594,174c594,194,591,210,591,220l591,222l614,222l614,198l655,198l654,220l677,220m614,178l614,54l655,54l655,178l614,178em914,40c914,32,914,20,915,8l915,8l915,8c904,8,894,8,885,8l745,8c737,8,727,8,717,8l715,8l715,8c717,20,717,30,717,40l717,196c717,202,717,214,715,230l715,232l740,232l740,230c740,226,737,220,737,212c737,206,737,200,740,196l740,186c740,186,741,188,741,188c747,192,751,194,755,198l757,200l757,198c767,184,777,166,790,140c797,154,804,166,805,172l807,174c807,172,810,170,814,168c815,164,820,160,825,156l825,154c820,148,815,142,811,134c807,126,804,120,800,114c805,94,810,74,815,54c815,52,817,50,820,46c820,46,820,46,820,44c820,42,820,42,817,40c814,40,810,38,804,38c801,38,800,36,797,36l795,36l795,38c795,46,794,54,791,66c790,76,787,86,785,94c781,88,780,84,775,80l775,78c770,72,764,64,760,58l757,56l757,58c755,60,751,62,750,66l747,66c745,68,744,68,741,70l740,72l741,72c747,80,754,88,760,96c765,104,771,112,775,118c765,144,754,164,740,182l740,28l894,28l894,156c887,148,884,140,877,130l875,130l877,128c874,124,872,120,867,114c869,108,872,100,874,88l874,88c875,80,877,72,879,62c879,62,879,60,882,58c884,58,884,58,885,56c885,56,885,56,885,54c885,52,885,52,884,50c875,48,867,46,862,44l859,42l859,44c859,54,857,64,855,72c855,82,854,90,851,96c847,90,845,84,841,78c837,72,834,66,830,60l830,58l830,60c821,64,817,68,814,72l811,72l811,74c821,88,831,104,844,118l844,120c831,156,817,180,805,194l804,194l805,196c814,198,820,202,825,208l825,210l827,208c834,198,845,174,859,142c859,146,864,150,865,154c867,158,872,164,874,172l875,172l875,172c882,166,887,160,894,158l894,200c894,204,887,206,879,206c875,206,869,206,865,206l859,206l862,206c865,214,869,222,872,232l872,234l872,234c882,232,892,230,899,226c909,224,914,216,914,206l914,40em1353,118c1352,104,1347,92,1340,84c1330,78,1320,74,1310,74c1296,74,1283,80,1272,94l1272,32l1252,32l1252,204l1272,204l1272,134c1272,122,1275,112,1283,104c1290,98,1300,94,1310,94c1317,94,1323,98,1327,104c1332,110,1332,116,1332,122l1332,204l1353,204l1353,118em1437,92l1437,74l1417,74l1417,38l1396,38l1396,74l1380,74l1380,92l1396,92l1396,178c1396,188,1397,196,1406,200c1412,202,1417,204,1422,204c1423,204,1423,204,1423,204c1432,204,1436,204,1437,204l1437,186l1430,186c1422,186,1417,182,1417,176l1417,92l1437,92em1497,92l1497,74l1477,74l1477,38l1456,38l1456,74l1440,74l1440,92l1456,92l1456,178c1456,188,1457,196,1466,200c1472,202,1477,204,1482,204c1483,204,1483,204,1483,204c1492,204,1496,204,1497,204l1497,186l1490,186c1482,186,1477,182,1477,176l1477,92l1497,92em1510,250l1530,250l1530,188c1533,194,1537,196,1546,200c1552,202,1557,204,1563,204c1583,202,1597,196,1606,184c1616,170,1620,154,1620,136c1620,116,1613,100,1603,90c1593,78,1582,72,1567,70c1552,72,1540,80,1530,96l1530,74l1510,74l1510,250m1530,144c1530,126,1533,112,1540,104c1546,94,1556,90,1566,90c1576,92,1582,96,1587,104c1596,112,1597,124,1600,138c1597,170,1586,188,1563,188c1553,188,1546,184,1540,176c1532,170,1530,158,1530,144em1743,112c1737,84,1722,70,1696,70c1677,72,1666,76,1657,86c1650,96,1646,104,1647,112c1647,122,1650,128,1656,134c1663,138,1670,140,1676,142l1702,148c1712,152,1717,154,1722,158c1726,162,1726,164,1726,168c1726,174,1723,178,1717,182c1712,186,1706,188,1697,188c1686,188,1677,186,1672,180c1666,174,1663,168,1663,160l1643,160c1643,176,1647,186,1657,194c1670,200,1682,204,1697,204c1712,204,1723,200,1733,194c1742,186,1746,176,1747,164c1746,156,1742,148,1736,142c1727,136,1720,132,1712,130l1690,124c1673,122,1666,116,1667,108c1667,102,1670,98,1673,94c1680,92,1686,90,1692,90c1702,90,1710,92,1716,98c1720,102,1723,106,1723,112l1743,112em1802,108l1777,108l1777,134l1802,134l1802,108m1802,178l1777,178l1777,204l1802,204l1802,178em1883,30l1870,30l1813,210l1827,210l1883,30em1943,30l1930,30l1873,210l1887,210l1943,30em2022,106l2023,106l2047,204l2072,204l2107,70l2086,70l2060,178l2060,178l2036,70l2012,70l1987,178l1986,178l1962,70l1940,70l1976,204l1997,204l2022,106em2202,106l2203,106l2228,204l2252,204l2288,70l2266,70l2240,178l2240,178l2216,70l2192,70l2168,178l2166,178l2142,70l2120,70l2156,204l2178,204l2202,106em2382,106l2383,106l2408,204l2432,204l2468,70l2446,70l2420,178l2420,178l2396,70l2372,70l2348,178l2346,178l2322,70l2300,70l2336,204l2358,204l2382,106em2522,180l2496,180l2496,204l2522,204l2522,180em2652,120c2643,90,2626,74,2598,72c2580,74,2566,80,2556,94c2548,108,2542,124,2542,144c2543,164,2550,180,2560,190c2572,200,2583,204,2598,204c2612,204,2623,200,2632,192c2642,182,2648,172,2652,158l2630,158c2628,168,2623,176,2616,182c2610,186,2603,188,2600,188c2588,188,2578,184,2572,174c2568,166,2563,154,2566,140c2566,108,2578,92,2600,92c2616,92,2626,102,2630,120l2652,120em2773,116c2773,102,2768,90,2760,82c2750,76,2740,72,2732,72c2712,74,2700,80,2692,94l2692,76l2672,76l2672,204l2692,204l2692,134c2693,108,2703,94,2726,92c2736,92,2742,96,2746,102c2750,108,2752,116,2752,126l2752,204l2773,204l2773,116em2863,126l2912,78l2886,78l2832,132l2832,32l2812,32l2812,204l2832,204l2832,158l2850,140l2886,204l2916,204l2863,126em2953,58l2953,36l2932,36l2932,58l2953,58m2953,78l2932,78l2932,204l2953,204l2953,78em3022,180l2996,180l2996,204l3022,204l3022,180em3153,116c3153,102,3148,90,3140,82c3130,76,3120,72,3112,72c3092,74,3080,80,3072,94l3072,76l3052,76l3052,204l3072,204l3072,134c3073,108,3083,94,3106,92c3116,92,3122,96,3126,102c3130,108,3132,116,3132,126l3132,204l3153,204l3153,116em3206,128c3208,114,3212,104,3220,100c3226,94,3236,90,3243,90c3263,92,3273,104,3278,128l3206,128m3276,162c3273,172,3268,178,3262,182c3256,186,3250,188,3243,188c3232,188,3222,184,3216,176c3210,168,3206,158,3206,146l3298,146c3296,118,3290,98,3280,88c3268,76,3256,70,3240,70c3220,72,3206,82,3196,96c3188,112,3183,126,3183,140c3186,164,3192,182,3203,190c3218,200,3230,204,3242,204c3252,204,3262,200,3273,194c3283,188,3292,176,3296,162l3276,162em3378,92l3378,74l3358,74l3358,38l3336,38l3336,74l3320,74l3320,92l3336,92l3336,178c3336,188,3338,196,3346,200c3352,202,3358,204,3362,204c3363,204,3363,204,3363,204c3372,204,3376,204,3378,204l3378,186l3370,186c3362,186,3358,182,3358,176l3358,92l3378,92e"/>
        </w:pict>
      </w:r>
      <w:r>
        <w:rPr>
          <w:position w:val="-322"/>
        </w:rPr>
        <w:drawing>
          <wp:inline distT="0" distB="0" distL="0" distR="0">
            <wp:extent cx="7559039" cy="1025146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039" cy="102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3"/>
      <w:footerReference w:type="default" r:id="rId4"/>
      <w:pgSz w:w="11905" w:h="16157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7"/>
      <w:spacing w:line="235" w:lineRule="auto"/>
      <w:rPr>
        <w:rFonts w:ascii="SimHei" w:hAnsi="SimHei" w:eastAsia="SimHei" w:cs="SimHei"/>
        <w:sz w:val="17"/>
        <w:szCs w:val="17"/>
      </w:rPr>
    </w:pPr>
    <w:r>
      <w:rPr>
        <w:rFonts w:ascii="SimHei" w:hAnsi="SimHei" w:eastAsia="SimHei" w:cs="SimHei"/>
        <w:sz w:val="17"/>
        <w:szCs w:val="17"/>
        <w:color w:val="231F20"/>
        <w:spacing w:val="-1"/>
      </w:rPr>
      <w:t>196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1.2pt;margin-top:777.67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image" Target="media/image2.jpeg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2025-03-16T22:04:09Z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2025-10-28T21:32:34</vt:filetime>
  </property>
</Properties>
</file>