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508"/>
        <w:spacing w:before="76" w:line="217" w:lineRule="auto"/>
        <w:tabs>
          <w:tab w:val="left" w:pos="1035"/>
        </w:tabs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</w:rPr>
        <w:tab/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Chin J Emerg Resusc Disaster Med，December   2024，Vol.19  No.12  2024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年 12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月 第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19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卷 第 12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期    中国急救复苏与灾害医学杂志     </w:t>
      </w:r>
      <w:r>
        <w:rPr>
          <w:shd w:val="clear" w:fill="E6E7E9"/>
          <w:rFonts w:ascii="Microsoft YaHei" w:hAnsi="Microsoft YaHei" w:eastAsia="Microsoft YaHei" w:cs="Microsoft YaHei"/>
          <w:sz w:val="14"/>
          <w:szCs w:val="14"/>
          <w:spacing w:val="-5"/>
          <w:position w:val="-2"/>
        </w:rPr>
        <w:t>临床急诊急救  </w:t>
      </w:r>
      <w:r>
        <w:rPr>
          <w:rFonts w:ascii="Arial" w:hAnsi="Arial" w:eastAsia="Arial" w:cs="Arial"/>
          <w:sz w:val="26"/>
          <w:szCs w:val="26"/>
          <w:color w:val="D1D2D4"/>
          <w:spacing w:val="18"/>
          <w:position w:val="-3"/>
        </w:rPr>
        <w:t>:</w:t>
      </w:r>
      <w:r>
        <w:rPr>
          <w:rFonts w:ascii="Arial" w:hAnsi="Arial" w:eastAsia="Arial" w:cs="Arial"/>
          <w:sz w:val="26"/>
          <w:szCs w:val="26"/>
          <w:color w:val="D1D2D4"/>
          <w:spacing w:val="18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8"/>
        </w:rPr>
        <w:t>论著</w:t>
      </w:r>
    </w:p>
    <w:p>
      <w:pPr>
        <w:ind w:left="512" w:right="1650" w:firstLine="4"/>
        <w:spacing w:before="151" w:line="206" w:lineRule="auto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14"/>
        </w:rPr>
        <w:t>急性阑尾炎患儿穿孔情况调查及独立危险因素</w:t>
      </w:r>
      <w:r>
        <w:rPr>
          <w:rFonts w:ascii="Microsoft YaHei" w:hAnsi="Microsoft YaHei" w:eastAsia="Microsoft YaHei" w:cs="Microsoft YaHei"/>
          <w:sz w:val="41"/>
          <w:szCs w:val="4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1"/>
        </w:rPr>
        <w:t>分析</w:t>
      </w:r>
    </w:p>
    <w:p>
      <w:pPr>
        <w:ind w:left="520"/>
        <w:spacing w:before="128" w:line="21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2"/>
        </w:rPr>
        <w:t>温露华，邓富强，陈伟玉</w:t>
      </w:r>
    </w:p>
    <w:p>
      <w:pPr>
        <w:ind w:left="505"/>
        <w:spacing w:before="183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梅州市人民医院(黄塘医院) 小儿外科，广东梅州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514031</w:t>
      </w:r>
    </w:p>
    <w:p>
      <w:pPr>
        <w:pStyle w:val="BodyText"/>
        <w:ind w:left="503" w:right="1647" w:firstLine="1"/>
        <w:spacing w:before="172" w:line="22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9"/>
        </w:rPr>
        <w:t>摘要：目的</w:t>
      </w:r>
      <w:r>
        <w:rPr>
          <w:rFonts w:ascii="SimHei" w:hAnsi="SimHei" w:eastAsia="SimHei" w:cs="Sim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探讨急性阑尾炎患者穿孔情况及</w:t>
      </w:r>
      <w:r>
        <w:rPr>
          <w:rFonts w:ascii="Microsoft YaHei" w:hAnsi="Microsoft YaHei" w:eastAsia="Microsoft YaHei" w:cs="Microsoft YaHei"/>
          <w:color w:val="231F20"/>
          <w:spacing w:val="8"/>
        </w:rPr>
        <w:t>分析独立危险因素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</w:t>
      </w:r>
      <w:r>
        <w:rPr>
          <w:rFonts w:ascii="SimHei" w:hAnsi="SimHei" w:eastAsia="SimHei" w:cs="SimHei"/>
          <w:color w:val="231F20"/>
          <w:spacing w:val="8"/>
        </w:rPr>
        <w:t>方法</w:t>
      </w:r>
      <w:r>
        <w:rPr>
          <w:rFonts w:ascii="SimHei" w:hAnsi="SimHei" w:eastAsia="SimHei" w:cs="SimHei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回顾性分析病例资料选自</w:t>
      </w:r>
      <w:r>
        <w:rPr>
          <w:rFonts w:ascii="Microsoft YaHei" w:hAnsi="Microsoft YaHei" w:eastAsia="Microsoft YaHei" w:cs="Microsoft YaHei"/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182 </w:t>
      </w:r>
      <w:r>
        <w:rPr>
          <w:rFonts w:ascii="Microsoft YaHei" w:hAnsi="Microsoft YaHei" w:eastAsia="Microsoft YaHei" w:cs="Microsoft YaHei"/>
          <w:color w:val="231F20"/>
          <w:spacing w:val="8"/>
        </w:rPr>
        <w:t>例急性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阑尾炎患儿，根据术后阑尾穿孔与否这一病理结果分组，分别为穿孔</w:t>
      </w:r>
      <w:r>
        <w:rPr>
          <w:rFonts w:ascii="Microsoft YaHei" w:hAnsi="Microsoft YaHei" w:eastAsia="Microsoft YaHei" w:cs="Microsoft YaHei"/>
          <w:color w:val="231F20"/>
          <w:spacing w:val="7"/>
        </w:rPr>
        <w:t>组</w:t>
      </w:r>
      <w:r>
        <w:rPr>
          <w:color w:val="231F20"/>
          <w:spacing w:val="7"/>
        </w:rPr>
        <w:t>(</w:t>
      </w:r>
      <w:r>
        <w:rPr>
          <w:rFonts w:ascii="Arial" w:hAnsi="Arial" w:eastAsia="Arial" w:cs="Arial"/>
          <w:i/>
          <w:iCs/>
          <w:color w:val="231F20"/>
          <w:spacing w:val="7"/>
        </w:rPr>
        <w:t>n</w:t>
      </w:r>
      <w:r>
        <w:rPr>
          <w:color w:val="231F20"/>
          <w:spacing w:val="7"/>
        </w:rPr>
        <w:t>=84)</w:t>
      </w:r>
      <w:r>
        <w:rPr>
          <w:rFonts w:ascii="Microsoft YaHei" w:hAnsi="Microsoft YaHei" w:eastAsia="Microsoft YaHei" w:cs="Microsoft YaHei"/>
          <w:color w:val="231F20"/>
          <w:spacing w:val="7"/>
        </w:rPr>
        <w:t>和未穿孔组</w:t>
      </w:r>
      <w:r>
        <w:rPr>
          <w:color w:val="231F20"/>
          <w:spacing w:val="7"/>
        </w:rPr>
        <w:t>(</w:t>
      </w:r>
      <w:r>
        <w:rPr>
          <w:rFonts w:ascii="Arial" w:hAnsi="Arial" w:eastAsia="Arial" w:cs="Arial"/>
          <w:i/>
          <w:iCs/>
          <w:color w:val="231F20"/>
          <w:spacing w:val="7"/>
        </w:rPr>
        <w:t>n</w:t>
      </w:r>
      <w:r>
        <w:rPr>
          <w:color w:val="231F20"/>
          <w:spacing w:val="7"/>
        </w:rPr>
        <w:t>=98)</w:t>
      </w:r>
      <w:r>
        <w:rPr>
          <w:rFonts w:ascii="Microsoft YaHei" w:hAnsi="Microsoft YaHei" w:eastAsia="Microsoft YaHei" w:cs="Microsoft YaHei"/>
          <w:color w:val="231F20"/>
          <w:spacing w:val="7"/>
        </w:rPr>
        <w:t>，通过多因素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Logistic</w:t>
      </w:r>
      <w:r>
        <w:rPr>
          <w:color w:val="231F20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回归分析患儿穿孔的危险因素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</w:t>
      </w:r>
      <w:r>
        <w:rPr>
          <w:rFonts w:ascii="SimHei" w:hAnsi="SimHei" w:eastAsia="SimHei" w:cs="SimHei"/>
          <w:color w:val="231F20"/>
          <w:spacing w:val="8"/>
        </w:rPr>
        <w:t>结果</w:t>
      </w:r>
      <w:r>
        <w:rPr>
          <w:rFonts w:ascii="SimHei" w:hAnsi="SimHei" w:eastAsia="SimHei" w:cs="Sim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入选的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</w:t>
      </w:r>
      <w:r>
        <w:rPr>
          <w:color w:val="231F20"/>
          <w:spacing w:val="8"/>
        </w:rPr>
        <w:t>182 </w:t>
      </w:r>
      <w:r>
        <w:rPr>
          <w:rFonts w:ascii="Microsoft YaHei" w:hAnsi="Microsoft YaHei" w:eastAsia="Microsoft YaHei" w:cs="Microsoft YaHei"/>
          <w:color w:val="231F20"/>
          <w:spacing w:val="8"/>
        </w:rPr>
        <w:t>例患儿阑尾穿孔率为 </w:t>
      </w:r>
      <w:r>
        <w:rPr>
          <w:color w:val="231F20"/>
          <w:spacing w:val="8"/>
        </w:rPr>
        <w:t>46.15%(84/182)</w:t>
      </w:r>
      <w:r>
        <w:rPr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。穿孔组</w:t>
      </w:r>
      <w:r>
        <w:rPr>
          <w:rFonts w:ascii="Microsoft YaHei" w:hAnsi="Microsoft YaHei" w:eastAsia="Microsoft YaHei" w:cs="Microsoft YaHei"/>
          <w:color w:val="231F20"/>
          <w:spacing w:val="7"/>
        </w:rPr>
        <w:t>和未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穿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孔 组 两 组 患 儿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在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年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龄 、发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病 时 间（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OR</w:t>
      </w:r>
      <w:r>
        <w:rPr>
          <w:color w:val="231F20"/>
          <w:spacing w:val="-4"/>
        </w:rPr>
        <w:t>=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1.508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95%</w:t>
      </w:r>
      <w:r>
        <w:rPr>
          <w:rFonts w:ascii="Arial" w:hAnsi="Arial" w:eastAsia="Arial" w:cs="Arial"/>
          <w:i/>
          <w:iCs/>
          <w:color w:val="231F20"/>
          <w:spacing w:val="-4"/>
        </w:rPr>
        <w:t>CI</w:t>
      </w:r>
      <w:r>
        <w:rPr>
          <w:color w:val="231F20"/>
          <w:spacing w:val="-4"/>
        </w:rPr>
        <w:t>=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1.028~2.213</w:t>
      </w:r>
      <w:r>
        <w:rPr>
          <w:rFonts w:ascii="Microsoft YaHei" w:hAnsi="Microsoft YaHei" w:eastAsia="Microsoft YaHei" w:cs="Microsoft YaHei"/>
          <w:color w:val="231F20"/>
          <w:spacing w:val="-4"/>
        </w:rPr>
        <w:t>）、有 粪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石（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OR</w:t>
      </w:r>
      <w:r>
        <w:rPr>
          <w:color w:val="231F20"/>
          <w:spacing w:val="-4"/>
        </w:rPr>
        <w:t>=6.720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95%</w:t>
      </w:r>
      <w:r>
        <w:rPr>
          <w:rFonts w:ascii="Arial" w:hAnsi="Arial" w:eastAsia="Arial" w:cs="Arial"/>
          <w:i/>
          <w:iCs/>
          <w:color w:val="231F20"/>
          <w:spacing w:val="-4"/>
        </w:rPr>
        <w:t>CI</w:t>
      </w:r>
      <w:r>
        <w:rPr>
          <w:color w:val="231F20"/>
          <w:spacing w:val="-4"/>
        </w:rPr>
        <w:t>=2.324~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19.434</w:t>
      </w:r>
      <w:r>
        <w:rPr>
          <w:rFonts w:ascii="Microsoft YaHei" w:hAnsi="Microsoft YaHei" w:eastAsia="Microsoft YaHei" w:cs="Microsoft YaHei"/>
          <w:color w:val="231F20"/>
          <w:spacing w:val="-4"/>
        </w:rPr>
        <w:t>）、有反跳痛（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OR</w:t>
      </w:r>
      <w:r>
        <w:rPr>
          <w:color w:val="231F20"/>
          <w:spacing w:val="-4"/>
        </w:rPr>
        <w:t>=8.561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95%</w:t>
      </w:r>
      <w:r>
        <w:rPr>
          <w:rFonts w:ascii="Arial" w:hAnsi="Arial" w:eastAsia="Arial" w:cs="Arial"/>
          <w:i/>
          <w:iCs/>
          <w:color w:val="231F20"/>
          <w:spacing w:val="-4"/>
        </w:rPr>
        <w:t>CI</w:t>
      </w:r>
      <w:r>
        <w:rPr>
          <w:color w:val="231F20"/>
          <w:spacing w:val="-4"/>
        </w:rPr>
        <w:t>=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1.953~37.533</w:t>
      </w:r>
      <w:r>
        <w:rPr>
          <w:rFonts w:ascii="Microsoft YaHei" w:hAnsi="Microsoft YaHei" w:eastAsia="Microsoft YaHei" w:cs="Microsoft YaHei"/>
          <w:color w:val="231F20"/>
          <w:spacing w:val="-4"/>
        </w:rPr>
        <w:t>）、</w:t>
      </w:r>
      <w:r>
        <w:rPr>
          <w:color w:val="231F20"/>
          <w:spacing w:val="-4"/>
        </w:rPr>
        <w:t>CRP</w:t>
      </w:r>
      <w:r>
        <w:rPr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水平（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OR</w:t>
      </w:r>
      <w:r>
        <w:rPr>
          <w:color w:val="231F20"/>
          <w:spacing w:val="-4"/>
        </w:rPr>
        <w:t>=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11</w:t>
      </w:r>
      <w:r>
        <w:rPr>
          <w:color w:val="231F20"/>
          <w:spacing w:val="-5"/>
        </w:rPr>
        <w:t>.631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95%</w:t>
      </w:r>
      <w:r>
        <w:rPr>
          <w:rFonts w:ascii="Arial" w:hAnsi="Arial" w:eastAsia="Arial" w:cs="Arial"/>
          <w:i/>
          <w:iCs/>
          <w:color w:val="231F20"/>
          <w:spacing w:val="-5"/>
        </w:rPr>
        <w:t>CI</w:t>
      </w:r>
      <w:r>
        <w:rPr>
          <w:color w:val="231F20"/>
          <w:spacing w:val="-5"/>
        </w:rPr>
        <w:t>=3.578~37.812</w:t>
      </w:r>
      <w:r>
        <w:rPr>
          <w:rFonts w:ascii="Microsoft YaHei" w:hAnsi="Microsoft YaHei" w:eastAsia="Microsoft YaHei" w:cs="Microsoft YaHei"/>
          <w:color w:val="231F20"/>
          <w:spacing w:val="-5"/>
        </w:rPr>
        <w:t>）、</w:t>
      </w:r>
      <w:r>
        <w:rPr>
          <w:color w:val="231F20"/>
          <w:spacing w:val="-5"/>
        </w:rPr>
        <w:t>NLR  </w:t>
      </w:r>
      <w:r>
        <w:rPr>
          <w:rFonts w:ascii="Microsoft YaHei" w:hAnsi="Microsoft YaHei" w:eastAsia="Microsoft YaHei" w:cs="Microsoft YaHei"/>
          <w:color w:val="231F20"/>
          <w:spacing w:val="-5"/>
        </w:rPr>
        <w:t>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值（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OR</w:t>
      </w:r>
      <w:r>
        <w:rPr>
          <w:color w:val="231F20"/>
          <w:spacing w:val="1"/>
        </w:rPr>
        <w:t>=0.864</w:t>
      </w:r>
      <w:r>
        <w:rPr>
          <w:rFonts w:ascii="Microsoft YaHei" w:hAnsi="Microsoft YaHei" w:eastAsia="Microsoft YaHei" w:cs="Microsoft YaHei"/>
          <w:color w:val="231F20"/>
          <w:spacing w:val="1"/>
        </w:rPr>
        <w:t>，</w:t>
      </w:r>
      <w:r>
        <w:rPr>
          <w:color w:val="231F20"/>
          <w:spacing w:val="1"/>
        </w:rPr>
        <w:t>95%</w:t>
      </w:r>
      <w:r>
        <w:rPr>
          <w:rFonts w:ascii="Arial" w:hAnsi="Arial" w:eastAsia="Arial" w:cs="Arial"/>
          <w:i/>
          <w:iCs/>
          <w:color w:val="231F20"/>
        </w:rPr>
        <w:t>CI</w:t>
      </w:r>
      <w:r>
        <w:rPr>
          <w:color w:val="231F20"/>
          <w:spacing w:val="1"/>
        </w:rPr>
        <w:t>=0.770~0.970</w:t>
      </w:r>
      <w:r>
        <w:rPr>
          <w:rFonts w:ascii="Microsoft YaHei" w:hAnsi="Microsoft YaHei" w:eastAsia="Microsoft YaHei" w:cs="Microsoft YaHei"/>
          <w:color w:val="231F20"/>
          <w:spacing w:val="1"/>
        </w:rPr>
        <w:t>）淋巴细胞水平、</w:t>
      </w:r>
      <w:r>
        <w:rPr>
          <w:color w:val="231F20"/>
        </w:rPr>
        <w:t>CRP</w:t>
      </w:r>
      <w:r>
        <w:rPr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水平、降钙素原水平</w:t>
      </w:r>
      <w:r>
        <w:rPr>
          <w:color w:val="231F20"/>
          <w:spacing w:val="1"/>
        </w:rPr>
        <w:t>(</w:t>
      </w:r>
      <w:r>
        <w:rPr>
          <w:color w:val="231F20"/>
        </w:rPr>
        <w:t>PCT</w:t>
      </w:r>
      <w:r>
        <w:rPr>
          <w:color w:val="231F20"/>
          <w:spacing w:val="1"/>
        </w:rPr>
        <w:t>)</w:t>
      </w:r>
      <w:r>
        <w:rPr>
          <w:rFonts w:ascii="Microsoft YaHei" w:hAnsi="Microsoft YaHei" w:eastAsia="Microsoft YaHei" w:cs="Microsoft YaHei"/>
          <w:color w:val="231F20"/>
          <w:spacing w:val="1"/>
        </w:rPr>
        <w:t>、纤维蛋白水</w:t>
      </w:r>
      <w:r>
        <w:rPr>
          <w:rFonts w:ascii="Microsoft YaHei" w:hAnsi="Microsoft YaHei" w:eastAsia="Microsoft YaHei" w:cs="Microsoft YaHei"/>
          <w:color w:val="231F20"/>
        </w:rPr>
        <w:t>平上有显著差 </w:t>
      </w:r>
      <w:r>
        <w:rPr>
          <w:rFonts w:ascii="Microsoft YaHei" w:hAnsi="Microsoft YaHei" w:eastAsia="Microsoft YaHei" w:cs="Microsoft YaHei"/>
          <w:color w:val="231F20"/>
          <w:spacing w:val="-1"/>
        </w:rPr>
        <w:t>异</w:t>
      </w:r>
      <w:r>
        <w:rPr>
          <w:color w:val="231F20"/>
          <w:spacing w:val="-1"/>
        </w:rPr>
        <w:t>(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&lt;0.05)</w:t>
      </w:r>
      <w:r>
        <w:rPr>
          <w:rFonts w:ascii="Microsoft YaHei" w:hAnsi="Microsoft YaHei" w:eastAsia="Microsoft YaHei" w:cs="Microsoft YaHei"/>
          <w:color w:val="231F20"/>
          <w:spacing w:val="-1"/>
        </w:rPr>
        <w:t>；经 </w:t>
      </w:r>
      <w:r>
        <w:rPr>
          <w:color w:val="231F20"/>
          <w:spacing w:val="-1"/>
        </w:rPr>
        <w:t>Logistic</w:t>
      </w:r>
      <w:r>
        <w:rPr>
          <w:color w:val="231F20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回归分析，发病时间、有粪石、有反跳痛、</w:t>
      </w:r>
      <w:r>
        <w:rPr>
          <w:color w:val="231F20"/>
          <w:spacing w:val="-1"/>
        </w:rPr>
        <w:t>CRP</w:t>
      </w:r>
      <w:r>
        <w:rPr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水平、</w:t>
      </w:r>
      <w:r>
        <w:rPr>
          <w:color w:val="231F20"/>
          <w:spacing w:val="-1"/>
        </w:rPr>
        <w:t>NLR</w:t>
      </w:r>
      <w:r>
        <w:rPr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比值是急性阑尾炎患儿穿孔的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独立危险因素</w:t>
      </w:r>
      <w:r>
        <w:rPr>
          <w:color w:val="231F20"/>
          <w:spacing w:val="2"/>
        </w:rPr>
        <w:t>(</w:t>
      </w:r>
      <w:r>
        <w:rPr>
          <w:rFonts w:ascii="Arial" w:hAnsi="Arial" w:eastAsia="Arial" w:cs="Arial"/>
          <w:i/>
          <w:iCs/>
          <w:color w:val="231F20"/>
          <w:spacing w:val="2"/>
        </w:rPr>
        <w:t>P</w:t>
      </w:r>
      <w:r>
        <w:rPr>
          <w:color w:val="231F20"/>
          <w:spacing w:val="2"/>
        </w:rPr>
        <w:t>&lt;0.05)</w:t>
      </w:r>
      <w:r>
        <w:rPr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  <w:r>
        <w:rPr>
          <w:rFonts w:ascii="SimHei" w:hAnsi="SimHei" w:eastAsia="SimHei" w:cs="SimHei"/>
          <w:color w:val="231F20"/>
          <w:spacing w:val="2"/>
        </w:rPr>
        <w:t>结论</w:t>
      </w:r>
      <w:r>
        <w:rPr>
          <w:rFonts w:ascii="SimHei" w:hAnsi="SimHei" w:eastAsia="SimHei" w:cs="SimHei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急性阑尾炎患儿发病时间长、有粪石、有反跳痛、</w:t>
      </w:r>
      <w:r>
        <w:rPr>
          <w:color w:val="231F20"/>
        </w:rPr>
        <w:t>CRP</w:t>
      </w:r>
      <w:r>
        <w:rPr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水平</w:t>
      </w:r>
      <w:r>
        <w:rPr>
          <w:color w:val="231F20"/>
          <w:spacing w:val="2"/>
        </w:rPr>
        <w:t>≥4</w:t>
      </w:r>
      <w:r>
        <w:rPr>
          <w:color w:val="231F20"/>
          <w:spacing w:val="1"/>
        </w:rPr>
        <w:t>1.38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1"/>
        </w:rPr>
        <w:t>/L</w:t>
      </w:r>
      <w:r>
        <w:rPr>
          <w:rFonts w:ascii="Microsoft YaHei" w:hAnsi="Microsoft YaHei" w:eastAsia="Microsoft YaHei" w:cs="Microsoft YaHei"/>
          <w:color w:val="231F20"/>
          <w:spacing w:val="1"/>
        </w:rPr>
        <w:t>、</w:t>
      </w:r>
      <w:r>
        <w:rPr>
          <w:color w:val="231F20"/>
        </w:rPr>
        <w:t>NLR</w:t>
      </w:r>
      <w:r>
        <w:rPr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值均是导致阑尾穿孔的独立危险因素，在早期诊断中观察上述因素有助于判断阑尾穿孔发生风险，以便临床确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定治疗方案。</w:t>
      </w:r>
    </w:p>
    <w:p>
      <w:pPr>
        <w:ind w:left="506"/>
        <w:spacing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6"/>
        </w:rPr>
        <w:t>关键词：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急性阑尾炎；患儿；穿孔情况；危险因素分析</w:t>
      </w:r>
    </w:p>
    <w:p>
      <w:pPr>
        <w:pStyle w:val="BodyText"/>
        <w:ind w:left="521"/>
        <w:spacing w:before="21" w:line="230" w:lineRule="auto"/>
        <w:rPr/>
      </w:pPr>
      <w:r>
        <w:rPr>
          <w:rFonts w:ascii="SimHei" w:hAnsi="SimHei" w:eastAsia="SimHei" w:cs="SimHei"/>
          <w:color w:val="231F20"/>
          <w:spacing w:val="7"/>
        </w:rPr>
        <w:t>中图分类号：</w:t>
      </w:r>
      <w:r>
        <w:rPr>
          <w:rFonts w:ascii="KaiTi" w:hAnsi="KaiTi" w:eastAsia="KaiTi" w:cs="KaiTi"/>
          <w:color w:val="231F20"/>
          <w:spacing w:val="7"/>
        </w:rPr>
        <w:t>R656.8</w:t>
      </w:r>
      <w:r>
        <w:rPr>
          <w:rFonts w:ascii="KaiTi" w:hAnsi="KaiTi" w:eastAsia="KaiTi" w:cs="KaiTi"/>
          <w:color w:val="231F20"/>
          <w:spacing w:val="7"/>
        </w:rPr>
        <w:t xml:space="preserve">       </w:t>
      </w:r>
      <w:r>
        <w:rPr>
          <w:rFonts w:ascii="KaiTi" w:hAnsi="KaiTi" w:eastAsia="KaiTi" w:cs="KaiTi"/>
          <w:color w:val="231F20"/>
          <w:spacing w:val="6"/>
        </w:rPr>
        <w:t xml:space="preserve">   </w:t>
      </w:r>
      <w:r>
        <w:rPr>
          <w:rFonts w:ascii="SimHei" w:hAnsi="SimHei" w:eastAsia="SimHei" w:cs="SimHei"/>
          <w:color w:val="231F20"/>
          <w:spacing w:val="6"/>
        </w:rPr>
        <w:t>文献标识码：</w:t>
      </w:r>
      <w:r>
        <w:rPr>
          <w:color w:val="231F20"/>
          <w:spacing w:val="6"/>
        </w:rPr>
        <w:t>A                </w:t>
      </w:r>
      <w:r>
        <w:rPr>
          <w:rFonts w:ascii="SimHei" w:hAnsi="SimHei" w:eastAsia="SimHei" w:cs="SimHei"/>
          <w:color w:val="231F20"/>
          <w:spacing w:val="6"/>
        </w:rPr>
        <w:t>文章编号：</w:t>
      </w:r>
      <w:r>
        <w:rPr>
          <w:rFonts w:ascii="SimHei" w:hAnsi="SimHei" w:eastAsia="SimHei" w:cs="SimHei"/>
          <w:color w:val="231F20"/>
          <w:spacing w:val="-48"/>
        </w:rPr>
        <w:t xml:space="preserve"> </w:t>
      </w:r>
      <w:r>
        <w:rPr>
          <w:color w:val="231F20"/>
          <w:spacing w:val="6"/>
        </w:rPr>
        <w:t>1673-6966(2024)12-1609-04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506" w:right="1645"/>
        <w:spacing w:before="78" w:line="266" w:lineRule="auto"/>
        <w:jc w:val="both"/>
        <w:rPr/>
      </w:pPr>
      <w:r>
        <w:rPr>
          <w:sz w:val="27"/>
          <w:szCs w:val="27"/>
          <w:b/>
          <w:bCs/>
          <w:color w:val="231F20"/>
          <w:spacing w:val="3"/>
        </w:rPr>
        <w:t>Investigation</w:t>
      </w:r>
      <w:r>
        <w:rPr>
          <w:sz w:val="27"/>
          <w:szCs w:val="27"/>
          <w:b/>
          <w:bCs/>
          <w:color w:val="231F20"/>
          <w:spacing w:val="47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of</w:t>
      </w:r>
      <w:r>
        <w:rPr>
          <w:sz w:val="27"/>
          <w:szCs w:val="27"/>
          <w:b/>
          <w:bCs/>
          <w:color w:val="231F20"/>
          <w:spacing w:val="20"/>
          <w:w w:val="101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perforation</w:t>
      </w:r>
      <w:r>
        <w:rPr>
          <w:sz w:val="27"/>
          <w:szCs w:val="27"/>
          <w:b/>
          <w:bCs/>
          <w:color w:val="231F20"/>
          <w:spacing w:val="47"/>
          <w:w w:val="101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status</w:t>
      </w:r>
      <w:r>
        <w:rPr>
          <w:sz w:val="27"/>
          <w:szCs w:val="27"/>
          <w:b/>
          <w:bCs/>
          <w:color w:val="231F20"/>
          <w:spacing w:val="41"/>
          <w:w w:val="101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in</w:t>
      </w:r>
      <w:r>
        <w:rPr>
          <w:sz w:val="27"/>
          <w:szCs w:val="27"/>
          <w:b/>
          <w:bCs/>
          <w:color w:val="231F20"/>
          <w:spacing w:val="47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children</w:t>
      </w:r>
      <w:r>
        <w:rPr>
          <w:sz w:val="27"/>
          <w:szCs w:val="27"/>
          <w:b/>
          <w:bCs/>
          <w:color w:val="231F20"/>
          <w:spacing w:val="39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with</w:t>
      </w:r>
      <w:r>
        <w:rPr>
          <w:sz w:val="27"/>
          <w:szCs w:val="27"/>
          <w:b/>
          <w:bCs/>
          <w:color w:val="231F20"/>
          <w:spacing w:val="49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acute</w:t>
      </w:r>
      <w:r>
        <w:rPr>
          <w:sz w:val="27"/>
          <w:szCs w:val="27"/>
          <w:b/>
          <w:bCs/>
          <w:color w:val="231F20"/>
          <w:spacing w:val="48"/>
          <w:w w:val="101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appendicitis</w:t>
      </w:r>
      <w:r>
        <w:rPr>
          <w:sz w:val="27"/>
          <w:szCs w:val="27"/>
          <w:b/>
          <w:bCs/>
          <w:color w:val="231F20"/>
        </w:rPr>
        <w:t xml:space="preserve"> </w:t>
      </w:r>
      <w:r>
        <w:rPr>
          <w:sz w:val="27"/>
          <w:szCs w:val="27"/>
          <w:b/>
          <w:bCs/>
          <w:color w:val="231F20"/>
        </w:rPr>
        <w:t>and</w:t>
      </w:r>
      <w:r>
        <w:rPr>
          <w:sz w:val="27"/>
          <w:szCs w:val="27"/>
          <w:b/>
          <w:bCs/>
          <w:color w:val="231F20"/>
          <w:spacing w:val="65"/>
        </w:rPr>
        <w:t xml:space="preserve"> </w:t>
      </w:r>
      <w:r>
        <w:rPr>
          <w:sz w:val="27"/>
          <w:szCs w:val="27"/>
          <w:b/>
          <w:bCs/>
          <w:color w:val="231F20"/>
        </w:rPr>
        <w:t>analysis</w:t>
      </w:r>
      <w:r>
        <w:rPr>
          <w:sz w:val="27"/>
          <w:szCs w:val="27"/>
          <w:b/>
          <w:bCs/>
          <w:color w:val="231F20"/>
          <w:spacing w:val="48"/>
        </w:rPr>
        <w:t xml:space="preserve"> </w:t>
      </w:r>
      <w:r>
        <w:rPr>
          <w:sz w:val="27"/>
          <w:szCs w:val="27"/>
          <w:b/>
          <w:bCs/>
          <w:color w:val="231F20"/>
        </w:rPr>
        <w:t>of</w:t>
      </w:r>
      <w:r>
        <w:rPr>
          <w:sz w:val="27"/>
          <w:szCs w:val="27"/>
          <w:b/>
          <w:bCs/>
          <w:color w:val="231F20"/>
          <w:spacing w:val="23"/>
          <w:w w:val="101"/>
        </w:rPr>
        <w:t xml:space="preserve"> </w:t>
      </w:r>
      <w:r>
        <w:rPr>
          <w:sz w:val="27"/>
          <w:szCs w:val="27"/>
          <w:b/>
          <w:bCs/>
          <w:color w:val="231F20"/>
        </w:rPr>
        <w:t>independent</w:t>
      </w:r>
      <w:r>
        <w:rPr>
          <w:sz w:val="27"/>
          <w:szCs w:val="27"/>
          <w:b/>
          <w:bCs/>
          <w:color w:val="231F20"/>
          <w:spacing w:val="47"/>
          <w:w w:val="101"/>
        </w:rPr>
        <w:t xml:space="preserve"> </w:t>
      </w:r>
      <w:r>
        <w:rPr>
          <w:sz w:val="27"/>
          <w:szCs w:val="27"/>
          <w:b/>
          <w:bCs/>
          <w:color w:val="231F20"/>
        </w:rPr>
        <w:t>risk</w:t>
      </w:r>
      <w:r>
        <w:rPr>
          <w:sz w:val="27"/>
          <w:szCs w:val="27"/>
          <w:b/>
          <w:bCs/>
          <w:color w:val="231F20"/>
          <w:spacing w:val="45"/>
        </w:rPr>
        <w:t xml:space="preserve"> </w:t>
      </w:r>
      <w:r>
        <w:rPr>
          <w:sz w:val="27"/>
          <w:szCs w:val="27"/>
          <w:b/>
          <w:bCs/>
          <w:color w:val="231F20"/>
        </w:rPr>
        <w:t>factors</w:t>
      </w:r>
      <w:r>
        <w:rPr>
          <w:sz w:val="27"/>
          <w:szCs w:val="27"/>
          <w:b/>
          <w:bCs/>
          <w:color w:val="231F20"/>
          <w:spacing w:val="10"/>
        </w:rPr>
        <w:t xml:space="preserve">   </w:t>
      </w:r>
      <w:r>
        <w:rPr>
          <w:color w:val="231F20"/>
        </w:rPr>
        <w:t>WEN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Luhua</w:t>
      </w:r>
      <w:r>
        <w:rPr>
          <w:color w:val="231F20"/>
          <w:spacing w:val="10"/>
        </w:rPr>
        <w:t>,  </w:t>
      </w:r>
      <w:r>
        <w:rPr>
          <w:color w:val="231F20"/>
        </w:rPr>
        <w:t>DENG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Fuqiang</w:t>
      </w:r>
      <w:r>
        <w:rPr>
          <w:color w:val="231F20"/>
          <w:spacing w:val="10"/>
        </w:rPr>
        <w:t>,  </w:t>
      </w:r>
      <w:r>
        <w:rPr>
          <w:color w:val="231F20"/>
        </w:rPr>
        <w:t>CHEN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Weiyu</w:t>
      </w:r>
      <w:r>
        <w:rPr>
          <w:color w:val="231F20"/>
          <w:spacing w:val="10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Department of Pediatric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Surgery,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Meizhou People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’</w:t>
      </w:r>
      <w:r>
        <w:rPr>
          <w:color w:val="231F20"/>
        </w:rPr>
        <w:t>s Hospital(Huangtang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Hospital),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Meizhou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Guangdong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514031,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China   </w:t>
      </w:r>
      <w:r>
        <w:rPr>
          <w:color w:val="231F20"/>
          <w:spacing w:val="-2"/>
        </w:rPr>
        <w:t>Corresponding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author</w:t>
      </w:r>
      <w:r>
        <w:rPr>
          <w:rFonts w:ascii="Microsoft YaHei" w:hAnsi="Microsoft YaHei" w:eastAsia="Microsoft YaHei" w:cs="Microsoft YaHei"/>
          <w:color w:val="231F20"/>
          <w:spacing w:val="-2"/>
        </w:rPr>
        <w:t>：</w:t>
      </w:r>
      <w:r>
        <w:rPr>
          <w:color w:val="231F20"/>
          <w:spacing w:val="-2"/>
        </w:rPr>
        <w:t>WEN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Luhua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color w:val="231F20"/>
          <w:spacing w:val="-2"/>
        </w:rPr>
        <w:t>E-mail</w:t>
      </w:r>
      <w:r>
        <w:rPr>
          <w:rFonts w:ascii="Microsoft YaHei" w:hAnsi="Microsoft YaHei" w:eastAsia="Microsoft YaHei" w:cs="Microsoft YaHei"/>
          <w:color w:val="231F20"/>
          <w:spacing w:val="-2"/>
        </w:rPr>
        <w:t>：</w:t>
      </w:r>
      <w:r>
        <w:rPr>
          <w:color w:val="231F20"/>
          <w:spacing w:val="-2"/>
        </w:rPr>
        <w:t>wenluhua2010@</w:t>
      </w:r>
      <w:r>
        <w:rPr>
          <w:color w:val="231F20"/>
          <w:spacing w:val="-3"/>
        </w:rPr>
        <w:t>163.com</w:t>
      </w:r>
    </w:p>
    <w:p>
      <w:pPr>
        <w:pStyle w:val="BodyText"/>
        <w:ind w:left="501" w:right="1592"/>
        <w:spacing w:before="251" w:line="293" w:lineRule="auto"/>
        <w:jc w:val="both"/>
        <w:rPr/>
      </w:pPr>
      <w:r>
        <w:rPr>
          <w:color w:val="231F20"/>
          <w:spacing w:val="4"/>
        </w:rPr>
        <w:t>Abstract:  Objective  To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investigat</w:t>
      </w:r>
      <w:r>
        <w:rPr>
          <w:color w:val="231F20"/>
          <w:spacing w:val="3"/>
        </w:rPr>
        <w:t>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3"/>
        </w:rPr>
        <w:t>perforation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3"/>
        </w:rPr>
        <w:t>status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in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3"/>
        </w:rPr>
        <w:t>children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with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acute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3"/>
        </w:rPr>
        <w:t>appendicitis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analyze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independent risk factors. Methods  The case data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182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children 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acute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ap</w:t>
      </w:r>
      <w:r>
        <w:rPr>
          <w:color w:val="231F20"/>
          <w:spacing w:val="2"/>
        </w:rPr>
        <w:t>pendicitis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retrospectively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analyzed.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According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pathological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result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postoperative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appendix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perforation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,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divided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</w:rPr>
        <w:t>perforation  </w:t>
      </w:r>
      <w:r>
        <w:rPr>
          <w:color w:val="231F20"/>
        </w:rPr>
        <w:t>group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(</w:t>
      </w:r>
      <w:r>
        <w:rPr>
          <w:rFonts w:ascii="Arial" w:hAnsi="Arial" w:eastAsia="Arial" w:cs="Arial"/>
          <w:i/>
          <w:iCs/>
          <w:color w:val="231F20"/>
          <w:spacing w:val="5"/>
        </w:rPr>
        <w:t>n</w:t>
      </w:r>
      <w:r>
        <w:rPr>
          <w:color w:val="231F20"/>
          <w:spacing w:val="5"/>
        </w:rPr>
        <w:t>=84)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5"/>
        </w:rPr>
        <w:t>-</w:t>
      </w:r>
      <w:r>
        <w:rPr>
          <w:color w:val="231F20"/>
        </w:rPr>
        <w:t>perforation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(</w:t>
      </w:r>
      <w:r>
        <w:rPr>
          <w:rFonts w:ascii="Arial" w:hAnsi="Arial" w:eastAsia="Arial" w:cs="Arial"/>
          <w:i/>
          <w:iCs/>
          <w:color w:val="231F20"/>
          <w:spacing w:val="5"/>
        </w:rPr>
        <w:t>n</w:t>
      </w:r>
      <w:r>
        <w:rPr>
          <w:color w:val="231F20"/>
          <w:spacing w:val="5"/>
        </w:rPr>
        <w:t>=98).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Multivariate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Logistic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regression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analyze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risk  </w:t>
      </w:r>
      <w:r>
        <w:rPr>
          <w:color w:val="231F20"/>
        </w:rPr>
        <w:t>factors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perforation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7"/>
        </w:rPr>
        <w:t>. </w:t>
      </w:r>
      <w:r>
        <w:rPr>
          <w:color w:val="231F20"/>
        </w:rPr>
        <w:t>Results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appendix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perforation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 182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7"/>
        </w:rPr>
        <w:t xml:space="preserve"> 46.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15%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(84/182).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There  </w:t>
      </w:r>
      <w:r>
        <w:rPr>
          <w:color w:val="231F20"/>
          <w:spacing w:val="1"/>
        </w:rPr>
        <w:t>were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significant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differences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age,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onset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time,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preoperative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vomiting,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coprolith,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white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blood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cell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count,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fe</w:t>
      </w:r>
      <w:r>
        <w:rPr>
          <w:color w:val="231F20"/>
        </w:rPr>
        <w:t>ver,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rebound  </w:t>
      </w:r>
      <w:r>
        <w:rPr>
          <w:color w:val="231F20"/>
        </w:rPr>
        <w:t>pain</w:t>
      </w:r>
      <w:r>
        <w:rPr>
          <w:color w:val="231F20"/>
          <w:spacing w:val="10"/>
        </w:rPr>
        <w:t>,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</w:rPr>
        <w:t>neutrophil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count</w:t>
      </w:r>
      <w:r>
        <w:rPr>
          <w:color w:val="231F20"/>
          <w:spacing w:val="10"/>
        </w:rPr>
        <w:t>,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NLR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ratio</w:t>
      </w:r>
      <w:r>
        <w:rPr>
          <w:color w:val="231F20"/>
          <w:spacing w:val="10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lymphocyte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10"/>
        </w:rPr>
        <w:t>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10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procalcitonin</w:t>
      </w:r>
      <w:r>
        <w:rPr>
          <w:color w:val="231F20"/>
          <w:spacing w:val="10"/>
        </w:rPr>
        <w:t xml:space="preserve">  (</w:t>
      </w:r>
      <w:r>
        <w:rPr>
          <w:color w:val="231F20"/>
        </w:rPr>
        <w:t>PCT</w:t>
      </w:r>
      <w:r>
        <w:rPr>
          <w:color w:val="231F20"/>
          <w:spacing w:val="10"/>
        </w:rPr>
        <w:t>)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fibrin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between  </w:t>
      </w:r>
      <w:r>
        <w:rPr>
          <w:color w:val="231F20"/>
        </w:rPr>
        <w:t>perforation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non-perforation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(</w:t>
      </w:r>
      <w:r>
        <w:rPr>
          <w:rFonts w:ascii="Arial" w:hAnsi="Arial" w:eastAsia="Arial" w:cs="Arial"/>
          <w:i/>
          <w:iCs/>
          <w:color w:val="231F20"/>
        </w:rPr>
        <w:t>P</w:t>
      </w:r>
      <w:r>
        <w:rPr>
          <w:color w:val="231F20"/>
        </w:rPr>
        <w:t>&lt;0.05).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Logistic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regression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showed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</w:t>
      </w:r>
      <w:r>
        <w:rPr>
          <w:color w:val="231F20"/>
          <w:spacing w:val="-1"/>
        </w:rPr>
        <w:t>at  onset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time</w:t>
      </w:r>
      <w:r>
        <w:rPr>
          <w:rFonts w:ascii="Microsoft YaHei" w:hAnsi="Microsoft YaHei" w:eastAsia="Microsoft YaHei" w:cs="Microsoft YaHei"/>
          <w:color w:val="231F20"/>
          <w:spacing w:val="-1"/>
        </w:rPr>
        <w:t>（</w:t>
      </w:r>
      <w:r>
        <w:rPr>
          <w:rFonts w:ascii="Arial" w:hAnsi="Arial" w:eastAsia="Arial" w:cs="Arial"/>
          <w:i/>
          <w:iCs/>
          <w:color w:val="231F20"/>
          <w:spacing w:val="-1"/>
        </w:rPr>
        <w:t>OR</w:t>
      </w:r>
      <w:r>
        <w:rPr>
          <w:color w:val="231F20"/>
          <w:spacing w:val="-1"/>
        </w:rPr>
        <w:t>=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1.508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1"/>
        </w:rPr>
        <w:t>95%</w:t>
      </w:r>
      <w:r>
        <w:rPr>
          <w:rFonts w:ascii="Arial" w:hAnsi="Arial" w:eastAsia="Arial" w:cs="Arial"/>
          <w:i/>
          <w:iCs/>
          <w:color w:val="231F20"/>
        </w:rPr>
        <w:t>CI</w:t>
      </w:r>
      <w:r>
        <w:rPr>
          <w:color w:val="231F20"/>
          <w:spacing w:val="1"/>
        </w:rPr>
        <w:t>=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1.028-2.213</w:t>
      </w:r>
      <w:r>
        <w:rPr>
          <w:rFonts w:ascii="Microsoft YaHei" w:hAnsi="Microsoft YaHei" w:eastAsia="Microsoft YaHei" w:cs="Microsoft YaHei"/>
          <w:color w:val="231F20"/>
          <w:spacing w:val="1"/>
        </w:rPr>
        <w:t>）</w:t>
      </w:r>
      <w:r>
        <w:rPr>
          <w:color w:val="231F20"/>
          <w:spacing w:val="1"/>
        </w:rPr>
        <w:t>,   </w:t>
      </w:r>
      <w:r>
        <w:rPr>
          <w:color w:val="231F20"/>
        </w:rPr>
        <w:t>coprolith</w:t>
      </w:r>
      <w:r>
        <w:rPr>
          <w:rFonts w:ascii="Microsoft YaHei" w:hAnsi="Microsoft YaHei" w:eastAsia="Microsoft YaHei" w:cs="Microsoft YaHei"/>
          <w:color w:val="231F20"/>
          <w:spacing w:val="1"/>
        </w:rPr>
        <w:t>（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OR</w:t>
      </w:r>
      <w:r>
        <w:rPr>
          <w:color w:val="231F20"/>
          <w:spacing w:val="1"/>
        </w:rPr>
        <w:t>=</w:t>
      </w:r>
      <w:r>
        <w:rPr>
          <w:color w:val="231F20"/>
        </w:rPr>
        <w:t>6.720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，</w:t>
      </w:r>
      <w:r>
        <w:rPr>
          <w:color w:val="231F20"/>
        </w:rPr>
        <w:t>95%</w:t>
      </w:r>
      <w:r>
        <w:rPr>
          <w:rFonts w:ascii="Arial" w:hAnsi="Arial" w:eastAsia="Arial" w:cs="Arial"/>
          <w:i/>
          <w:iCs/>
          <w:color w:val="231F20"/>
        </w:rPr>
        <w:t>CI</w:t>
      </w:r>
      <w:r>
        <w:rPr>
          <w:color w:val="231F20"/>
        </w:rPr>
        <w:t>=2.324-19.434</w:t>
      </w:r>
      <w:r>
        <w:rPr>
          <w:rFonts w:ascii="Microsoft YaHei" w:hAnsi="Microsoft YaHei" w:eastAsia="Microsoft YaHei" w:cs="Microsoft YaHei"/>
          <w:color w:val="231F20"/>
        </w:rPr>
        <w:t>）</w:t>
      </w:r>
      <w:r>
        <w:rPr>
          <w:color w:val="231F20"/>
        </w:rPr>
        <w:t>,   rebound   pain</w:t>
      </w:r>
      <w:r>
        <w:rPr>
          <w:rFonts w:ascii="Microsoft YaHei" w:hAnsi="Microsoft YaHei" w:eastAsia="Microsoft YaHei" w:cs="Microsoft YaHei"/>
          <w:color w:val="231F20"/>
        </w:rPr>
        <w:t>（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OR</w:t>
      </w:r>
      <w:r>
        <w:rPr>
          <w:color w:val="231F20"/>
        </w:rPr>
        <w:t>=8.561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，</w:t>
      </w:r>
      <w:r>
        <w:rPr>
          <w:color w:val="231F20"/>
        </w:rPr>
        <w:t>95%</w:t>
      </w:r>
      <w:r>
        <w:rPr>
          <w:rFonts w:ascii="Arial" w:hAnsi="Arial" w:eastAsia="Arial" w:cs="Arial"/>
          <w:i/>
          <w:iCs/>
          <w:color w:val="231F20"/>
        </w:rPr>
        <w:t>CI</w:t>
      </w:r>
      <w:r>
        <w:rPr>
          <w:color w:val="231F20"/>
        </w:rPr>
        <w:t>=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1.953-  </w:t>
      </w:r>
      <w:r>
        <w:rPr>
          <w:color w:val="231F20"/>
          <w:spacing w:val="-1"/>
        </w:rPr>
        <w:t>37.533</w:t>
      </w:r>
      <w:r>
        <w:rPr>
          <w:rFonts w:ascii="Microsoft YaHei" w:hAnsi="Microsoft YaHei" w:eastAsia="Microsoft YaHei" w:cs="Microsoft YaHei"/>
          <w:color w:val="231F20"/>
          <w:spacing w:val="-1"/>
        </w:rPr>
        <w:t>）</w:t>
      </w:r>
      <w:r>
        <w:rPr>
          <w:color w:val="231F20"/>
          <w:spacing w:val="-1"/>
        </w:rPr>
        <w:t>,  CRP  level  ≥41.38  mg / L</w:t>
      </w:r>
      <w:r>
        <w:rPr>
          <w:rFonts w:ascii="Microsoft YaHei" w:hAnsi="Microsoft YaHei" w:eastAsia="Microsoft YaHei" w:cs="Microsoft YaHei"/>
          <w:color w:val="231F20"/>
          <w:spacing w:val="-1"/>
        </w:rPr>
        <w:t>（</w:t>
      </w:r>
      <w:r>
        <w:rPr>
          <w:rFonts w:ascii="Arial" w:hAnsi="Arial" w:eastAsia="Arial" w:cs="Arial"/>
          <w:i/>
          <w:iCs/>
          <w:color w:val="231F20"/>
          <w:spacing w:val="-1"/>
        </w:rPr>
        <w:t>OR</w:t>
      </w:r>
      <w:r>
        <w:rPr>
          <w:color w:val="231F20"/>
          <w:spacing w:val="-1"/>
        </w:rPr>
        <w:t>=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11.631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95%</w:t>
      </w:r>
      <w:r>
        <w:rPr>
          <w:rFonts w:ascii="Arial" w:hAnsi="Arial" w:eastAsia="Arial" w:cs="Arial"/>
          <w:i/>
          <w:iCs/>
          <w:color w:val="231F20"/>
          <w:spacing w:val="-1"/>
        </w:rPr>
        <w:t>CI</w:t>
      </w:r>
      <w:r>
        <w:rPr>
          <w:color w:val="231F20"/>
          <w:spacing w:val="-1"/>
        </w:rPr>
        <w:t>=3.578-37.812</w:t>
      </w:r>
      <w:r>
        <w:rPr>
          <w:rFonts w:ascii="Microsoft YaHei" w:hAnsi="Microsoft YaHei" w:eastAsia="Microsoft YaHei" w:cs="Microsoft YaHei"/>
          <w:color w:val="231F20"/>
          <w:spacing w:val="-1"/>
        </w:rPr>
        <w:t>）</w:t>
      </w:r>
      <w:r>
        <w:rPr>
          <w:color w:val="231F20"/>
          <w:spacing w:val="-1"/>
        </w:rPr>
        <w:t>and  NLR  ratio</w:t>
      </w:r>
      <w:r>
        <w:rPr>
          <w:rFonts w:ascii="Microsoft YaHei" w:hAnsi="Microsoft YaHei" w:eastAsia="Microsoft YaHei" w:cs="Microsoft YaHei"/>
          <w:color w:val="231F20"/>
          <w:spacing w:val="-1"/>
        </w:rPr>
        <w:t>（</w:t>
      </w:r>
      <w:r>
        <w:rPr>
          <w:rFonts w:ascii="Arial" w:hAnsi="Arial" w:eastAsia="Arial" w:cs="Arial"/>
          <w:i/>
          <w:iCs/>
          <w:color w:val="231F20"/>
          <w:spacing w:val="-1"/>
        </w:rPr>
        <w:t>OR</w:t>
      </w:r>
      <w:r>
        <w:rPr>
          <w:color w:val="231F20"/>
          <w:spacing w:val="-1"/>
        </w:rPr>
        <w:t>=0.864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95%</w:t>
      </w:r>
      <w:r>
        <w:rPr>
          <w:rFonts w:ascii="Arial" w:hAnsi="Arial" w:eastAsia="Arial" w:cs="Arial"/>
          <w:i/>
          <w:iCs/>
          <w:color w:val="231F20"/>
          <w:spacing w:val="-1"/>
        </w:rPr>
        <w:t>CI</w:t>
      </w:r>
      <w:r>
        <w:rPr>
          <w:color w:val="231F20"/>
          <w:spacing w:val="-1"/>
        </w:rPr>
        <w:t>=0.770-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0.970</w:t>
      </w:r>
      <w:r>
        <w:rPr>
          <w:rFonts w:ascii="Microsoft YaHei" w:hAnsi="Microsoft YaHei" w:eastAsia="Microsoft YaHei" w:cs="Microsoft YaHei"/>
          <w:color w:val="231F20"/>
          <w:spacing w:val="11"/>
        </w:rPr>
        <w:t>）</w:t>
      </w:r>
      <w:r>
        <w:rPr>
          <w:color w:val="231F20"/>
        </w:rPr>
        <w:t>were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independent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factors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perforation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appendicitis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11"/>
        </w:rPr>
        <w:t>(</w:t>
      </w:r>
      <w:r>
        <w:rPr>
          <w:rFonts w:ascii="Arial" w:hAnsi="Arial" w:eastAsia="Arial" w:cs="Arial"/>
          <w:i/>
          <w:iCs/>
          <w:color w:val="231F20"/>
          <w:spacing w:val="11"/>
        </w:rPr>
        <w:t>P</w:t>
      </w:r>
      <w:r>
        <w:rPr>
          <w:color w:val="231F20"/>
          <w:spacing w:val="11"/>
        </w:rPr>
        <w:t>&lt;0.05).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Conclusion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Long  </w:t>
      </w:r>
      <w:r>
        <w:rPr>
          <w:color w:val="231F20"/>
          <w:spacing w:val="2"/>
        </w:rPr>
        <w:t>onset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time,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coprolith,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rebound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pain,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CRP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level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NLR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ratio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children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acute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appendicitis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ar</w:t>
      </w:r>
      <w:r>
        <w:rPr>
          <w:color w:val="231F20"/>
          <w:spacing w:val="1"/>
        </w:rPr>
        <w:t>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independent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risk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factors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leading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appendix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perforation.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Observing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1"/>
        </w:rPr>
        <w:t>above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factors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early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diagnosis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helpful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assess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of  </w:t>
      </w:r>
      <w:r>
        <w:rPr>
          <w:color w:val="231F20"/>
          <w:spacing w:val="2"/>
        </w:rPr>
        <w:t>appendix perforation, thereby facilitating the determination 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"/>
        </w:rPr>
        <w:t>the treatment protocol in clinical practice.</w:t>
      </w:r>
    </w:p>
    <w:p>
      <w:pPr>
        <w:pStyle w:val="BodyText"/>
        <w:ind w:left="505"/>
        <w:spacing w:before="37" w:line="232" w:lineRule="auto"/>
        <w:rPr/>
      </w:pPr>
      <w:r>
        <w:rPr>
          <w:color w:val="231F20"/>
          <w:spacing w:val="3"/>
        </w:rPr>
        <w:t>Key words: Acute appendicitis; Children; Perforation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status</w:t>
      </w:r>
      <w:r>
        <w:rPr>
          <w:color w:val="231F20"/>
          <w:spacing w:val="2"/>
        </w:rPr>
        <w:t>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Analysis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of risk factors</w:t>
      </w:r>
    </w:p>
    <w:p>
      <w:pPr>
        <w:spacing w:line="221" w:lineRule="exact"/>
        <w:rPr/>
      </w:pPr>
      <w:r/>
    </w:p>
    <w:p>
      <w:pPr>
        <w:spacing w:line="221" w:lineRule="exact"/>
        <w:sectPr>
          <w:pgSz w:w="11623" w:h="16158"/>
          <w:pgMar w:top="400" w:right="548" w:bottom="0" w:left="424" w:header="0" w:footer="0" w:gutter="0"/>
          <w:cols w:equalWidth="0" w:num="1">
            <w:col w:w="10650" w:space="0"/>
          </w:cols>
        </w:sectPr>
        <w:rPr/>
      </w:pPr>
    </w:p>
    <w:p>
      <w:pPr>
        <w:pStyle w:val="BodyText"/>
        <w:ind w:left="505" w:right="361" w:firstLine="422"/>
        <w:spacing w:before="44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急性阑尾炎是由阑尾管堵塞、细菌入侵、阑尾先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天畸形、饮食不洁及抵抗力下降等多种直接或间接原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因引起的阑尾壁感染，其典型症状为腹痛、厌食、恶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心、呕吐、乏力、发热等，是常见的急腹症</w:t>
      </w:r>
      <w:r>
        <w:rPr>
          <w:sz w:val="10"/>
          <w:szCs w:val="10"/>
          <w:color w:val="231F20"/>
          <w:spacing w:val="-3"/>
          <w:position w:val="7"/>
        </w:rPr>
        <w:t>[1-2]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。急性单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纯性阑尾炎是阑尾早期病变，病情进展会发展为急性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化脓性阑尾炎，当炎症病变未得到控制会进一步发展</w:t>
      </w:r>
    </w:p>
    <w:p>
      <w:pPr>
        <w:ind w:left="498"/>
        <w:spacing w:before="1" w:line="220" w:lineRule="auto"/>
        <w:tabs>
          <w:tab w:val="left" w:pos="3616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231F20"/>
        </w:rPr>
        <w:tab/>
      </w:r>
    </w:p>
    <w:p>
      <w:pPr>
        <w:spacing w:line="12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3" w:firstLine="6"/>
        <w:spacing w:before="37" w:line="30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为急性重症阑尾炎，出现阑尾穿孔</w:t>
      </w:r>
      <w:r>
        <w:rPr>
          <w:sz w:val="10"/>
          <w:szCs w:val="10"/>
          <w:color w:val="231F20"/>
          <w:spacing w:val="4"/>
          <w:position w:val="7"/>
        </w:rPr>
        <w:t>[3-4]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。阑尾穿孔是急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性阑尾炎最严重的情况，由于阑尾管腔阻塞后黏液分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泌增多，腔内压力升高致血运障碍，使阑尾壁发生穿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孔，穿孔多见于阑尾根部及近端的系膜缘对侧，若穿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孔未能被包裹，感染继续扩散，会发展为急性弥漫性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腹膜炎，危及生命</w:t>
      </w:r>
      <w:r>
        <w:rPr>
          <w:sz w:val="10"/>
          <w:szCs w:val="10"/>
          <w:color w:val="231F20"/>
          <w:spacing w:val="8"/>
          <w:position w:val="7"/>
        </w:rPr>
        <w:t>[5]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。急性阑尾炎可发生在各个年龄</w:t>
      </w:r>
    </w:p>
    <w:p>
      <w:pPr>
        <w:spacing w:line="302" w:lineRule="auto"/>
        <w:sectPr>
          <w:type w:val="continuous"/>
          <w:pgSz w:w="11623" w:h="16158"/>
          <w:pgMar w:top="400" w:right="548" w:bottom="0" w:left="424" w:header="0" w:footer="0" w:gutter="0"/>
          <w:cols w:equalWidth="0" w:num="2">
            <w:col w:w="5616" w:space="100"/>
            <w:col w:w="493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505"/>
        <w:spacing w:before="23" w:line="21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3"/>
        </w:rPr>
        <w:t>基金项目：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广东省医学科学技术研究基金项目（编号：</w:t>
      </w:r>
      <w:r>
        <w:rPr>
          <w:sz w:val="15"/>
          <w:szCs w:val="15"/>
          <w:color w:val="231F20"/>
          <w:spacing w:val="3"/>
        </w:rPr>
        <w:t>B2022151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  <w:w w:val="59"/>
        </w:rPr>
        <w:t>）；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梅州市医药卫生科研课题项目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（编号：</w:t>
      </w:r>
      <w:r>
        <w:rPr>
          <w:sz w:val="15"/>
          <w:szCs w:val="15"/>
          <w:color w:val="231F20"/>
          <w:spacing w:val="2"/>
        </w:rPr>
        <w:t>2024-B-20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）</w:t>
      </w:r>
    </w:p>
    <w:p>
      <w:pPr>
        <w:pStyle w:val="BodyText"/>
        <w:ind w:left="505"/>
        <w:spacing w:before="26" w:line="207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1"/>
        </w:rPr>
        <w:t>通信作者：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温露华，</w:t>
      </w:r>
      <w:r>
        <w:rPr>
          <w:sz w:val="15"/>
          <w:szCs w:val="15"/>
          <w:color w:val="231F20"/>
          <w:spacing w:val="-1"/>
        </w:rPr>
        <w:t>E-mail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wenluh</w:t>
      </w:r>
      <w:r>
        <w:rPr>
          <w:sz w:val="15"/>
          <w:szCs w:val="15"/>
          <w:color w:val="231F20"/>
          <w:spacing w:val="-2"/>
        </w:rPr>
        <w:t>ua2010@163.com</w:t>
      </w:r>
    </w:p>
    <w:p>
      <w:pPr>
        <w:pStyle w:val="BodyText"/>
        <w:spacing w:before="64" w:line="179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8"/>
          <w:position w:val="-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16"/>
          <w:position w:val="-4"/>
        </w:rPr>
        <w:t xml:space="preserve">    </w:t>
      </w:r>
      <w:r>
        <w:rPr>
          <w:rFonts w:ascii="Arial" w:hAnsi="Arial" w:eastAsia="Arial" w:cs="Arial"/>
          <w:sz w:val="23"/>
          <w:szCs w:val="23"/>
          <w:color w:val="999999"/>
          <w:position w:val="-4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8"/>
          <w:position w:val="-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8"/>
          <w:position w:val="-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8"/>
          <w:position w:val="-4"/>
        </w:rPr>
        <w:t>/</w:t>
      </w:r>
      <w:r>
        <w:rPr>
          <w:rFonts w:ascii="Arial" w:hAnsi="Arial" w:eastAsia="Arial" w:cs="Arial"/>
          <w:sz w:val="23"/>
          <w:szCs w:val="23"/>
          <w:color w:val="999999"/>
          <w:position w:val="-4"/>
        </w:rPr>
        <w:t>www</w:t>
      </w:r>
      <w:r>
        <w:rPr>
          <w:rFonts w:ascii="Arial" w:hAnsi="Arial" w:eastAsia="Arial" w:cs="Arial"/>
          <w:sz w:val="23"/>
          <w:szCs w:val="23"/>
          <w:color w:val="999999"/>
          <w:spacing w:val="8"/>
          <w:position w:val="-4"/>
        </w:rPr>
        <w:t>.</w:t>
      </w:r>
      <w:r>
        <w:rPr>
          <w:rFonts w:ascii="Arial" w:hAnsi="Arial" w:eastAsia="Arial" w:cs="Arial"/>
          <w:sz w:val="23"/>
          <w:szCs w:val="23"/>
          <w:color w:val="999999"/>
        </w:rPr>
        <w:t>cnki</w:t>
      </w:r>
      <w:r>
        <w:rPr>
          <w:rFonts w:ascii="Arial" w:hAnsi="Arial" w:eastAsia="Arial" w:cs="Arial"/>
          <w:sz w:val="23"/>
          <w:szCs w:val="23"/>
          <w:color w:val="999999"/>
          <w:spacing w:val="-20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8"/>
          <w:position w:val="-4"/>
        </w:rPr>
        <w:t>.</w:t>
      </w:r>
      <w:r>
        <w:rPr>
          <w:rFonts w:ascii="Arial" w:hAnsi="Arial" w:eastAsia="Arial" w:cs="Arial"/>
          <w:sz w:val="23"/>
          <w:szCs w:val="23"/>
          <w:color w:val="999999"/>
          <w:spacing w:val="-38"/>
          <w:position w:val="-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position w:val="-4"/>
        </w:rPr>
        <w:t>net</w:t>
      </w:r>
      <w:r>
        <w:rPr>
          <w:rFonts w:ascii="Arial" w:hAnsi="Arial" w:eastAsia="Arial" w:cs="Arial"/>
          <w:sz w:val="23"/>
          <w:szCs w:val="23"/>
          <w:color w:val="999999"/>
          <w:spacing w:val="1"/>
          <w:position w:val="-4"/>
        </w:rPr>
        <w:t xml:space="preserve">                                    </w:t>
      </w:r>
      <w:r>
        <w:rPr>
          <w:rFonts w:ascii="Arial" w:hAnsi="Arial" w:eastAsia="Arial" w:cs="Arial"/>
          <w:sz w:val="23"/>
          <w:szCs w:val="23"/>
          <w:color w:val="999999"/>
          <w:position w:val="-4"/>
        </w:rPr>
        <w:t xml:space="preserve">                                                                 </w:t>
      </w:r>
      <w:r>
        <w:rPr>
          <w:rFonts w:ascii="Microsoft YaHei" w:hAnsi="Microsoft YaHei" w:eastAsia="Microsoft YaHei" w:cs="Microsoft YaHei"/>
          <w:color w:val="231F20"/>
          <w:spacing w:val="8"/>
          <w:position w:val="8"/>
        </w:rPr>
        <w:t>·</w:t>
      </w:r>
      <w:r>
        <w:rPr>
          <w:rFonts w:ascii="Microsoft YaHei" w:hAnsi="Microsoft YaHei" w:eastAsia="Microsoft YaHei" w:cs="Microsoft YaHei"/>
          <w:color w:val="231F20"/>
          <w:spacing w:val="43"/>
          <w:position w:val="8"/>
        </w:rPr>
        <w:t xml:space="preserve"> </w:t>
      </w:r>
      <w:r>
        <w:rPr>
          <w:color w:val="231F20"/>
          <w:spacing w:val="8"/>
          <w:position w:val="7"/>
        </w:rPr>
        <w:t>1609   </w:t>
      </w:r>
      <w:r>
        <w:rPr>
          <w:rFonts w:ascii="Microsoft YaHei" w:hAnsi="Microsoft YaHei" w:eastAsia="Microsoft YaHei" w:cs="Microsoft YaHei"/>
          <w:color w:val="231F20"/>
          <w:spacing w:val="8"/>
          <w:position w:val="8"/>
        </w:rPr>
        <w:t>·</w:t>
      </w:r>
    </w:p>
    <w:p>
      <w:pPr>
        <w:spacing w:line="179" w:lineRule="auto"/>
        <w:sectPr>
          <w:type w:val="continuous"/>
          <w:pgSz w:w="11623" w:h="16158"/>
          <w:pgMar w:top="400" w:right="548" w:bottom="0" w:left="424" w:header="0" w:footer="0" w:gutter="0"/>
          <w:cols w:equalWidth="0" w:num="1">
            <w:col w:w="10650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1"/>
          <w:footerReference w:type="default" r:id="rId2"/>
          <w:pgSz w:w="11623" w:h="16158"/>
          <w:pgMar w:top="895" w:right="843" w:bottom="692" w:left="424" w:header="463" w:footer="427" w:gutter="0"/>
          <w:cols w:equalWidth="0" w:num="1">
            <w:col w:w="10356" w:space="0"/>
          </w:cols>
        </w:sectPr>
        <w:rPr/>
      </w:pPr>
    </w:p>
    <w:p>
      <w:pPr>
        <w:ind w:left="311" w:right="294" w:firstLine="16"/>
        <w:spacing w:before="44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阶段，也是儿童常见的急腹症，虽然儿童发病率低于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成人，但其病势相较成年人往往更为严重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[6-7]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w w:val="101"/>
          <w:position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。由于儿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童阑尾形态不同于成人，其阑尾大多呈细长的形态，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且管腔较小，管壁较薄，阑尾的大网膜发育不太完全，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且供血功能较差，容易出现干结及钙化，进而发生化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脓性坏疽，极易出现阑尾穿孔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[8-9]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w w:val="101"/>
          <w:position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。因此对于小儿出现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急性阑尾炎相关症状时应及时就诊并尽早采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取治疗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措施防止阑尾穿孔的发生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[10]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。基于此，本研究调查急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性阑尾炎患儿穿孔情况并分析其独立危险因素，以期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为临床预测诊断提供参考依据。</w:t>
      </w:r>
    </w:p>
    <w:p>
      <w:pPr>
        <w:ind w:left="321"/>
        <w:spacing w:before="157" w:line="193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1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资料与方法</w:t>
      </w:r>
    </w:p>
    <w:p>
      <w:pPr>
        <w:ind w:left="324" w:right="360" w:firstLine="1"/>
        <w:spacing w:before="199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13"/>
        </w:rPr>
        <w:t>1.1</w:t>
      </w:r>
      <w:r>
        <w:rPr>
          <w:rFonts w:ascii="KaiTi" w:hAnsi="KaiTi" w:eastAsia="KaiTi" w:cs="KaiTi"/>
          <w:sz w:val="20"/>
          <w:szCs w:val="20"/>
          <w:color w:val="231F20"/>
          <w:spacing w:val="13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13"/>
        </w:rPr>
        <w:t>一般资料</w:t>
      </w:r>
      <w:r>
        <w:rPr>
          <w:rFonts w:ascii="KaiTi" w:hAnsi="KaiTi" w:eastAsia="KaiTi" w:cs="KaiTi"/>
          <w:sz w:val="20"/>
          <w:szCs w:val="20"/>
          <w:color w:val="231F20"/>
          <w:spacing w:val="2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回顾性分析梅州市人民医院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黄塘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医院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小儿外科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2020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年</w:t>
      </w:r>
      <w:r>
        <w:rPr>
          <w:rFonts w:ascii="SimSun" w:hAnsi="SimSun" w:eastAsia="SimSun" w:cs="SimSun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月</w:t>
      </w:r>
      <w:r>
        <w:rPr>
          <w:rFonts w:ascii="SimSun" w:hAnsi="SimSun" w:eastAsia="SimSun" w:cs="SimSun"/>
          <w:sz w:val="20"/>
          <w:szCs w:val="20"/>
          <w:color w:val="231F20"/>
          <w:spacing w:val="-7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2024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年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月收治的</w:t>
      </w:r>
    </w:p>
    <w:p>
      <w:pPr>
        <w:ind w:left="330"/>
        <w:spacing w:before="35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182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例急性阑尾炎患儿的临床病例资料。纳入标准：</w:t>
      </w:r>
    </w:p>
    <w:p>
      <w:pPr>
        <w:ind w:left="311" w:right="281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①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符合急性阑尾炎相关诊断标准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4"/>
          <w:position w:val="7"/>
        </w:rPr>
        <w:t>[11]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②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行阑尾切除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术；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③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临床病历资料完整、各实验室检查结果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完整。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排除标准：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①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合并严重器质性疾病；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②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伴有感染性疾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病；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③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合并恶性肿瘤；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④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存在精神疾病或认知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障碍。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本研究中男患儿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109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例，女患儿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73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例；年龄范围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~</w:t>
      </w:r>
    </w:p>
    <w:p>
      <w:pPr>
        <w:ind w:left="308" w:right="360" w:firstLine="22"/>
        <w:spacing w:before="23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14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岁，平均年龄（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8.75±2.96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）岁，以病理组织学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检查确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认急性阑尾炎患儿是否发生穿孔，根据穿孔情况分为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穿孔组（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=84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）和未穿孔组（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=98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）。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所有患者均签署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知情同意书，本研究经医院医学伦理委员会审批（批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号：梅市伦审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2024-C-140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）。</w:t>
      </w:r>
    </w:p>
    <w:p>
      <w:pPr>
        <w:ind w:left="229" w:right="278" w:firstLine="97"/>
        <w:spacing w:before="12" w:line="246" w:lineRule="auto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14"/>
        </w:rPr>
        <w:t>1.2</w:t>
      </w:r>
      <w:r>
        <w:rPr>
          <w:rFonts w:ascii="KaiTi" w:hAnsi="KaiTi" w:eastAsia="KaiTi" w:cs="KaiTi"/>
          <w:sz w:val="20"/>
          <w:szCs w:val="20"/>
          <w:color w:val="231F20"/>
          <w:spacing w:val="29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14"/>
        </w:rPr>
        <w:t>方</w:t>
      </w:r>
      <w:r>
        <w:rPr>
          <w:rFonts w:ascii="KaiTi" w:hAnsi="KaiTi" w:eastAsia="KaiTi" w:cs="KaiTi"/>
          <w:sz w:val="20"/>
          <w:szCs w:val="20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4"/>
        </w:rPr>
        <w:t>法</w:t>
      </w:r>
      <w:r>
        <w:rPr>
          <w:rFonts w:ascii="KaiTi" w:hAnsi="KaiTi" w:eastAsia="KaiTi" w:cs="KaiTi"/>
          <w:sz w:val="20"/>
          <w:szCs w:val="20"/>
          <w:color w:val="231F20"/>
          <w:spacing w:val="14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收集患儿性别、年龄、体重质量指数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body mass index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BMI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）、发病时间、有无呕吐、术前有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无腹泻、有无反跳痛、入院时发热情况、发病季节（春、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夏、秋、冬）等病历资料，记录术前白细胞、中性粒细胞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分数、淋巴细胞分数、血小板、血红蛋白、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C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反应蛋白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C-reactive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protein</w:t>
      </w:r>
      <w:r>
        <w:rPr>
          <w:rFonts w:ascii="SimSun" w:hAnsi="SimSun" w:eastAsia="SimSun" w:cs="SimSun"/>
          <w:sz w:val="20"/>
          <w:szCs w:val="20"/>
          <w:color w:val="231F20"/>
          <w:spacing w:val="-1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CRP</w:t>
      </w:r>
      <w:r>
        <w:rPr>
          <w:rFonts w:ascii="SimSun" w:hAnsi="SimSun" w:eastAsia="SimSun" w:cs="SimSun"/>
          <w:sz w:val="20"/>
          <w:szCs w:val="20"/>
          <w:color w:val="231F20"/>
          <w:spacing w:val="-14"/>
        </w:rPr>
        <w:t>）、降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5"/>
        </w:rPr>
        <w:t>钙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5"/>
        </w:rPr>
        <w:t>素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5"/>
        </w:rPr>
        <w:t>原（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procalcitonin</w:t>
      </w:r>
      <w:r>
        <w:rPr>
          <w:rFonts w:ascii="SimSun" w:hAnsi="SimSun" w:eastAsia="SimSun" w:cs="SimSun"/>
          <w:sz w:val="20"/>
          <w:szCs w:val="20"/>
          <w:color w:val="231F20"/>
          <w:spacing w:val="-15"/>
        </w:rPr>
        <w:t>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PCT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）、白蛋白、纤维蛋白、中性粒细胞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淋巴细胞计数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NLR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）比值等检测结果，将患者上述一般资料和检测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结果均作为预选影响因子，部分计量资料整理后转化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为计数资料，进行单因素分析和多因素</w:t>
      </w:r>
      <w:r>
        <w:rPr>
          <w:rFonts w:ascii="SimSun" w:hAnsi="SimSun" w:eastAsia="SimSun" w:cs="SimSun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Logistic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回归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1"/>
        </w:rPr>
        <w:t>分析。</w:t>
      </w:r>
    </w:p>
    <w:p>
      <w:pPr>
        <w:ind w:left="311" w:right="278" w:firstLine="15"/>
        <w:spacing w:before="75" w:line="22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1"/>
        </w:rPr>
        <w:t>1.3</w:t>
      </w:r>
      <w:r>
        <w:rPr>
          <w:rFonts w:ascii="KaiTi" w:hAnsi="KaiTi" w:eastAsia="KaiTi" w:cs="KaiTi"/>
          <w:sz w:val="20"/>
          <w:szCs w:val="20"/>
          <w:color w:val="231F20"/>
          <w:spacing w:val="1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1"/>
        </w:rPr>
        <w:t>观察指标</w:t>
      </w:r>
      <w:r>
        <w:rPr>
          <w:rFonts w:ascii="KaiTi" w:hAnsi="KaiTi" w:eastAsia="KaiTi" w:cs="KaiT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①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穿孔情况：以术中探查结果确认患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儿是否存在穿孔；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②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发病时间为患儿右下腹痛、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转移性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右下腹痛、呕吐、腹泻、反跳痛等症状出现时间至就诊时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间；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③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入院体温为患儿腋下测量值；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④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患儿有无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粪石由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彩超或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CT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等影像学检查确认；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⑤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炎性因子指标：患儿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>入院时抽取静脉血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5 mL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3 000 r/min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4"/>
        </w:rPr>
        <w:t>离心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10 min</w:t>
      </w:r>
      <w:r>
        <w:rPr>
          <w:rFonts w:ascii="SimSun" w:hAnsi="SimSun" w:eastAsia="SimSun" w:cs="SimSun"/>
          <w:sz w:val="20"/>
          <w:szCs w:val="20"/>
          <w:color w:val="231F20"/>
          <w:spacing w:val="-14"/>
        </w:rPr>
        <w:t>，采用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酶联免疫吸附法检测血清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CRP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PCT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水平；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⑥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血常规指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标：采用全自动血液分析仪检测患儿静脉血中血小板、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血红蛋白、白细胞、中性粒细胞、淋巴细胞计数水平；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38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采用血清蛋白电泳仪检测血清白蛋白、纤维蛋白水平。</w:t>
      </w:r>
    </w:p>
    <w:p>
      <w:pPr>
        <w:ind w:left="3" w:right="15" w:firstLine="12"/>
        <w:spacing w:before="88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12"/>
        </w:rPr>
        <w:t>1.4</w:t>
      </w:r>
      <w:r>
        <w:rPr>
          <w:rFonts w:ascii="KaiTi" w:hAnsi="KaiTi" w:eastAsia="KaiTi" w:cs="KaiTi"/>
          <w:sz w:val="20"/>
          <w:szCs w:val="20"/>
          <w:color w:val="231F20"/>
          <w:spacing w:val="12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12"/>
        </w:rPr>
        <w:t>统计学方法</w:t>
      </w:r>
      <w:r>
        <w:rPr>
          <w:rFonts w:ascii="KaiTi" w:hAnsi="KaiTi" w:eastAsia="KaiTi" w:cs="KaiTi"/>
          <w:sz w:val="20"/>
          <w:szCs w:val="20"/>
          <w:color w:val="231F20"/>
          <w:spacing w:val="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本文涉及全部数据均采用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SPSS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23.0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软件分析，计量资料符合正态分布时以（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>x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  <w:position w:val="10"/>
        </w:rPr>
        <w:t>-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>±s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）形式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表示，采用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"/>
        </w:rPr>
        <w:t>t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检验进行组间比较，不符合正态分布时，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以中位数（四分位数表示</w:t>
      </w:r>
      <w:r>
        <w:rPr>
          <w:rFonts w:ascii="SimSun" w:hAnsi="SimSun" w:eastAsia="SimSun" w:cs="SimSun"/>
          <w:sz w:val="20"/>
          <w:szCs w:val="20"/>
          <w:color w:val="231F20"/>
          <w:spacing w:val="-34"/>
          <w:w w:val="65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采用秩和检验；计数资料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以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例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(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或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百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分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数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(%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形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式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表示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，采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用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2 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检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验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，以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Logistic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回归进行多因素分析，以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&lt;0.05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为有显著差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异具有统计学意义。</w:t>
      </w:r>
    </w:p>
    <w:p>
      <w:pPr>
        <w:ind w:left="1"/>
        <w:spacing w:before="244" w:line="197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9"/>
        </w:rPr>
        <w:t>结</w:t>
      </w:r>
      <w:r>
        <w:rPr>
          <w:rFonts w:ascii="SimHei" w:hAnsi="SimHei" w:eastAsia="SimHei" w:cs="SimHei"/>
          <w:sz w:val="20"/>
          <w:szCs w:val="20"/>
          <w:color w:val="231F20"/>
          <w:spacing w:val="2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9"/>
        </w:rPr>
        <w:t>果</w:t>
      </w:r>
    </w:p>
    <w:p>
      <w:pPr>
        <w:ind w:left="1" w:right="81" w:firstLine="2"/>
        <w:spacing w:before="200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9"/>
        </w:rPr>
        <w:t>2.1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>急性阑尾炎患儿穿孔情况调查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本研究急性阑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尾炎患儿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182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例，有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84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例患儿发生阑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尾穿孔，其中男性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患儿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52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例，女性患儿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32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98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例患儿未发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生阑尾穿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孔，阑尾穿孔发生率为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46.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15%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，男性患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儿阑尾穿孔发生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率为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28.57%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，女性患儿阑尾穿孔发生率为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17.58%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。</w:t>
      </w:r>
    </w:p>
    <w:p>
      <w:pPr>
        <w:ind w:firstLine="3"/>
        <w:spacing w:before="32"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9"/>
        </w:rPr>
        <w:t>2.2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>急性阑尾炎患儿穿孔的单因素分析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两组患儿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在年龄、发病时间、术前呕吐、有粪石、发热、反跳痛、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白细胞计数、中性粒细胞计数、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NLR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比值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、淋巴细胞水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平、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CRP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水平、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PCT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水平、纤维蛋白水平上比较差异有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统计学意义有显著差异（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&lt;0.05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）。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见表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。</w:t>
      </w:r>
    </w:p>
    <w:p>
      <w:pPr>
        <w:ind w:left="211"/>
        <w:spacing w:before="23" w:line="17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1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急性阑尾炎患儿穿孔的单因素分析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[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</w:rPr>
        <w:t>x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  <w:position w:val="9"/>
        </w:rPr>
        <w:t>-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</w:rPr>
        <w:t>±s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</w:rPr>
        <w:t>M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(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</w:rPr>
        <w:t>P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3"/>
          <w:position w:val="-3"/>
        </w:rPr>
        <w:t>25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  <w:position w:val="-3"/>
        </w:rPr>
        <w:t>,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</w:rPr>
        <w:t>P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3"/>
          <w:position w:val="-3"/>
        </w:rPr>
        <w:t>75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)]</w:t>
      </w:r>
    </w:p>
    <w:p>
      <w:pPr>
        <w:spacing w:line="39" w:lineRule="exact"/>
        <w:rPr/>
      </w:pPr>
      <w:r/>
    </w:p>
    <w:tbl>
      <w:tblPr>
        <w:tblStyle w:val="TableNormal"/>
        <w:tblW w:w="4734" w:type="dxa"/>
        <w:tblInd w:w="3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26"/>
        <w:gridCol w:w="1096"/>
        <w:gridCol w:w="1127"/>
        <w:gridCol w:w="678"/>
        <w:gridCol w:w="507"/>
      </w:tblGrid>
      <w:tr>
        <w:trPr>
          <w:trHeight w:val="333" w:hRule="atLeast"/>
        </w:trPr>
        <w:tc>
          <w:tcPr>
            <w:tcW w:w="132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"/>
              <w:spacing w:before="90" w:line="178" w:lineRule="auto"/>
              <w:rPr/>
            </w:pPr>
            <w:r>
              <w:rPr>
                <w:color w:val="231F20"/>
                <w:spacing w:val="6"/>
              </w:rPr>
              <w:t>项目</w:t>
            </w:r>
          </w:p>
        </w:tc>
        <w:tc>
          <w:tcPr>
            <w:tcW w:w="2223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3"/>
              <w:spacing w:before="87" w:line="197" w:lineRule="auto"/>
              <w:rPr/>
            </w:pPr>
            <w:r>
              <w:rPr>
                <w:color w:val="231F20"/>
                <w:spacing w:val="-3"/>
              </w:rPr>
              <w:t>穿孔组(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3"/>
              </w:rPr>
              <w:t>n</w:t>
            </w:r>
            <w:r>
              <w:rPr>
                <w:color w:val="231F20"/>
                <w:spacing w:val="-3"/>
              </w:rPr>
              <w:t>=84)</w:t>
            </w:r>
            <w:r>
              <w:rPr>
                <w:color w:val="231F20"/>
                <w:spacing w:val="21"/>
              </w:rPr>
              <w:t xml:space="preserve">  </w:t>
            </w:r>
            <w:r>
              <w:rPr>
                <w:color w:val="231F20"/>
                <w:spacing w:val="-3"/>
              </w:rPr>
              <w:t>未穿孔组(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3"/>
              </w:rPr>
              <w:t>n</w:t>
            </w:r>
            <w:r>
              <w:rPr>
                <w:color w:val="231F20"/>
                <w:spacing w:val="-3"/>
              </w:rPr>
              <w:t>=98)</w:t>
            </w:r>
          </w:p>
        </w:tc>
        <w:tc>
          <w:tcPr>
            <w:tcW w:w="67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4"/>
              <w:spacing w:before="85" w:line="195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t</w:t>
            </w:r>
            <w:r>
              <w:rPr>
                <w:color w:val="231F20"/>
                <w:spacing w:val="-6"/>
              </w:rPr>
              <w:t>/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χ</w:t>
            </w:r>
            <w:r>
              <w:rPr>
                <w:sz w:val="9"/>
                <w:szCs w:val="9"/>
                <w:color w:val="231F20"/>
                <w:spacing w:val="-6"/>
                <w:position w:val="4"/>
              </w:rPr>
              <w:t>2</w:t>
            </w:r>
            <w:r>
              <w:rPr>
                <w:color w:val="231F20"/>
                <w:spacing w:val="-3"/>
              </w:rPr>
              <w:t>/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3"/>
              </w:rPr>
              <w:t>Z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值</w:t>
            </w:r>
          </w:p>
        </w:tc>
        <w:tc>
          <w:tcPr>
            <w:tcW w:w="50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5"/>
              <w:spacing w:before="87" w:line="188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2"/>
              </w:rPr>
              <w:t>P</w:t>
            </w:r>
            <w:r>
              <w:rPr>
                <w:color w:val="231F20"/>
                <w:spacing w:val="12"/>
              </w:rPr>
              <w:t>值</w:t>
            </w:r>
          </w:p>
        </w:tc>
      </w:tr>
      <w:tr>
        <w:trPr>
          <w:trHeight w:val="229" w:hRule="atLeast"/>
        </w:trPr>
        <w:tc>
          <w:tcPr>
            <w:tcW w:w="132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"/>
              <w:spacing w:before="32" w:line="174" w:lineRule="auto"/>
              <w:rPr/>
            </w:pPr>
            <w:r>
              <w:rPr>
                <w:color w:val="231F20"/>
                <w:spacing w:val="1"/>
              </w:rPr>
              <w:t>性别(男/女)</w:t>
            </w:r>
          </w:p>
        </w:tc>
        <w:tc>
          <w:tcPr>
            <w:tcW w:w="2223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360"/>
              <w:spacing w:before="32" w:line="174" w:lineRule="auto"/>
              <w:rPr/>
            </w:pPr>
            <w:r>
              <w:rPr>
                <w:color w:val="231F20"/>
                <w:spacing w:val="-11"/>
              </w:rPr>
              <w:t>52/32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1"/>
              </w:rPr>
              <w:t>57/41</w:t>
            </w:r>
          </w:p>
        </w:tc>
        <w:tc>
          <w:tcPr>
            <w:tcW w:w="67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7"/>
              <w:spacing w:before="32" w:line="174" w:lineRule="auto"/>
              <w:rPr/>
            </w:pPr>
            <w:r>
              <w:rPr>
                <w:color w:val="231F20"/>
                <w:spacing w:val="-6"/>
              </w:rPr>
              <w:t>0.264</w:t>
            </w:r>
          </w:p>
        </w:tc>
        <w:tc>
          <w:tcPr>
            <w:tcW w:w="5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8"/>
              <w:spacing w:before="32" w:line="174" w:lineRule="auto"/>
              <w:rPr/>
            </w:pPr>
            <w:r>
              <w:rPr>
                <w:color w:val="231F20"/>
                <w:spacing w:val="-6"/>
              </w:rPr>
              <w:t>0.608</w:t>
            </w:r>
          </w:p>
        </w:tc>
      </w:tr>
      <w:tr>
        <w:trPr>
          <w:trHeight w:val="228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6"/>
              <w:spacing w:before="31" w:line="174" w:lineRule="auto"/>
              <w:rPr/>
            </w:pPr>
            <w:r>
              <w:rPr>
                <w:color w:val="231F20"/>
                <w:spacing w:val="5"/>
              </w:rPr>
              <w:t>年龄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176"/>
              <w:spacing w:before="30" w:line="175" w:lineRule="auto"/>
              <w:rPr/>
            </w:pPr>
            <w:r>
              <w:rPr>
                <w:color w:val="231F20"/>
                <w:spacing w:val="-9"/>
              </w:rPr>
              <w:t>7.80 ±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9"/>
              </w:rPr>
              <w:t>2.84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9"/>
              </w:rPr>
              <w:t>9.59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±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2.72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5"/>
              <w:spacing w:before="30" w:line="175" w:lineRule="auto"/>
              <w:rPr/>
            </w:pPr>
            <w:r>
              <w:rPr>
                <w:color w:val="231F20"/>
                <w:spacing w:val="-5"/>
              </w:rPr>
              <w:t>4.347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30" w:line="175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208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8"/>
              <w:spacing w:before="55" w:line="142" w:lineRule="exact"/>
              <w:rPr/>
            </w:pPr>
            <w:r>
              <w:rPr>
                <w:color w:val="231F20"/>
                <w:spacing w:val="-6"/>
                <w:position w:val="-3"/>
              </w:rPr>
              <w:t>BMI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191"/>
              <w:spacing w:before="29" w:line="157" w:lineRule="auto"/>
              <w:rPr/>
            </w:pPr>
            <w:r>
              <w:rPr>
                <w:color w:val="231F20"/>
                <w:spacing w:val="-9"/>
              </w:rPr>
              <w:t>15.83±3.31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9"/>
              </w:rPr>
              <w:t>16.23±3.07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7"/>
              <w:spacing w:before="29" w:line="157" w:lineRule="auto"/>
              <w:rPr/>
            </w:pPr>
            <w:r>
              <w:rPr>
                <w:color w:val="231F20"/>
                <w:spacing w:val="-6"/>
              </w:rPr>
              <w:t>0.847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29" w:line="157" w:lineRule="auto"/>
              <w:rPr/>
            </w:pPr>
            <w:r>
              <w:rPr>
                <w:color w:val="231F20"/>
                <w:spacing w:val="-6"/>
              </w:rPr>
              <w:t>0.398</w:t>
            </w:r>
          </w:p>
        </w:tc>
      </w:tr>
      <w:tr>
        <w:trPr>
          <w:trHeight w:val="243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5"/>
              <w:spacing w:before="48" w:line="172" w:lineRule="auto"/>
              <w:rPr/>
            </w:pPr>
            <w:r>
              <w:rPr>
                <w:color w:val="231F20"/>
                <w:spacing w:val="1"/>
              </w:rPr>
              <w:t>发病时间(d)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218"/>
              <w:spacing w:before="48" w:line="172" w:lineRule="auto"/>
              <w:rPr/>
            </w:pPr>
            <w:r>
              <w:rPr>
                <w:color w:val="231F20"/>
                <w:spacing w:val="-11"/>
              </w:rPr>
              <w:t>2.19± 1.30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1"/>
              </w:rPr>
              <w:t>1.66±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1"/>
              </w:rPr>
              <w:t>1.35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6"/>
              <w:spacing w:before="48" w:line="172" w:lineRule="auto"/>
              <w:rPr/>
            </w:pPr>
            <w:r>
              <w:rPr>
                <w:color w:val="231F20"/>
                <w:spacing w:val="-1"/>
              </w:rPr>
              <w:t>-2.719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48" w:line="172" w:lineRule="auto"/>
              <w:rPr/>
            </w:pPr>
            <w:r>
              <w:rPr>
                <w:color w:val="231F20"/>
                <w:spacing w:val="-6"/>
              </w:rPr>
              <w:t>0.007</w:t>
            </w:r>
          </w:p>
        </w:tc>
      </w:tr>
      <w:tr>
        <w:trPr>
          <w:trHeight w:val="226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4"/>
              <w:spacing w:before="31" w:line="172" w:lineRule="auto"/>
              <w:rPr/>
            </w:pPr>
            <w:r>
              <w:rPr>
                <w:color w:val="231F20"/>
                <w:spacing w:val="3"/>
              </w:rPr>
              <w:t>术前呕吐(有/无)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360"/>
              <w:spacing w:before="31" w:line="172" w:lineRule="auto"/>
              <w:rPr/>
            </w:pPr>
            <w:r>
              <w:rPr>
                <w:color w:val="231F20"/>
                <w:spacing w:val="-11"/>
              </w:rPr>
              <w:t>52/32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1"/>
              </w:rPr>
              <w:t>41/57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7"/>
              <w:spacing w:before="31" w:line="172" w:lineRule="auto"/>
              <w:rPr/>
            </w:pPr>
            <w:r>
              <w:rPr>
                <w:color w:val="231F20"/>
                <w:spacing w:val="-5"/>
              </w:rPr>
              <w:t>7.290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31" w:line="172" w:lineRule="auto"/>
              <w:rPr/>
            </w:pPr>
            <w:r>
              <w:rPr>
                <w:color w:val="231F20"/>
                <w:spacing w:val="-6"/>
              </w:rPr>
              <w:t>0.007</w:t>
            </w:r>
          </w:p>
        </w:tc>
      </w:tr>
      <w:tr>
        <w:trPr>
          <w:trHeight w:val="226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4"/>
              <w:spacing w:before="32" w:line="171" w:lineRule="auto"/>
              <w:rPr/>
            </w:pPr>
            <w:r>
              <w:rPr>
                <w:color w:val="231F20"/>
                <w:spacing w:val="1"/>
              </w:rPr>
              <w:t>粪石(有/无)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357"/>
              <w:spacing w:before="32" w:line="171" w:lineRule="auto"/>
              <w:rPr/>
            </w:pPr>
            <w:r>
              <w:rPr>
                <w:color w:val="231F20"/>
                <w:spacing w:val="-12"/>
              </w:rPr>
              <w:t>48/36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17/81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30"/>
              <w:spacing w:before="32" w:line="171" w:lineRule="auto"/>
              <w:rPr/>
            </w:pPr>
            <w:r>
              <w:rPr>
                <w:color w:val="231F20"/>
                <w:spacing w:val="-7"/>
              </w:rPr>
              <w:t>31.200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32" w:line="171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210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4"/>
              <w:spacing w:before="33" w:line="167" w:lineRule="exact"/>
              <w:rPr/>
            </w:pPr>
            <w:r>
              <w:rPr>
                <w:color w:val="231F20"/>
                <w:spacing w:val="3"/>
              </w:rPr>
              <w:t>术前腹泻(有/无)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397"/>
              <w:spacing w:before="33" w:line="167" w:lineRule="exact"/>
              <w:rPr/>
            </w:pPr>
            <w:r>
              <w:rPr>
                <w:color w:val="231F20"/>
                <w:spacing w:val="-7"/>
              </w:rPr>
              <w:t>4/80                 </w:t>
            </w:r>
            <w:r>
              <w:rPr>
                <w:color w:val="231F20"/>
                <w:spacing w:val="-8"/>
              </w:rPr>
              <w:t xml:space="preserve">    3/95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7"/>
              <w:spacing w:before="33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0.043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33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0.835</w:t>
            </w:r>
          </w:p>
        </w:tc>
      </w:tr>
      <w:tr>
        <w:trPr>
          <w:trHeight w:val="424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4"/>
              <w:spacing w:before="14" w:line="196" w:lineRule="auto"/>
              <w:rPr/>
            </w:pPr>
            <w:r>
              <w:rPr>
                <w:color w:val="231F20"/>
                <w:spacing w:val="9"/>
              </w:rPr>
              <w:t>入院时发热情况</w:t>
            </w:r>
          </w:p>
          <w:p>
            <w:pPr>
              <w:pStyle w:val="TableText"/>
              <w:ind w:left="168"/>
              <w:spacing w:line="176" w:lineRule="auto"/>
              <w:rPr/>
            </w:pPr>
            <w:r>
              <w:rPr>
                <w:color w:val="231F20"/>
                <w:spacing w:val="-13"/>
              </w:rPr>
              <w:t>(&lt;38℃/≥38℃)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362"/>
              <w:spacing w:before="133" w:line="203" w:lineRule="auto"/>
              <w:rPr/>
            </w:pPr>
            <w:r>
              <w:rPr>
                <w:color w:val="231F20"/>
                <w:spacing w:val="-11"/>
              </w:rPr>
              <w:t>33/51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1"/>
              </w:rPr>
              <w:t>56/42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8"/>
              <w:spacing w:before="132" w:line="219" w:lineRule="auto"/>
              <w:rPr/>
            </w:pPr>
            <w:r>
              <w:rPr>
                <w:color w:val="231F20"/>
                <w:spacing w:val="-6"/>
              </w:rPr>
              <w:t>5.772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133" w:line="219" w:lineRule="auto"/>
              <w:rPr/>
            </w:pPr>
            <w:r>
              <w:rPr>
                <w:color w:val="231F20"/>
                <w:spacing w:val="-6"/>
              </w:rPr>
              <w:t>0.016</w:t>
            </w:r>
          </w:p>
        </w:tc>
      </w:tr>
      <w:tr>
        <w:trPr>
          <w:trHeight w:val="210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5"/>
              <w:spacing w:before="17" w:line="170" w:lineRule="auto"/>
              <w:rPr/>
            </w:pPr>
            <w:r>
              <w:rPr>
                <w:color w:val="231F20"/>
                <w:spacing w:val="2"/>
              </w:rPr>
              <w:t>反跳痛(有/无)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404"/>
              <w:spacing w:before="17" w:line="170" w:lineRule="auto"/>
              <w:rPr/>
            </w:pPr>
            <w:r>
              <w:rPr>
                <w:color w:val="231F20"/>
                <w:spacing w:val="-8"/>
              </w:rPr>
              <w:t>81/3                    69/29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8"/>
              <w:spacing w:before="17" w:line="170" w:lineRule="auto"/>
              <w:rPr/>
            </w:pPr>
            <w:r>
              <w:rPr>
                <w:color w:val="231F20"/>
                <w:spacing w:val="-6"/>
              </w:rPr>
              <w:t>21.133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17" w:line="170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226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25"/>
              <w:spacing w:before="33" w:line="170" w:lineRule="auto"/>
              <w:rPr/>
            </w:pPr>
            <w:r>
              <w:rPr>
                <w:color w:val="231F20"/>
                <w:spacing w:val="-4"/>
              </w:rPr>
              <w:t>白细胞数(×10</w:t>
            </w:r>
            <w:r>
              <w:rPr>
                <w:sz w:val="9"/>
                <w:szCs w:val="9"/>
                <w:color w:val="231F20"/>
                <w:spacing w:val="-4"/>
                <w:position w:val="4"/>
              </w:rPr>
              <w:t>9</w:t>
            </w:r>
            <w:r>
              <w:rPr>
                <w:sz w:val="9"/>
                <w:szCs w:val="9"/>
                <w:color w:val="231F20"/>
                <w:spacing w:val="18"/>
                <w:w w:val="102"/>
                <w:position w:val="4"/>
              </w:rPr>
              <w:t xml:space="preserve"> </w:t>
            </w:r>
            <w:r>
              <w:rPr>
                <w:color w:val="231F20"/>
                <w:spacing w:val="-4"/>
              </w:rPr>
              <w:t>/L)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191"/>
              <w:spacing w:before="34" w:line="169" w:lineRule="auto"/>
              <w:rPr/>
            </w:pPr>
            <w:r>
              <w:rPr>
                <w:color w:val="231F20"/>
                <w:spacing w:val="-9"/>
              </w:rPr>
              <w:t>16.14±6.33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9"/>
              </w:rPr>
              <w:t>13.05±5.79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6"/>
              <w:spacing w:before="34" w:line="169" w:lineRule="auto"/>
              <w:rPr/>
            </w:pPr>
            <w:r>
              <w:rPr>
                <w:color w:val="231F20"/>
                <w:spacing w:val="-1"/>
              </w:rPr>
              <w:t>-3.438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34" w:line="169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235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20"/>
              <w:spacing w:before="34" w:line="178" w:lineRule="auto"/>
              <w:rPr/>
            </w:pPr>
            <w:r>
              <w:rPr>
                <w:color w:val="231F20"/>
                <w:spacing w:val="-1"/>
              </w:rPr>
              <w:t>中性粒细胞(10</w:t>
            </w:r>
            <w:r>
              <w:rPr>
                <w:sz w:val="9"/>
                <w:szCs w:val="9"/>
                <w:color w:val="231F20"/>
                <w:spacing w:val="-1"/>
                <w:position w:val="4"/>
              </w:rPr>
              <w:t>9</w:t>
            </w:r>
            <w:r>
              <w:rPr>
                <w:sz w:val="9"/>
                <w:szCs w:val="9"/>
                <w:color w:val="231F20"/>
                <w:spacing w:val="20"/>
                <w:w w:val="103"/>
                <w:position w:val="4"/>
              </w:rPr>
              <w:t xml:space="preserve"> </w:t>
            </w:r>
            <w:r>
              <w:rPr>
                <w:color w:val="231F20"/>
                <w:spacing w:val="-1"/>
              </w:rPr>
              <w:t>/L)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191"/>
              <w:spacing w:before="35" w:line="177" w:lineRule="auto"/>
              <w:rPr/>
            </w:pPr>
            <w:r>
              <w:rPr>
                <w:color w:val="231F20"/>
                <w:spacing w:val="-9"/>
              </w:rPr>
              <w:t>13.87±5.82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9"/>
              </w:rPr>
              <w:t>10.43±5.69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6"/>
              <w:spacing w:before="35" w:line="177" w:lineRule="auto"/>
              <w:rPr/>
            </w:pPr>
            <w:r>
              <w:rPr>
                <w:color w:val="231F20"/>
                <w:spacing w:val="-1"/>
              </w:rPr>
              <w:t>-4.026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35" w:line="177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444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7"/>
              <w:spacing w:before="140" w:line="188" w:lineRule="auto"/>
              <w:rPr/>
            </w:pPr>
            <w:r>
              <w:rPr>
                <w:color w:val="231F20"/>
                <w:spacing w:val="-2"/>
              </w:rPr>
              <w:t>NLR 比值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375"/>
              <w:spacing w:before="25" w:line="216" w:lineRule="auto"/>
              <w:rPr/>
            </w:pPr>
            <w:r>
              <w:rPr>
                <w:color w:val="231F20"/>
                <w:spacing w:val="-8"/>
              </w:rPr>
              <w:t>11.88</w:t>
            </w:r>
          </w:p>
          <w:p>
            <w:pPr>
              <w:pStyle w:val="TableText"/>
              <w:ind w:left="160"/>
              <w:spacing w:line="165" w:lineRule="auto"/>
              <w:rPr/>
            </w:pPr>
            <w:r>
              <w:rPr>
                <w:color w:val="231F20"/>
                <w:spacing w:val="-7"/>
              </w:rPr>
              <w:t>(7.23,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16.04)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376"/>
              <w:spacing w:before="25" w:line="216" w:lineRule="auto"/>
              <w:rPr/>
            </w:pPr>
            <w:r>
              <w:rPr>
                <w:color w:val="231F20"/>
                <w:spacing w:val="-5"/>
              </w:rPr>
              <w:t>5.80</w:t>
            </w:r>
          </w:p>
          <w:p>
            <w:pPr>
              <w:pStyle w:val="TableText"/>
              <w:ind w:left="134"/>
              <w:spacing w:line="165" w:lineRule="auto"/>
              <w:rPr/>
            </w:pPr>
            <w:r>
              <w:rPr>
                <w:color w:val="231F20"/>
                <w:spacing w:val="-7"/>
              </w:rPr>
              <w:t>(3.33,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11.67)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6"/>
              <w:spacing w:before="141" w:line="219" w:lineRule="auto"/>
              <w:rPr/>
            </w:pPr>
            <w:r>
              <w:rPr>
                <w:color w:val="231F20"/>
                <w:spacing w:val="-1"/>
              </w:rPr>
              <w:t>-4.647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141" w:line="219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225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6"/>
              <w:spacing w:before="35" w:line="167" w:lineRule="auto"/>
              <w:rPr/>
            </w:pPr>
            <w:r>
              <w:rPr>
                <w:color w:val="231F20"/>
                <w:spacing w:val="-2"/>
              </w:rPr>
              <w:t>淋巴细胞(×10</w:t>
            </w:r>
            <w:r>
              <w:rPr>
                <w:sz w:val="9"/>
                <w:szCs w:val="9"/>
                <w:color w:val="231F20"/>
                <w:spacing w:val="-2"/>
                <w:position w:val="4"/>
              </w:rPr>
              <w:t>9</w:t>
            </w:r>
            <w:r>
              <w:rPr>
                <w:sz w:val="9"/>
                <w:szCs w:val="9"/>
                <w:color w:val="231F20"/>
                <w:spacing w:val="14"/>
                <w:w w:val="102"/>
                <w:position w:val="4"/>
              </w:rPr>
              <w:t xml:space="preserve"> </w:t>
            </w:r>
            <w:r>
              <w:rPr>
                <w:color w:val="231F20"/>
                <w:spacing w:val="-2"/>
              </w:rPr>
              <w:t>/L)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231"/>
              <w:spacing w:before="36" w:line="166" w:lineRule="auto"/>
              <w:rPr/>
            </w:pPr>
            <w:r>
              <w:rPr>
                <w:color w:val="231F20"/>
                <w:spacing w:val="-9"/>
              </w:rPr>
              <w:t>1.31±0.64</w:t>
            </w:r>
            <w:r>
              <w:rPr>
                <w:color w:val="231F20"/>
                <w:spacing w:val="2"/>
              </w:rPr>
              <w:t xml:space="preserve">          </w:t>
            </w:r>
            <w:r>
              <w:rPr>
                <w:color w:val="231F20"/>
                <w:spacing w:val="-9"/>
              </w:rPr>
              <w:t>1.75±0.90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70"/>
              <w:spacing w:before="36" w:line="166" w:lineRule="auto"/>
              <w:rPr/>
            </w:pPr>
            <w:r>
              <w:rPr>
                <w:color w:val="231F20"/>
                <w:spacing w:val="-6"/>
              </w:rPr>
              <w:t>3.842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36" w:line="166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227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5"/>
              <w:spacing w:before="38" w:line="166" w:lineRule="auto"/>
              <w:rPr/>
            </w:pPr>
            <w:r>
              <w:rPr>
                <w:color w:val="231F20"/>
                <w:spacing w:val="-1"/>
              </w:rPr>
              <w:t>血红蛋白(g/L)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111"/>
              <w:spacing w:before="38" w:line="166" w:lineRule="auto"/>
              <w:rPr/>
            </w:pPr>
            <w:r>
              <w:rPr>
                <w:color w:val="231F20"/>
                <w:spacing w:val="-10"/>
              </w:rPr>
              <w:t>128.54±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0"/>
              </w:rPr>
              <w:t>11.04</w:t>
            </w:r>
            <w:r>
              <w:rPr>
                <w:color w:val="231F20"/>
                <w:spacing w:val="11"/>
              </w:rPr>
              <w:t xml:space="preserve">    </w:t>
            </w:r>
            <w:r>
              <w:rPr>
                <w:color w:val="231F20"/>
                <w:spacing w:val="-10"/>
              </w:rPr>
              <w:t>130.57±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1"/>
              </w:rPr>
              <w:t>13.16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81"/>
              <w:spacing w:before="38" w:line="166" w:lineRule="auto"/>
              <w:rPr/>
            </w:pPr>
            <w:r>
              <w:rPr>
                <w:color w:val="231F20"/>
                <w:spacing w:val="-8"/>
              </w:rPr>
              <w:t>1.120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38" w:line="166" w:lineRule="auto"/>
              <w:rPr/>
            </w:pPr>
            <w:r>
              <w:rPr>
                <w:color w:val="231F20"/>
                <w:spacing w:val="-6"/>
              </w:rPr>
              <w:t>0.266</w:t>
            </w:r>
          </w:p>
        </w:tc>
      </w:tr>
      <w:tr>
        <w:trPr>
          <w:trHeight w:val="235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5"/>
              <w:spacing w:before="37" w:line="175" w:lineRule="auto"/>
              <w:rPr/>
            </w:pPr>
            <w:r>
              <w:rPr>
                <w:color w:val="231F20"/>
                <w:spacing w:val="-4"/>
              </w:rPr>
              <w:t>血小板(×10</w:t>
            </w:r>
            <w:r>
              <w:rPr>
                <w:sz w:val="9"/>
                <w:szCs w:val="9"/>
                <w:color w:val="231F20"/>
                <w:spacing w:val="-4"/>
                <w:position w:val="4"/>
              </w:rPr>
              <w:t>9</w:t>
            </w:r>
            <w:r>
              <w:rPr>
                <w:sz w:val="9"/>
                <w:szCs w:val="9"/>
                <w:color w:val="231F20"/>
                <w:spacing w:val="24"/>
                <w:w w:val="101"/>
                <w:position w:val="4"/>
              </w:rPr>
              <w:t xml:space="preserve"> </w:t>
            </w:r>
            <w:r>
              <w:rPr>
                <w:color w:val="231F20"/>
                <w:spacing w:val="-4"/>
              </w:rPr>
              <w:t>/L)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98"/>
              <w:spacing w:before="38" w:line="174" w:lineRule="auto"/>
              <w:rPr/>
            </w:pPr>
            <w:r>
              <w:rPr>
                <w:color w:val="231F20"/>
                <w:spacing w:val="-7"/>
              </w:rPr>
              <w:t>296.33±87.63     286.10±78.47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6"/>
              <w:spacing w:before="38" w:line="174" w:lineRule="auto"/>
              <w:rPr/>
            </w:pPr>
            <w:r>
              <w:rPr>
                <w:color w:val="231F20"/>
                <w:spacing w:val="-1"/>
              </w:rPr>
              <w:t>-0.831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38" w:line="174" w:lineRule="auto"/>
              <w:rPr/>
            </w:pPr>
            <w:r>
              <w:rPr>
                <w:color w:val="231F20"/>
                <w:spacing w:val="-6"/>
              </w:rPr>
              <w:t>0.407</w:t>
            </w:r>
          </w:p>
        </w:tc>
      </w:tr>
      <w:tr>
        <w:trPr>
          <w:trHeight w:val="454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8"/>
              <w:spacing w:before="144" w:line="185" w:lineRule="auto"/>
              <w:rPr/>
            </w:pPr>
            <w:r>
              <w:rPr>
                <w:color w:val="231F20"/>
                <w:spacing w:val="-8"/>
              </w:rPr>
              <w:t>CRP(mg/L)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302"/>
              <w:spacing w:before="28" w:line="216" w:lineRule="auto"/>
              <w:rPr/>
            </w:pPr>
            <w:r>
              <w:rPr>
                <w:color w:val="231F20"/>
                <w:spacing w:val="-6"/>
              </w:rPr>
              <w:t>97.385</w:t>
            </w:r>
          </w:p>
          <w:p>
            <w:pPr>
              <w:pStyle w:val="TableText"/>
              <w:ind w:left="60"/>
              <w:spacing w:line="171" w:lineRule="auto"/>
              <w:rPr/>
            </w:pPr>
            <w:r>
              <w:rPr>
                <w:color w:val="231F20"/>
                <w:spacing w:val="-8"/>
              </w:rPr>
              <w:t>(43.89,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151.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8"/>
              </w:rPr>
              <w:t>13)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308"/>
              <w:spacing w:before="28" w:line="216" w:lineRule="auto"/>
              <w:rPr/>
            </w:pPr>
            <w:r>
              <w:rPr>
                <w:color w:val="231F20"/>
                <w:spacing w:val="-8"/>
              </w:rPr>
              <w:t>15.185</w:t>
            </w:r>
          </w:p>
          <w:p>
            <w:pPr>
              <w:pStyle w:val="TableText"/>
              <w:ind w:left="134"/>
              <w:spacing w:line="171" w:lineRule="auto"/>
              <w:rPr/>
            </w:pPr>
            <w:r>
              <w:rPr>
                <w:color w:val="231F20"/>
                <w:spacing w:val="-5"/>
              </w:rPr>
              <w:t>(3.92, 33.28)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72"/>
              <w:spacing w:before="143" w:line="219" w:lineRule="auto"/>
              <w:rPr/>
            </w:pPr>
            <w:r>
              <w:rPr>
                <w:color w:val="231F20"/>
                <w:spacing w:val="-7"/>
              </w:rPr>
              <w:t>8.119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143" w:line="219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443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5"/>
              <w:spacing w:before="143" w:line="185" w:lineRule="auto"/>
              <w:rPr/>
            </w:pPr>
            <w:r>
              <w:rPr>
                <w:color w:val="231F20"/>
                <w:spacing w:val="-9"/>
              </w:rPr>
              <w:t>PCT(ng/mL)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344"/>
              <w:spacing w:before="27" w:line="216" w:lineRule="auto"/>
              <w:rPr/>
            </w:pPr>
            <w:r>
              <w:rPr>
                <w:color w:val="231F20"/>
                <w:spacing w:val="-6"/>
              </w:rPr>
              <w:t>3.285</w:t>
            </w:r>
          </w:p>
          <w:p>
            <w:pPr>
              <w:pStyle w:val="TableText"/>
              <w:ind w:left="180"/>
              <w:spacing w:line="162" w:lineRule="auto"/>
              <w:rPr/>
            </w:pPr>
            <w:r>
              <w:rPr>
                <w:color w:val="231F20"/>
                <w:spacing w:val="-5"/>
              </w:rPr>
              <w:t>(0.47, 7.89)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355"/>
              <w:spacing w:before="27" w:line="216" w:lineRule="auto"/>
              <w:rPr/>
            </w:pPr>
            <w:r>
              <w:rPr>
                <w:color w:val="231F20"/>
                <w:spacing w:val="-6"/>
              </w:rPr>
              <w:t>0.105</w:t>
            </w:r>
          </w:p>
          <w:p>
            <w:pPr>
              <w:pStyle w:val="TableText"/>
              <w:ind w:left="194"/>
              <w:spacing w:line="162" w:lineRule="auto"/>
              <w:rPr/>
            </w:pPr>
            <w:r>
              <w:rPr>
                <w:color w:val="231F20"/>
                <w:spacing w:val="-5"/>
              </w:rPr>
              <w:t>(0.05, 0.31)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8"/>
              <w:spacing w:before="143" w:line="219" w:lineRule="auto"/>
              <w:rPr/>
            </w:pPr>
            <w:r>
              <w:rPr>
                <w:color w:val="231F20"/>
                <w:spacing w:val="-6"/>
              </w:rPr>
              <w:t>54.959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143" w:line="219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443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5" w:right="392" w:hanging="1"/>
              <w:spacing w:before="40" w:line="183" w:lineRule="auto"/>
              <w:rPr/>
            </w:pPr>
            <w:r>
              <w:rPr>
                <w:color w:val="231F20"/>
                <w:spacing w:val="-1"/>
              </w:rPr>
              <w:t>纤维蛋白(g/L)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发病季节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218"/>
              <w:spacing w:before="40" w:line="219" w:lineRule="auto"/>
              <w:rPr/>
            </w:pPr>
            <w:r>
              <w:rPr>
                <w:color w:val="231F20"/>
                <w:spacing w:val="-10"/>
              </w:rPr>
              <w:t>5.58±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0"/>
              </w:rPr>
              <w:t>1.54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0"/>
              </w:rPr>
              <w:t>3.83±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0"/>
              </w:rPr>
              <w:t>1.08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6"/>
              <w:spacing w:before="40" w:line="219" w:lineRule="auto"/>
              <w:rPr/>
            </w:pPr>
            <w:r>
              <w:rPr>
                <w:color w:val="231F20"/>
                <w:spacing w:val="-1"/>
              </w:rPr>
              <w:t>-8.741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40" w:line="219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226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166"/>
              <w:spacing w:before="52" w:line="164" w:lineRule="exact"/>
              <w:rPr/>
            </w:pPr>
            <w:r>
              <w:rPr>
                <w:color w:val="231F20"/>
                <w:spacing w:val="5"/>
              </w:rPr>
              <w:t>春季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462"/>
              <w:spacing w:before="50" w:line="166" w:lineRule="exact"/>
              <w:rPr/>
            </w:pPr>
            <w:r>
              <w:rPr>
                <w:color w:val="231F20"/>
                <w:spacing w:val="-10"/>
                <w:position w:val="-1"/>
              </w:rPr>
              <w:t>25</w:t>
            </w:r>
            <w:r>
              <w:rPr>
                <w:color w:val="231F20"/>
                <w:position w:val="-1"/>
              </w:rPr>
              <w:t xml:space="preserve">                     </w:t>
            </w:r>
            <w:r>
              <w:rPr>
                <w:color w:val="231F20"/>
                <w:spacing w:val="-10"/>
                <w:position w:val="-1"/>
              </w:rPr>
              <w:t>20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8"/>
              <w:spacing w:before="50" w:line="166" w:lineRule="exact"/>
              <w:rPr/>
            </w:pPr>
            <w:r>
              <w:rPr>
                <w:color w:val="231F20"/>
                <w:spacing w:val="-6"/>
                <w:position w:val="-1"/>
              </w:rPr>
              <w:t>2.126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50" w:line="166" w:lineRule="exact"/>
              <w:rPr/>
            </w:pPr>
            <w:r>
              <w:rPr>
                <w:color w:val="231F20"/>
                <w:spacing w:val="-6"/>
                <w:position w:val="-1"/>
              </w:rPr>
              <w:t>0.145</w:t>
            </w:r>
          </w:p>
        </w:tc>
      </w:tr>
      <w:tr>
        <w:trPr>
          <w:trHeight w:val="226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166"/>
              <w:spacing w:before="54" w:line="162" w:lineRule="exact"/>
              <w:rPr/>
            </w:pPr>
            <w:r>
              <w:rPr>
                <w:color w:val="231F20"/>
                <w:spacing w:val="5"/>
              </w:rPr>
              <w:t>夏季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475"/>
              <w:spacing w:before="51" w:line="165" w:lineRule="exact"/>
              <w:rPr/>
            </w:pPr>
            <w:r>
              <w:rPr>
                <w:color w:val="231F20"/>
                <w:spacing w:val="-16"/>
                <w:position w:val="-1"/>
              </w:rPr>
              <w:t>17</w:t>
            </w:r>
            <w:r>
              <w:rPr>
                <w:color w:val="231F20"/>
                <w:position w:val="-1"/>
              </w:rPr>
              <w:t xml:space="preserve">                     </w:t>
            </w:r>
            <w:r>
              <w:rPr>
                <w:color w:val="231F20"/>
                <w:spacing w:val="-16"/>
                <w:position w:val="-1"/>
              </w:rPr>
              <w:t>17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7"/>
              <w:spacing w:before="51" w:line="165" w:lineRule="exact"/>
              <w:rPr/>
            </w:pPr>
            <w:r>
              <w:rPr>
                <w:color w:val="231F20"/>
                <w:spacing w:val="-6"/>
                <w:position w:val="-1"/>
              </w:rPr>
              <w:t>0.249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51" w:line="165" w:lineRule="exact"/>
              <w:rPr/>
            </w:pPr>
            <w:r>
              <w:rPr>
                <w:color w:val="231F20"/>
                <w:spacing w:val="-6"/>
                <w:position w:val="-1"/>
              </w:rPr>
              <w:t>0.618</w:t>
            </w:r>
          </w:p>
        </w:tc>
      </w:tr>
      <w:tr>
        <w:trPr>
          <w:trHeight w:val="226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164"/>
              <w:spacing w:before="55" w:line="161" w:lineRule="exact"/>
              <w:rPr/>
            </w:pPr>
            <w:r>
              <w:rPr>
                <w:color w:val="231F20"/>
                <w:spacing w:val="7"/>
              </w:rPr>
              <w:t>秋季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462"/>
              <w:spacing w:before="52" w:line="164" w:lineRule="exact"/>
              <w:rPr/>
            </w:pPr>
            <w:r>
              <w:rPr>
                <w:color w:val="231F20"/>
                <w:spacing w:val="-10"/>
                <w:position w:val="-1"/>
              </w:rPr>
              <w:t>21</w:t>
            </w:r>
            <w:r>
              <w:rPr>
                <w:color w:val="231F20"/>
                <w:position w:val="-1"/>
              </w:rPr>
              <w:t xml:space="preserve">                     </w:t>
            </w:r>
            <w:r>
              <w:rPr>
                <w:color w:val="231F20"/>
                <w:spacing w:val="-10"/>
                <w:position w:val="-1"/>
              </w:rPr>
              <w:t>27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7"/>
              <w:spacing w:before="52" w:line="164" w:lineRule="exact"/>
              <w:rPr/>
            </w:pPr>
            <w:r>
              <w:rPr>
                <w:color w:val="231F20"/>
                <w:spacing w:val="-6"/>
                <w:position w:val="-1"/>
              </w:rPr>
              <w:t>0.152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52" w:line="164" w:lineRule="exact"/>
              <w:rPr/>
            </w:pPr>
            <w:r>
              <w:rPr>
                <w:color w:val="231F20"/>
                <w:spacing w:val="-6"/>
                <w:position w:val="-1"/>
              </w:rPr>
              <w:t>0.697</w:t>
            </w:r>
          </w:p>
        </w:tc>
      </w:tr>
      <w:tr>
        <w:trPr>
          <w:trHeight w:val="236" w:hRule="atLeast"/>
        </w:trPr>
        <w:tc>
          <w:tcPr>
            <w:tcW w:w="132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4"/>
              <w:spacing w:before="55" w:line="159" w:lineRule="auto"/>
              <w:rPr/>
            </w:pPr>
            <w:r>
              <w:rPr>
                <w:color w:val="231F20"/>
                <w:spacing w:val="6"/>
              </w:rPr>
              <w:t>冬季</w:t>
            </w:r>
          </w:p>
        </w:tc>
        <w:tc>
          <w:tcPr>
            <w:tcW w:w="2223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462"/>
              <w:spacing w:before="53" w:line="161" w:lineRule="auto"/>
              <w:rPr/>
            </w:pPr>
            <w:r>
              <w:rPr>
                <w:color w:val="231F20"/>
                <w:spacing w:val="-10"/>
              </w:rPr>
              <w:t>21</w:t>
            </w:r>
            <w:r>
              <w:rPr>
                <w:color w:val="231F20"/>
              </w:rPr>
              <w:t xml:space="preserve">                     </w:t>
            </w:r>
            <w:r>
              <w:rPr>
                <w:color w:val="231F20"/>
                <w:spacing w:val="-10"/>
              </w:rPr>
              <w:t>34</w:t>
            </w:r>
          </w:p>
        </w:tc>
        <w:tc>
          <w:tcPr>
            <w:tcW w:w="67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8"/>
              <w:spacing w:before="53" w:line="161" w:lineRule="auto"/>
              <w:rPr/>
            </w:pPr>
            <w:r>
              <w:rPr>
                <w:color w:val="231F20"/>
                <w:spacing w:val="-6"/>
              </w:rPr>
              <w:t>2.016</w:t>
            </w:r>
          </w:p>
        </w:tc>
        <w:tc>
          <w:tcPr>
            <w:tcW w:w="50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8"/>
              <w:spacing w:before="53" w:line="161" w:lineRule="auto"/>
              <w:rPr/>
            </w:pPr>
            <w:r>
              <w:rPr>
                <w:color w:val="231F20"/>
                <w:spacing w:val="-6"/>
              </w:rPr>
              <w:t>0.157</w:t>
            </w:r>
          </w:p>
        </w:tc>
      </w:tr>
    </w:tbl>
    <w:p>
      <w:pPr>
        <w:ind w:right="81" w:firstLine="3"/>
        <w:spacing w:before="99" w:line="22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14"/>
        </w:rPr>
        <w:t>2.3</w:t>
      </w:r>
      <w:r>
        <w:rPr>
          <w:rFonts w:ascii="KaiTi" w:hAnsi="KaiTi" w:eastAsia="KaiTi" w:cs="KaiTi"/>
          <w:sz w:val="20"/>
          <w:szCs w:val="20"/>
          <w:color w:val="231F20"/>
          <w:spacing w:val="14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14"/>
        </w:rPr>
        <w:t>急性阑尾炎患儿发生穿孔多因素</w:t>
      </w:r>
      <w:r>
        <w:rPr>
          <w:rFonts w:ascii="KaiTi" w:hAnsi="KaiTi" w:eastAsia="KaiTi" w:cs="KaiTi"/>
          <w:sz w:val="20"/>
          <w:szCs w:val="20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Logistic</w:t>
      </w:r>
      <w:r>
        <w:rPr>
          <w:rFonts w:ascii="KaiTi" w:hAnsi="KaiTi" w:eastAsia="KaiTi" w:cs="KaiTi"/>
          <w:sz w:val="20"/>
          <w:szCs w:val="20"/>
          <w:color w:val="231F20"/>
          <w:spacing w:val="-1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4"/>
        </w:rPr>
        <w:t>回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>归分析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将患儿阑尾穿孔作为因变量，将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临界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值：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41.38 mg/mL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PCT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临界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值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0.34 ng/mL 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转为二分类</w:t>
      </w:r>
    </w:p>
    <w:p>
      <w:pPr>
        <w:spacing w:line="225" w:lineRule="auto"/>
        <w:sectPr>
          <w:type w:val="continuous"/>
          <w:pgSz w:w="11623" w:h="16158"/>
          <w:pgMar w:top="895" w:right="843" w:bottom="692" w:left="424" w:header="463" w:footer="427" w:gutter="0"/>
          <w:cols w:equalWidth="0" w:num="2">
            <w:col w:w="5423" w:space="100"/>
            <w:col w:w="483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508"/>
        <w:spacing w:before="76" w:line="217" w:lineRule="auto"/>
        <w:tabs>
          <w:tab w:val="left" w:pos="1035"/>
        </w:tabs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</w:rPr>
        <w:tab/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Chin J Emerg Resusc Disaster Med，December   2024，Vol.19  No.12  2024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年 12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月 第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19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卷 第 12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期    中国急救复苏与灾害医学杂志     </w:t>
      </w:r>
      <w:r>
        <w:rPr>
          <w:shd w:val="clear" w:fill="E6E7E9"/>
          <w:rFonts w:ascii="Microsoft YaHei" w:hAnsi="Microsoft YaHei" w:eastAsia="Microsoft YaHei" w:cs="Microsoft YaHei"/>
          <w:sz w:val="14"/>
          <w:szCs w:val="14"/>
          <w:spacing w:val="-5"/>
          <w:position w:val="-2"/>
        </w:rPr>
        <w:t>临床急诊急救  </w:t>
      </w:r>
      <w:r>
        <w:rPr>
          <w:rFonts w:ascii="Arial" w:hAnsi="Arial" w:eastAsia="Arial" w:cs="Arial"/>
          <w:sz w:val="26"/>
          <w:szCs w:val="26"/>
          <w:color w:val="D1D2D4"/>
          <w:spacing w:val="18"/>
          <w:position w:val="-3"/>
        </w:rPr>
        <w:t>:</w:t>
      </w:r>
      <w:r>
        <w:rPr>
          <w:rFonts w:ascii="Arial" w:hAnsi="Arial" w:eastAsia="Arial" w:cs="Arial"/>
          <w:sz w:val="26"/>
          <w:szCs w:val="26"/>
          <w:color w:val="D1D2D4"/>
          <w:spacing w:val="18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8"/>
        </w:rPr>
        <w:t>论著</w:t>
      </w:r>
    </w:p>
    <w:p>
      <w:pPr>
        <w:spacing w:line="60" w:lineRule="exact"/>
        <w:rPr/>
      </w:pPr>
      <w:r/>
    </w:p>
    <w:p>
      <w:pPr>
        <w:spacing w:line="60" w:lineRule="exact"/>
        <w:sectPr>
          <w:headerReference w:type="default" r:id="rId3"/>
          <w:footerReference w:type="default" r:id="rId4"/>
          <w:pgSz w:w="11623" w:h="16158"/>
          <w:pgMar w:top="400" w:right="548" w:bottom="692" w:left="424" w:header="0" w:footer="427" w:gutter="0"/>
          <w:cols w:equalWidth="0" w:num="1">
            <w:col w:w="10650" w:space="0"/>
          </w:cols>
        </w:sectPr>
        <w:rPr/>
      </w:pPr>
    </w:p>
    <w:p>
      <w:pPr>
        <w:pStyle w:val="BodyText"/>
        <w:ind w:left="503" w:right="357" w:firstLine="3"/>
        <w:spacing w:before="50" w:line="29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变量，将年龄、发病时间、术前呕吐、有粪石、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发热、反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跳痛、白细胞计数、中性粒细胞计数、</w:t>
      </w:r>
      <w:r>
        <w:rPr>
          <w:sz w:val="20"/>
          <w:szCs w:val="20"/>
          <w:color w:val="231F20"/>
          <w:spacing w:val="-6"/>
        </w:rPr>
        <w:t>NLR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比值、淋巴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细胞计数、</w:t>
      </w:r>
      <w:r>
        <w:rPr>
          <w:sz w:val="20"/>
          <w:szCs w:val="20"/>
          <w:color w:val="231F20"/>
          <w:spacing w:val="-4"/>
        </w:rPr>
        <w:t>CRP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水平、</w:t>
      </w:r>
      <w:r>
        <w:rPr>
          <w:sz w:val="20"/>
          <w:szCs w:val="20"/>
          <w:color w:val="231F20"/>
          <w:spacing w:val="-4"/>
        </w:rPr>
        <w:t>PCT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水平、纤维蛋白水平</w:t>
      </w:r>
      <w:r>
        <w:rPr>
          <w:sz w:val="20"/>
          <w:szCs w:val="20"/>
          <w:color w:val="231F20"/>
          <w:spacing w:val="-4"/>
        </w:rPr>
        <w:t>(P&lt;0.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4"/>
        </w:rPr>
        <w:t>1)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作为自变量进行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回归分析，校正其他影响因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素后发现，患儿发病时间、有粪石、有反跳痛、</w:t>
      </w:r>
      <w:r>
        <w:rPr>
          <w:sz w:val="20"/>
          <w:szCs w:val="20"/>
          <w:color w:val="231F20"/>
          <w:spacing w:val="-6"/>
        </w:rPr>
        <w:t>NLR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比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值、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水平</w:t>
      </w:r>
      <w:r>
        <w:rPr>
          <w:sz w:val="20"/>
          <w:szCs w:val="20"/>
          <w:color w:val="231F20"/>
          <w:spacing w:val="7"/>
        </w:rPr>
        <w:t>≥41.38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7"/>
        </w:rPr>
        <w:t>/L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是急性阑尾炎患儿发生穿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孔的独立危险因素，见表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</w:t>
      </w:r>
    </w:p>
    <w:p>
      <w:pPr>
        <w:pStyle w:val="BodyText"/>
        <w:ind w:left="642"/>
        <w:spacing w:line="229" w:lineRule="auto"/>
        <w:outlineLvl w:val="0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  <w:spacing w:val="7"/>
        </w:rPr>
        <w:t>表</w:t>
      </w:r>
      <w:r>
        <w:rPr>
          <w:rFonts w:ascii="SimHei" w:hAnsi="SimHei" w:eastAsia="SimHei" w:cs="SimHei"/>
          <w:color w:val="231F20"/>
          <w:spacing w:val="-22"/>
        </w:rPr>
        <w:t xml:space="preserve"> </w:t>
      </w:r>
      <w:r>
        <w:rPr>
          <w:color w:val="231F20"/>
          <w:spacing w:val="7"/>
        </w:rPr>
        <w:t>2  </w:t>
      </w:r>
      <w:r>
        <w:rPr>
          <w:rFonts w:ascii="SimSun" w:hAnsi="SimSun" w:eastAsia="SimSun" w:cs="SimSun"/>
          <w:color w:val="231F20"/>
          <w:spacing w:val="7"/>
        </w:rPr>
        <w:t>急性阑尾炎患儿发生穿孔的多因素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</w:rPr>
        <w:t>Logistic</w:t>
      </w:r>
      <w:r>
        <w:rPr>
          <w:color w:val="231F20"/>
          <w:spacing w:val="3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回归分析</w:t>
      </w:r>
    </w:p>
    <w:p>
      <w:pPr>
        <w:spacing w:line="47" w:lineRule="exact"/>
        <w:rPr/>
      </w:pPr>
      <w:r/>
    </w:p>
    <w:tbl>
      <w:tblPr>
        <w:tblStyle w:val="TableNormal"/>
        <w:tblW w:w="4762" w:type="dxa"/>
        <w:tblInd w:w="49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15"/>
        <w:gridCol w:w="537"/>
        <w:gridCol w:w="479"/>
        <w:gridCol w:w="594"/>
        <w:gridCol w:w="505"/>
        <w:gridCol w:w="1432"/>
      </w:tblGrid>
      <w:tr>
        <w:trPr>
          <w:trHeight w:val="332" w:hRule="atLeast"/>
        </w:trPr>
        <w:tc>
          <w:tcPr>
            <w:tcW w:w="12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"/>
              <w:spacing w:before="86" w:line="187" w:lineRule="auto"/>
              <w:rPr/>
            </w:pPr>
            <w:r>
              <w:rPr>
                <w:color w:val="231F20"/>
                <w:spacing w:val="-1"/>
              </w:rPr>
              <w:t>因素</w:t>
            </w:r>
          </w:p>
        </w:tc>
        <w:tc>
          <w:tcPr>
            <w:tcW w:w="53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92"/>
              <w:spacing w:before="62" w:line="202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9"/>
                <w:position w:val="2"/>
              </w:rPr>
              <w:t>β</w:t>
            </w:r>
          </w:p>
        </w:tc>
        <w:tc>
          <w:tcPr>
            <w:tcW w:w="47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61"/>
              <w:spacing w:before="111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-4"/>
                <w:w w:val="92"/>
              </w:rPr>
              <w:t>SE</w:t>
            </w:r>
          </w:p>
        </w:tc>
        <w:tc>
          <w:tcPr>
            <w:tcW w:w="59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6"/>
              <w:spacing w:before="85" w:line="23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Wald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0"/>
              </w:rPr>
              <w:t>χ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0"/>
                <w:position w:val="4"/>
              </w:rPr>
              <w:t>2</w:t>
            </w:r>
          </w:p>
        </w:tc>
        <w:tc>
          <w:tcPr>
            <w:tcW w:w="50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3"/>
              <w:spacing w:before="87" w:line="188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2"/>
              </w:rPr>
              <w:t>P</w:t>
            </w:r>
            <w:r>
              <w:rPr>
                <w:color w:val="231F20"/>
                <w:spacing w:val="12"/>
              </w:rPr>
              <w:t>值</w:t>
            </w:r>
          </w:p>
        </w:tc>
        <w:tc>
          <w:tcPr>
            <w:tcW w:w="143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0"/>
              <w:spacing w:before="84" w:line="208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-7"/>
              </w:rPr>
              <w:t>OR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7"/>
              </w:rPr>
              <w:t>值（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95%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7"/>
              </w:rPr>
              <w:t>CI</w:t>
            </w:r>
            <w:r>
              <w:rPr>
                <w:color w:val="231F20"/>
                <w:spacing w:val="-7"/>
              </w:rPr>
              <w:t>）</w:t>
            </w:r>
          </w:p>
        </w:tc>
      </w:tr>
      <w:tr>
        <w:trPr>
          <w:trHeight w:val="229" w:hRule="atLeast"/>
        </w:trPr>
        <w:tc>
          <w:tcPr>
            <w:tcW w:w="12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35" w:line="171" w:lineRule="auto"/>
              <w:rPr/>
            </w:pPr>
            <w:r>
              <w:rPr>
                <w:color w:val="231F20"/>
                <w:spacing w:val="5"/>
              </w:rPr>
              <w:t>年龄</w:t>
            </w:r>
          </w:p>
        </w:tc>
        <w:tc>
          <w:tcPr>
            <w:tcW w:w="537" w:type="dxa"/>
            <w:vAlign w:val="top"/>
            <w:tcBorders>
              <w:top w:val="single" w:color="000000" w:sz="2" w:space="0"/>
            </w:tcBorders>
          </w:tcPr>
          <w:p>
            <w:pPr>
              <w:ind w:left="30"/>
              <w:spacing w:before="33" w:line="18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  <w:position w:val="1"/>
              </w:rPr>
              <w:t>-0.186</w:t>
            </w:r>
          </w:p>
        </w:tc>
        <w:tc>
          <w:tcPr>
            <w:tcW w:w="479" w:type="dxa"/>
            <w:vAlign w:val="top"/>
            <w:tcBorders>
              <w:top w:val="single" w:color="000000" w:sz="2" w:space="0"/>
            </w:tcBorders>
          </w:tcPr>
          <w:p>
            <w:pPr>
              <w:ind w:left="72"/>
              <w:spacing w:before="33" w:line="18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0.096</w:t>
            </w:r>
          </w:p>
        </w:tc>
        <w:tc>
          <w:tcPr>
            <w:tcW w:w="594" w:type="dxa"/>
            <w:vAlign w:val="top"/>
            <w:tcBorders>
              <w:top w:val="single" w:color="000000" w:sz="2" w:space="0"/>
            </w:tcBorders>
          </w:tcPr>
          <w:p>
            <w:pPr>
              <w:ind w:left="91"/>
              <w:spacing w:before="33" w:line="18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  <w:position w:val="1"/>
              </w:rPr>
              <w:t>-1.928</w:t>
            </w:r>
          </w:p>
        </w:tc>
        <w:tc>
          <w:tcPr>
            <w:tcW w:w="505" w:type="dxa"/>
            <w:vAlign w:val="top"/>
            <w:tcBorders>
              <w:top w:val="single" w:color="000000" w:sz="2" w:space="0"/>
            </w:tcBorders>
          </w:tcPr>
          <w:p>
            <w:pPr>
              <w:ind w:left="120"/>
              <w:spacing w:before="33" w:line="18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0.054</w:t>
            </w:r>
          </w:p>
        </w:tc>
        <w:tc>
          <w:tcPr>
            <w:tcW w:w="1432" w:type="dxa"/>
            <w:vAlign w:val="top"/>
            <w:tcBorders>
              <w:top w:val="single" w:color="000000" w:sz="2" w:space="0"/>
            </w:tcBorders>
          </w:tcPr>
          <w:p>
            <w:pPr>
              <w:ind w:left="100"/>
              <w:spacing w:before="33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0.831(0.688~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1.003)</w:t>
            </w:r>
          </w:p>
        </w:tc>
      </w:tr>
      <w:tr>
        <w:trPr>
          <w:trHeight w:val="226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5"/>
              <w:spacing w:before="32" w:line="171" w:lineRule="auto"/>
              <w:rPr/>
            </w:pPr>
            <w:r>
              <w:rPr>
                <w:color w:val="231F20"/>
                <w:spacing w:val="8"/>
              </w:rPr>
              <w:t>发病时间</w:t>
            </w:r>
          </w:p>
        </w:tc>
        <w:tc>
          <w:tcPr>
            <w:tcW w:w="537" w:type="dxa"/>
            <w:vAlign w:val="top"/>
          </w:tcPr>
          <w:p>
            <w:pPr>
              <w:ind w:left="115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0.411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0.196</w:t>
            </w:r>
          </w:p>
        </w:tc>
        <w:tc>
          <w:tcPr>
            <w:tcW w:w="594" w:type="dxa"/>
            <w:vAlign w:val="top"/>
          </w:tcPr>
          <w:p>
            <w:pPr>
              <w:ind w:left="177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2.101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0.036</w:t>
            </w:r>
          </w:p>
        </w:tc>
        <w:tc>
          <w:tcPr>
            <w:tcW w:w="1432" w:type="dxa"/>
            <w:vAlign w:val="top"/>
          </w:tcPr>
          <w:p>
            <w:pPr>
              <w:ind w:left="114"/>
              <w:spacing w:before="31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1.508(1.028~2.213)</w:t>
            </w:r>
          </w:p>
        </w:tc>
      </w:tr>
      <w:tr>
        <w:trPr>
          <w:trHeight w:val="226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4"/>
              <w:spacing w:before="33" w:line="170" w:lineRule="auto"/>
              <w:rPr/>
            </w:pPr>
            <w:r>
              <w:rPr>
                <w:color w:val="231F20"/>
                <w:spacing w:val="8"/>
              </w:rPr>
              <w:t>术前呕吐</w:t>
            </w:r>
          </w:p>
        </w:tc>
        <w:tc>
          <w:tcPr>
            <w:tcW w:w="537" w:type="dxa"/>
            <w:vAlign w:val="top"/>
          </w:tcPr>
          <w:p>
            <w:pPr>
              <w:ind w:left="115"/>
              <w:spacing w:before="32"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0.167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2"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0.644</w:t>
            </w:r>
          </w:p>
        </w:tc>
        <w:tc>
          <w:tcPr>
            <w:tcW w:w="594" w:type="dxa"/>
            <w:vAlign w:val="top"/>
          </w:tcPr>
          <w:p>
            <w:pPr>
              <w:ind w:left="175"/>
              <w:spacing w:before="32"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0.259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2"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0.796</w:t>
            </w:r>
          </w:p>
        </w:tc>
        <w:tc>
          <w:tcPr>
            <w:tcW w:w="1432" w:type="dxa"/>
            <w:vAlign w:val="top"/>
          </w:tcPr>
          <w:p>
            <w:pPr>
              <w:ind w:left="114"/>
              <w:spacing w:before="32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181(0.334~4.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174)</w:t>
            </w:r>
          </w:p>
        </w:tc>
      </w:tr>
      <w:tr>
        <w:trPr>
          <w:trHeight w:val="226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4"/>
              <w:spacing w:before="34" w:line="169" w:lineRule="auto"/>
              <w:rPr/>
            </w:pPr>
            <w:r>
              <w:rPr>
                <w:color w:val="231F20"/>
                <w:spacing w:val="7"/>
              </w:rPr>
              <w:t>有粪石</w:t>
            </w:r>
          </w:p>
        </w:tc>
        <w:tc>
          <w:tcPr>
            <w:tcW w:w="537" w:type="dxa"/>
            <w:vAlign w:val="top"/>
          </w:tcPr>
          <w:p>
            <w:pPr>
              <w:ind w:left="128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position w:val="1"/>
              </w:rPr>
              <w:t>1.905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0.542</w:t>
            </w:r>
          </w:p>
        </w:tc>
        <w:tc>
          <w:tcPr>
            <w:tcW w:w="594" w:type="dxa"/>
            <w:vAlign w:val="top"/>
          </w:tcPr>
          <w:p>
            <w:pPr>
              <w:ind w:left="179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  <w:position w:val="1"/>
              </w:rPr>
              <w:t>3.516</w:t>
            </w:r>
          </w:p>
        </w:tc>
        <w:tc>
          <w:tcPr>
            <w:tcW w:w="505" w:type="dxa"/>
            <w:vAlign w:val="top"/>
          </w:tcPr>
          <w:p>
            <w:pPr>
              <w:ind w:left="115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  <w:position w:val="1"/>
              </w:rPr>
              <w:t>&lt;.001</w:t>
            </w:r>
          </w:p>
        </w:tc>
        <w:tc>
          <w:tcPr>
            <w:tcW w:w="1432" w:type="dxa"/>
            <w:vAlign w:val="top"/>
          </w:tcPr>
          <w:p>
            <w:pPr>
              <w:spacing w:before="33" w:line="234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6.720(2.324~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19.434)</w:t>
            </w:r>
          </w:p>
        </w:tc>
      </w:tr>
      <w:tr>
        <w:trPr>
          <w:trHeight w:val="225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5"/>
              <w:spacing w:before="9" w:line="19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"/>
              </w:rPr>
              <w:t>发热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(≥38℃)</w:t>
            </w:r>
          </w:p>
        </w:tc>
        <w:tc>
          <w:tcPr>
            <w:tcW w:w="537" w:type="dxa"/>
            <w:vAlign w:val="top"/>
          </w:tcPr>
          <w:p>
            <w:pPr>
              <w:ind w:left="30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</w:rPr>
              <w:t>-1.116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0.596</w:t>
            </w:r>
          </w:p>
        </w:tc>
        <w:tc>
          <w:tcPr>
            <w:tcW w:w="594" w:type="dxa"/>
            <w:vAlign w:val="top"/>
          </w:tcPr>
          <w:p>
            <w:pPr>
              <w:ind w:left="91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</w:rPr>
              <w:t>-1.873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0.061</w:t>
            </w:r>
          </w:p>
        </w:tc>
        <w:tc>
          <w:tcPr>
            <w:tcW w:w="1432" w:type="dxa"/>
            <w:vAlign w:val="top"/>
          </w:tcPr>
          <w:p>
            <w:pPr>
              <w:ind w:left="100"/>
              <w:spacing w:before="34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0.327(0.102~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1.053)</w:t>
            </w:r>
          </w:p>
        </w:tc>
      </w:tr>
      <w:tr>
        <w:trPr>
          <w:trHeight w:val="225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4"/>
              <w:spacing w:before="36" w:line="166" w:lineRule="auto"/>
              <w:rPr/>
            </w:pPr>
            <w:r>
              <w:rPr>
                <w:color w:val="231F20"/>
                <w:spacing w:val="8"/>
              </w:rPr>
              <w:t>有反跳痛</w:t>
            </w:r>
          </w:p>
        </w:tc>
        <w:tc>
          <w:tcPr>
            <w:tcW w:w="537" w:type="dxa"/>
            <w:vAlign w:val="top"/>
          </w:tcPr>
          <w:p>
            <w:pPr>
              <w:ind w:left="116"/>
              <w:spacing w:before="35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2.147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5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0.754</w:t>
            </w:r>
          </w:p>
        </w:tc>
        <w:tc>
          <w:tcPr>
            <w:tcW w:w="594" w:type="dxa"/>
            <w:vAlign w:val="top"/>
          </w:tcPr>
          <w:p>
            <w:pPr>
              <w:ind w:left="177"/>
              <w:spacing w:before="35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2.848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5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0.004</w:t>
            </w:r>
          </w:p>
        </w:tc>
        <w:tc>
          <w:tcPr>
            <w:tcW w:w="1432" w:type="dxa"/>
            <w:vAlign w:val="top"/>
          </w:tcPr>
          <w:p>
            <w:pPr>
              <w:spacing w:before="35" w:line="234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8.561(1.953~37.533)</w:t>
            </w:r>
          </w:p>
        </w:tc>
      </w:tr>
      <w:tr>
        <w:trPr>
          <w:trHeight w:val="226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25"/>
              <w:spacing w:before="37" w:line="166" w:lineRule="auto"/>
              <w:rPr/>
            </w:pPr>
            <w:r>
              <w:rPr>
                <w:color w:val="231F20"/>
                <w:spacing w:val="4"/>
              </w:rPr>
              <w:t>白细胞计数</w:t>
            </w:r>
          </w:p>
        </w:tc>
        <w:tc>
          <w:tcPr>
            <w:tcW w:w="537" w:type="dxa"/>
            <w:vAlign w:val="top"/>
          </w:tcPr>
          <w:p>
            <w:pPr>
              <w:ind w:left="115"/>
              <w:spacing w:before="37" w:line="17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0.555</w:t>
            </w:r>
          </w:p>
        </w:tc>
        <w:tc>
          <w:tcPr>
            <w:tcW w:w="479" w:type="dxa"/>
            <w:vAlign w:val="top"/>
          </w:tcPr>
          <w:p>
            <w:pPr>
              <w:ind w:left="86"/>
              <w:spacing w:before="37" w:line="17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1.191</w:t>
            </w:r>
          </w:p>
        </w:tc>
        <w:tc>
          <w:tcPr>
            <w:tcW w:w="594" w:type="dxa"/>
            <w:vAlign w:val="top"/>
          </w:tcPr>
          <w:p>
            <w:pPr>
              <w:ind w:left="175"/>
              <w:spacing w:before="37" w:line="17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0.466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7" w:line="17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0.641</w:t>
            </w:r>
          </w:p>
        </w:tc>
        <w:tc>
          <w:tcPr>
            <w:tcW w:w="1432" w:type="dxa"/>
            <w:vAlign w:val="top"/>
          </w:tcPr>
          <w:p>
            <w:pPr>
              <w:spacing w:before="37" w:line="234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1.742(0.169~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17.964)</w:t>
            </w:r>
          </w:p>
        </w:tc>
      </w:tr>
      <w:tr>
        <w:trPr>
          <w:trHeight w:val="225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20"/>
              <w:spacing w:before="39" w:line="164" w:lineRule="auto"/>
              <w:rPr/>
            </w:pPr>
            <w:r>
              <w:rPr>
                <w:color w:val="231F20"/>
                <w:spacing w:val="6"/>
              </w:rPr>
              <w:t>中性粒细胞计数</w:t>
            </w:r>
          </w:p>
        </w:tc>
        <w:tc>
          <w:tcPr>
            <w:tcW w:w="537" w:type="dxa"/>
            <w:vAlign w:val="top"/>
          </w:tcPr>
          <w:p>
            <w:pPr>
              <w:ind w:left="30"/>
              <w:spacing w:before="38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</w:rPr>
              <w:t>-0.659</w:t>
            </w:r>
          </w:p>
        </w:tc>
        <w:tc>
          <w:tcPr>
            <w:tcW w:w="479" w:type="dxa"/>
            <w:vAlign w:val="top"/>
          </w:tcPr>
          <w:p>
            <w:pPr>
              <w:ind w:left="86"/>
              <w:spacing w:before="38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1.314</w:t>
            </w:r>
          </w:p>
        </w:tc>
        <w:tc>
          <w:tcPr>
            <w:tcW w:w="594" w:type="dxa"/>
            <w:vAlign w:val="top"/>
          </w:tcPr>
          <w:p>
            <w:pPr>
              <w:ind w:left="91"/>
              <w:spacing w:before="38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</w:rPr>
              <w:t>-0.502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8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0.616</w:t>
            </w:r>
          </w:p>
        </w:tc>
        <w:tc>
          <w:tcPr>
            <w:tcW w:w="1432" w:type="dxa"/>
            <w:vAlign w:val="top"/>
          </w:tcPr>
          <w:p>
            <w:pPr>
              <w:ind w:left="100"/>
              <w:spacing w:before="38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0.517(0.039~6.789)</w:t>
            </w:r>
          </w:p>
        </w:tc>
      </w:tr>
      <w:tr>
        <w:trPr>
          <w:trHeight w:val="226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7"/>
              <w:spacing w:before="40" w:line="164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NLR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比值</w:t>
            </w:r>
          </w:p>
        </w:tc>
        <w:tc>
          <w:tcPr>
            <w:tcW w:w="537" w:type="dxa"/>
            <w:vAlign w:val="top"/>
          </w:tcPr>
          <w:p>
            <w:pPr>
              <w:ind w:left="30"/>
              <w:spacing w:before="39"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</w:rPr>
              <w:t>-0.146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9"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0.059</w:t>
            </w:r>
          </w:p>
        </w:tc>
        <w:tc>
          <w:tcPr>
            <w:tcW w:w="594" w:type="dxa"/>
            <w:vAlign w:val="top"/>
          </w:tcPr>
          <w:p>
            <w:pPr>
              <w:ind w:left="91"/>
              <w:spacing w:before="39"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</w:rPr>
              <w:t>-2.475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9"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0.013</w:t>
            </w:r>
          </w:p>
        </w:tc>
        <w:tc>
          <w:tcPr>
            <w:tcW w:w="1432" w:type="dxa"/>
            <w:vAlign w:val="top"/>
          </w:tcPr>
          <w:p>
            <w:pPr>
              <w:ind w:left="100"/>
              <w:spacing w:before="40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0.864(0.770~0.970)</w:t>
            </w:r>
          </w:p>
        </w:tc>
      </w:tr>
      <w:tr>
        <w:trPr>
          <w:trHeight w:val="236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6"/>
              <w:spacing w:before="41" w:line="172" w:lineRule="auto"/>
              <w:rPr/>
            </w:pPr>
            <w:r>
              <w:rPr>
                <w:color w:val="231F20"/>
                <w:spacing w:val="8"/>
              </w:rPr>
              <w:t>淋巴细胞计数</w:t>
            </w:r>
          </w:p>
        </w:tc>
        <w:tc>
          <w:tcPr>
            <w:tcW w:w="537" w:type="dxa"/>
            <w:vAlign w:val="top"/>
          </w:tcPr>
          <w:p>
            <w:pPr>
              <w:ind w:left="30"/>
              <w:spacing w:before="40"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  <w:position w:val="1"/>
              </w:rPr>
              <w:t>-0.229</w:t>
            </w:r>
          </w:p>
        </w:tc>
        <w:tc>
          <w:tcPr>
            <w:tcW w:w="479" w:type="dxa"/>
            <w:vAlign w:val="top"/>
          </w:tcPr>
          <w:p>
            <w:pPr>
              <w:ind w:left="86"/>
              <w:spacing w:before="40"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position w:val="1"/>
              </w:rPr>
              <w:t>1.415</w:t>
            </w:r>
          </w:p>
        </w:tc>
        <w:tc>
          <w:tcPr>
            <w:tcW w:w="594" w:type="dxa"/>
            <w:vAlign w:val="top"/>
          </w:tcPr>
          <w:p>
            <w:pPr>
              <w:ind w:left="91"/>
              <w:spacing w:before="40"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  <w:position w:val="1"/>
              </w:rPr>
              <w:t>-0.162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40"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0.872</w:t>
            </w:r>
          </w:p>
        </w:tc>
        <w:tc>
          <w:tcPr>
            <w:tcW w:w="1432" w:type="dxa"/>
            <w:vAlign w:val="top"/>
          </w:tcPr>
          <w:p>
            <w:pPr>
              <w:spacing w:before="40" w:line="234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0.796(0.050~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12.747)</w:t>
            </w:r>
          </w:p>
        </w:tc>
      </w:tr>
      <w:tr>
        <w:trPr>
          <w:trHeight w:val="226" w:hRule="atLeast"/>
        </w:trPr>
        <w:tc>
          <w:tcPr>
            <w:tcW w:w="1215" w:type="dxa"/>
            <w:vAlign w:val="top"/>
          </w:tcPr>
          <w:p>
            <w:pPr>
              <w:ind w:left="8"/>
              <w:spacing w:before="31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CRP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(≥41.38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mg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/L)</w:t>
            </w:r>
          </w:p>
        </w:tc>
        <w:tc>
          <w:tcPr>
            <w:tcW w:w="537" w:type="dxa"/>
            <w:vAlign w:val="top"/>
          </w:tcPr>
          <w:p>
            <w:pPr>
              <w:ind w:left="116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2.454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0.602</w:t>
            </w:r>
          </w:p>
        </w:tc>
        <w:tc>
          <w:tcPr>
            <w:tcW w:w="594" w:type="dxa"/>
            <w:vAlign w:val="top"/>
          </w:tcPr>
          <w:p>
            <w:pPr>
              <w:ind w:left="174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4.079</w:t>
            </w:r>
          </w:p>
        </w:tc>
        <w:tc>
          <w:tcPr>
            <w:tcW w:w="505" w:type="dxa"/>
            <w:vAlign w:val="top"/>
          </w:tcPr>
          <w:p>
            <w:pPr>
              <w:ind w:left="35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  <w:position w:val="1"/>
              </w:rPr>
              <w:t>&lt;0.001</w:t>
            </w:r>
          </w:p>
        </w:tc>
        <w:tc>
          <w:tcPr>
            <w:tcW w:w="1432" w:type="dxa"/>
            <w:vAlign w:val="top"/>
          </w:tcPr>
          <w:p>
            <w:pPr>
              <w:spacing w:before="31" w:line="234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11.631(3.578~37.812)</w:t>
            </w:r>
          </w:p>
        </w:tc>
      </w:tr>
      <w:tr>
        <w:trPr>
          <w:trHeight w:val="216" w:hRule="atLeast"/>
        </w:trPr>
        <w:tc>
          <w:tcPr>
            <w:tcW w:w="1215" w:type="dxa"/>
            <w:vAlign w:val="top"/>
          </w:tcPr>
          <w:p>
            <w:pPr>
              <w:ind w:left="5"/>
              <w:spacing w:before="32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PCT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(≥0.34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/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mL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)</w:t>
            </w:r>
          </w:p>
        </w:tc>
        <w:tc>
          <w:tcPr>
            <w:tcW w:w="537" w:type="dxa"/>
            <w:vAlign w:val="top"/>
          </w:tcPr>
          <w:p>
            <w:pPr>
              <w:ind w:left="128"/>
              <w:spacing w:before="32" w:line="24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1.238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2" w:line="24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0.675</w:t>
            </w:r>
          </w:p>
        </w:tc>
        <w:tc>
          <w:tcPr>
            <w:tcW w:w="594" w:type="dxa"/>
            <w:vAlign w:val="top"/>
          </w:tcPr>
          <w:p>
            <w:pPr>
              <w:ind w:left="189"/>
              <w:spacing w:before="32" w:line="24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1.835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2" w:line="24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0.067</w:t>
            </w:r>
          </w:p>
        </w:tc>
        <w:tc>
          <w:tcPr>
            <w:tcW w:w="1432" w:type="dxa"/>
            <w:vAlign w:val="top"/>
          </w:tcPr>
          <w:p>
            <w:pPr>
              <w:spacing w:before="32" w:line="234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3.450(0.919~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12.956)</w:t>
            </w:r>
          </w:p>
        </w:tc>
      </w:tr>
      <w:tr>
        <w:trPr>
          <w:trHeight w:val="226" w:hRule="atLeast"/>
        </w:trPr>
        <w:tc>
          <w:tcPr>
            <w:tcW w:w="12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"/>
              <w:spacing w:before="44" w:line="160" w:lineRule="auto"/>
              <w:rPr/>
            </w:pPr>
            <w:r>
              <w:rPr>
                <w:color w:val="231F20"/>
                <w:spacing w:val="9"/>
              </w:rPr>
              <w:t>纤维蛋白水平</w:t>
            </w:r>
          </w:p>
        </w:tc>
        <w:tc>
          <w:tcPr>
            <w:tcW w:w="537" w:type="dxa"/>
            <w:vAlign w:val="top"/>
            <w:tcBorders>
              <w:bottom w:val="single" w:color="000000" w:sz="6" w:space="0"/>
            </w:tcBorders>
          </w:tcPr>
          <w:p>
            <w:pPr>
              <w:ind w:left="115"/>
              <w:spacing w:before="42" w:line="24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0.025</w:t>
            </w:r>
          </w:p>
        </w:tc>
        <w:tc>
          <w:tcPr>
            <w:tcW w:w="479" w:type="dxa"/>
            <w:vAlign w:val="top"/>
            <w:tcBorders>
              <w:bottom w:val="single" w:color="000000" w:sz="6" w:space="0"/>
            </w:tcBorders>
          </w:tcPr>
          <w:p>
            <w:pPr>
              <w:ind w:left="72"/>
              <w:spacing w:before="42" w:line="24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0.300</w:t>
            </w:r>
          </w:p>
        </w:tc>
        <w:tc>
          <w:tcPr>
            <w:tcW w:w="594" w:type="dxa"/>
            <w:vAlign w:val="top"/>
            <w:tcBorders>
              <w:bottom w:val="single" w:color="000000" w:sz="6" w:space="0"/>
            </w:tcBorders>
          </w:tcPr>
          <w:p>
            <w:pPr>
              <w:ind w:left="175"/>
              <w:spacing w:before="42" w:line="24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0.082</w:t>
            </w:r>
          </w:p>
        </w:tc>
        <w:tc>
          <w:tcPr>
            <w:tcW w:w="505" w:type="dxa"/>
            <w:vAlign w:val="top"/>
            <w:tcBorders>
              <w:bottom w:val="single" w:color="000000" w:sz="6" w:space="0"/>
            </w:tcBorders>
          </w:tcPr>
          <w:p>
            <w:pPr>
              <w:ind w:left="120"/>
              <w:spacing w:before="42" w:line="24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0.934</w:t>
            </w:r>
          </w:p>
        </w:tc>
        <w:tc>
          <w:tcPr>
            <w:tcW w:w="1432" w:type="dxa"/>
            <w:vAlign w:val="top"/>
            <w:tcBorders>
              <w:bottom w:val="single" w:color="000000" w:sz="6" w:space="0"/>
            </w:tcBorders>
          </w:tcPr>
          <w:p>
            <w:pPr>
              <w:ind w:left="114"/>
              <w:spacing w:before="43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1.025(0.569~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1.845)</w:t>
            </w:r>
          </w:p>
        </w:tc>
      </w:tr>
    </w:tbl>
    <w:p>
      <w:pPr>
        <w:pStyle w:val="BodyText"/>
        <w:ind w:left="503"/>
        <w:spacing w:before="190" w:line="226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3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讨</w:t>
      </w:r>
      <w:r>
        <w:rPr>
          <w:rFonts w:ascii="SimHei" w:hAnsi="SimHei" w:eastAsia="SimHei" w:cs="SimHei"/>
          <w:sz w:val="20"/>
          <w:szCs w:val="20"/>
          <w:color w:val="231F20"/>
          <w:spacing w:val="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论</w:t>
      </w:r>
    </w:p>
    <w:p>
      <w:pPr>
        <w:pStyle w:val="BodyText"/>
        <w:ind w:left="503" w:right="281" w:firstLine="422"/>
        <w:spacing w:before="239" w:line="30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小儿阑尾炎通常病情重、发展快，穿孔率高，由于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儿童阑尾结构的特殊和机体免疫力处于较低水平，儿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童患急性阑尾炎时易发生穿孔，且穿孔率高于成人</w:t>
      </w:r>
      <w:r>
        <w:rPr>
          <w:sz w:val="10"/>
          <w:szCs w:val="10"/>
          <w:color w:val="231F20"/>
          <w:spacing w:val="2"/>
          <w:position w:val="7"/>
        </w:rPr>
        <w:t>[12]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当急性阑尾炎发展到穿孔阶段，病情会急剧恶化，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细菌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及毒素迅速进入腹腔和血液，引发全身性的感染反应，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即脓毒血症，严重者会出现昏迷、呼吸衰竭等情况</w:t>
      </w:r>
      <w:r>
        <w:rPr>
          <w:sz w:val="10"/>
          <w:szCs w:val="10"/>
          <w:color w:val="231F20"/>
          <w:spacing w:val="-3"/>
          <w:position w:val="7"/>
        </w:rPr>
        <w:t>[13]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。</w:t>
      </w:r>
    </w:p>
    <w:p>
      <w:pPr>
        <w:pStyle w:val="BodyText"/>
        <w:ind w:left="503" w:right="278" w:firstLine="424"/>
        <w:spacing w:before="12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急性阑尾炎患儿以腹痛、呕吐为常见首发症状，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加之患儿年龄尚小，对于腹部发病位置和疼痛感受无 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法进行准确描述，临床诊断中易与肠系膜淋巴结炎、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急性肠胃炎等病混淆，一旦诊治不及时，极易导致穿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孔，危及患儿生命</w:t>
      </w:r>
      <w:r>
        <w:rPr>
          <w:sz w:val="10"/>
          <w:szCs w:val="10"/>
          <w:color w:val="231F20"/>
          <w:spacing w:val="6"/>
          <w:position w:val="7"/>
        </w:rPr>
        <w:t>[14]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。因此临床上积极鉴别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急性阑尾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炎穿孔危险因素十分重要。本研究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13"/>
        </w:rPr>
        <w:t>182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例急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性阑尾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炎患儿中有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3"/>
        </w:rPr>
        <w:t>84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例发生穿孔，穿孔率高达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3"/>
        </w:rPr>
        <w:t>46.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3"/>
        </w:rPr>
        <w:t>15%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，这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7"/>
        </w:rPr>
        <w:t>与既往研究报道小儿急性阑尾炎穿孔发生率达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9"/>
        </w:rPr>
        <w:t>33%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～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  <w:spacing w:val="9"/>
        </w:rPr>
        <w:t>52%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这一结果一致</w:t>
      </w:r>
      <w:r>
        <w:rPr>
          <w:sz w:val="10"/>
          <w:szCs w:val="10"/>
          <w:color w:val="231F20"/>
          <w:spacing w:val="9"/>
          <w:position w:val="7"/>
        </w:rPr>
        <w:t>[15]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。既往研究指出年龄小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是阑尾炎穿孔的独立危险因素</w:t>
      </w:r>
      <w:r>
        <w:rPr>
          <w:sz w:val="10"/>
          <w:szCs w:val="10"/>
          <w:color w:val="231F20"/>
          <w:spacing w:val="7"/>
          <w:position w:val="7"/>
        </w:rPr>
        <w:t>[16]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，这可能与低龄儿童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无法准确表达、症状表现不显著等相关，而本次研究  </w:t>
      </w:r>
      <w:r>
        <w:rPr>
          <w:rFonts w:ascii="SimSun" w:hAnsi="SimSun" w:eastAsia="SimSun" w:cs="SimSun"/>
          <w:sz w:val="20"/>
          <w:szCs w:val="20"/>
          <w:color w:val="231F20"/>
          <w:spacing w:val="26"/>
        </w:rPr>
        <w:t>中穿孔组患儿年龄相较未穿孔组明显更小，但经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多因素分析，年龄并不是影响患儿阑尾穿孔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的独立危险因素，推测原因可能与本研究纳入患儿的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年龄跨度较大有关，大多患儿为学龄以上，可对疾病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症状有一定描述和表达，故而年龄未被列入危险因素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中。此外经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回归分析后得出反跳痛、有粪石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是急性阑尾炎患儿发生穿孔的独立危险因素。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儿童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3" w:firstLine="19"/>
        <w:spacing w:before="43" w:line="30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阑尾结构较为特殊，其阑尾腔较为细长，堵塞后不易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被排出，粪石是消化道由于肠胃功能紊乱形成的难以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消化的结石性食物残渣，食物残渣嵌顿入阑尾腔内会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导致阑尾血供障碍，一旦炎症发生，粪石嵌顿处极易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position w:val="-1"/>
        </w:rPr>
        <w:t>发生坏疽穿孔</w:t>
      </w:r>
      <w:r>
        <w:rPr>
          <w:sz w:val="10"/>
          <w:szCs w:val="10"/>
          <w:color w:val="231F20"/>
          <w:spacing w:val="9"/>
          <w:position w:val="7"/>
        </w:rPr>
        <w:t>[17] 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>Bonadio</w:t>
      </w:r>
      <w:r>
        <w:rPr>
          <w:sz w:val="20"/>
          <w:szCs w:val="20"/>
          <w:color w:val="231F20"/>
          <w:spacing w:val="3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position w:val="-1"/>
        </w:rPr>
        <w:t>等</w:t>
      </w:r>
      <w:r>
        <w:rPr>
          <w:sz w:val="10"/>
          <w:szCs w:val="10"/>
          <w:color w:val="231F20"/>
          <w:spacing w:val="9"/>
          <w:position w:val="7"/>
        </w:rPr>
        <w:t>[18]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position w:val="-1"/>
        </w:rPr>
        <w:t>研究中也指出粪石是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急性阑尾炎穿孔的独立危险因素。临床进行彩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超或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等影像学检查时若发现高密度粪石影时应考虑穿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孔风险，调整治疗方案。小儿急性阑尾炎多由病原体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感染引起，这些病原体在患儿体内繁殖时会刺激机体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免疫系统产生炎症反应，导致体温升高，阑尾部位的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炎症还可能导致局部组织的坏死及渗出，进一步加重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发热症状</w:t>
      </w:r>
      <w:r>
        <w:rPr>
          <w:sz w:val="10"/>
          <w:szCs w:val="10"/>
          <w:color w:val="231F20"/>
          <w:spacing w:val="22"/>
          <w:position w:val="7"/>
        </w:rPr>
        <w:t>[19]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。本研究穿孔组患儿入院时体温超过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4"/>
        </w:rPr>
        <w:t>38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℃</w:t>
      </w:r>
      <w:r>
        <w:rPr>
          <w:rFonts w:ascii="SimSun" w:hAnsi="SimSun" w:eastAsia="SimSun" w:cs="SimSun"/>
          <w:sz w:val="20"/>
          <w:szCs w:val="20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者显著多于未穿孔组，然而经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多因素分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析，入院时发热情况并不是影响阑尾穿孔的独立危险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因素，推测原因可能是部分患儿入院前已经过物理或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药物降温处理，故而入院时的体温并非最高体温，收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集数据可能存在偏倚。</w:t>
      </w:r>
    </w:p>
    <w:p>
      <w:pPr>
        <w:pStyle w:val="BodyText"/>
        <w:ind w:right="116" w:firstLine="427"/>
        <w:spacing w:before="12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既往多项研究证实阑尾发病时间阑尾穿孔的独立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危险因素</w:t>
      </w:r>
      <w:r>
        <w:rPr>
          <w:sz w:val="10"/>
          <w:szCs w:val="10"/>
          <w:color w:val="231F20"/>
          <w:spacing w:val="9"/>
          <w:position w:val="7"/>
        </w:rPr>
        <w:t>[20-21]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，本研究发现阑尾穿孔患儿发病时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间明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显高于非穿孔组患儿，经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回归分析发现发病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时间为患儿急性阑尾炎穿孔的独立危险因素。这与既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往研究研究结果一致，同时与阑尾发病进展相符合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，患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儿来院就诊时间越长，其穿孔风险越高，为最大程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度减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少穿孔事件的发生，提高阑尾炎诊治水平体现的更有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意义，积极行手术治疗，可减少穿孔风险。</w:t>
      </w:r>
      <w:r>
        <w:rPr>
          <w:sz w:val="20"/>
          <w:szCs w:val="20"/>
          <w:color w:val="231F20"/>
          <w:spacing w:val="-3"/>
        </w:rPr>
        <w:t>CRP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是一种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由肝脏合成的非特异性炎性标志物，在机体面临各种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急慢性感染、手术创伤、恶性肿瘤、组织损伤时血清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水平会迅速升高</w:t>
      </w:r>
      <w:r>
        <w:rPr>
          <w:sz w:val="10"/>
          <w:szCs w:val="10"/>
          <w:color w:val="231F20"/>
          <w:spacing w:val="1"/>
          <w:position w:val="7"/>
        </w:rPr>
        <w:t>[22]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，其主要作用是激活</w:t>
      </w:r>
      <w:r>
        <w:rPr>
          <w:rFonts w:ascii="SimSun" w:hAnsi="SimSun" w:eastAsia="SimSun" w:cs="SimSun"/>
          <w:sz w:val="20"/>
          <w:szCs w:val="20"/>
          <w:color w:val="231F20"/>
        </w:rPr>
        <w:t>补体系统，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促进中性粒细胞和巨噬细胞对细菌、真菌微生物的吞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噬作用，从而发挥免疫防御和修复作用。降钙素原是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降钙素的前体，是一种蛋白质，当机体发生严重的细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菌、真菌感染、严重的组织创伤、脓毒血症及器官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衰竭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时，其水平明显升高，可反映感染的严重程度。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比值是系统性炎症反应的有效指标之一，当机体发生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急性感染、炎症或存在广泛组织损伤、坏死时其水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平升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高</w:t>
      </w:r>
      <w:r>
        <w:rPr>
          <w:sz w:val="10"/>
          <w:szCs w:val="10"/>
          <w:color w:val="231F20"/>
          <w:spacing w:val="7"/>
          <w:position w:val="7"/>
        </w:rPr>
        <w:t>[23]</w:t>
      </w:r>
      <w:r>
        <w:rPr>
          <w:sz w:val="10"/>
          <w:szCs w:val="10"/>
          <w:color w:val="231F20"/>
          <w:spacing w:val="-4"/>
          <w:position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。本研究对患儿进行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回归分析后发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现血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清</w:t>
      </w:r>
      <w:r>
        <w:rPr>
          <w:rFonts w:ascii="SimSun" w:hAnsi="SimSun" w:eastAsia="SimSun" w:cs="SimSun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水平和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比值均为急性阑尾炎患儿发生穿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孔的独立危险因素。推测原因是，急性阑尾炎的发生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是与细菌感染有关，从阑尾解剖结构来看，其为一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条细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长管道，其中一端连接盲肠，一旦发生梗阻，可造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成管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道内分泌的黏液潴留，管腔内压力持续升高，影响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血液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循环，引发炎症反应，在此基础上管腔内细菌繁殖增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多，分泌内外毒素损伤黏膜上皮并形成溃疡，细菌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通过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破溃的阑尾腔创面进入阑尾壁内</w:t>
      </w:r>
      <w:r>
        <w:rPr>
          <w:sz w:val="10"/>
          <w:szCs w:val="10"/>
          <w:color w:val="231F20"/>
          <w:spacing w:val="7"/>
          <w:position w:val="7"/>
        </w:rPr>
        <w:t>[24]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，阑尾壁内压力增</w:t>
      </w:r>
    </w:p>
    <w:p>
      <w:pPr>
        <w:spacing w:line="297" w:lineRule="auto"/>
        <w:sectPr>
          <w:type w:val="continuous"/>
          <w:pgSz w:w="11623" w:h="16158"/>
          <w:pgMar w:top="400" w:right="548" w:bottom="692" w:left="424" w:header="0" w:footer="427" w:gutter="0"/>
          <w:cols w:equalWidth="0" w:num="2">
            <w:col w:w="5615" w:space="100"/>
            <w:col w:w="493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42" w:lineRule="exact"/>
        <w:rPr/>
      </w:pPr>
      <w:r/>
    </w:p>
    <w:p>
      <w:pPr>
        <w:spacing w:line="142" w:lineRule="exact"/>
        <w:sectPr>
          <w:headerReference w:type="default" r:id="rId5"/>
          <w:footerReference w:type="default" r:id="rId6"/>
          <w:pgSz w:w="11623" w:h="16158"/>
          <w:pgMar w:top="895" w:right="921" w:bottom="692" w:left="424" w:header="463" w:footer="427" w:gutter="0"/>
          <w:cols w:equalWidth="0" w:num="1">
            <w:col w:w="10277" w:space="0"/>
          </w:cols>
        </w:sectPr>
        <w:rPr/>
      </w:pPr>
    </w:p>
    <w:p>
      <w:pPr>
        <w:pStyle w:val="BodyText"/>
        <w:ind w:left="312" w:right="298" w:firstLine="3"/>
        <w:spacing w:before="45" w:line="29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高，妨碍血流，导致阑尾梗死和坏疽，加之儿童阑尾管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腔壁薄，更易发生感染和梗死，引发阑尾穿孔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，当上述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炎症指标较高时说明患儿机体存在较为严重的感染，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发生阑尾穿孔风险也相应增加。血清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水平已经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被多项研究指出可作为急性阑尾炎穿孔的独立危险因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素</w:t>
      </w:r>
      <w:r>
        <w:rPr>
          <w:sz w:val="10"/>
          <w:szCs w:val="10"/>
          <w:color w:val="231F20"/>
          <w:spacing w:val="9"/>
          <w:position w:val="7"/>
        </w:rPr>
        <w:t>[25-26]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，不难看出炎性指标在阑尾穿孔的诊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断中具有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一定的参考价值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因此在临床诊断中可结合患儿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水平、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比值来预测急性阑尾炎患儿发生穿孔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的风险。本研究中穿孔组阑尾炎的降钙素原均值比非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穿孔升高明显，两组间差异存在统计学意义，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未纳入阑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尾穿孔的独立危险因素，考虑研究样本量小，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而且与独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立危险因素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及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均为炎症指标同期增长特征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相似，故在多因素中受到干扰引起。但在临床工作中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常作为严重程度指标，升高时应该得到足够重视及警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惕。</w:t>
      </w:r>
    </w:p>
    <w:p>
      <w:pPr>
        <w:pStyle w:val="BodyText"/>
        <w:ind w:left="310" w:right="363" w:firstLine="419"/>
        <w:spacing w:before="17" w:line="29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综上所述，急性阑尾炎患儿穿孔发生率高，患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儿发病时间长、有粪石、有反跳痛、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比值、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水平</w:t>
      </w:r>
      <w:r>
        <w:rPr>
          <w:sz w:val="20"/>
          <w:szCs w:val="20"/>
          <w:color w:val="231F20"/>
          <w:spacing w:val="9"/>
        </w:rPr>
        <w:t>≥41.38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9"/>
        </w:rPr>
        <w:t>/L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是阑尾穿孔的独立危险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因素，临床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诊断中可通过识别上述独立危险因素来确认早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期干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预方案，避免错过最佳手术时机。本研究局限单中心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研究，样本量小，同时并未纳入阑尾是否合并积液及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阑尾直径及阑尾感染致病菌等影响因素，有待后期进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一步研究。</w:t>
      </w:r>
    </w:p>
    <w:p>
      <w:pPr>
        <w:ind w:left="315"/>
        <w:spacing w:before="115" w:line="226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参考文献</w:t>
      </w:r>
    </w:p>
    <w:p>
      <w:pPr>
        <w:pStyle w:val="BodyText"/>
        <w:ind w:left="315"/>
        <w:spacing w:before="210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[1]     </w:t>
      </w:r>
      <w:r>
        <w:rPr>
          <w:sz w:val="15"/>
          <w:szCs w:val="15"/>
          <w:color w:val="231F20"/>
        </w:rPr>
        <w:t>Walter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3"/>
        </w:rPr>
        <w:t>[J].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2021,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3"/>
        </w:rPr>
        <w:t>326(22):2339.</w:t>
      </w:r>
    </w:p>
    <w:p>
      <w:pPr>
        <w:pStyle w:val="BodyText"/>
        <w:ind w:left="673" w:right="364" w:hanging="358"/>
        <w:spacing w:before="132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[2]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陈亮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伍兵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罗由平</w:t>
      </w:r>
      <w:r>
        <w:rPr>
          <w:sz w:val="15"/>
          <w:szCs w:val="15"/>
          <w:color w:val="231F20"/>
          <w:spacing w:val="10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经脐单孔腹腔镜阑尾切除术治疗小儿复杂性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阑尾炎疗效及对血清</w:t>
      </w:r>
      <w:r>
        <w:rPr>
          <w:sz w:val="15"/>
          <w:szCs w:val="15"/>
          <w:color w:val="231F20"/>
        </w:rPr>
        <w:t>CRP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、</w:t>
      </w:r>
      <w:r>
        <w:rPr>
          <w:sz w:val="15"/>
          <w:szCs w:val="15"/>
          <w:color w:val="231F20"/>
        </w:rPr>
        <w:t>IL</w:t>
      </w:r>
      <w:r>
        <w:rPr>
          <w:sz w:val="15"/>
          <w:szCs w:val="15"/>
          <w:color w:val="231F20"/>
          <w:spacing w:val="4"/>
        </w:rPr>
        <w:t>-6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、</w:t>
      </w:r>
      <w:r>
        <w:rPr>
          <w:sz w:val="15"/>
          <w:szCs w:val="15"/>
          <w:color w:val="231F20"/>
        </w:rPr>
        <w:t>PCT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和</w:t>
      </w:r>
      <w:r>
        <w:rPr>
          <w:sz w:val="15"/>
          <w:szCs w:val="15"/>
          <w:color w:val="231F20"/>
        </w:rPr>
        <w:t>Alvarado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评分的影响</w:t>
      </w:r>
      <w:r>
        <w:rPr>
          <w:sz w:val="15"/>
          <w:szCs w:val="15"/>
          <w:color w:val="231F20"/>
          <w:spacing w:val="4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川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北医学院学报</w:t>
      </w:r>
      <w:r>
        <w:rPr>
          <w:sz w:val="15"/>
          <w:szCs w:val="15"/>
          <w:color w:val="231F20"/>
          <w:spacing w:val="6"/>
        </w:rPr>
        <w:t>,2022,37(10):1264-1267.</w:t>
      </w:r>
    </w:p>
    <w:p>
      <w:pPr>
        <w:pStyle w:val="BodyText"/>
        <w:ind w:left="674" w:right="364" w:hanging="359"/>
        <w:spacing w:before="70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[3]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潘银梅</w:t>
      </w:r>
      <w:r>
        <w:rPr>
          <w:sz w:val="15"/>
          <w:szCs w:val="15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洪志友</w:t>
      </w:r>
      <w:r>
        <w:rPr>
          <w:sz w:val="15"/>
          <w:szCs w:val="15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汪保平</w:t>
      </w:r>
      <w:r>
        <w:rPr>
          <w:sz w:val="15"/>
          <w:szCs w:val="15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等</w:t>
      </w:r>
      <w:r>
        <w:rPr>
          <w:sz w:val="15"/>
          <w:szCs w:val="15"/>
          <w:color w:val="231F20"/>
          <w:spacing w:val="7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采用</w:t>
      </w:r>
      <w:r>
        <w:rPr>
          <w:sz w:val="15"/>
          <w:szCs w:val="15"/>
          <w:color w:val="231F20"/>
        </w:rPr>
        <w:t>MSCT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征象诊断不同急性阑尾炎病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理类型的可行性</w:t>
      </w:r>
      <w:r>
        <w:rPr>
          <w:sz w:val="15"/>
          <w:szCs w:val="15"/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中国</w:t>
      </w:r>
      <w:r>
        <w:rPr>
          <w:sz w:val="15"/>
          <w:szCs w:val="15"/>
          <w:color w:val="231F20"/>
        </w:rPr>
        <w:t>CT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和</w:t>
      </w:r>
      <w:r>
        <w:rPr>
          <w:sz w:val="15"/>
          <w:szCs w:val="15"/>
          <w:color w:val="231F20"/>
        </w:rPr>
        <w:t>MRI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杂志</w:t>
      </w:r>
      <w:r>
        <w:rPr>
          <w:sz w:val="15"/>
          <w:szCs w:val="15"/>
          <w:color w:val="231F20"/>
          <w:spacing w:val="6"/>
        </w:rPr>
        <w:t>,2022,20(3):138</w:t>
      </w:r>
      <w:r>
        <w:rPr>
          <w:sz w:val="15"/>
          <w:szCs w:val="15"/>
          <w:color w:val="231F20"/>
          <w:spacing w:val="5"/>
        </w:rPr>
        <w:t>-140.</w:t>
      </w:r>
    </w:p>
    <w:p>
      <w:pPr>
        <w:pStyle w:val="BodyText"/>
        <w:ind w:left="686" w:right="364" w:hanging="371"/>
        <w:spacing w:before="71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[4]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路婧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黎新艳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杨水华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等</w:t>
      </w:r>
      <w:r>
        <w:rPr>
          <w:sz w:val="15"/>
          <w:szCs w:val="15"/>
          <w:color w:val="231F20"/>
          <w:spacing w:val="10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超声征象诊断儿童急性阑尾炎合并穿孔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的价值</w:t>
      </w:r>
      <w:r>
        <w:rPr>
          <w:sz w:val="15"/>
          <w:szCs w:val="15"/>
          <w:color w:val="231F20"/>
          <w:spacing w:val="5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广西医学</w:t>
      </w:r>
      <w:r>
        <w:rPr>
          <w:sz w:val="15"/>
          <w:szCs w:val="15"/>
          <w:color w:val="231F20"/>
          <w:spacing w:val="5"/>
        </w:rPr>
        <w:t>,2022,44(9):947-95</w:t>
      </w:r>
      <w:r>
        <w:rPr>
          <w:sz w:val="15"/>
          <w:szCs w:val="15"/>
          <w:color w:val="231F20"/>
          <w:spacing w:val="4"/>
        </w:rPr>
        <w:t>0.</w:t>
      </w:r>
    </w:p>
    <w:p>
      <w:pPr>
        <w:pStyle w:val="BodyText"/>
        <w:ind w:left="674" w:right="363" w:hanging="359"/>
        <w:spacing w:before="70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[5]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王贵波</w:t>
      </w:r>
      <w:r>
        <w:rPr>
          <w:sz w:val="15"/>
          <w:szCs w:val="15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武娜</w:t>
      </w:r>
      <w:r>
        <w:rPr>
          <w:sz w:val="15"/>
          <w:szCs w:val="15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魏红</w:t>
      </w:r>
      <w:r>
        <w:rPr>
          <w:sz w:val="15"/>
          <w:szCs w:val="15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等</w:t>
      </w:r>
      <w:r>
        <w:rPr>
          <w:sz w:val="15"/>
          <w:szCs w:val="15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血清</w:t>
      </w:r>
      <w:r>
        <w:rPr>
          <w:sz w:val="15"/>
          <w:szCs w:val="15"/>
          <w:color w:val="231F20"/>
        </w:rPr>
        <w:t>CXC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趋化因子受体</w:t>
      </w:r>
      <w:r>
        <w:rPr>
          <w:sz w:val="15"/>
          <w:szCs w:val="15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、干扰素诱导蛋白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10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水平对儿童急性阑尾炎伴穿孔的诊断价值</w:t>
      </w:r>
      <w:r>
        <w:rPr>
          <w:sz w:val="15"/>
          <w:szCs w:val="15"/>
          <w:color w:val="231F20"/>
          <w:spacing w:val="9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实用医院临床杂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志</w:t>
      </w:r>
      <w:r>
        <w:rPr>
          <w:sz w:val="15"/>
          <w:szCs w:val="15"/>
          <w:color w:val="231F20"/>
          <w:spacing w:val="5"/>
        </w:rPr>
        <w:t>,2023,20(1):27-31.</w:t>
      </w:r>
    </w:p>
    <w:p>
      <w:pPr>
        <w:pStyle w:val="BodyText"/>
        <w:ind w:left="677" w:right="364" w:hanging="362"/>
        <w:spacing w:before="71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[6]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王春国</w:t>
      </w:r>
      <w:r>
        <w:rPr>
          <w:sz w:val="15"/>
          <w:szCs w:val="15"/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李国庆</w:t>
      </w:r>
      <w:r>
        <w:rPr>
          <w:sz w:val="15"/>
          <w:szCs w:val="15"/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王国华</w:t>
      </w:r>
      <w:r>
        <w:rPr>
          <w:sz w:val="15"/>
          <w:szCs w:val="15"/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</w:rPr>
        <w:t>MSCT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在小儿急性阑尾炎中的诊断价值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5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医学影像学杂志</w:t>
      </w:r>
      <w:r>
        <w:rPr>
          <w:sz w:val="15"/>
          <w:szCs w:val="15"/>
          <w:color w:val="231F20"/>
          <w:spacing w:val="5"/>
        </w:rPr>
        <w:t>,2023,33(10):1926-1929.</w:t>
      </w:r>
    </w:p>
    <w:p>
      <w:pPr>
        <w:pStyle w:val="BodyText"/>
        <w:ind w:left="674" w:right="363" w:hanging="359"/>
        <w:spacing w:before="70" w:line="3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[7]     </w:t>
      </w:r>
      <w:r>
        <w:rPr>
          <w:sz w:val="15"/>
          <w:szCs w:val="15"/>
          <w:color w:val="231F20"/>
        </w:rPr>
        <w:t>Becker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Kharbanda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pediatric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12"/>
        </w:rPr>
        <w:t>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an </w:t>
      </w:r>
      <w:r>
        <w:rPr>
          <w:sz w:val="15"/>
          <w:szCs w:val="15"/>
          <w:color w:val="231F20"/>
        </w:rPr>
        <w:t>evidence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based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Pediatr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Emerg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Pract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2019,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16(9):1-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20.</w:t>
      </w:r>
    </w:p>
    <w:p>
      <w:pPr>
        <w:pStyle w:val="BodyText"/>
        <w:ind w:left="689" w:right="364" w:hanging="374"/>
        <w:spacing w:before="75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[8]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庞国栋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李海明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付志本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小儿急性阑尾炎坏疽的预测研究</w:t>
      </w:r>
      <w:r>
        <w:rPr>
          <w:sz w:val="15"/>
          <w:szCs w:val="15"/>
          <w:color w:val="231F20"/>
          <w:spacing w:val="8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国现代普通外科进展</w:t>
      </w:r>
      <w:r>
        <w:rPr>
          <w:sz w:val="15"/>
          <w:szCs w:val="15"/>
          <w:color w:val="231F20"/>
          <w:spacing w:val="6"/>
        </w:rPr>
        <w:t>,2023,26(2):161-163.</w:t>
      </w:r>
    </w:p>
    <w:p>
      <w:pPr>
        <w:pStyle w:val="BodyText"/>
        <w:ind w:left="675" w:right="365" w:hanging="360"/>
        <w:spacing w:before="70" w:line="3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[9]     Té</w:t>
      </w:r>
      <w:r>
        <w:rPr>
          <w:sz w:val="15"/>
          <w:szCs w:val="15"/>
          <w:color w:val="231F20"/>
        </w:rPr>
        <w:t>oule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Laffolie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Rolle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U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childhood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adulthood</w:t>
      </w:r>
      <w:r>
        <w:rPr>
          <w:sz w:val="15"/>
          <w:szCs w:val="15"/>
          <w:color w:val="231F20"/>
          <w:spacing w:val="5"/>
        </w:rPr>
        <w:t>[J]. </w:t>
      </w:r>
      <w:r>
        <w:rPr>
          <w:sz w:val="15"/>
          <w:szCs w:val="15"/>
          <w:color w:val="231F20"/>
        </w:rPr>
        <w:t>Dtsch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Arztebl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Int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2020,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117(45):764-774.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5" w:right="1" w:hanging="356"/>
        <w:spacing w:before="38" w:line="3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[10]   </w:t>
      </w:r>
      <w:r>
        <w:rPr>
          <w:sz w:val="15"/>
          <w:szCs w:val="15"/>
          <w:color w:val="231F20"/>
        </w:rPr>
        <w:t>Castro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Rinc</w:t>
      </w:r>
      <w:r>
        <w:rPr>
          <w:sz w:val="15"/>
          <w:szCs w:val="15"/>
          <w:color w:val="231F20"/>
          <w:spacing w:val="7"/>
        </w:rPr>
        <w:t>ó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7"/>
        </w:rPr>
        <w:t>Sá</w:t>
      </w:r>
      <w:r>
        <w:rPr>
          <w:sz w:val="15"/>
          <w:szCs w:val="15"/>
          <w:color w:val="231F20"/>
        </w:rPr>
        <w:t>nchez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Presurgical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time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associated </w:t>
      </w:r>
      <w:r>
        <w:rPr>
          <w:sz w:val="15"/>
          <w:szCs w:val="15"/>
          <w:color w:val="231F20"/>
          <w:spacing w:val="2"/>
        </w:rPr>
        <w:t>factors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2"/>
        </w:rPr>
        <w:t>as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predictors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acute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2"/>
        </w:rPr>
        <w:t>perforated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appendicitis: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2"/>
        </w:rPr>
        <w:t>prospecti</w:t>
      </w:r>
      <w:r>
        <w:rPr>
          <w:sz w:val="15"/>
          <w:szCs w:val="15"/>
          <w:color w:val="231F20"/>
          <w:spacing w:val="1"/>
        </w:rPr>
        <w:t>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cohort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teaching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pediatric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hospital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Colombia</w:t>
      </w:r>
      <w:r>
        <w:rPr>
          <w:sz w:val="15"/>
          <w:szCs w:val="15"/>
          <w:color w:val="231F20"/>
          <w:spacing w:val="3"/>
        </w:rPr>
        <w:t>[J].  </w:t>
      </w:r>
      <w:r>
        <w:rPr>
          <w:sz w:val="15"/>
          <w:szCs w:val="15"/>
          <w:color w:val="231F20"/>
        </w:rPr>
        <w:t>BMC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Pediatr</w:t>
      </w:r>
      <w:r>
        <w:rPr>
          <w:sz w:val="15"/>
          <w:szCs w:val="15"/>
          <w:color w:val="231F20"/>
          <w:spacing w:val="4"/>
        </w:rPr>
        <w:t>, 2022, 22(1):49.</w:t>
      </w:r>
    </w:p>
    <w:p>
      <w:pPr>
        <w:pStyle w:val="BodyText"/>
        <w:ind w:left="360" w:right="2" w:hanging="361"/>
        <w:spacing w:before="107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[11]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张金哲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潘少川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黄澄如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小儿急性阑尾炎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实用小儿外科学</w:t>
      </w:r>
      <w:r>
        <w:rPr>
          <w:sz w:val="15"/>
          <w:szCs w:val="15"/>
          <w:color w:val="231F20"/>
          <w:spacing w:val="8"/>
        </w:rPr>
        <w:t>[M].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浙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江</w:t>
      </w:r>
      <w:r>
        <w:rPr>
          <w:sz w:val="15"/>
          <w:szCs w:val="15"/>
          <w:color w:val="231F20"/>
          <w:spacing w:val="7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浙江科学技术出版社</w:t>
      </w:r>
      <w:r>
        <w:rPr>
          <w:sz w:val="15"/>
          <w:szCs w:val="15"/>
          <w:color w:val="231F20"/>
          <w:spacing w:val="7"/>
        </w:rPr>
        <w:t>,2003:783-789.</w:t>
      </w:r>
    </w:p>
    <w:p>
      <w:pPr>
        <w:pStyle w:val="BodyText"/>
        <w:ind w:left="359" w:right="2" w:hanging="359"/>
        <w:spacing w:before="63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[12]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张静</w:t>
      </w:r>
      <w:r>
        <w:rPr>
          <w:sz w:val="15"/>
          <w:szCs w:val="15"/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梁羽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陈琴</w:t>
      </w:r>
      <w:r>
        <w:rPr>
          <w:sz w:val="15"/>
          <w:szCs w:val="15"/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</w:rPr>
        <w:t>AIR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评分联合超声预测小儿急性阑尾炎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发生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坏疽穿孔</w:t>
      </w:r>
      <w:r>
        <w:rPr>
          <w:sz w:val="15"/>
          <w:szCs w:val="15"/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中国超声医学杂志</w:t>
      </w:r>
      <w:r>
        <w:rPr>
          <w:sz w:val="15"/>
          <w:szCs w:val="15"/>
          <w:color w:val="231F20"/>
          <w:spacing w:val="6"/>
        </w:rPr>
        <w:t>,2022,38(10):1161-1</w:t>
      </w:r>
      <w:r>
        <w:rPr>
          <w:sz w:val="15"/>
          <w:szCs w:val="15"/>
          <w:color w:val="231F20"/>
          <w:spacing w:val="5"/>
        </w:rPr>
        <w:t>165.</w:t>
      </w:r>
    </w:p>
    <w:p>
      <w:pPr>
        <w:pStyle w:val="BodyText"/>
        <w:ind w:left="367" w:right="2" w:hanging="367"/>
        <w:spacing w:before="71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[13]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包平倩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杨波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周易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等</w:t>
      </w:r>
      <w:r>
        <w:rPr>
          <w:sz w:val="15"/>
          <w:szCs w:val="15"/>
          <w:color w:val="231F20"/>
          <w:spacing w:val="10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不同手术方式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治疗小儿急性阑尾炎穿孔的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临床效果观察</w:t>
      </w:r>
      <w:r>
        <w:rPr>
          <w:sz w:val="15"/>
          <w:szCs w:val="15"/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实用医院临床杂志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5"/>
        </w:rPr>
        <w:t>2017,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14(6):126-127.</w:t>
      </w:r>
    </w:p>
    <w:p>
      <w:pPr>
        <w:pStyle w:val="BodyText"/>
        <w:ind w:left="357" w:right="2" w:hanging="357"/>
        <w:spacing w:before="62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[14]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陈同排</w:t>
      </w:r>
      <w:r>
        <w:rPr>
          <w:sz w:val="15"/>
          <w:szCs w:val="15"/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董淑敏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小儿急性阑尾炎误诊</w:t>
      </w:r>
      <w:r>
        <w:rPr>
          <w:sz w:val="15"/>
          <w:szCs w:val="15"/>
          <w:color w:val="231F20"/>
          <w:spacing w:val="9"/>
        </w:rPr>
        <w:t>18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例临床分析</w:t>
      </w:r>
      <w:r>
        <w:rPr>
          <w:sz w:val="15"/>
          <w:szCs w:val="15"/>
          <w:color w:val="231F20"/>
          <w:spacing w:val="9"/>
        </w:rPr>
        <w:t>[</w:t>
      </w:r>
      <w:r>
        <w:rPr>
          <w:sz w:val="15"/>
          <w:szCs w:val="15"/>
          <w:color w:val="231F20"/>
          <w:spacing w:val="8"/>
        </w:rPr>
        <w:t>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临床误诊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误治</w:t>
      </w:r>
      <w:r>
        <w:rPr>
          <w:sz w:val="15"/>
          <w:szCs w:val="15"/>
          <w:color w:val="231F20"/>
          <w:spacing w:val="5"/>
        </w:rPr>
        <w:t>,2020,33(6):9-12.</w:t>
      </w:r>
    </w:p>
    <w:p>
      <w:pPr>
        <w:pStyle w:val="BodyText"/>
        <w:ind w:left="359" w:hanging="359"/>
        <w:spacing w:before="69" w:line="3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[15]   </w:t>
      </w:r>
      <w:r>
        <w:rPr>
          <w:sz w:val="15"/>
          <w:szCs w:val="15"/>
          <w:color w:val="231F20"/>
        </w:rPr>
        <w:t>Hansen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GL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Kleif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Jakobsen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4"/>
        </w:rPr>
        <w:t>, 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</w:t>
      </w:r>
      <w:r>
        <w:rPr>
          <w:sz w:val="15"/>
          <w:szCs w:val="15"/>
          <w:color w:val="231F20"/>
        </w:rPr>
        <w:t>Changes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incidence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4"/>
        </w:rPr>
        <w:t>management  of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4"/>
        </w:rPr>
        <w:t>acute  appendicitis  in  chil</w:t>
      </w:r>
      <w:r>
        <w:rPr>
          <w:sz w:val="15"/>
          <w:szCs w:val="15"/>
          <w:color w:val="231F20"/>
          <w:spacing w:val="3"/>
        </w:rPr>
        <w:t>dren-a  population-based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period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2000-2015[J].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Pediatr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2021,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31(4):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347-352.</w:t>
      </w:r>
    </w:p>
    <w:p>
      <w:pPr>
        <w:pStyle w:val="BodyText"/>
        <w:ind w:left="355" w:right="1" w:hanging="356"/>
        <w:spacing w:before="78" w:line="3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[16]   O′</w:t>
      </w:r>
      <w:r>
        <w:rPr>
          <w:sz w:val="15"/>
          <w:szCs w:val="15"/>
          <w:color w:val="231F20"/>
        </w:rPr>
        <w:t>Connell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JL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Romano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MM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Campos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Pulici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EC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Short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>term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long-term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models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doxorubicin-induced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cardi</w:t>
      </w:r>
      <w:r>
        <w:rPr>
          <w:sz w:val="15"/>
          <w:szCs w:val="15"/>
          <w:color w:val="231F20"/>
          <w:spacing w:val="2"/>
        </w:rPr>
        <w:t>omyopathy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rats: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</w:rPr>
        <w:t>functional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histopathological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changes</w:t>
      </w:r>
      <w:r>
        <w:rPr>
          <w:sz w:val="15"/>
          <w:szCs w:val="15"/>
          <w:color w:val="231F20"/>
          <w:spacing w:val="6"/>
        </w:rPr>
        <w:t>[J].   </w:t>
      </w:r>
      <w:r>
        <w:rPr>
          <w:sz w:val="15"/>
          <w:szCs w:val="15"/>
          <w:color w:val="231F20"/>
        </w:rPr>
        <w:t>Exp </w:t>
      </w:r>
      <w:r>
        <w:rPr>
          <w:sz w:val="15"/>
          <w:szCs w:val="15"/>
          <w:color w:val="231F20"/>
        </w:rPr>
        <w:t>Toxicol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Pathol</w:t>
      </w:r>
      <w:r>
        <w:rPr>
          <w:sz w:val="15"/>
          <w:szCs w:val="15"/>
          <w:color w:val="231F20"/>
          <w:spacing w:val="5"/>
        </w:rPr>
        <w:t>, 2017, 69(4):213-219.</w:t>
      </w:r>
    </w:p>
    <w:p>
      <w:pPr>
        <w:pStyle w:val="BodyText"/>
        <w:ind w:left="357" w:hanging="358"/>
        <w:spacing w:before="107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[17]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郭晓亚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杨恒丽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李菁华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高频超声及超声造影引导内镜治疗小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>儿粪石所致化脓性阑尾炎的临床价值</w:t>
      </w:r>
      <w:r>
        <w:rPr>
          <w:sz w:val="15"/>
          <w:szCs w:val="15"/>
          <w:color w:val="231F20"/>
          <w:spacing w:val="16"/>
        </w:rPr>
        <w:t>[J].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>临床超声医学杂志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2024,26(7):564-568.</w:t>
      </w:r>
    </w:p>
    <w:p>
      <w:pPr>
        <w:pStyle w:val="BodyText"/>
        <w:ind w:left="357" w:hanging="357"/>
        <w:spacing w:before="106" w:line="3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[18]   </w:t>
      </w:r>
      <w:r>
        <w:rPr>
          <w:sz w:val="15"/>
          <w:szCs w:val="15"/>
          <w:color w:val="231F20"/>
        </w:rPr>
        <w:t>Bonadio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Peloquin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Brazg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preschool </w:t>
      </w:r>
      <w:r>
        <w:rPr>
          <w:sz w:val="15"/>
          <w:szCs w:val="15"/>
          <w:color w:val="231F20"/>
          <w:spacing w:val="2"/>
        </w:rPr>
        <w:t>aged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children: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Regression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analysis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 fact</w:t>
      </w:r>
      <w:r>
        <w:rPr>
          <w:sz w:val="15"/>
          <w:szCs w:val="15"/>
          <w:color w:val="231F20"/>
          <w:spacing w:val="1"/>
        </w:rPr>
        <w:t>ors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associated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with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perfora⁃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outcome</w:t>
      </w:r>
      <w:r>
        <w:rPr>
          <w:sz w:val="15"/>
          <w:szCs w:val="15"/>
          <w:color w:val="231F20"/>
          <w:spacing w:val="5"/>
        </w:rPr>
        <w:t>[J].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Pediatr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5"/>
        </w:rPr>
        <w:t>, 2015,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5"/>
        </w:rPr>
        <w:t>50(9):1569-1573.</w:t>
      </w:r>
    </w:p>
    <w:p>
      <w:pPr>
        <w:pStyle w:val="BodyText"/>
        <w:ind w:left="360" w:hanging="360"/>
        <w:spacing w:before="107" w:line="3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[19]   </w:t>
      </w:r>
      <w:r>
        <w:rPr>
          <w:sz w:val="15"/>
          <w:szCs w:val="15"/>
          <w:color w:val="231F20"/>
        </w:rPr>
        <w:t>Drapkin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Dunnick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Madsen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TE</w:t>
      </w:r>
      <w:r>
        <w:rPr>
          <w:sz w:val="15"/>
          <w:szCs w:val="15"/>
          <w:color w:val="231F20"/>
          <w:spacing w:val="9"/>
        </w:rPr>
        <w:t>,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Pediatric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9"/>
        </w:rPr>
        <w:t>: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asso</w:t>
      </w:r>
      <w:r>
        <w:rPr>
          <w:sz w:val="15"/>
          <w:szCs w:val="15"/>
          <w:color w:val="231F20"/>
          <w:spacing w:val="9"/>
        </w:rPr>
        <w:t>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ciation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of chief complaint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missed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appendicitis[J].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Pediatr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2"/>
        </w:rPr>
        <w:t>Eme</w:t>
      </w:r>
      <w:r>
        <w:rPr>
          <w:sz w:val="15"/>
          <w:szCs w:val="15"/>
          <w:color w:val="231F20"/>
          <w:spacing w:val="1"/>
        </w:rPr>
        <w:t>rg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Care</w:t>
      </w:r>
      <w:r>
        <w:rPr>
          <w:sz w:val="15"/>
          <w:szCs w:val="15"/>
          <w:color w:val="231F20"/>
          <w:spacing w:val="5"/>
        </w:rPr>
        <w:t>, 2020, 36(4):e204-e207.</w:t>
      </w:r>
    </w:p>
    <w:p>
      <w:pPr>
        <w:pStyle w:val="BodyText"/>
        <w:ind w:left="355" w:right="1" w:hanging="356"/>
        <w:spacing w:before="106" w:line="3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[20]   </w:t>
      </w:r>
      <w:r>
        <w:rPr>
          <w:sz w:val="15"/>
          <w:szCs w:val="15"/>
          <w:color w:val="231F20"/>
        </w:rPr>
        <w:t>Miyauchi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Okata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Hatakeyama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predictive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perforated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children</w:t>
      </w:r>
      <w:r>
        <w:rPr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Pediatr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Int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10"/>
        </w:rPr>
        <w:t>2020, 62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(6):711-715.</w:t>
      </w:r>
    </w:p>
    <w:p>
      <w:pPr>
        <w:pStyle w:val="BodyText"/>
        <w:ind w:left="357" w:right="4" w:hanging="358"/>
        <w:spacing w:before="107" w:line="3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[21]   </w:t>
      </w:r>
      <w:r>
        <w:rPr>
          <w:sz w:val="15"/>
          <w:szCs w:val="15"/>
          <w:color w:val="231F20"/>
        </w:rPr>
        <w:t>Do</w:t>
      </w:r>
      <w:r>
        <w:rPr>
          <w:sz w:val="15"/>
          <w:szCs w:val="15"/>
          <w:color w:val="231F20"/>
          <w:spacing w:val="1"/>
        </w:rPr>
        <w:t>ğ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Gü</w:t>
      </w:r>
      <w:r>
        <w:rPr>
          <w:sz w:val="15"/>
          <w:szCs w:val="15"/>
          <w:color w:val="231F20"/>
        </w:rPr>
        <w:t>rleyen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role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immature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granulocyte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early </w:t>
      </w:r>
      <w:r>
        <w:rPr>
          <w:sz w:val="15"/>
          <w:szCs w:val="15"/>
          <w:color w:val="231F20"/>
          <w:spacing w:val="2"/>
        </w:rPr>
        <w:t>prediction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2"/>
        </w:rPr>
        <w:t>of  acute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perforated   and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nonperforated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appendicitis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children</w:t>
      </w:r>
      <w:r>
        <w:rPr>
          <w:sz w:val="15"/>
          <w:szCs w:val="15"/>
          <w:color w:val="231F20"/>
          <w:spacing w:val="6"/>
        </w:rPr>
        <w:t>[J]. </w:t>
      </w:r>
      <w:r>
        <w:rPr>
          <w:sz w:val="15"/>
          <w:szCs w:val="15"/>
          <w:color w:val="231F20"/>
        </w:rPr>
        <w:t>Ulus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Travma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Acil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Cerrahi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Derg</w:t>
      </w:r>
      <w:r>
        <w:rPr>
          <w:sz w:val="15"/>
          <w:szCs w:val="15"/>
          <w:color w:val="231F20"/>
          <w:spacing w:val="6"/>
        </w:rPr>
        <w:t>, 2022,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6"/>
        </w:rPr>
        <w:t>28(3):375-381.</w:t>
      </w:r>
    </w:p>
    <w:p>
      <w:pPr>
        <w:pStyle w:val="BodyText"/>
        <w:ind w:left="370" w:right="2" w:hanging="371"/>
        <w:spacing w:before="107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[22]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贾珊珊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王晓川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张基勋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等</w:t>
      </w:r>
      <w:r>
        <w:rPr>
          <w:sz w:val="15"/>
          <w:szCs w:val="15"/>
          <w:color w:val="231F20"/>
          <w:spacing w:val="10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炎症标志物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对临床深部胸骨切口感染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的早期辅助诊断价值</w:t>
      </w:r>
      <w:r>
        <w:rPr>
          <w:sz w:val="15"/>
          <w:szCs w:val="15"/>
          <w:color w:val="231F20"/>
          <w:spacing w:val="2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感染、炎症、修复</w:t>
      </w:r>
      <w:r>
        <w:rPr>
          <w:sz w:val="15"/>
          <w:szCs w:val="15"/>
          <w:color w:val="231F20"/>
          <w:spacing w:val="2"/>
        </w:rPr>
        <w:t>,2022,23(2):79-84.</w:t>
      </w:r>
    </w:p>
    <w:p>
      <w:pPr>
        <w:pStyle w:val="BodyText"/>
        <w:ind w:left="357" w:right="2" w:hanging="357"/>
        <w:spacing w:before="70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[23]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丁志丽</w:t>
      </w:r>
      <w:r>
        <w:rPr>
          <w:sz w:val="15"/>
          <w:szCs w:val="15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包景峰</w:t>
      </w:r>
      <w:r>
        <w:rPr>
          <w:sz w:val="15"/>
          <w:szCs w:val="15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孙海亮</w:t>
      </w:r>
      <w:r>
        <w:rPr>
          <w:sz w:val="15"/>
          <w:szCs w:val="15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等</w:t>
      </w:r>
      <w:r>
        <w:rPr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</w:rPr>
        <w:t>Alvarado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评分与</w:t>
      </w:r>
      <w:r>
        <w:rPr>
          <w:sz w:val="15"/>
          <w:szCs w:val="15"/>
          <w:color w:val="231F20"/>
          <w:spacing w:val="7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反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应蛋白、中性粒细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胞淋巴细胞比值对小儿穿孔性阑尾炎诊断价值的研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究</w:t>
      </w:r>
      <w:r>
        <w:rPr>
          <w:sz w:val="15"/>
          <w:szCs w:val="15"/>
          <w:color w:val="231F20"/>
          <w:spacing w:val="9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临床小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儿外科杂志</w:t>
      </w:r>
      <w:r>
        <w:rPr>
          <w:sz w:val="15"/>
          <w:szCs w:val="15"/>
          <w:color w:val="231F20"/>
          <w:spacing w:val="6"/>
        </w:rPr>
        <w:t>,2023,22(11):1060-1064.</w:t>
      </w:r>
    </w:p>
    <w:p>
      <w:pPr>
        <w:pStyle w:val="BodyText"/>
        <w:ind w:left="359" w:hanging="359"/>
        <w:spacing w:before="70" w:line="3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[24]   </w:t>
      </w:r>
      <w:r>
        <w:rPr>
          <w:sz w:val="15"/>
          <w:szCs w:val="15"/>
          <w:color w:val="231F20"/>
        </w:rPr>
        <w:t>Bhaskar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Clarke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Moore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LSP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Bacterial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peritonitis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paedi</w:t>
      </w:r>
      <w:r>
        <w:rPr>
          <w:sz w:val="15"/>
          <w:szCs w:val="15"/>
          <w:color w:val="231F20"/>
          <w:spacing w:val="5"/>
        </w:rPr>
        <w:t>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atric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appendicitis;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2"/>
        </w:rPr>
        <w:t>microbial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epidemiology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antimicrobia</w:t>
      </w:r>
      <w:r>
        <w:rPr>
          <w:sz w:val="15"/>
          <w:szCs w:val="15"/>
          <w:color w:val="231F20"/>
          <w:spacing w:val="1"/>
        </w:rPr>
        <w:t>l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manage⁃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ment</w:t>
      </w:r>
      <w:r>
        <w:rPr>
          <w:sz w:val="15"/>
          <w:szCs w:val="15"/>
          <w:color w:val="231F20"/>
          <w:spacing w:val="3"/>
        </w:rPr>
        <w:t>[J]. </w:t>
      </w:r>
      <w:r>
        <w:rPr>
          <w:sz w:val="15"/>
          <w:szCs w:val="15"/>
          <w:color w:val="231F20"/>
        </w:rPr>
        <w:t>Ann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Microbiol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Antimicrob</w:t>
      </w:r>
      <w:r>
        <w:rPr>
          <w:sz w:val="15"/>
          <w:szCs w:val="15"/>
          <w:color w:val="231F20"/>
          <w:spacing w:val="3"/>
        </w:rPr>
        <w:t>, 2023, 22(1):45.</w:t>
      </w:r>
    </w:p>
    <w:p>
      <w:pPr>
        <w:pStyle w:val="BodyText"/>
        <w:ind w:left="360" w:hanging="360"/>
        <w:spacing w:before="106" w:line="3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[25]   </w:t>
      </w:r>
      <w:r>
        <w:rPr>
          <w:sz w:val="15"/>
          <w:szCs w:val="15"/>
          <w:color w:val="231F20"/>
        </w:rPr>
        <w:t>Banerjee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</w:rPr>
        <w:t>Ratan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SK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Neogi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Role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ultrasonography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2"/>
        </w:rPr>
        <w:t>inflammatory  markers  in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predicting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2"/>
        </w:rPr>
        <w:t>complicated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2"/>
        </w:rPr>
        <w:t>appendicitis[J].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Indian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Assoc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Pediatr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7"/>
        </w:rPr>
        <w:t>, 2022,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7"/>
        </w:rPr>
        <w:t>27(4):448-4</w:t>
      </w:r>
      <w:r>
        <w:rPr>
          <w:sz w:val="15"/>
          <w:szCs w:val="15"/>
          <w:color w:val="231F20"/>
          <w:spacing w:val="6"/>
        </w:rPr>
        <w:t>54.</w:t>
      </w:r>
    </w:p>
    <w:p>
      <w:pPr>
        <w:pStyle w:val="BodyText"/>
        <w:ind w:left="360" w:right="2" w:hanging="360"/>
        <w:spacing w:before="108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[26]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潘晓潭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零春润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邓洪强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等</w:t>
      </w:r>
      <w:r>
        <w:rPr>
          <w:sz w:val="15"/>
          <w:szCs w:val="15"/>
          <w:color w:val="231F20"/>
          <w:spacing w:val="10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术前炎症指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标与小儿急性阑尾炎诊治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策略的相关性研究</w:t>
      </w:r>
      <w:r>
        <w:rPr>
          <w:sz w:val="15"/>
          <w:szCs w:val="15"/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临床小儿外科杂志</w:t>
      </w:r>
      <w:r>
        <w:rPr>
          <w:sz w:val="15"/>
          <w:szCs w:val="15"/>
          <w:color w:val="231F20"/>
          <w:spacing w:val="6"/>
        </w:rPr>
        <w:t>,2023,22(9):871-875.</w:t>
      </w:r>
    </w:p>
    <w:p>
      <w:pPr>
        <w:pStyle w:val="BodyText"/>
        <w:ind w:right="1"/>
        <w:spacing w:before="62" w:line="204" w:lineRule="exact"/>
        <w:jc w:val="right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7"/>
          <w:position w:val="1"/>
        </w:rPr>
        <w:t>收稿日期：</w:t>
      </w:r>
      <w:r>
        <w:rPr>
          <w:sz w:val="15"/>
          <w:szCs w:val="15"/>
          <w:color w:val="231F20"/>
          <w:spacing w:val="7"/>
          <w:position w:val="1"/>
        </w:rPr>
        <w:t>2024-06-13    </w:t>
      </w:r>
      <w:r>
        <w:rPr>
          <w:sz w:val="15"/>
          <w:szCs w:val="15"/>
          <w:color w:val="231F20"/>
          <w:spacing w:val="6"/>
          <w:position w:val="1"/>
        </w:rPr>
        <w:t xml:space="preserve">            </w:t>
      </w:r>
      <w:r>
        <w:rPr>
          <w:rFonts w:ascii="SimHei" w:hAnsi="SimHei" w:eastAsia="SimHei" w:cs="SimHei"/>
          <w:sz w:val="15"/>
          <w:szCs w:val="15"/>
          <w:color w:val="231F20"/>
          <w:spacing w:val="6"/>
          <w:position w:val="1"/>
        </w:rPr>
        <w:t>修回日期：</w:t>
      </w:r>
      <w:r>
        <w:rPr>
          <w:sz w:val="15"/>
          <w:szCs w:val="15"/>
          <w:color w:val="231F20"/>
          <w:spacing w:val="6"/>
          <w:position w:val="1"/>
        </w:rPr>
        <w:t>2024-11-01</w:t>
      </w:r>
    </w:p>
    <w:sectPr>
      <w:type w:val="continuous"/>
      <w:pgSz w:w="11623" w:h="16158"/>
      <w:pgMar w:top="895" w:right="921" w:bottom="692" w:left="424" w:header="463" w:footer="427" w:gutter="0"/>
      <w:cols w:equalWidth="0" w:num="2">
        <w:col w:w="5427" w:space="100"/>
        <w:col w:w="475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8"/>
      <w:spacing w:before="1" w:line="209" w:lineRule="auto"/>
      <w:rPr>
        <w:rFonts w:ascii="Microsoft YaHei" w:hAnsi="Microsoft YaHei" w:eastAsia="Microsoft YaHei" w:cs="Microsoft YaHei"/>
        <w:sz w:val="17"/>
        <w:szCs w:val="17"/>
      </w:rPr>
    </w:pPr>
    <w:r>
      <w:rPr>
        <w:rFonts w:ascii="Microsoft YaHei" w:hAnsi="Microsoft YaHei" w:eastAsia="Microsoft YaHei" w:cs="Microsoft YaHei"/>
        <w:sz w:val="17"/>
        <w:szCs w:val="17"/>
        <w:color w:val="231F20"/>
        <w:spacing w:val="10"/>
      </w:rPr>
      <w:t>·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43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0"/>
      </w:rPr>
      <w:t>1610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21"/>
        <w:w w:val="101"/>
      </w:rPr>
      <w:t xml:space="preserve">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0"/>
      </w:rPr>
      <w:t>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0" w:lineRule="auto"/>
      <w:jc w:val="right"/>
      <w:rPr>
        <w:rFonts w:ascii="Microsoft YaHei" w:hAnsi="Microsoft YaHei" w:eastAsia="Microsoft YaHei" w:cs="Microsoft YaHei"/>
      </w:rPr>
    </w:pPr>
    <w:r>
      <w:rPr>
        <w:rFonts w:ascii="Microsoft YaHei" w:hAnsi="Microsoft YaHei" w:eastAsia="Microsoft YaHei" w:cs="Microsoft YaHei"/>
        <w:color w:val="231F20"/>
        <w:spacing w:val="20"/>
      </w:rPr>
      <w:t>·</w:t>
    </w:r>
    <w:r>
      <w:rPr>
        <w:rFonts w:ascii="Microsoft YaHei" w:hAnsi="Microsoft YaHei" w:eastAsia="Microsoft YaHei" w:cs="Microsoft YaHei"/>
        <w:color w:val="231F20"/>
        <w:spacing w:val="42"/>
      </w:rPr>
      <w:t xml:space="preserve"> </w:t>
    </w:r>
    <w:r>
      <w:rPr>
        <w:color w:val="231F20"/>
        <w:spacing w:val="20"/>
      </w:rPr>
      <w:t>1611</w:t>
    </w:r>
    <w:r>
      <w:rPr>
        <w:color w:val="231F20"/>
        <w:spacing w:val="5"/>
      </w:rPr>
      <w:t xml:space="preserve">   </w:t>
    </w:r>
    <w:r>
      <w:rPr>
        <w:rFonts w:ascii="Microsoft YaHei" w:hAnsi="Microsoft YaHei" w:eastAsia="Microsoft YaHei" w:cs="Microsoft YaHei"/>
        <w:color w:val="231F20"/>
        <w:spacing w:val="20"/>
      </w:rPr>
      <w:t>·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8"/>
      <w:spacing w:line="210" w:lineRule="auto"/>
      <w:rPr>
        <w:rFonts w:ascii="Microsoft YaHei" w:hAnsi="Microsoft YaHei" w:eastAsia="Microsoft YaHei" w:cs="Microsoft YaHei"/>
      </w:rPr>
    </w:pPr>
    <w:r>
      <w:rPr>
        <w:rFonts w:ascii="Microsoft YaHei" w:hAnsi="Microsoft YaHei" w:eastAsia="Microsoft YaHei" w:cs="Microsoft YaHei"/>
        <w:color w:val="231F20"/>
        <w:spacing w:val="20"/>
      </w:rPr>
      <w:t>·</w:t>
    </w:r>
    <w:r>
      <w:rPr>
        <w:rFonts w:ascii="Microsoft YaHei" w:hAnsi="Microsoft YaHei" w:eastAsia="Microsoft YaHei" w:cs="Microsoft YaHei"/>
        <w:color w:val="231F20"/>
        <w:spacing w:val="42"/>
      </w:rPr>
      <w:t xml:space="preserve"> </w:t>
    </w:r>
    <w:r>
      <w:rPr>
        <w:color w:val="231F20"/>
        <w:spacing w:val="20"/>
      </w:rPr>
      <w:t>1612</w:t>
    </w:r>
    <w:r>
      <w:rPr>
        <w:color w:val="231F20"/>
        <w:spacing w:val="5"/>
      </w:rPr>
      <w:t xml:space="preserve">   </w:t>
    </w:r>
    <w:r>
      <w:rPr>
        <w:rFonts w:ascii="Microsoft YaHei" w:hAnsi="Microsoft YaHei" w:eastAsia="Microsoft YaHei" w:cs="Microsoft YaHei"/>
        <w:color w:val="231F20"/>
        <w:spacing w:val="20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3"/>
      <w:spacing w:before="167" w:line="198" w:lineRule="auto"/>
      <w:tabs>
        <w:tab w:val="left" w:pos="2251"/>
      </w:tabs>
      <w:rPr>
        <w:rFonts w:ascii="Microsoft YaHei" w:hAnsi="Microsoft YaHei" w:eastAsia="Microsoft YaHei" w:cs="Microsoft YaHei"/>
        <w:sz w:val="13"/>
        <w:szCs w:val="13"/>
      </w:rPr>
    </w:pPr>
    <w:r>
      <w:pict>
        <v:shape id="WordPictureWatermark2" style="position:absolute;margin-left:21.2pt;margin-top:777.674pt;mso-position-vertical-relative:page;mso-position-horizontal-relative:page;width:168.95pt;height:12.5pt;z-index:251659264;" o:allowincell="f" filled="false" stroked="false" type="#_x0000_t75">
          <v:imagedata o:title="" r:id="rId1"/>
        </v:shape>
      </w:pict>
    </w:r>
    <w:r>
      <w:pict>
        <v:shape id="_x0000_s4" style="position:absolute;margin-left:14.5301pt;margin-top:0.34815pt;mso-position-vertical-relative:text;mso-position-horizontal-relative:text;width:33.95pt;height:26.1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7" w:lineRule="auto"/>
                  <w:rPr>
                    <w:rFonts w:ascii="Microsoft YaHei" w:hAnsi="Microsoft YaHei" w:eastAsia="Microsoft YaHei" w:cs="Microsoft YaHei"/>
                    <w:sz w:val="31"/>
                    <w:szCs w:val="31"/>
                  </w:rPr>
                </w:pPr>
                <w:r>
                  <w:rPr>
                    <w:rFonts w:ascii="Microsoft YaHei" w:hAnsi="Microsoft YaHei" w:eastAsia="Microsoft YaHei" w:cs="Microsoft YaHei"/>
                    <w:sz w:val="31"/>
                    <w:szCs w:val="31"/>
                    <w:spacing w:val="9"/>
                  </w:rPr>
                  <w:t>论著</w:t>
                </w:r>
              </w:p>
            </w:txbxContent>
          </v:textbox>
        </v:shape>
      </w:pict>
    </w:r>
    <w:r>
      <w:pict>
        <v:shape id="_x0000_s6" style="position:absolute;margin-left:50.4481pt;margin-top:7.9488pt;mso-position-vertical-relative:text;mso-position-horizontal-relative:text;width:54.15pt;height:12.3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6" w:lineRule="auto"/>
                  <w:rPr>
                    <w:rFonts w:ascii="Microsoft YaHei" w:hAnsi="Microsoft YaHei" w:eastAsia="Microsoft YaHei" w:cs="Microsoft YaHei"/>
                    <w:sz w:val="14"/>
                    <w:szCs w:val="14"/>
                  </w:rPr>
                </w:pPr>
                <w:r>
                  <w:rPr>
                    <w:shd w:val="clear" w:fill="E6E7E9"/>
                    <w:rFonts w:ascii="Microsoft YaHei" w:hAnsi="Microsoft YaHei" w:eastAsia="Microsoft YaHei" w:cs="Microsoft YaHei"/>
                    <w:sz w:val="14"/>
                    <w:szCs w:val="14"/>
                    <w:position w:val="-2"/>
                  </w:rPr>
                  <w:drawing>
                    <wp:inline distT="0" distB="0" distL="0" distR="0">
                      <wp:extent cx="67848" cy="99704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67848" cy="9970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hd w:val="clear" w:fill="E6E7E9"/>
                    <w:rFonts w:ascii="Microsoft YaHei" w:hAnsi="Microsoft YaHei" w:eastAsia="Microsoft YaHei" w:cs="Microsoft YaHei"/>
                    <w:sz w:val="14"/>
                    <w:szCs w:val="14"/>
                    <w:spacing w:val="35"/>
                  </w:rPr>
                  <w:t xml:space="preserve"> </w:t>
                </w:r>
                <w:r>
                  <w:rPr>
                    <w:shd w:val="clear" w:fill="E6E7E9"/>
                    <w:rFonts w:ascii="Microsoft YaHei" w:hAnsi="Microsoft YaHei" w:eastAsia="Microsoft YaHei" w:cs="Microsoft YaHei"/>
                    <w:sz w:val="14"/>
                    <w:szCs w:val="14"/>
                    <w:spacing w:val="3"/>
                  </w:rPr>
                  <w:t>临床急诊急救</w:t>
                </w:r>
              </w:p>
            </w:txbxContent>
          </v:textbox>
        </v:shape>
      </w:pict>
    </w:r>
    <w:r>
      <w:pict>
        <v:shape id="_x0000_s8" style="position:absolute;margin-left:129.501pt;margin-top:32.8101pt;mso-position-vertical-relative:page;mso-position-horizontal-relative:page;width:2pt;height:7.9pt;z-index:-251658240;" o:allowincell="f" filled="false" strokecolor="#231F20" strokeweight="0.14pt" coordsize="40,158" coordorigin="0,0" path="m1,0l37,157e">
          <v:stroke joinstyle="miter" miterlimit="4"/>
        </v:shape>
      </w:pic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</w:rPr>
      <w:tab/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中国急救复苏与灾害医学杂志   2024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5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年 12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5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月 第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19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7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卷  第 12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期   Chin J Emerg Resusc Disaster Med, December      2024, Vol.19 No.12 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5"/>
      </w:rPr>
      <w:t xml:space="preserve">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21.2pt;margin-top:777.674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3"/>
      <w:spacing w:before="167" w:line="198" w:lineRule="auto"/>
      <w:tabs>
        <w:tab w:val="left" w:pos="2251"/>
      </w:tabs>
      <w:rPr>
        <w:rFonts w:ascii="Microsoft YaHei" w:hAnsi="Microsoft YaHei" w:eastAsia="Microsoft YaHei" w:cs="Microsoft YaHei"/>
        <w:sz w:val="13"/>
        <w:szCs w:val="13"/>
      </w:rPr>
    </w:pPr>
    <w:r>
      <w:pict>
        <v:shape id="WordPictureWatermark12" style="position:absolute;margin-left:21.2pt;margin-top:777.674pt;mso-position-vertical-relative:page;mso-position-horizontal-relative:page;width:168.95pt;height:12.5pt;z-index:251667456;" o:allowincell="f" filled="false" stroked="false" type="#_x0000_t75">
          <v:imagedata o:title="" r:id="rId1"/>
        </v:shape>
      </w:pict>
    </w:r>
    <w:r>
      <w:pict>
        <v:shape id="_x0000_s14" style="position:absolute;margin-left:14.5301pt;margin-top:0.34815pt;mso-position-vertical-relative:text;mso-position-horizontal-relative:text;width:33.95pt;height:26.1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7" w:lineRule="auto"/>
                  <w:rPr>
                    <w:rFonts w:ascii="Microsoft YaHei" w:hAnsi="Microsoft YaHei" w:eastAsia="Microsoft YaHei" w:cs="Microsoft YaHei"/>
                    <w:sz w:val="31"/>
                    <w:szCs w:val="31"/>
                  </w:rPr>
                </w:pPr>
                <w:r>
                  <w:rPr>
                    <w:rFonts w:ascii="Microsoft YaHei" w:hAnsi="Microsoft YaHei" w:eastAsia="Microsoft YaHei" w:cs="Microsoft YaHei"/>
                    <w:sz w:val="31"/>
                    <w:szCs w:val="31"/>
                    <w:spacing w:val="9"/>
                  </w:rPr>
                  <w:t>论著</w:t>
                </w:r>
              </w:p>
            </w:txbxContent>
          </v:textbox>
        </v:shape>
      </w:pict>
    </w:r>
    <w:r>
      <w:pict>
        <v:shape id="_x0000_s16" style="position:absolute;margin-left:50.4481pt;margin-top:7.9488pt;mso-position-vertical-relative:text;mso-position-horizontal-relative:text;width:54.15pt;height:12.3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6" w:lineRule="auto"/>
                  <w:rPr>
                    <w:rFonts w:ascii="Microsoft YaHei" w:hAnsi="Microsoft YaHei" w:eastAsia="Microsoft YaHei" w:cs="Microsoft YaHei"/>
                    <w:sz w:val="14"/>
                    <w:szCs w:val="14"/>
                  </w:rPr>
                </w:pPr>
                <w:r>
                  <w:rPr>
                    <w:shd w:val="clear" w:fill="E6E7E9"/>
                    <w:rFonts w:ascii="Microsoft YaHei" w:hAnsi="Microsoft YaHei" w:eastAsia="Microsoft YaHei" w:cs="Microsoft YaHei"/>
                    <w:sz w:val="14"/>
                    <w:szCs w:val="14"/>
                    <w:position w:val="-2"/>
                  </w:rPr>
                  <w:drawing>
                    <wp:inline distT="0" distB="0" distL="0" distR="0">
                      <wp:extent cx="67848" cy="99704"/>
                      <wp:effectExtent l="0" t="0" r="0" b="0"/>
                      <wp:docPr id="4" name="IM 4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4" name="IM 4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67848" cy="9970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hd w:val="clear" w:fill="E6E7E9"/>
                    <w:rFonts w:ascii="Microsoft YaHei" w:hAnsi="Microsoft YaHei" w:eastAsia="Microsoft YaHei" w:cs="Microsoft YaHei"/>
                    <w:sz w:val="14"/>
                    <w:szCs w:val="14"/>
                    <w:spacing w:val="35"/>
                  </w:rPr>
                  <w:t xml:space="preserve"> </w:t>
                </w:r>
                <w:r>
                  <w:rPr>
                    <w:shd w:val="clear" w:fill="E6E7E9"/>
                    <w:rFonts w:ascii="Microsoft YaHei" w:hAnsi="Microsoft YaHei" w:eastAsia="Microsoft YaHei" w:cs="Microsoft YaHei"/>
                    <w:sz w:val="14"/>
                    <w:szCs w:val="14"/>
                    <w:spacing w:val="3"/>
                  </w:rPr>
                  <w:t>临床急诊急救</w:t>
                </w:r>
              </w:p>
            </w:txbxContent>
          </v:textbox>
        </v:shape>
      </w:pict>
    </w:r>
    <w:r>
      <w:pict>
        <v:shape id="_x0000_s18" style="position:absolute;margin-left:129.501pt;margin-top:32.8101pt;mso-position-vertical-relative:page;mso-position-horizontal-relative:page;width:2pt;height:7.9pt;z-index:-251650048;" o:allowincell="f" filled="false" strokecolor="#231F20" strokeweight="0.14pt" coordsize="40,158" coordorigin="0,0" path="m1,0l37,157e">
          <v:stroke joinstyle="miter" miterlimit="4"/>
        </v:shape>
      </w:pic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</w:rPr>
      <w:tab/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中国急救复苏与灾害医学杂志   2024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5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年 12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5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月 第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19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7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卷  第 12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期   Chin J Emerg Resusc Disaster Med, December      2024, Vol.19 No.12 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5"/>
      </w:rPr>
      <w:t xml:space="preserve">          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2024-12-23T20:53:14Z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2025-10-28T21:32:39</vt:filetime>
  </property>
</Properties>
</file>