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26" w:lineRule="auto"/>
        <w:rPr>
          <w:rFonts w:ascii="Arial"/>
          <w:sz w:val="21"/>
        </w:rPr>
      </w:pPr>
      <w:r/>
    </w:p>
    <w:p>
      <w:pPr>
        <w:spacing w:before="51" w:line="206" w:lineRule="auto"/>
        <w:jc w:val="right"/>
        <w:rPr>
          <w:rFonts w:ascii="Microsoft YaHei" w:hAnsi="Microsoft YaHei" w:eastAsia="Microsoft YaHei" w:cs="Microsoft YaHei"/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color w:val="7C7E81"/>
          <w:spacing w:val="18"/>
        </w:rPr>
        <w:t>婚育与健康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25" w:lineRule="auto"/>
        <w:rPr>
          <w:rFonts w:ascii="Arial"/>
          <w:sz w:val="21"/>
        </w:rPr>
      </w:pPr>
      <w:r/>
    </w:p>
    <w:p>
      <w:pPr>
        <w:spacing w:before="52" w:line="200" w:lineRule="auto"/>
        <w:rPr>
          <w:rFonts w:ascii="Microsoft YaHei" w:hAnsi="Microsoft YaHei" w:eastAsia="Microsoft YaHei" w:cs="Microsoft YaHei"/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color w:val="7C7E81"/>
          <w:spacing w:val="-2"/>
        </w:rPr>
        <w:t>2024 年 8 月（下） 第 30 卷</w:t>
      </w:r>
      <w:r>
        <w:rPr>
          <w:rFonts w:ascii="Microsoft YaHei" w:hAnsi="Microsoft YaHei" w:eastAsia="Microsoft YaHei" w:cs="Microsoft YaHei"/>
          <w:sz w:val="12"/>
          <w:szCs w:val="12"/>
          <w:color w:val="7C7E81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2"/>
          <w:szCs w:val="12"/>
          <w:color w:val="7C7E81"/>
          <w:spacing w:val="-2"/>
        </w:rPr>
        <w:t>第</w:t>
      </w:r>
      <w:r>
        <w:rPr>
          <w:rFonts w:ascii="Microsoft YaHei" w:hAnsi="Microsoft YaHei" w:eastAsia="Microsoft YaHei" w:cs="Microsoft YaHei"/>
          <w:sz w:val="12"/>
          <w:szCs w:val="12"/>
          <w:color w:val="7C7E81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2"/>
          <w:szCs w:val="12"/>
          <w:color w:val="7C7E81"/>
          <w:spacing w:val="-2"/>
        </w:rPr>
        <w:t>16 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67" w:lineRule="auto"/>
        <w:rPr>
          <w:rFonts w:ascii="Arial"/>
          <w:sz w:val="21"/>
        </w:rPr>
      </w:pPr>
      <w:r/>
    </w:p>
    <w:p>
      <w:pPr>
        <w:spacing w:before="69" w:line="19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B6B7BB"/>
          <w:spacing w:val="23"/>
        </w:rPr>
        <w:t>健康护理</w:t>
      </w:r>
    </w:p>
    <w:p>
      <w:pPr>
        <w:spacing w:line="192" w:lineRule="auto"/>
        <w:sectPr>
          <w:headerReference w:type="default" r:id="rId1"/>
          <w:pgSz w:w="11906" w:h="16838"/>
          <w:pgMar w:top="1" w:right="952" w:bottom="0" w:left="424" w:header="0" w:footer="0" w:gutter="0"/>
          <w:cols w:equalWidth="0" w:num="3">
            <w:col w:w="6640" w:space="85"/>
            <w:col w:w="2703" w:space="100"/>
            <w:col w:w="1002" w:space="0"/>
          </w:cols>
        </w:sectPr>
        <w:rPr>
          <w:rFonts w:ascii="Microsoft YaHei" w:hAnsi="Microsoft YaHei" w:eastAsia="Microsoft YaHei" w:cs="Microsoft YaHei"/>
          <w:sz w:val="16"/>
          <w:szCs w:val="16"/>
        </w:rPr>
      </w:pPr>
    </w:p>
    <w:p>
      <w:pPr>
        <w:spacing w:line="430" w:lineRule="auto"/>
        <w:rPr>
          <w:rFonts w:ascii="Arial"/>
          <w:sz w:val="21"/>
        </w:rPr>
      </w:pPr>
      <w:r/>
    </w:p>
    <w:p>
      <w:pPr>
        <w:pStyle w:val="BodyText"/>
        <w:ind w:left="1661"/>
        <w:spacing w:before="143"/>
        <w:rPr>
          <w:sz w:val="44"/>
          <w:szCs w:val="44"/>
        </w:rPr>
      </w:pPr>
      <w:r>
        <w:rPr>
          <w:sz w:val="44"/>
          <w:szCs w:val="44"/>
          <w:color w:val="231F20"/>
          <w:spacing w:val="-2"/>
        </w:rPr>
        <w:t>急性阑尾炎手术患者实施循证护理干预的</w:t>
      </w:r>
    </w:p>
    <w:p>
      <w:pPr>
        <w:pStyle w:val="BodyText"/>
        <w:ind w:left="4726"/>
        <w:spacing w:before="28" w:line="239" w:lineRule="auto"/>
        <w:rPr>
          <w:sz w:val="44"/>
          <w:szCs w:val="44"/>
        </w:rPr>
      </w:pPr>
      <w:r>
        <w:rPr>
          <w:sz w:val="44"/>
          <w:szCs w:val="44"/>
          <w:color w:val="231F20"/>
          <w:spacing w:val="-4"/>
        </w:rPr>
        <w:t>效果评价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ind w:left="5326"/>
        <w:spacing w:before="59" w:line="222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3"/>
        </w:rPr>
        <w:t>雷晓霞</w:t>
      </w:r>
    </w:p>
    <w:p>
      <w:pPr>
        <w:ind w:left="3253"/>
        <w:spacing w:before="63" w:line="220" w:lineRule="auto"/>
        <w:outlineLvl w:val="0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color w:val="231F20"/>
        </w:rPr>
        <w:t>甘肃省张掖市山丹县疾病预防控制中心，甘肃</w:t>
      </w:r>
      <w:r>
        <w:rPr>
          <w:rFonts w:ascii="KaiTi" w:hAnsi="KaiTi" w:eastAsia="KaiTi" w:cs="KaiTi"/>
          <w:sz w:val="18"/>
          <w:szCs w:val="18"/>
          <w:color w:val="231F20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</w:rPr>
        <w:t>张</w:t>
      </w:r>
      <w:r>
        <w:rPr>
          <w:rFonts w:ascii="KaiTi" w:hAnsi="KaiTi" w:eastAsia="KaiTi" w:cs="KaiTi"/>
          <w:sz w:val="18"/>
          <w:szCs w:val="18"/>
          <w:color w:val="231F20"/>
          <w:spacing w:val="-1"/>
        </w:rPr>
        <w:t>掖</w:t>
      </w:r>
      <w:r>
        <w:rPr>
          <w:rFonts w:ascii="KaiTi" w:hAnsi="KaiTi" w:eastAsia="KaiTi" w:cs="KaiTi"/>
          <w:sz w:val="18"/>
          <w:szCs w:val="18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1"/>
        </w:rPr>
        <w:t>734100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1252" w:right="547" w:hanging="62"/>
        <w:spacing w:before="52" w:line="273" w:lineRule="auto"/>
        <w:jc w:val="both"/>
        <w:rPr/>
      </w:pPr>
      <w:r>
        <w:rPr>
          <w:rFonts w:ascii="SimHei" w:hAnsi="SimHei" w:eastAsia="SimHei" w:cs="SimHei"/>
          <w:color w:val="231F20"/>
          <w:spacing w:val="-1"/>
        </w:rPr>
        <w:t>【摘要】</w:t>
      </w:r>
      <w:r>
        <w:rPr>
          <w:rFonts w:ascii="KaiTi" w:hAnsi="KaiTi" w:eastAsia="KaiTi" w:cs="KaiTi"/>
          <w:color w:val="231F20"/>
          <w:spacing w:val="-1"/>
        </w:rPr>
        <w:t>目的</w:t>
      </w:r>
      <w:r>
        <w:rPr>
          <w:color w:val="231F20"/>
          <w:spacing w:val="-1"/>
        </w:rPr>
        <w:t>：</w:t>
      </w:r>
      <w:r>
        <w:rPr>
          <w:rFonts w:ascii="KaiTi" w:hAnsi="KaiTi" w:eastAsia="KaiTi" w:cs="KaiTi"/>
          <w:color w:val="231F20"/>
          <w:spacing w:val="-1"/>
        </w:rPr>
        <w:t>分析循证护理干预应用于急</w:t>
      </w:r>
      <w:r>
        <w:rPr>
          <w:rFonts w:ascii="KaiTi" w:hAnsi="KaiTi" w:eastAsia="KaiTi" w:cs="KaiTi"/>
          <w:color w:val="231F20"/>
          <w:spacing w:val="-2"/>
        </w:rPr>
        <w:t>性阑尾炎手术患者中的有效性</w:t>
      </w:r>
      <w:r>
        <w:rPr>
          <w:color w:val="231F20"/>
          <w:spacing w:val="-2"/>
        </w:rPr>
        <w:t>。</w:t>
      </w:r>
      <w:r>
        <w:rPr>
          <w:rFonts w:ascii="KaiTi" w:hAnsi="KaiTi" w:eastAsia="KaiTi" w:cs="KaiTi"/>
          <w:color w:val="231F20"/>
          <w:spacing w:val="-2"/>
        </w:rPr>
        <w:t>方法</w:t>
      </w:r>
      <w:r>
        <w:rPr>
          <w:color w:val="231F20"/>
          <w:spacing w:val="-2"/>
        </w:rPr>
        <w:t>：</w:t>
      </w:r>
      <w:r>
        <w:rPr>
          <w:rFonts w:ascii="KaiTi" w:hAnsi="KaiTi" w:eastAsia="KaiTi" w:cs="KaiTi"/>
          <w:color w:val="231F20"/>
          <w:spacing w:val="-2"/>
        </w:rPr>
        <w:t>选入样本</w:t>
      </w:r>
      <w:r>
        <w:rPr>
          <w:rFonts w:ascii="KaiTi" w:hAnsi="KaiTi" w:eastAsia="KaiTi" w:cs="KaiTi"/>
          <w:color w:val="231F20"/>
          <w:spacing w:val="-37"/>
        </w:rPr>
        <w:t xml:space="preserve"> </w:t>
      </w:r>
      <w:r>
        <w:rPr>
          <w:color w:val="231F20"/>
          <w:spacing w:val="-2"/>
        </w:rPr>
        <w:t>80</w:t>
      </w:r>
      <w:r>
        <w:rPr>
          <w:color w:val="231F20"/>
          <w:spacing w:val="-40"/>
        </w:rPr>
        <w:t xml:space="preserve"> </w:t>
      </w:r>
      <w:r>
        <w:rPr>
          <w:rFonts w:ascii="KaiTi" w:hAnsi="KaiTi" w:eastAsia="KaiTi" w:cs="KaiTi"/>
          <w:color w:val="231F20"/>
          <w:spacing w:val="-2"/>
        </w:rPr>
        <w:t>例</w:t>
      </w:r>
      <w:r>
        <w:rPr>
          <w:color w:val="231F20"/>
          <w:spacing w:val="-2"/>
        </w:rPr>
        <w:t>，</w:t>
      </w:r>
      <w:r>
        <w:rPr>
          <w:rFonts w:ascii="KaiTi" w:hAnsi="KaiTi" w:eastAsia="KaiTi" w:cs="KaiTi"/>
          <w:color w:val="231F20"/>
          <w:spacing w:val="-2"/>
        </w:rPr>
        <w:t>均为急性阑尾炎手术患者</w:t>
      </w:r>
      <w:r>
        <w:rPr>
          <w:color w:val="231F20"/>
          <w:spacing w:val="-2"/>
        </w:rPr>
        <w:t>，</w:t>
      </w:r>
      <w:r>
        <w:rPr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-2"/>
        </w:rPr>
        <w:t>选入样本时间为</w:t>
      </w:r>
      <w:r>
        <w:rPr>
          <w:rFonts w:ascii="KaiTi" w:hAnsi="KaiTi" w:eastAsia="KaiTi" w:cs="KaiTi"/>
          <w:color w:val="231F20"/>
          <w:spacing w:val="-17"/>
        </w:rPr>
        <w:t xml:space="preserve"> </w:t>
      </w:r>
      <w:r>
        <w:rPr>
          <w:color w:val="231F20"/>
          <w:spacing w:val="-2"/>
        </w:rPr>
        <w:t>2021</w:t>
      </w:r>
      <w:r>
        <w:rPr>
          <w:color w:val="231F20"/>
          <w:spacing w:val="-33"/>
        </w:rPr>
        <w:t xml:space="preserve"> </w:t>
      </w:r>
      <w:r>
        <w:rPr>
          <w:rFonts w:ascii="KaiTi" w:hAnsi="KaiTi" w:eastAsia="KaiTi" w:cs="KaiTi"/>
          <w:color w:val="231F20"/>
          <w:spacing w:val="-2"/>
        </w:rPr>
        <w:t>年</w:t>
      </w:r>
      <w:r>
        <w:rPr>
          <w:rFonts w:ascii="KaiTi" w:hAnsi="KaiTi" w:eastAsia="KaiTi" w:cs="KaiTi"/>
          <w:color w:val="231F20"/>
          <w:spacing w:val="-23"/>
        </w:rPr>
        <w:t xml:space="preserve"> </w:t>
      </w:r>
      <w:r>
        <w:rPr>
          <w:color w:val="231F20"/>
          <w:spacing w:val="-2"/>
        </w:rPr>
        <w:t>1</w:t>
      </w:r>
      <w:r>
        <w:rPr>
          <w:color w:val="231F20"/>
          <w:spacing w:val="-26"/>
        </w:rPr>
        <w:t xml:space="preserve"> </w:t>
      </w:r>
      <w:r>
        <w:rPr>
          <w:rFonts w:ascii="KaiTi" w:hAnsi="KaiTi" w:eastAsia="KaiTi" w:cs="KaiTi"/>
          <w:color w:val="231F20"/>
          <w:spacing w:val="-2"/>
        </w:rPr>
        <w:t>月</w:t>
      </w:r>
      <w:r>
        <w:rPr>
          <w:color w:val="231F20"/>
          <w:spacing w:val="-2"/>
        </w:rPr>
        <w:t>—2023</w:t>
      </w:r>
      <w:r>
        <w:rPr>
          <w:color w:val="231F20"/>
          <w:spacing w:val="-33"/>
        </w:rPr>
        <w:t xml:space="preserve"> </w:t>
      </w:r>
      <w:r>
        <w:rPr>
          <w:rFonts w:ascii="KaiTi" w:hAnsi="KaiTi" w:eastAsia="KaiTi" w:cs="KaiTi"/>
          <w:color w:val="231F20"/>
          <w:spacing w:val="-2"/>
        </w:rPr>
        <w:t>年</w:t>
      </w:r>
      <w:r>
        <w:rPr>
          <w:rFonts w:ascii="KaiTi" w:hAnsi="KaiTi" w:eastAsia="KaiTi" w:cs="KaiTi"/>
          <w:color w:val="231F20"/>
          <w:spacing w:val="-23"/>
        </w:rPr>
        <w:t xml:space="preserve"> </w:t>
      </w:r>
      <w:r>
        <w:rPr>
          <w:color w:val="231F20"/>
          <w:spacing w:val="-2"/>
        </w:rPr>
        <w:t>1</w:t>
      </w:r>
      <w:r>
        <w:rPr>
          <w:color w:val="231F20"/>
          <w:spacing w:val="-26"/>
        </w:rPr>
        <w:t xml:space="preserve"> </w:t>
      </w:r>
      <w:r>
        <w:rPr>
          <w:rFonts w:ascii="KaiTi" w:hAnsi="KaiTi" w:eastAsia="KaiTi" w:cs="KaiTi"/>
          <w:color w:val="231F20"/>
          <w:spacing w:val="-2"/>
        </w:rPr>
        <w:t>月</w:t>
      </w:r>
      <w:r>
        <w:rPr>
          <w:color w:val="231F20"/>
          <w:spacing w:val="-2"/>
        </w:rPr>
        <w:t>，</w:t>
      </w:r>
      <w:r>
        <w:rPr>
          <w:rFonts w:ascii="KaiTi" w:hAnsi="KaiTi" w:eastAsia="KaiTi" w:cs="KaiTi"/>
          <w:color w:val="231F20"/>
          <w:spacing w:val="-2"/>
        </w:rPr>
        <w:t>将样本经双盲法均分为实验组与参照组</w:t>
      </w:r>
      <w:r>
        <w:rPr>
          <w:color w:val="231F20"/>
          <w:spacing w:val="-2"/>
        </w:rPr>
        <w:t>，</w:t>
      </w:r>
      <w:r>
        <w:rPr>
          <w:rFonts w:ascii="KaiTi" w:hAnsi="KaiTi" w:eastAsia="KaiTi" w:cs="KaiTi"/>
          <w:color w:val="231F20"/>
          <w:spacing w:val="-2"/>
        </w:rPr>
        <w:t>各</w:t>
      </w:r>
      <w:r>
        <w:rPr>
          <w:rFonts w:ascii="KaiTi" w:hAnsi="KaiTi" w:eastAsia="KaiTi" w:cs="KaiTi"/>
          <w:color w:val="231F20"/>
          <w:spacing w:val="-38"/>
        </w:rPr>
        <w:t xml:space="preserve"> </w:t>
      </w:r>
      <w:r>
        <w:rPr>
          <w:color w:val="231F20"/>
          <w:spacing w:val="-2"/>
        </w:rPr>
        <w:t>40</w:t>
      </w:r>
      <w:r>
        <w:rPr>
          <w:color w:val="231F20"/>
          <w:spacing w:val="-38"/>
        </w:rPr>
        <w:t xml:space="preserve"> </w:t>
      </w:r>
      <w:r>
        <w:rPr>
          <w:rFonts w:ascii="KaiTi" w:hAnsi="KaiTi" w:eastAsia="KaiTi" w:cs="KaiTi"/>
          <w:color w:val="231F20"/>
          <w:spacing w:val="-2"/>
        </w:rPr>
        <w:t>例</w:t>
      </w:r>
      <w:r>
        <w:rPr>
          <w:color w:val="231F20"/>
          <w:spacing w:val="-2"/>
        </w:rPr>
        <w:t>，</w:t>
      </w:r>
      <w:r>
        <w:rPr>
          <w:rFonts w:ascii="KaiTi" w:hAnsi="KaiTi" w:eastAsia="KaiTi" w:cs="KaiTi"/>
          <w:color w:val="231F20"/>
          <w:spacing w:val="-2"/>
        </w:rPr>
        <w:t>一般资料对比后分别予以循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1"/>
        </w:rPr>
        <w:t>证护理与常规护理</w:t>
      </w:r>
      <w:r>
        <w:rPr>
          <w:color w:val="231F20"/>
          <w:spacing w:val="1"/>
        </w:rPr>
        <w:t>，</w:t>
      </w:r>
      <w:r>
        <w:rPr>
          <w:rFonts w:ascii="KaiTi" w:hAnsi="KaiTi" w:eastAsia="KaiTi" w:cs="KaiTi"/>
          <w:color w:val="231F20"/>
          <w:spacing w:val="1"/>
        </w:rPr>
        <w:t>比较两组患者的术后并发症</w:t>
      </w:r>
      <w:r>
        <w:rPr>
          <w:color w:val="231F20"/>
          <w:spacing w:val="1"/>
        </w:rPr>
        <w:t>（</w:t>
      </w:r>
      <w:r>
        <w:rPr>
          <w:rFonts w:ascii="KaiTi" w:hAnsi="KaiTi" w:eastAsia="KaiTi" w:cs="KaiTi"/>
          <w:color w:val="231F20"/>
          <w:spacing w:val="1"/>
        </w:rPr>
        <w:t>切口感染</w:t>
      </w:r>
      <w:r>
        <w:rPr>
          <w:color w:val="231F20"/>
          <w:spacing w:val="1"/>
        </w:rPr>
        <w:t>、</w:t>
      </w:r>
      <w:r>
        <w:rPr>
          <w:rFonts w:ascii="KaiTi" w:hAnsi="KaiTi" w:eastAsia="KaiTi" w:cs="KaiTi"/>
          <w:color w:val="231F20"/>
        </w:rPr>
        <w:t>下肢静脉血栓</w:t>
      </w:r>
      <w:r>
        <w:rPr>
          <w:color w:val="231F20"/>
        </w:rPr>
        <w:t>、</w:t>
      </w:r>
      <w:r>
        <w:rPr>
          <w:rFonts w:ascii="KaiTi" w:hAnsi="KaiTi" w:eastAsia="KaiTi" w:cs="KaiTi"/>
          <w:color w:val="231F20"/>
        </w:rPr>
        <w:t>粘连性肠梗阻和排尿障碍</w:t>
      </w:r>
      <w:r>
        <w:rPr>
          <w:color w:val="231F20"/>
        </w:rPr>
        <w:t>）</w:t>
      </w:r>
      <w:r>
        <w:rPr>
          <w:rFonts w:ascii="KaiTi" w:hAnsi="KaiTi" w:eastAsia="KaiTi" w:cs="KaiTi"/>
          <w:color w:val="231F20"/>
        </w:rPr>
        <w:t>发生率以及护理前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-2"/>
        </w:rPr>
        <w:t>后的心理状态</w:t>
      </w:r>
      <w:r>
        <w:rPr>
          <w:color w:val="231F20"/>
          <w:spacing w:val="-2"/>
        </w:rPr>
        <w:t>（SAS</w:t>
      </w:r>
      <w:r>
        <w:rPr>
          <w:color w:val="231F20"/>
          <w:spacing w:val="-38"/>
        </w:rPr>
        <w:t xml:space="preserve"> </w:t>
      </w:r>
      <w:r>
        <w:rPr>
          <w:rFonts w:ascii="KaiTi" w:hAnsi="KaiTi" w:eastAsia="KaiTi" w:cs="KaiTi"/>
          <w:color w:val="231F20"/>
          <w:spacing w:val="-2"/>
        </w:rPr>
        <w:t>评分与</w:t>
      </w:r>
      <w:r>
        <w:rPr>
          <w:color w:val="231F20"/>
          <w:spacing w:val="-2"/>
        </w:rPr>
        <w:t>SDS</w:t>
      </w:r>
      <w:r>
        <w:rPr>
          <w:color w:val="231F20"/>
          <w:spacing w:val="-38"/>
        </w:rPr>
        <w:t xml:space="preserve"> </w:t>
      </w:r>
      <w:r>
        <w:rPr>
          <w:rFonts w:ascii="KaiTi" w:hAnsi="KaiTi" w:eastAsia="KaiTi" w:cs="KaiTi"/>
          <w:color w:val="231F20"/>
          <w:spacing w:val="-2"/>
        </w:rPr>
        <w:t>评分</w:t>
      </w:r>
      <w:r>
        <w:rPr>
          <w:color w:val="231F20"/>
          <w:spacing w:val="-2"/>
        </w:rPr>
        <w:t>）。</w:t>
      </w:r>
      <w:r>
        <w:rPr>
          <w:rFonts w:ascii="KaiTi" w:hAnsi="KaiTi" w:eastAsia="KaiTi" w:cs="KaiTi"/>
          <w:color w:val="231F20"/>
          <w:spacing w:val="-2"/>
        </w:rPr>
        <w:t>结果</w:t>
      </w:r>
      <w:r>
        <w:rPr>
          <w:color w:val="231F20"/>
          <w:spacing w:val="-2"/>
        </w:rPr>
        <w:t>：</w:t>
      </w:r>
      <w:r>
        <w:rPr>
          <w:rFonts w:ascii="KaiTi" w:hAnsi="KaiTi" w:eastAsia="KaiTi" w:cs="KaiTi"/>
          <w:color w:val="231F20"/>
          <w:spacing w:val="-2"/>
        </w:rPr>
        <w:t>护理前</w:t>
      </w:r>
      <w:r>
        <w:rPr>
          <w:color w:val="231F20"/>
          <w:spacing w:val="-2"/>
        </w:rPr>
        <w:t>，</w:t>
      </w:r>
      <w:r>
        <w:rPr>
          <w:rFonts w:ascii="KaiTi" w:hAnsi="KaiTi" w:eastAsia="KaiTi" w:cs="KaiTi"/>
          <w:color w:val="231F20"/>
          <w:spacing w:val="-2"/>
        </w:rPr>
        <w:t>两组患者的心理状态评分对比结果显示为无意义</w:t>
      </w:r>
      <w:r>
        <w:rPr>
          <w:color w:val="231F20"/>
          <w:spacing w:val="-2"/>
        </w:rPr>
        <w:t>（</w:t>
      </w:r>
      <w:r>
        <w:rPr>
          <w:i/>
          <w:iCs/>
          <w:color w:val="231F20"/>
          <w:spacing w:val="-2"/>
        </w:rPr>
        <w:t>P</w:t>
      </w:r>
      <w:r>
        <w:rPr>
          <w:color w:val="231F20"/>
          <w:spacing w:val="-2"/>
        </w:rPr>
        <w:t>&gt;0.05</w:t>
      </w:r>
      <w:r>
        <w:rPr>
          <w:color w:val="231F20"/>
          <w:spacing w:val="-18"/>
        </w:rPr>
        <w:t>）；</w:t>
      </w:r>
      <w:r>
        <w:rPr>
          <w:rFonts w:ascii="KaiTi" w:hAnsi="KaiTi" w:eastAsia="KaiTi" w:cs="KaiTi"/>
          <w:color w:val="231F20"/>
          <w:spacing w:val="-2"/>
        </w:rPr>
        <w:t>护</w:t>
      </w:r>
      <w:r>
        <w:rPr>
          <w:rFonts w:ascii="KaiTi" w:hAnsi="KaiTi" w:eastAsia="KaiTi" w:cs="KaiTi"/>
          <w:color w:val="231F20"/>
          <w:spacing w:val="-3"/>
        </w:rPr>
        <w:t>理后</w:t>
      </w:r>
      <w:r>
        <w:rPr>
          <w:color w:val="231F20"/>
          <w:spacing w:val="-3"/>
        </w:rPr>
        <w:t>，</w:t>
      </w:r>
      <w:r>
        <w:rPr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1"/>
        </w:rPr>
        <w:t>相比参照组</w:t>
      </w:r>
      <w:r>
        <w:rPr>
          <w:color w:val="231F20"/>
          <w:spacing w:val="1"/>
        </w:rPr>
        <w:t>，</w:t>
      </w:r>
      <w:r>
        <w:rPr>
          <w:rFonts w:ascii="KaiTi" w:hAnsi="KaiTi" w:eastAsia="KaiTi" w:cs="KaiTi"/>
          <w:color w:val="231F20"/>
          <w:spacing w:val="1"/>
        </w:rPr>
        <w:t>实验组心理状态评分与并发症发生率更低</w:t>
      </w:r>
      <w:r>
        <w:rPr>
          <w:color w:val="231F20"/>
          <w:spacing w:val="1"/>
        </w:rPr>
        <w:t>，</w:t>
      </w:r>
      <w:r>
        <w:rPr>
          <w:rFonts w:ascii="KaiTi" w:hAnsi="KaiTi" w:eastAsia="KaiTi" w:cs="KaiTi"/>
          <w:color w:val="231F20"/>
          <w:spacing w:val="1"/>
        </w:rPr>
        <w:t>且指标之</w:t>
      </w:r>
      <w:r>
        <w:rPr>
          <w:rFonts w:ascii="KaiTi" w:hAnsi="KaiTi" w:eastAsia="KaiTi" w:cs="KaiTi"/>
          <w:color w:val="231F20"/>
        </w:rPr>
        <w:t>间统计学分析有意义</w:t>
      </w:r>
      <w:r>
        <w:rPr>
          <w:color w:val="231F20"/>
        </w:rPr>
        <w:t>（</w:t>
      </w:r>
      <w:r>
        <w:rPr>
          <w:i/>
          <w:iCs/>
          <w:color w:val="231F20"/>
        </w:rPr>
        <w:t>P</w:t>
      </w:r>
      <w:r>
        <w:rPr>
          <w:color w:val="231F20"/>
        </w:rPr>
        <w:t>&lt;0.05）。</w:t>
      </w:r>
      <w:r>
        <w:rPr>
          <w:rFonts w:ascii="KaiTi" w:hAnsi="KaiTi" w:eastAsia="KaiTi" w:cs="KaiTi"/>
          <w:color w:val="231F20"/>
        </w:rPr>
        <w:t>结论</w:t>
      </w:r>
      <w:r>
        <w:rPr>
          <w:color w:val="231F20"/>
        </w:rPr>
        <w:t>：</w:t>
      </w:r>
      <w:r>
        <w:rPr>
          <w:rFonts w:ascii="KaiTi" w:hAnsi="KaiTi" w:eastAsia="KaiTi" w:cs="KaiTi"/>
          <w:color w:val="231F20"/>
        </w:rPr>
        <w:t>在急性阑尾炎手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</w:rPr>
        <w:t>术患者中采取循证护理干预有利于促进患者的心理状态改善</w:t>
      </w:r>
      <w:r>
        <w:rPr>
          <w:color w:val="231F20"/>
        </w:rPr>
        <w:t>，</w:t>
      </w:r>
      <w:r>
        <w:rPr>
          <w:rFonts w:ascii="KaiTi" w:hAnsi="KaiTi" w:eastAsia="KaiTi" w:cs="KaiTi"/>
          <w:color w:val="231F20"/>
        </w:rPr>
        <w:t>降低术后并发症发生率</w:t>
      </w:r>
      <w:r>
        <w:rPr>
          <w:color w:val="231F20"/>
          <w:spacing w:val="-1"/>
        </w:rPr>
        <w:t>，</w:t>
      </w:r>
      <w:r>
        <w:rPr>
          <w:rFonts w:ascii="KaiTi" w:hAnsi="KaiTi" w:eastAsia="KaiTi" w:cs="KaiTi"/>
          <w:color w:val="231F20"/>
          <w:spacing w:val="-1"/>
        </w:rPr>
        <w:t>值得推广</w:t>
      </w:r>
      <w:r>
        <w:rPr>
          <w:color w:val="231F20"/>
          <w:spacing w:val="-1"/>
        </w:rPr>
        <w:t>。</w:t>
      </w:r>
    </w:p>
    <w:p>
      <w:pPr>
        <w:pStyle w:val="BodyText"/>
        <w:ind w:left="1190"/>
        <w:spacing w:before="19" w:line="228" w:lineRule="auto"/>
        <w:rPr>
          <w:rFonts w:ascii="KaiTi" w:hAnsi="KaiTi" w:eastAsia="KaiTi" w:cs="KaiTi"/>
        </w:rPr>
      </w:pPr>
      <w:r>
        <w:rPr>
          <w:rFonts w:ascii="SimHei" w:hAnsi="SimHei" w:eastAsia="SimHei" w:cs="SimHei"/>
          <w:color w:val="231F20"/>
        </w:rPr>
        <w:t>【关键词】</w:t>
      </w:r>
      <w:r>
        <w:rPr>
          <w:rFonts w:ascii="KaiTi" w:hAnsi="KaiTi" w:eastAsia="KaiTi" w:cs="KaiTi"/>
          <w:color w:val="231F20"/>
        </w:rPr>
        <w:t>急性阑尾炎</w:t>
      </w:r>
      <w:r>
        <w:rPr>
          <w:color w:val="231F20"/>
        </w:rPr>
        <w:t>；</w:t>
      </w:r>
      <w:r>
        <w:rPr>
          <w:rFonts w:ascii="KaiTi" w:hAnsi="KaiTi" w:eastAsia="KaiTi" w:cs="KaiTi"/>
          <w:color w:val="231F20"/>
        </w:rPr>
        <w:t>循证护理</w:t>
      </w:r>
      <w:r>
        <w:rPr>
          <w:color w:val="231F20"/>
        </w:rPr>
        <w:t>；</w:t>
      </w:r>
      <w:r>
        <w:rPr>
          <w:rFonts w:ascii="KaiTi" w:hAnsi="KaiTi" w:eastAsia="KaiTi" w:cs="KaiTi"/>
          <w:color w:val="231F20"/>
        </w:rPr>
        <w:t>效果评价</w:t>
      </w:r>
    </w:p>
    <w:p>
      <w:pPr>
        <w:ind w:left="1394"/>
        <w:spacing w:before="269" w:line="240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position w:val="2"/>
        </w:rPr>
        <w:t>Evaluation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position w:val="2"/>
        </w:rPr>
        <w:t>the effect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position w:val="2"/>
        </w:rPr>
        <w:t>evidenc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8"/>
          <w:position w:val="2"/>
        </w:rPr>
        <w:t>e-based nursing intervention on patients with acute</w:t>
      </w:r>
    </w:p>
    <w:p>
      <w:pPr>
        <w:ind w:left="4037"/>
        <w:spacing w:line="241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position w:val="2"/>
        </w:rPr>
        <w:t>appendicitis undergoing sur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  <w:position w:val="2"/>
        </w:rPr>
        <w:t>gery</w:t>
      </w:r>
    </w:p>
    <w:p>
      <w:pPr>
        <w:pStyle w:val="BodyText"/>
        <w:ind w:left="5213"/>
        <w:spacing w:before="161" w:line="181" w:lineRule="auto"/>
        <w:rPr/>
      </w:pPr>
      <w:r>
        <w:rPr>
          <w:color w:val="231F20"/>
          <w:spacing w:val="-8"/>
        </w:rPr>
        <w:t>LEI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8"/>
        </w:rPr>
        <w:t>Xiaoxia</w:t>
      </w:r>
    </w:p>
    <w:p>
      <w:pPr>
        <w:pStyle w:val="BodyText"/>
        <w:ind w:left="2017"/>
        <w:spacing w:before="54" w:line="241" w:lineRule="auto"/>
        <w:rPr/>
      </w:pPr>
      <w:r>
        <w:rPr>
          <w:color w:val="231F20"/>
          <w:spacing w:val="-10"/>
        </w:rPr>
        <w:t>Center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0"/>
        </w:rPr>
        <w:t>for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0"/>
        </w:rPr>
        <w:t>Disease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0"/>
        </w:rPr>
        <w:t>Control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0"/>
        </w:rPr>
        <w:t>Prevention,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1"/>
        </w:rPr>
        <w:t>Shandan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1"/>
        </w:rPr>
        <w:t>County,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1"/>
        </w:rPr>
        <w:t>Zhangye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1"/>
        </w:rPr>
        <w:t>City,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1"/>
        </w:rPr>
        <w:t>Gansu,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1"/>
        </w:rPr>
        <w:t>Zhangye,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1"/>
        </w:rPr>
        <w:t>Gansu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1"/>
        </w:rPr>
        <w:t>734100,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1"/>
        </w:rPr>
        <w:t>China</w:t>
      </w:r>
    </w:p>
    <w:p>
      <w:pPr>
        <w:pStyle w:val="BodyText"/>
        <w:ind w:left="1248" w:right="606" w:hanging="58"/>
        <w:spacing w:before="155" w:line="276" w:lineRule="auto"/>
        <w:jc w:val="both"/>
        <w:rPr/>
      </w:pPr>
      <w:r>
        <w:rPr>
          <w:rFonts w:ascii="SimHei" w:hAnsi="SimHei" w:eastAsia="SimHei" w:cs="SimHei"/>
          <w:color w:val="231F20"/>
          <w:spacing w:val="-13"/>
        </w:rPr>
        <w:t>【Abstract】</w:t>
      </w:r>
      <w:r>
        <w:rPr>
          <w:color w:val="231F20"/>
          <w:spacing w:val="-13"/>
        </w:rPr>
        <w:t>Objective:To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3"/>
        </w:rPr>
        <w:t>an</w:t>
      </w:r>
      <w:r>
        <w:rPr>
          <w:color w:val="231F20"/>
          <w:spacing w:val="-14"/>
        </w:rPr>
        <w:t>alyze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4"/>
        </w:rPr>
        <w:t>effectiveness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4"/>
        </w:rPr>
        <w:t>evidence-based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4"/>
        </w:rPr>
        <w:t>nursing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4"/>
        </w:rPr>
        <w:t>intervention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4"/>
        </w:rPr>
        <w:t>in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4"/>
        </w:rPr>
        <w:t>patients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4"/>
        </w:rPr>
        <w:t>with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4"/>
        </w:rPr>
        <w:t>acute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4"/>
        </w:rPr>
        <w:t>appendicitis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4"/>
        </w:rPr>
        <w:t>undergoing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surgery.Methods:80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2"/>
        </w:rPr>
        <w:t>patients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2"/>
        </w:rPr>
        <w:t>with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acute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appendicitis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2"/>
        </w:rPr>
        <w:t>u</w:t>
      </w:r>
      <w:r>
        <w:rPr>
          <w:color w:val="231F20"/>
          <w:spacing w:val="-13"/>
        </w:rPr>
        <w:t>ndergoing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surgery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3"/>
        </w:rPr>
        <w:t>were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selected.The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selected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samples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3"/>
        </w:rPr>
        <w:t>were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3"/>
        </w:rPr>
        <w:t>from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3"/>
        </w:rPr>
        <w:t>January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2021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January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2"/>
        </w:rPr>
        <w:t>2023.The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2"/>
        </w:rPr>
        <w:t>samples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2"/>
        </w:rPr>
        <w:t>were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2"/>
        </w:rPr>
        <w:t>divided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2"/>
        </w:rPr>
        <w:t>into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2"/>
        </w:rPr>
        <w:t>experimental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2"/>
        </w:rPr>
        <w:t>group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2"/>
        </w:rPr>
        <w:t>reference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2"/>
        </w:rPr>
        <w:t>group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2"/>
        </w:rPr>
        <w:t>by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2"/>
        </w:rPr>
        <w:t>doubl</w:t>
      </w:r>
      <w:r>
        <w:rPr>
          <w:color w:val="231F20"/>
          <w:spacing w:val="-13"/>
        </w:rPr>
        <w:t>e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3"/>
        </w:rPr>
        <w:t>blind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3"/>
        </w:rPr>
        <w:t>method,with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3"/>
        </w:rPr>
        <w:t>40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3"/>
        </w:rPr>
        <w:t>patients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in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each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group,and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after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comparison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3"/>
        </w:rPr>
        <w:t>general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information,evidence-based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nursing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3"/>
        </w:rPr>
        <w:t>routine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nursing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3"/>
        </w:rPr>
        <w:t>w</w:t>
      </w:r>
      <w:r>
        <w:rPr>
          <w:color w:val="231F20"/>
          <w:spacing w:val="-14"/>
        </w:rPr>
        <w:t>ere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4"/>
        </w:rPr>
        <w:t>given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4"/>
        </w:rPr>
        <w:t>respectively.The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incidence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5"/>
        </w:rPr>
        <w:t>postoperative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5"/>
        </w:rPr>
        <w:t>complications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5"/>
        </w:rPr>
        <w:t>(incision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5"/>
        </w:rPr>
        <w:t>infection,</w:t>
      </w:r>
      <w:r>
        <w:rPr>
          <w:color w:val="231F20"/>
          <w:spacing w:val="-16"/>
        </w:rPr>
        <w:t>lower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6"/>
        </w:rPr>
        <w:t>limb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6"/>
        </w:rPr>
        <w:t>vein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6"/>
        </w:rPr>
        <w:t>thrombosis,adhesive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6"/>
        </w:rPr>
        <w:t>intestinal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6"/>
        </w:rPr>
        <w:t>obstruction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6"/>
        </w:rPr>
        <w:t>and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6"/>
        </w:rPr>
        <w:t>dysuria)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psychological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3"/>
        </w:rPr>
        <w:t>state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3"/>
        </w:rPr>
        <w:t>(SAS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3"/>
        </w:rPr>
        <w:t>score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3"/>
        </w:rPr>
        <w:t>SDS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3"/>
        </w:rPr>
        <w:t>score)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3"/>
        </w:rPr>
        <w:t>before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3"/>
        </w:rPr>
        <w:t>after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3"/>
        </w:rPr>
        <w:t>nursing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3"/>
        </w:rPr>
        <w:t>were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3"/>
        </w:rPr>
        <w:t>compared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3"/>
        </w:rPr>
        <w:t>between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3"/>
        </w:rPr>
        <w:t>two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3"/>
        </w:rPr>
        <w:t>g</w:t>
      </w:r>
      <w:r>
        <w:rPr>
          <w:color w:val="231F20"/>
          <w:spacing w:val="-14"/>
        </w:rPr>
        <w:t>roups.Results:Before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4"/>
        </w:rPr>
        <w:t>nursing,the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comparison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4"/>
        </w:rPr>
        <w:t>psychological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4"/>
        </w:rPr>
        <w:t>status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4"/>
        </w:rPr>
        <w:t>scores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4"/>
        </w:rPr>
        <w:t>between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4"/>
        </w:rPr>
        <w:t>two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4"/>
        </w:rPr>
        <w:t>groups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4"/>
        </w:rPr>
        <w:t>patients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4"/>
        </w:rPr>
        <w:t>showed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4"/>
        </w:rPr>
        <w:t>no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4"/>
        </w:rPr>
        <w:t>significance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4"/>
        </w:rPr>
        <w:t>(</w:t>
      </w:r>
      <w:r>
        <w:rPr>
          <w:i/>
          <w:iCs/>
          <w:color w:val="231F20"/>
          <w:spacing w:val="-14"/>
        </w:rPr>
        <w:t>P</w:t>
      </w:r>
      <w:r>
        <w:rPr>
          <w:color w:val="231F20"/>
          <w:spacing w:val="-14"/>
        </w:rPr>
        <w:t>&gt;0.05);After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4"/>
        </w:rPr>
        <w:t>nursing,compared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4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5"/>
        </w:rPr>
        <w:t>control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5"/>
        </w:rPr>
        <w:t>group,the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5"/>
        </w:rPr>
        <w:t>psychological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5"/>
        </w:rPr>
        <w:t>status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5"/>
        </w:rPr>
        <w:t>scor</w:t>
      </w:r>
      <w:r>
        <w:rPr>
          <w:color w:val="231F20"/>
          <w:spacing w:val="-16"/>
        </w:rPr>
        <w:t>es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6"/>
        </w:rPr>
        <w:t>and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6"/>
        </w:rPr>
        <w:t>incidence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6"/>
        </w:rPr>
        <w:t>complications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6"/>
        </w:rPr>
        <w:t>in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6"/>
        </w:rPr>
        <w:t>the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6"/>
        </w:rPr>
        <w:t>experimental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6"/>
        </w:rPr>
        <w:t>group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6"/>
        </w:rPr>
        <w:t>were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6"/>
        </w:rPr>
        <w:t>lower,and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6"/>
        </w:rPr>
        <w:t>the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6"/>
        </w:rPr>
        <w:t>statistical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analysis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between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indicators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was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3"/>
        </w:rPr>
        <w:t>significant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3"/>
        </w:rPr>
        <w:t>(</w:t>
      </w:r>
      <w:r>
        <w:rPr>
          <w:i/>
          <w:iCs/>
          <w:color w:val="231F20"/>
          <w:spacing w:val="-13"/>
        </w:rPr>
        <w:t>P</w:t>
      </w:r>
      <w:r>
        <w:rPr>
          <w:color w:val="231F20"/>
          <w:spacing w:val="-13"/>
        </w:rPr>
        <w:t>&lt;0</w:t>
      </w:r>
      <w:r>
        <w:rPr>
          <w:color w:val="231F20"/>
          <w:spacing w:val="-14"/>
        </w:rPr>
        <w:t>.05).Conclusion:Evidence-based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4"/>
        </w:rPr>
        <w:t>nursing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4"/>
        </w:rPr>
        <w:t>intervention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4"/>
        </w:rPr>
        <w:t>in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4"/>
        </w:rPr>
        <w:t>patients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4"/>
        </w:rPr>
        <w:t>undergoing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4"/>
        </w:rPr>
        <w:t>acute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appendicitis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5"/>
        </w:rPr>
        <w:t>surgery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5"/>
        </w:rPr>
        <w:t>is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5"/>
        </w:rPr>
        <w:t>beneficial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5"/>
        </w:rPr>
        <w:t>to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5"/>
        </w:rPr>
        <w:t>promote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5"/>
        </w:rPr>
        <w:t>improvement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5"/>
        </w:rPr>
        <w:t>patients'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5"/>
        </w:rPr>
        <w:t>psychological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5"/>
        </w:rPr>
        <w:t>state,and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5"/>
        </w:rPr>
        <w:t>reduce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5"/>
        </w:rPr>
        <w:t>i</w:t>
      </w:r>
      <w:r>
        <w:rPr>
          <w:color w:val="231F20"/>
          <w:spacing w:val="-16"/>
        </w:rPr>
        <w:t>ncidence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6"/>
        </w:rPr>
        <w:t>postoperative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complications,which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3"/>
        </w:rPr>
        <w:t>is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3"/>
        </w:rPr>
        <w:t>worth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3"/>
        </w:rPr>
        <w:t>promoting.</w:t>
      </w:r>
    </w:p>
    <w:p>
      <w:pPr>
        <w:pStyle w:val="BodyText"/>
        <w:ind w:left="1190"/>
        <w:spacing w:before="5" w:line="242" w:lineRule="auto"/>
        <w:rPr/>
      </w:pPr>
      <w:r>
        <w:rPr>
          <w:rFonts w:ascii="SimHei" w:hAnsi="SimHei" w:eastAsia="SimHei" w:cs="SimHei"/>
          <w:color w:val="231F20"/>
          <w:spacing w:val="-10"/>
        </w:rPr>
        <w:t>【Key</w:t>
      </w:r>
      <w:r>
        <w:rPr>
          <w:rFonts w:ascii="SimHei" w:hAnsi="SimHei" w:eastAsia="SimHei" w:cs="SimHei"/>
          <w:color w:val="231F20"/>
          <w:spacing w:val="8"/>
        </w:rPr>
        <w:t xml:space="preserve"> </w:t>
      </w:r>
      <w:r>
        <w:rPr>
          <w:rFonts w:ascii="SimHei" w:hAnsi="SimHei" w:eastAsia="SimHei" w:cs="SimHei"/>
          <w:color w:val="231F20"/>
          <w:spacing w:val="-10"/>
        </w:rPr>
        <w:t>Words】</w:t>
      </w:r>
      <w:r>
        <w:rPr>
          <w:color w:val="231F20"/>
          <w:spacing w:val="-10"/>
        </w:rPr>
        <w:t>Acute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0"/>
        </w:rPr>
        <w:t>appendicitis;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0"/>
        </w:rPr>
        <w:t>Evidence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0"/>
        </w:rPr>
        <w:t>based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0"/>
        </w:rPr>
        <w:t>care;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0"/>
        </w:rPr>
        <w:t>Impa</w:t>
      </w:r>
      <w:r>
        <w:rPr>
          <w:color w:val="231F20"/>
          <w:spacing w:val="-11"/>
        </w:rPr>
        <w:t>ct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1"/>
        </w:rPr>
        <w:t>assessment</w:t>
      </w:r>
    </w:p>
    <w:p>
      <w:pPr>
        <w:spacing w:before="204"/>
        <w:rPr/>
      </w:pPr>
      <w:r/>
    </w:p>
    <w:p>
      <w:pPr>
        <w:sectPr>
          <w:type w:val="continuous"/>
          <w:pgSz w:w="11906" w:h="16838"/>
          <w:pgMar w:top="1" w:right="952" w:bottom="0" w:left="424" w:header="0" w:footer="0" w:gutter="0"/>
          <w:cols w:equalWidth="0" w:num="1">
            <w:col w:w="10529" w:space="0"/>
          </w:cols>
        </w:sectPr>
        <w:rPr/>
      </w:pPr>
    </w:p>
    <w:p>
      <w:pPr>
        <w:pStyle w:val="BodyText"/>
        <w:ind w:left="769" w:right="300" w:firstLine="447"/>
        <w:spacing w:before="50" w:line="348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9"/>
        </w:rPr>
        <w:t>急性阑尾炎是一种比较常见的外科急腹症，</w:t>
      </w:r>
      <w:r>
        <w:rPr>
          <w:sz w:val="21"/>
          <w:szCs w:val="21"/>
          <w:color w:val="231F20"/>
          <w:spacing w:val="7"/>
        </w:rPr>
        <w:t xml:space="preserve"> </w:t>
      </w:r>
      <w:r>
        <w:rPr>
          <w:sz w:val="21"/>
          <w:szCs w:val="21"/>
          <w:color w:val="231F20"/>
          <w:spacing w:val="-1"/>
        </w:rPr>
        <w:t>对于急性阑尾炎患者而言，手术为其中应用效果显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1"/>
        </w:rPr>
        <w:t>著的治疗方法，能够积极改善患者的临床症状，使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1"/>
        </w:rPr>
        <w:t>患者的身体健康得到保障。手术治疗之前，通常会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1"/>
        </w:rPr>
        <w:t>结合患者身体素质与阑尾病变性质等内容明确患者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1"/>
        </w:rPr>
        <w:t>手术适应症，如患者不满足手术适应症，则需要予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1"/>
        </w:rPr>
        <w:t>以非手术治疗，非手术治疗有一定效果，但效果并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1"/>
        </w:rPr>
        <w:t>不显著，且治疗时长相对较长，少数单纯性急性阑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1"/>
        </w:rPr>
        <w:t>尾炎患者可接受非手术治疗，如应用消炎药以及止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2"/>
        </w:rPr>
        <w:t>痛药可获得良好的应用效果</w:t>
      </w:r>
      <w:r>
        <w:rPr>
          <w:sz w:val="21"/>
          <w:szCs w:val="21"/>
          <w:color w:val="231F20"/>
          <w:spacing w:val="-43"/>
        </w:rPr>
        <w:t xml:space="preserve"> </w:t>
      </w:r>
      <w:r>
        <w:rPr>
          <w:sz w:val="10"/>
          <w:szCs w:val="10"/>
          <w:color w:val="231F20"/>
          <w:spacing w:val="-2"/>
          <w:position w:val="7"/>
        </w:rPr>
        <w:t>[1]</w:t>
      </w:r>
      <w:r>
        <w:rPr>
          <w:sz w:val="10"/>
          <w:szCs w:val="10"/>
          <w:color w:val="231F20"/>
          <w:spacing w:val="-26"/>
          <w:position w:val="7"/>
        </w:rPr>
        <w:t xml:space="preserve"> </w:t>
      </w:r>
      <w:r>
        <w:rPr>
          <w:sz w:val="21"/>
          <w:szCs w:val="21"/>
          <w:color w:val="231F20"/>
          <w:spacing w:val="-2"/>
        </w:rPr>
        <w:t>。但是大部分急性阑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"/>
        </w:rPr>
        <w:t>尾炎患者的病情进展均比较快，如果不接受手术治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1"/>
        </w:rPr>
        <w:t>疗将会影响疾病预后，手术后也可能面临并发症发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1"/>
        </w:rPr>
        <w:t>生风险，为此需要予以患者必要的护理干预。循证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1"/>
        </w:rPr>
        <w:t>护理是一种新型护理措施，是以既往护理经验与文</w:t>
      </w:r>
    </w:p>
    <w:p>
      <w:pPr>
        <w:spacing w:line="2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3"/>
        <w:spacing w:before="42" w:line="349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献作为循证证据，据此开展的护理措施不但具备科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-1"/>
        </w:rPr>
        <w:t>学性、有据可依，还能提升护理有效性，应用价值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-2"/>
        </w:rPr>
        <w:t>比较高，对促进患者术后恢复有重要意义</w:t>
      </w:r>
      <w:r>
        <w:rPr>
          <w:sz w:val="21"/>
          <w:szCs w:val="21"/>
          <w:color w:val="231F20"/>
          <w:spacing w:val="-34"/>
        </w:rPr>
        <w:t xml:space="preserve"> </w:t>
      </w:r>
      <w:r>
        <w:rPr>
          <w:sz w:val="10"/>
          <w:szCs w:val="10"/>
          <w:color w:val="231F20"/>
          <w:spacing w:val="-2"/>
          <w:position w:val="7"/>
        </w:rPr>
        <w:t>[2]</w:t>
      </w:r>
      <w:r>
        <w:rPr>
          <w:sz w:val="10"/>
          <w:szCs w:val="10"/>
          <w:color w:val="231F20"/>
          <w:spacing w:val="-26"/>
          <w:position w:val="7"/>
        </w:rPr>
        <w:t xml:space="preserve"> </w:t>
      </w:r>
      <w:r>
        <w:rPr>
          <w:sz w:val="21"/>
          <w:szCs w:val="21"/>
          <w:color w:val="231F20"/>
          <w:spacing w:val="-2"/>
        </w:rPr>
        <w:t>。本文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4"/>
        </w:rPr>
        <w:t>对我院收治的</w:t>
      </w:r>
      <w:r>
        <w:rPr>
          <w:sz w:val="21"/>
          <w:szCs w:val="21"/>
          <w:color w:val="231F20"/>
          <w:spacing w:val="-43"/>
        </w:rPr>
        <w:t xml:space="preserve"> </w:t>
      </w:r>
      <w:r>
        <w:rPr>
          <w:sz w:val="21"/>
          <w:szCs w:val="21"/>
          <w:color w:val="231F20"/>
          <w:spacing w:val="4"/>
        </w:rPr>
        <w:t>80</w:t>
      </w:r>
      <w:r>
        <w:rPr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4"/>
        </w:rPr>
        <w:t>例急性阑尾炎手术患者作</w:t>
      </w:r>
      <w:r>
        <w:rPr>
          <w:sz w:val="21"/>
          <w:szCs w:val="21"/>
          <w:color w:val="231F20"/>
          <w:spacing w:val="3"/>
        </w:rPr>
        <w:t>为研究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5"/>
        </w:rPr>
        <w:t>样本，为其结合循证护理，探讨应用效果，报道如下。</w:t>
      </w:r>
    </w:p>
    <w:p>
      <w:pPr>
        <w:pStyle w:val="BodyText"/>
        <w:ind w:left="12"/>
        <w:spacing w:before="298" w:line="241" w:lineRule="auto"/>
        <w:outlineLvl w:val="1"/>
        <w:rPr>
          <w:sz w:val="22"/>
          <w:szCs w:val="22"/>
        </w:rPr>
      </w:pPr>
      <w:r>
        <w:rPr>
          <w:sz w:val="22"/>
          <w:szCs w:val="22"/>
          <w:color w:val="231F20"/>
          <w:spacing w:val="-12"/>
        </w:rPr>
        <w:t>1.</w:t>
      </w:r>
      <w:r>
        <w:rPr>
          <w:sz w:val="22"/>
          <w:szCs w:val="22"/>
          <w:color w:val="231F20"/>
          <w:spacing w:val="-41"/>
        </w:rPr>
        <w:t xml:space="preserve"> </w:t>
      </w:r>
      <w:r>
        <w:rPr>
          <w:sz w:val="22"/>
          <w:szCs w:val="22"/>
          <w:color w:val="231F20"/>
          <w:spacing w:val="-12"/>
        </w:rPr>
        <w:t>一般资料</w:t>
      </w:r>
    </w:p>
    <w:p>
      <w:pPr>
        <w:pStyle w:val="BodyText"/>
        <w:ind w:left="461"/>
        <w:spacing w:before="195" w:line="280" w:lineRule="exact"/>
        <w:rPr>
          <w:sz w:val="21"/>
          <w:szCs w:val="21"/>
        </w:rPr>
      </w:pPr>
      <w:r>
        <w:rPr>
          <w:sz w:val="21"/>
          <w:szCs w:val="21"/>
          <w:color w:val="231F20"/>
          <w:spacing w:val="-12"/>
          <w:position w:val="1"/>
        </w:rPr>
        <w:t>1.1</w:t>
      </w:r>
      <w:r>
        <w:rPr>
          <w:sz w:val="21"/>
          <w:szCs w:val="21"/>
          <w:color w:val="231F20"/>
          <w:spacing w:val="-47"/>
          <w:position w:val="1"/>
        </w:rPr>
        <w:t xml:space="preserve"> </w:t>
      </w:r>
      <w:r>
        <w:rPr>
          <w:sz w:val="21"/>
          <w:szCs w:val="21"/>
          <w:color w:val="231F20"/>
          <w:spacing w:val="-12"/>
          <w:position w:val="1"/>
        </w:rPr>
        <w:t>研究对象</w:t>
      </w:r>
    </w:p>
    <w:p>
      <w:pPr>
        <w:pStyle w:val="BodyText"/>
        <w:ind w:right="56" w:firstLine="442"/>
        <w:spacing w:before="117" w:line="351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2"/>
        </w:rPr>
        <w:t>选择</w:t>
      </w:r>
      <w:r>
        <w:rPr>
          <w:sz w:val="21"/>
          <w:szCs w:val="21"/>
          <w:color w:val="231F20"/>
          <w:spacing w:val="-30"/>
        </w:rPr>
        <w:t xml:space="preserve"> </w:t>
      </w:r>
      <w:r>
        <w:rPr>
          <w:sz w:val="21"/>
          <w:szCs w:val="21"/>
          <w:color w:val="231F20"/>
          <w:spacing w:val="2"/>
        </w:rPr>
        <w:t>80</w:t>
      </w:r>
      <w:r>
        <w:rPr>
          <w:sz w:val="21"/>
          <w:szCs w:val="21"/>
          <w:color w:val="231F20"/>
          <w:spacing w:val="-46"/>
        </w:rPr>
        <w:t xml:space="preserve"> </w:t>
      </w:r>
      <w:r>
        <w:rPr>
          <w:sz w:val="21"/>
          <w:szCs w:val="21"/>
          <w:color w:val="231F20"/>
          <w:spacing w:val="2"/>
        </w:rPr>
        <w:t>例急性阑尾炎手术患者入组研究，将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"/>
        </w:rPr>
        <w:t>入组患者经双盲法分组，两组分别实施循证护理和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-3"/>
        </w:rPr>
        <w:t>常规护理，实验组：男患者</w:t>
      </w:r>
      <w:r>
        <w:rPr>
          <w:sz w:val="21"/>
          <w:szCs w:val="21"/>
          <w:color w:val="231F20"/>
          <w:spacing w:val="-32"/>
        </w:rPr>
        <w:t xml:space="preserve"> </w:t>
      </w:r>
      <w:r>
        <w:rPr>
          <w:sz w:val="21"/>
          <w:szCs w:val="21"/>
          <w:color w:val="231F20"/>
          <w:spacing w:val="-3"/>
        </w:rPr>
        <w:t>22</w:t>
      </w:r>
      <w:r>
        <w:rPr>
          <w:sz w:val="21"/>
          <w:szCs w:val="21"/>
          <w:color w:val="231F20"/>
          <w:spacing w:val="-46"/>
        </w:rPr>
        <w:t xml:space="preserve"> </w:t>
      </w:r>
      <w:r>
        <w:rPr>
          <w:sz w:val="21"/>
          <w:szCs w:val="21"/>
          <w:color w:val="231F20"/>
          <w:spacing w:val="-3"/>
        </w:rPr>
        <w:t>例，女患者</w:t>
      </w:r>
      <w:r>
        <w:rPr>
          <w:sz w:val="21"/>
          <w:szCs w:val="21"/>
          <w:color w:val="231F20"/>
          <w:spacing w:val="-22"/>
        </w:rPr>
        <w:t xml:space="preserve"> </w:t>
      </w:r>
      <w:r>
        <w:rPr>
          <w:sz w:val="21"/>
          <w:szCs w:val="21"/>
          <w:color w:val="231F20"/>
          <w:spacing w:val="-3"/>
        </w:rPr>
        <w:t>18</w:t>
      </w:r>
      <w:r>
        <w:rPr>
          <w:sz w:val="21"/>
          <w:szCs w:val="21"/>
          <w:color w:val="231F20"/>
          <w:spacing w:val="-46"/>
        </w:rPr>
        <w:t xml:space="preserve"> </w:t>
      </w:r>
      <w:r>
        <w:rPr>
          <w:sz w:val="21"/>
          <w:szCs w:val="21"/>
          <w:color w:val="231F20"/>
          <w:spacing w:val="-3"/>
        </w:rPr>
        <w:t>例；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5"/>
        </w:rPr>
        <w:t>年龄区间为</w:t>
      </w:r>
      <w:r>
        <w:rPr>
          <w:sz w:val="21"/>
          <w:szCs w:val="21"/>
          <w:color w:val="231F20"/>
          <w:spacing w:val="-50"/>
        </w:rPr>
        <w:t xml:space="preserve"> </w:t>
      </w:r>
      <w:r>
        <w:rPr>
          <w:sz w:val="21"/>
          <w:szCs w:val="21"/>
          <w:color w:val="231F20"/>
          <w:spacing w:val="-15"/>
        </w:rPr>
        <w:t>16</w:t>
      </w:r>
      <w:r>
        <w:rPr>
          <w:sz w:val="21"/>
          <w:szCs w:val="21"/>
          <w:color w:val="231F20"/>
          <w:spacing w:val="-30"/>
        </w:rPr>
        <w:t xml:space="preserve"> </w:t>
      </w:r>
      <w:r>
        <w:rPr>
          <w:sz w:val="21"/>
          <w:szCs w:val="21"/>
          <w:color w:val="231F20"/>
          <w:spacing w:val="-15"/>
        </w:rPr>
        <w:t>～</w:t>
      </w:r>
      <w:r>
        <w:rPr>
          <w:sz w:val="21"/>
          <w:szCs w:val="21"/>
          <w:color w:val="231F20"/>
          <w:spacing w:val="-26"/>
        </w:rPr>
        <w:t xml:space="preserve"> </w:t>
      </w:r>
      <w:r>
        <w:rPr>
          <w:sz w:val="21"/>
          <w:szCs w:val="21"/>
          <w:color w:val="231F20"/>
          <w:spacing w:val="-15"/>
        </w:rPr>
        <w:t>59岁，平均年龄（36.</w:t>
      </w:r>
      <w:r>
        <w:rPr>
          <w:sz w:val="21"/>
          <w:szCs w:val="21"/>
          <w:color w:val="231F20"/>
          <w:spacing w:val="-16"/>
        </w:rPr>
        <w:t>46±3.04）岁；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3"/>
        </w:rPr>
        <w:t>病程</w:t>
      </w:r>
      <w:r>
        <w:rPr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13"/>
        </w:rPr>
        <w:t>5 ～ 38h，平均病程（21.36±1.55）h。参照组：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8"/>
        </w:rPr>
        <w:t>男患者21例，女患者</w:t>
      </w:r>
      <w:r>
        <w:rPr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  <w:spacing w:val="-8"/>
        </w:rPr>
        <w:t>19例；年龄区间为</w:t>
      </w:r>
      <w:r>
        <w:rPr>
          <w:sz w:val="21"/>
          <w:szCs w:val="21"/>
          <w:color w:val="231F20"/>
          <w:spacing w:val="-49"/>
        </w:rPr>
        <w:t xml:space="preserve"> </w:t>
      </w:r>
      <w:r>
        <w:rPr>
          <w:sz w:val="21"/>
          <w:szCs w:val="21"/>
          <w:color w:val="231F20"/>
          <w:spacing w:val="-8"/>
        </w:rPr>
        <w:t>16</w:t>
      </w:r>
      <w:r>
        <w:rPr>
          <w:sz w:val="21"/>
          <w:szCs w:val="21"/>
          <w:color w:val="231F20"/>
          <w:spacing w:val="-30"/>
        </w:rPr>
        <w:t xml:space="preserve"> </w:t>
      </w:r>
      <w:r>
        <w:rPr>
          <w:sz w:val="21"/>
          <w:szCs w:val="21"/>
          <w:color w:val="231F20"/>
          <w:spacing w:val="-8"/>
        </w:rPr>
        <w:t>～</w:t>
      </w:r>
      <w:r>
        <w:rPr>
          <w:sz w:val="21"/>
          <w:szCs w:val="21"/>
          <w:color w:val="231F20"/>
          <w:spacing w:val="-25"/>
        </w:rPr>
        <w:t xml:space="preserve"> </w:t>
      </w:r>
      <w:r>
        <w:rPr>
          <w:sz w:val="21"/>
          <w:szCs w:val="21"/>
          <w:color w:val="231F20"/>
          <w:spacing w:val="-8"/>
        </w:rPr>
        <w:t>60岁，</w:t>
      </w:r>
    </w:p>
    <w:p>
      <w:pPr>
        <w:spacing w:line="351" w:lineRule="auto"/>
        <w:sectPr>
          <w:type w:val="continuous"/>
          <w:pgSz w:w="11906" w:h="16838"/>
          <w:pgMar w:top="1" w:right="952" w:bottom="0" w:left="424" w:header="0" w:footer="0" w:gutter="0"/>
          <w:cols w:equalWidth="0" w:num="2">
            <w:col w:w="5688" w:space="100"/>
            <w:col w:w="4742" w:space="0"/>
          </w:cols>
        </w:sectPr>
        <w:rPr>
          <w:sz w:val="21"/>
          <w:szCs w:val="21"/>
        </w:rPr>
      </w:pPr>
    </w:p>
    <w:p>
      <w:pPr>
        <w:spacing w:line="259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6565997</wp:posOffset>
            </wp:positionH>
            <wp:positionV relativeFrom="paragraph">
              <wp:posOffset>-10084691</wp:posOffset>
            </wp:positionV>
            <wp:extent cx="6350" cy="385208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385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59" w:line="235" w:lineRule="auto"/>
        <w:jc w:val="righ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20"/>
          <w:szCs w:val="20"/>
          <w:color w:val="D0D1D3"/>
        </w:rPr>
        <w:t>Fertility</w:t>
      </w:r>
      <w:r>
        <w:rPr>
          <w:rFonts w:ascii="Arial" w:hAnsi="Arial" w:eastAsia="Arial" w:cs="Arial"/>
          <w:sz w:val="20"/>
          <w:szCs w:val="20"/>
          <w:color w:val="D0D1D3"/>
          <w:spacing w:val="17"/>
        </w:rPr>
        <w:t xml:space="preserve"> &amp;</w:t>
      </w:r>
      <w:r>
        <w:rPr>
          <w:rFonts w:ascii="Arial" w:hAnsi="Arial" w:eastAsia="Arial" w:cs="Arial"/>
          <w:sz w:val="20"/>
          <w:szCs w:val="20"/>
          <w:color w:val="D0D1D3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D0D1D3"/>
        </w:rPr>
        <w:t>Health</w:t>
      </w:r>
      <w:r>
        <w:rPr>
          <w:rFonts w:ascii="Arial" w:hAnsi="Arial" w:eastAsia="Arial" w:cs="Arial"/>
          <w:sz w:val="20"/>
          <w:szCs w:val="20"/>
          <w:color w:val="D0D1D3"/>
          <w:spacing w:val="12"/>
        </w:rPr>
        <w:t xml:space="preserve">   </w:t>
      </w:r>
      <w:r>
        <w:rPr>
          <w:sz w:val="20"/>
          <w:szCs w:val="20"/>
        </w:rPr>
        <w:drawing>
          <wp:inline distT="0" distB="0" distL="0" distR="0">
            <wp:extent cx="3593" cy="115201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93" cy="11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0"/>
          <w:szCs w:val="20"/>
          <w:color w:val="D0D1D3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>121</w:t>
      </w:r>
    </w:p>
    <w:p>
      <w:pPr>
        <w:spacing w:line="235" w:lineRule="auto"/>
        <w:sectPr>
          <w:type w:val="continuous"/>
          <w:pgSz w:w="11906" w:h="16838"/>
          <w:pgMar w:top="1" w:right="952" w:bottom="0" w:left="424" w:header="0" w:footer="0" w:gutter="0"/>
          <w:cols w:equalWidth="0" w:num="1">
            <w:col w:w="10529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74" w:lineRule="auto"/>
        <w:rPr>
          <w:rFonts w:ascii="Arial"/>
          <w:sz w:val="21"/>
        </w:rPr>
      </w:pPr>
      <w:r/>
    </w:p>
    <w:p>
      <w:pPr>
        <w:spacing w:before="69" w:line="19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B6B7BB"/>
          <w:spacing w:val="23"/>
        </w:rPr>
        <w:t>健康护理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31" w:lineRule="auto"/>
        <w:rPr>
          <w:rFonts w:ascii="Arial"/>
          <w:sz w:val="21"/>
        </w:rPr>
      </w:pPr>
      <w:r/>
    </w:p>
    <w:p>
      <w:pPr>
        <w:spacing w:before="52" w:line="206" w:lineRule="auto"/>
        <w:rPr>
          <w:rFonts w:ascii="Microsoft YaHei" w:hAnsi="Microsoft YaHei" w:eastAsia="Microsoft YaHei" w:cs="Microsoft YaHei"/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color w:val="7C7E81"/>
          <w:spacing w:val="19"/>
        </w:rPr>
        <w:t>婚育与健康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32" w:lineRule="auto"/>
        <w:rPr>
          <w:rFonts w:ascii="Arial"/>
          <w:sz w:val="21"/>
        </w:rPr>
      </w:pPr>
      <w:r/>
    </w:p>
    <w:p>
      <w:pPr>
        <w:spacing w:before="52" w:line="200" w:lineRule="auto"/>
        <w:rPr>
          <w:rFonts w:ascii="Microsoft YaHei" w:hAnsi="Microsoft YaHei" w:eastAsia="Microsoft YaHei" w:cs="Microsoft YaHei"/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color w:val="7C7E81"/>
          <w:spacing w:val="-2"/>
        </w:rPr>
        <w:t>2024 年 8 月（下） 第 30 卷</w:t>
      </w:r>
      <w:r>
        <w:rPr>
          <w:rFonts w:ascii="Microsoft YaHei" w:hAnsi="Microsoft YaHei" w:eastAsia="Microsoft YaHei" w:cs="Microsoft YaHei"/>
          <w:sz w:val="12"/>
          <w:szCs w:val="12"/>
          <w:color w:val="7C7E81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2"/>
          <w:szCs w:val="12"/>
          <w:color w:val="7C7E81"/>
          <w:spacing w:val="-2"/>
        </w:rPr>
        <w:t>第</w:t>
      </w:r>
      <w:r>
        <w:rPr>
          <w:rFonts w:ascii="Microsoft YaHei" w:hAnsi="Microsoft YaHei" w:eastAsia="Microsoft YaHei" w:cs="Microsoft YaHei"/>
          <w:sz w:val="12"/>
          <w:szCs w:val="12"/>
          <w:color w:val="7C7E81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2"/>
          <w:szCs w:val="12"/>
          <w:color w:val="7C7E81"/>
          <w:spacing w:val="-2"/>
        </w:rPr>
        <w:t>16 期</w:t>
      </w:r>
    </w:p>
    <w:p>
      <w:pPr>
        <w:spacing w:line="200" w:lineRule="auto"/>
        <w:sectPr>
          <w:headerReference w:type="default" r:id="rId4"/>
          <w:pgSz w:w="11906" w:h="16838"/>
          <w:pgMar w:top="1" w:right="1122" w:bottom="0" w:left="416" w:header="0" w:footer="0" w:gutter="0"/>
          <w:cols w:equalWidth="0" w:num="4">
            <w:col w:w="721" w:space="91"/>
            <w:col w:w="1411" w:space="100"/>
            <w:col w:w="720" w:space="58"/>
            <w:col w:w="7267" w:space="0"/>
          </w:cols>
        </w:sectPr>
        <w:rPr>
          <w:rFonts w:ascii="Microsoft YaHei" w:hAnsi="Microsoft YaHei" w:eastAsia="Microsoft YaHei" w:cs="Microsoft YaHei"/>
          <w:sz w:val="12"/>
          <w:szCs w:val="12"/>
        </w:rPr>
      </w:pPr>
    </w:p>
    <w:p>
      <w:pPr>
        <w:spacing w:before="24"/>
        <w:rPr/>
      </w:pPr>
      <w:r/>
    </w:p>
    <w:p>
      <w:pPr>
        <w:spacing w:before="23"/>
        <w:rPr/>
      </w:pPr>
      <w:r/>
    </w:p>
    <w:p>
      <w:pPr>
        <w:sectPr>
          <w:type w:val="continuous"/>
          <w:pgSz w:w="11906" w:h="16838"/>
          <w:pgMar w:top="1" w:right="1122" w:bottom="0" w:left="416" w:header="0" w:footer="0" w:gutter="0"/>
          <w:cols w:equalWidth="0" w:num="1">
            <w:col w:w="10367" w:space="0"/>
          </w:cols>
        </w:sectPr>
        <w:rPr/>
      </w:pPr>
    </w:p>
    <w:p>
      <w:pPr>
        <w:pStyle w:val="BodyText"/>
        <w:ind w:left="664" w:right="299"/>
        <w:spacing w:before="48" w:line="352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-6"/>
        </w:rPr>
        <w:t>平均年龄（36.42±3.11）岁；病程</w:t>
      </w:r>
      <w:r>
        <w:rPr>
          <w:sz w:val="21"/>
          <w:szCs w:val="21"/>
          <w:color w:val="231F20"/>
          <w:spacing w:val="-34"/>
        </w:rPr>
        <w:t xml:space="preserve"> </w:t>
      </w:r>
      <w:r>
        <w:rPr>
          <w:sz w:val="21"/>
          <w:szCs w:val="21"/>
          <w:color w:val="231F20"/>
          <w:spacing w:val="-6"/>
        </w:rPr>
        <w:t>5 ～ 39h，平均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病程（21.25±1.51）h。两组患者的一</w:t>
      </w:r>
      <w:r>
        <w:rPr>
          <w:sz w:val="21"/>
          <w:szCs w:val="21"/>
          <w:color w:val="231F20"/>
          <w:spacing w:val="-1"/>
        </w:rPr>
        <w:t>般资料对比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3"/>
        </w:rPr>
        <w:t>分析差异不大，</w:t>
      </w:r>
      <w:r>
        <w:rPr>
          <w:sz w:val="21"/>
          <w:szCs w:val="21"/>
          <w:i/>
          <w:iCs/>
          <w:color w:val="231F20"/>
          <w:spacing w:val="-3"/>
        </w:rPr>
        <w:t>P</w:t>
      </w:r>
      <w:r>
        <w:rPr>
          <w:sz w:val="21"/>
          <w:szCs w:val="21"/>
          <w:color w:val="231F20"/>
          <w:spacing w:val="-3"/>
        </w:rPr>
        <w:t>&gt;0.05，说明可进行对比研究。</w:t>
      </w:r>
    </w:p>
    <w:p>
      <w:pPr>
        <w:pStyle w:val="BodyText"/>
        <w:ind w:left="1126"/>
        <w:spacing w:before="1" w:line="281" w:lineRule="exact"/>
        <w:rPr>
          <w:sz w:val="21"/>
          <w:szCs w:val="21"/>
        </w:rPr>
      </w:pPr>
      <w:r>
        <w:rPr>
          <w:sz w:val="21"/>
          <w:szCs w:val="21"/>
          <w:color w:val="231F20"/>
          <w:spacing w:val="-16"/>
          <w:position w:val="1"/>
        </w:rPr>
        <w:t>1.1.1</w:t>
      </w:r>
      <w:r>
        <w:rPr>
          <w:sz w:val="21"/>
          <w:szCs w:val="21"/>
          <w:color w:val="231F20"/>
          <w:spacing w:val="-40"/>
          <w:position w:val="1"/>
        </w:rPr>
        <w:t xml:space="preserve"> </w:t>
      </w:r>
      <w:r>
        <w:rPr>
          <w:sz w:val="21"/>
          <w:szCs w:val="21"/>
          <w:color w:val="231F20"/>
          <w:spacing w:val="-16"/>
          <w:position w:val="1"/>
        </w:rPr>
        <w:t>患者来源</w:t>
      </w:r>
    </w:p>
    <w:p>
      <w:pPr>
        <w:pStyle w:val="BodyText"/>
        <w:ind w:left="663" w:right="299" w:firstLine="443"/>
        <w:spacing w:before="125" w:line="350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3"/>
        </w:rPr>
        <w:t>截取</w:t>
      </w:r>
      <w:r>
        <w:rPr>
          <w:sz w:val="21"/>
          <w:szCs w:val="21"/>
          <w:color w:val="231F20"/>
          <w:spacing w:val="-38"/>
        </w:rPr>
        <w:t xml:space="preserve"> </w:t>
      </w:r>
      <w:r>
        <w:rPr>
          <w:sz w:val="21"/>
          <w:szCs w:val="21"/>
          <w:color w:val="231F20"/>
          <w:spacing w:val="-3"/>
        </w:rPr>
        <w:t>2021</w:t>
      </w:r>
      <w:r>
        <w:rPr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3"/>
        </w:rPr>
        <w:t>年</w:t>
      </w:r>
      <w:r>
        <w:rPr>
          <w:sz w:val="21"/>
          <w:szCs w:val="21"/>
          <w:color w:val="231F20"/>
          <w:spacing w:val="-29"/>
        </w:rPr>
        <w:t xml:space="preserve"> </w:t>
      </w:r>
      <w:r>
        <w:rPr>
          <w:sz w:val="21"/>
          <w:szCs w:val="21"/>
          <w:color w:val="231F20"/>
          <w:spacing w:val="-3"/>
        </w:rPr>
        <w:t>1</w:t>
      </w:r>
      <w:r>
        <w:rPr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  <w:spacing w:val="-3"/>
        </w:rPr>
        <w:t>月—2023</w:t>
      </w:r>
      <w:r>
        <w:rPr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3"/>
        </w:rPr>
        <w:t>年</w:t>
      </w:r>
      <w:r>
        <w:rPr>
          <w:sz w:val="21"/>
          <w:szCs w:val="21"/>
          <w:color w:val="231F20"/>
          <w:spacing w:val="-28"/>
        </w:rPr>
        <w:t xml:space="preserve"> </w:t>
      </w:r>
      <w:r>
        <w:rPr>
          <w:sz w:val="21"/>
          <w:szCs w:val="21"/>
          <w:color w:val="231F20"/>
          <w:spacing w:val="-3"/>
        </w:rPr>
        <w:t>1</w:t>
      </w:r>
      <w:r>
        <w:rPr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  <w:spacing w:val="-3"/>
        </w:rPr>
        <w:t>月来我院接受治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2"/>
        </w:rPr>
        <w:t>疗的急性阑尾炎手术患者作为研究对象。</w:t>
      </w:r>
    </w:p>
    <w:p>
      <w:pPr>
        <w:pStyle w:val="BodyText"/>
        <w:ind w:left="1126"/>
        <w:spacing w:line="281" w:lineRule="exact"/>
        <w:rPr>
          <w:sz w:val="21"/>
          <w:szCs w:val="21"/>
        </w:rPr>
      </w:pPr>
      <w:r>
        <w:rPr>
          <w:sz w:val="21"/>
          <w:szCs w:val="21"/>
          <w:color w:val="231F20"/>
          <w:spacing w:val="-16"/>
          <w:position w:val="1"/>
        </w:rPr>
        <w:t>1.1.2</w:t>
      </w:r>
      <w:r>
        <w:rPr>
          <w:sz w:val="21"/>
          <w:szCs w:val="21"/>
          <w:color w:val="231F20"/>
          <w:spacing w:val="-40"/>
          <w:position w:val="1"/>
        </w:rPr>
        <w:t xml:space="preserve"> </w:t>
      </w:r>
      <w:r>
        <w:rPr>
          <w:sz w:val="21"/>
          <w:szCs w:val="21"/>
          <w:color w:val="231F20"/>
          <w:spacing w:val="-16"/>
          <w:position w:val="1"/>
        </w:rPr>
        <w:t>纳入标准</w:t>
      </w:r>
    </w:p>
    <w:p>
      <w:pPr>
        <w:pStyle w:val="BodyText"/>
        <w:ind w:left="666" w:right="299" w:firstLine="439"/>
        <w:spacing w:before="126" w:line="351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9"/>
        </w:rPr>
        <w:t>所有患者均满足急性阑尾炎疾病诊断标准；</w:t>
      </w:r>
      <w:r>
        <w:rPr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-1"/>
        </w:rPr>
        <w:t>患者具备手术指征，且同意实施手术治疗；知晓本</w:t>
      </w:r>
      <w:r>
        <w:rPr>
          <w:sz w:val="21"/>
          <w:szCs w:val="21"/>
          <w:color w:val="231F20"/>
          <w:spacing w:val="15"/>
        </w:rPr>
        <w:t xml:space="preserve"> </w:t>
      </w:r>
      <w:r>
        <w:rPr>
          <w:sz w:val="21"/>
          <w:szCs w:val="21"/>
          <w:color w:val="231F20"/>
          <w:spacing w:val="-1"/>
        </w:rPr>
        <w:t>次研究内容，并进行知情同意书签署；获得医学伦</w:t>
      </w:r>
      <w:r>
        <w:rPr>
          <w:sz w:val="21"/>
          <w:szCs w:val="21"/>
          <w:color w:val="231F20"/>
          <w:spacing w:val="15"/>
        </w:rPr>
        <w:t xml:space="preserve"> </w:t>
      </w:r>
      <w:r>
        <w:rPr>
          <w:sz w:val="21"/>
          <w:szCs w:val="21"/>
          <w:color w:val="231F20"/>
          <w:spacing w:val="-2"/>
        </w:rPr>
        <w:t>理委员会批准；患者临床资料完整。</w:t>
      </w:r>
    </w:p>
    <w:p>
      <w:pPr>
        <w:pStyle w:val="BodyText"/>
        <w:ind w:left="1126"/>
        <w:spacing w:line="280" w:lineRule="exact"/>
        <w:rPr>
          <w:sz w:val="21"/>
          <w:szCs w:val="21"/>
        </w:rPr>
      </w:pPr>
      <w:r>
        <w:rPr>
          <w:sz w:val="21"/>
          <w:szCs w:val="21"/>
          <w:color w:val="231F20"/>
          <w:spacing w:val="-16"/>
          <w:position w:val="1"/>
        </w:rPr>
        <w:t>1.1.3</w:t>
      </w:r>
      <w:r>
        <w:rPr>
          <w:sz w:val="21"/>
          <w:szCs w:val="21"/>
          <w:color w:val="231F20"/>
          <w:spacing w:val="-41"/>
          <w:position w:val="1"/>
        </w:rPr>
        <w:t xml:space="preserve"> </w:t>
      </w:r>
      <w:r>
        <w:rPr>
          <w:sz w:val="21"/>
          <w:szCs w:val="21"/>
          <w:color w:val="231F20"/>
          <w:spacing w:val="-16"/>
          <w:position w:val="1"/>
        </w:rPr>
        <w:t>排除标准</w:t>
      </w:r>
    </w:p>
    <w:p>
      <w:pPr>
        <w:pStyle w:val="BodyText"/>
        <w:ind w:left="664" w:right="307" w:firstLine="442"/>
        <w:spacing w:before="121" w:line="352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9"/>
        </w:rPr>
        <w:t>合并有精神疾病或心理疾病；合并有传染性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2"/>
        </w:rPr>
        <w:t>疾病或者其他恶性疾病；合并多器官不全患者。</w:t>
      </w:r>
    </w:p>
    <w:p>
      <w:pPr>
        <w:pStyle w:val="BodyText"/>
        <w:ind w:left="1126"/>
        <w:spacing w:before="1" w:line="282" w:lineRule="exact"/>
        <w:rPr>
          <w:sz w:val="21"/>
          <w:szCs w:val="21"/>
        </w:rPr>
      </w:pPr>
      <w:r>
        <w:rPr>
          <w:sz w:val="21"/>
          <w:szCs w:val="21"/>
          <w:color w:val="231F20"/>
          <w:spacing w:val="-23"/>
          <w:position w:val="1"/>
        </w:rPr>
        <w:t>1.2.</w:t>
      </w:r>
      <w:r>
        <w:rPr>
          <w:sz w:val="21"/>
          <w:szCs w:val="21"/>
          <w:color w:val="231F20"/>
          <w:spacing w:val="-45"/>
          <w:position w:val="1"/>
        </w:rPr>
        <w:t xml:space="preserve"> </w:t>
      </w:r>
      <w:r>
        <w:rPr>
          <w:sz w:val="21"/>
          <w:szCs w:val="21"/>
          <w:color w:val="231F20"/>
          <w:spacing w:val="-23"/>
          <w:position w:val="1"/>
        </w:rPr>
        <w:t>方法</w:t>
      </w:r>
    </w:p>
    <w:p>
      <w:pPr>
        <w:pStyle w:val="BodyText"/>
        <w:ind w:left="661" w:right="299" w:firstLine="443"/>
        <w:spacing w:before="118" w:line="351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9"/>
        </w:rPr>
        <w:t>参照组采取常规护理，具体内容为：术前告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</w:rPr>
        <w:t>知患者相关手术方法与手术具体操作，包括手</w:t>
      </w:r>
      <w:r>
        <w:rPr>
          <w:sz w:val="21"/>
          <w:szCs w:val="21"/>
          <w:color w:val="231F20"/>
          <w:spacing w:val="-1"/>
        </w:rPr>
        <w:t>术作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用与效果，尽量安抚患者因手术带来的不良情</w:t>
      </w:r>
      <w:r>
        <w:rPr>
          <w:sz w:val="21"/>
          <w:szCs w:val="21"/>
          <w:color w:val="231F20"/>
          <w:spacing w:val="-1"/>
        </w:rPr>
        <w:t>绪；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与患者家属进行沟通，做好患者术前准备工作</w:t>
      </w:r>
      <w:r>
        <w:rPr>
          <w:sz w:val="21"/>
          <w:szCs w:val="21"/>
          <w:color w:val="231F20"/>
          <w:spacing w:val="-1"/>
        </w:rPr>
        <w:t>；术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中协助患者采取相应的手术体位，密切观察患</w:t>
      </w:r>
      <w:r>
        <w:rPr>
          <w:sz w:val="21"/>
          <w:szCs w:val="21"/>
          <w:color w:val="231F20"/>
          <w:spacing w:val="-1"/>
        </w:rPr>
        <w:t>者生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命体征变化情况；术后观察引流管颜色、性状</w:t>
      </w:r>
      <w:r>
        <w:rPr>
          <w:sz w:val="21"/>
          <w:szCs w:val="21"/>
          <w:color w:val="231F20"/>
          <w:spacing w:val="-1"/>
        </w:rPr>
        <w:t>等变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化情况，并做好相应指标记录工作，遵医嘱对</w:t>
      </w:r>
      <w:r>
        <w:rPr>
          <w:sz w:val="21"/>
          <w:szCs w:val="21"/>
          <w:color w:val="231F20"/>
          <w:spacing w:val="-1"/>
        </w:rPr>
        <w:t>患者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的异常情况进行处理，指导患者正确用药，术</w:t>
      </w:r>
      <w:r>
        <w:rPr>
          <w:sz w:val="21"/>
          <w:szCs w:val="21"/>
          <w:color w:val="231F20"/>
          <w:spacing w:val="-1"/>
        </w:rPr>
        <w:t>后适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3"/>
        </w:rPr>
        <w:t>当活动，促进恢复。</w:t>
      </w:r>
    </w:p>
    <w:p>
      <w:pPr>
        <w:pStyle w:val="BodyText"/>
        <w:ind w:left="663" w:right="185" w:firstLine="447"/>
        <w:spacing w:before="18" w:line="352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实验组患者应用循证护理，具体步骤为</w:t>
      </w:r>
      <w:r>
        <w:rPr>
          <w:sz w:val="21"/>
          <w:szCs w:val="21"/>
          <w:color w:val="231F20"/>
          <w:spacing w:val="-2"/>
        </w:rPr>
        <w:t>：（</w:t>
      </w:r>
      <w:r>
        <w:rPr>
          <w:sz w:val="21"/>
          <w:szCs w:val="21"/>
          <w:color w:val="231F20"/>
          <w:spacing w:val="-1"/>
        </w:rPr>
        <w:t>1）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  <w:spacing w:val="-1"/>
        </w:rPr>
        <w:t>循证依据：回顾性分析我院急性阑尾炎手术患者既</w:t>
      </w:r>
      <w:r>
        <w:rPr>
          <w:sz w:val="21"/>
          <w:szCs w:val="21"/>
          <w:color w:val="231F20"/>
          <w:spacing w:val="9"/>
        </w:rPr>
        <w:t xml:space="preserve">  </w:t>
      </w:r>
      <w:r>
        <w:rPr>
          <w:sz w:val="21"/>
          <w:szCs w:val="21"/>
          <w:color w:val="231F20"/>
          <w:spacing w:val="-1"/>
        </w:rPr>
        <w:t>往护理工作中的护理问题，并结合患者实际情况分</w:t>
      </w:r>
      <w:r>
        <w:rPr>
          <w:sz w:val="21"/>
          <w:szCs w:val="21"/>
          <w:color w:val="231F20"/>
          <w:spacing w:val="9"/>
        </w:rPr>
        <w:t xml:space="preserve">  </w:t>
      </w:r>
      <w:r>
        <w:rPr>
          <w:sz w:val="21"/>
          <w:szCs w:val="21"/>
          <w:color w:val="231F20"/>
          <w:spacing w:val="-1"/>
        </w:rPr>
        <w:t>析患者围术期可能发生的并发症，针对并发症查阅</w:t>
      </w:r>
      <w:r>
        <w:rPr>
          <w:sz w:val="21"/>
          <w:szCs w:val="21"/>
          <w:color w:val="231F20"/>
          <w:spacing w:val="9"/>
        </w:rPr>
        <w:t xml:space="preserve">  </w:t>
      </w:r>
      <w:r>
        <w:rPr>
          <w:sz w:val="21"/>
          <w:szCs w:val="21"/>
          <w:color w:val="231F20"/>
          <w:spacing w:val="-6"/>
        </w:rPr>
        <w:t>相关文献、资料以及书籍等，制定针对性护理方案。</w:t>
      </w:r>
    </w:p>
    <w:p>
      <w:pPr>
        <w:pStyle w:val="BodyText"/>
        <w:ind w:left="663" w:right="299" w:hanging="12"/>
        <w:spacing w:before="3" w:line="350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4"/>
        </w:rPr>
        <w:t>（2）护理实施：首先是术后并发症预防工作，针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-1"/>
        </w:rPr>
        <w:t>对切口感染这一并发症，护理人员应该要加强患者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-1"/>
        </w:rPr>
        <w:t>的术前准备工作与心理疏导工作，让患者能以一个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-1"/>
        </w:rPr>
        <w:t>良好的心态面对手术，及时纠正营养不良症状；术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-1"/>
        </w:rPr>
        <w:t>中加强医生的配合工作，并严格按照无菌操作相关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-1"/>
        </w:rPr>
        <w:t>规定开展护理工作；术后采用无菌操作遵医嘱为患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-1"/>
        </w:rPr>
        <w:t>者换药，保持切口敷料干燥，一旦发生渗血渗液情</w:t>
      </w:r>
    </w:p>
    <w:p>
      <w:pPr>
        <w:spacing w:line="2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"/>
        <w:spacing w:before="55" w:line="352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况要及时为患者更换敷料。其次，针对粘连性肠梗</w:t>
      </w:r>
      <w:r>
        <w:rPr>
          <w:sz w:val="21"/>
          <w:szCs w:val="21"/>
          <w:color w:val="231F20"/>
          <w:spacing w:val="16"/>
        </w:rPr>
        <w:t xml:space="preserve"> </w:t>
      </w:r>
      <w:r>
        <w:rPr>
          <w:sz w:val="21"/>
          <w:szCs w:val="21"/>
          <w:color w:val="231F20"/>
          <w:spacing w:val="-1"/>
        </w:rPr>
        <w:t>阻，术后调整为半卧位，禁止术后立刻进食，避免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1"/>
        </w:rPr>
        <w:t>引起胀气等不良反应，在饮食方面应该要注意尽量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</w:rPr>
        <w:t>减少不易消化食物的摄入，如豆制品、奶制品</w:t>
      </w:r>
      <w:r>
        <w:rPr>
          <w:sz w:val="21"/>
          <w:szCs w:val="21"/>
          <w:color w:val="231F20"/>
          <w:spacing w:val="-1"/>
        </w:rPr>
        <w:t>等，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7"/>
        </w:rPr>
        <w:t>适当为患者进行胃肠道按摩，促使胃肠蠕动。最后，</w:t>
      </w:r>
      <w:r>
        <w:rPr>
          <w:sz w:val="21"/>
          <w:szCs w:val="21"/>
          <w:color w:val="231F20"/>
          <w:spacing w:val="15"/>
        </w:rPr>
        <w:t xml:space="preserve"> </w:t>
      </w:r>
      <w:r>
        <w:rPr>
          <w:sz w:val="21"/>
          <w:szCs w:val="21"/>
          <w:color w:val="231F20"/>
          <w:spacing w:val="-1"/>
        </w:rPr>
        <w:t>针对排尿障碍，术前可予以患者心理疏导，并将术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1"/>
        </w:rPr>
        <w:t>后可能发生排尿障碍的原因告知患者，指导患者提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1"/>
        </w:rPr>
        <w:t>前进行床上排尿训练，在排尿过程中要适当按压切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</w:rPr>
        <w:t>口，避免切口疼痛，术后对患者膀胱区进行热</w:t>
      </w:r>
      <w:r>
        <w:rPr>
          <w:sz w:val="21"/>
          <w:szCs w:val="21"/>
          <w:color w:val="231F20"/>
          <w:spacing w:val="-1"/>
        </w:rPr>
        <w:t>敷，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促进排尿，密切观察患者术后心理状态变化情</w:t>
      </w:r>
      <w:r>
        <w:rPr>
          <w:sz w:val="21"/>
          <w:szCs w:val="21"/>
          <w:color w:val="231F20"/>
          <w:spacing w:val="-1"/>
        </w:rPr>
        <w:t>况，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"/>
        </w:rPr>
        <w:t>予以针对性心理疏导，改善患者的情绪。术后需要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1"/>
        </w:rPr>
        <w:t>重视患者的饮食护理，可结合患者的实际情况予以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1"/>
        </w:rPr>
        <w:t>静脉营养支持，尤其是营养不良患者，加强营养干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1"/>
        </w:rPr>
        <w:t>预能促进患者术后康复；后续患者的饮食要禁食辛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1"/>
        </w:rPr>
        <w:t>辣、刺激性食物，也要注意避免摄入容易产生气体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1"/>
        </w:rPr>
        <w:t>的食物，预防其中由于饮食不当对于手术切口愈合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1"/>
        </w:rPr>
        <w:t>造成影响。疼痛护理当中应做到术后为患者结合具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1"/>
        </w:rPr>
        <w:t>体情况客观评估疼痛程度，如患者疼痛感强烈，对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1"/>
        </w:rPr>
        <w:t>于患者的日常生活造成较大影响，需要遵医嘱应用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1"/>
        </w:rPr>
        <w:t>镇痛药物；如患者的疼痛感比较轻微，可通过转移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3"/>
        </w:rPr>
        <w:t>患者的注意力改善疼痛感。</w:t>
      </w:r>
    </w:p>
    <w:p>
      <w:pPr>
        <w:pStyle w:val="BodyText"/>
        <w:ind w:left="462"/>
        <w:spacing w:before="6" w:line="281" w:lineRule="exact"/>
        <w:rPr>
          <w:sz w:val="21"/>
          <w:szCs w:val="21"/>
        </w:rPr>
      </w:pPr>
      <w:r>
        <w:rPr>
          <w:sz w:val="21"/>
          <w:szCs w:val="21"/>
          <w:color w:val="231F20"/>
          <w:spacing w:val="-13"/>
          <w:position w:val="1"/>
        </w:rPr>
        <w:t>1.3</w:t>
      </w:r>
      <w:r>
        <w:rPr>
          <w:sz w:val="21"/>
          <w:szCs w:val="21"/>
          <w:color w:val="231F20"/>
          <w:spacing w:val="-39"/>
          <w:position w:val="1"/>
        </w:rPr>
        <w:t xml:space="preserve"> </w:t>
      </w:r>
      <w:r>
        <w:rPr>
          <w:sz w:val="21"/>
          <w:szCs w:val="21"/>
          <w:color w:val="231F20"/>
          <w:spacing w:val="-13"/>
          <w:position w:val="1"/>
        </w:rPr>
        <w:t>观察指标</w:t>
      </w:r>
    </w:p>
    <w:p>
      <w:pPr>
        <w:pStyle w:val="BodyText"/>
        <w:ind w:right="68" w:firstLine="468"/>
        <w:spacing w:before="124" w:line="352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7"/>
        </w:rPr>
        <w:t>比较两组患者的术后并发症（切口感染、下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-1"/>
        </w:rPr>
        <w:t>肢静脉血栓、粘连性肠梗阻和排尿障碍）发生率以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1"/>
        </w:rPr>
        <w:t>及护理前后的心理状态（</w:t>
      </w:r>
      <w:r>
        <w:rPr>
          <w:sz w:val="21"/>
          <w:szCs w:val="21"/>
          <w:color w:val="231F20"/>
        </w:rPr>
        <w:t>SAS</w:t>
      </w:r>
      <w:r>
        <w:rPr>
          <w:sz w:val="21"/>
          <w:szCs w:val="21"/>
          <w:color w:val="231F20"/>
          <w:spacing w:val="-30"/>
        </w:rPr>
        <w:t xml:space="preserve"> </w:t>
      </w:r>
      <w:r>
        <w:rPr>
          <w:sz w:val="21"/>
          <w:szCs w:val="21"/>
          <w:color w:val="231F20"/>
          <w:spacing w:val="1"/>
        </w:rPr>
        <w:t>评分与</w:t>
      </w:r>
      <w:r>
        <w:rPr>
          <w:sz w:val="21"/>
          <w:szCs w:val="21"/>
          <w:color w:val="231F20"/>
          <w:spacing w:val="-46"/>
        </w:rPr>
        <w:t xml:space="preserve"> </w:t>
      </w:r>
      <w:r>
        <w:rPr>
          <w:sz w:val="21"/>
          <w:szCs w:val="21"/>
          <w:color w:val="231F20"/>
        </w:rPr>
        <w:t>SDS</w:t>
      </w:r>
      <w:r>
        <w:rPr>
          <w:sz w:val="21"/>
          <w:szCs w:val="21"/>
          <w:color w:val="231F20"/>
          <w:spacing w:val="-51"/>
        </w:rPr>
        <w:t xml:space="preserve"> </w:t>
      </w:r>
      <w:r>
        <w:rPr>
          <w:sz w:val="21"/>
          <w:szCs w:val="21"/>
          <w:color w:val="231F20"/>
          <w:spacing w:val="1"/>
        </w:rPr>
        <w:t>评分）。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3"/>
        </w:rPr>
        <w:t>心理状态评分：</w:t>
      </w:r>
      <w:r>
        <w:rPr>
          <w:sz w:val="21"/>
          <w:szCs w:val="21"/>
          <w:color w:val="231F20"/>
        </w:rPr>
        <w:t>SAS</w:t>
      </w:r>
      <w:r>
        <w:rPr>
          <w:sz w:val="21"/>
          <w:szCs w:val="21"/>
          <w:color w:val="231F20"/>
          <w:spacing w:val="-33"/>
        </w:rPr>
        <w:t xml:space="preserve"> </w:t>
      </w:r>
      <w:r>
        <w:rPr>
          <w:sz w:val="21"/>
          <w:szCs w:val="21"/>
          <w:color w:val="231F20"/>
          <w:spacing w:val="13"/>
        </w:rPr>
        <w:t>评分与</w:t>
      </w:r>
      <w:r>
        <w:rPr>
          <w:sz w:val="21"/>
          <w:szCs w:val="21"/>
          <w:color w:val="231F20"/>
          <w:spacing w:val="-41"/>
        </w:rPr>
        <w:t xml:space="preserve"> </w:t>
      </w:r>
      <w:r>
        <w:rPr>
          <w:sz w:val="21"/>
          <w:szCs w:val="21"/>
          <w:color w:val="231F20"/>
        </w:rPr>
        <w:t>SDS</w:t>
      </w:r>
      <w:r>
        <w:rPr>
          <w:sz w:val="21"/>
          <w:szCs w:val="21"/>
          <w:color w:val="231F20"/>
          <w:spacing w:val="-46"/>
        </w:rPr>
        <w:t xml:space="preserve"> </w:t>
      </w:r>
      <w:r>
        <w:rPr>
          <w:sz w:val="21"/>
          <w:szCs w:val="21"/>
          <w:color w:val="231F20"/>
          <w:spacing w:val="13"/>
        </w:rPr>
        <w:t>评分的评分标准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"/>
        </w:rPr>
        <w:t>分别为焦虑、抑郁自评量表，分数越高则表明患者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3"/>
        </w:rPr>
        <w:t>的焦虑、抑郁情绪越严重。</w:t>
      </w:r>
    </w:p>
    <w:p>
      <w:pPr>
        <w:pStyle w:val="BodyText"/>
        <w:ind w:left="462"/>
        <w:spacing w:line="281" w:lineRule="exact"/>
        <w:rPr>
          <w:sz w:val="21"/>
          <w:szCs w:val="21"/>
        </w:rPr>
      </w:pPr>
      <w:r>
        <w:rPr>
          <w:sz w:val="21"/>
          <w:szCs w:val="21"/>
          <w:color w:val="231F20"/>
          <w:spacing w:val="-11"/>
          <w:position w:val="1"/>
        </w:rPr>
        <w:t>1.4</w:t>
      </w:r>
      <w:r>
        <w:rPr>
          <w:sz w:val="21"/>
          <w:szCs w:val="21"/>
          <w:color w:val="231F20"/>
          <w:spacing w:val="-43"/>
          <w:position w:val="1"/>
        </w:rPr>
        <w:t xml:space="preserve"> </w:t>
      </w:r>
      <w:r>
        <w:rPr>
          <w:sz w:val="21"/>
          <w:szCs w:val="21"/>
          <w:color w:val="231F20"/>
          <w:spacing w:val="-11"/>
          <w:position w:val="1"/>
        </w:rPr>
        <w:t>统计学分析</w:t>
      </w:r>
    </w:p>
    <w:p>
      <w:pPr>
        <w:pStyle w:val="BodyText"/>
        <w:ind w:left="1" w:right="68" w:firstLine="442"/>
        <w:spacing w:before="120" w:line="344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采用</w:t>
      </w:r>
      <w:r>
        <w:rPr>
          <w:sz w:val="21"/>
          <w:szCs w:val="21"/>
          <w:color w:val="231F20"/>
          <w:spacing w:val="-38"/>
        </w:rPr>
        <w:t xml:space="preserve"> </w:t>
      </w:r>
      <w:r>
        <w:rPr>
          <w:sz w:val="21"/>
          <w:szCs w:val="21"/>
          <w:color w:val="231F20"/>
          <w:spacing w:val="-1"/>
        </w:rPr>
        <w:t>SPSS</w:t>
      </w:r>
      <w:r>
        <w:rPr>
          <w:sz w:val="21"/>
          <w:szCs w:val="21"/>
          <w:color w:val="231F20"/>
          <w:spacing w:val="-30"/>
        </w:rPr>
        <w:t xml:space="preserve"> </w:t>
      </w:r>
      <w:r>
        <w:rPr>
          <w:sz w:val="21"/>
          <w:szCs w:val="21"/>
          <w:color w:val="231F20"/>
          <w:spacing w:val="-1"/>
        </w:rPr>
        <w:t>22.0</w:t>
      </w:r>
      <w:r>
        <w:rPr>
          <w:sz w:val="21"/>
          <w:szCs w:val="21"/>
          <w:color w:val="231F20"/>
          <w:spacing w:val="-46"/>
        </w:rPr>
        <w:t xml:space="preserve"> </w:t>
      </w:r>
      <w:r>
        <w:rPr>
          <w:sz w:val="21"/>
          <w:szCs w:val="21"/>
          <w:color w:val="231F20"/>
          <w:spacing w:val="-1"/>
        </w:rPr>
        <w:t>统计学软件进行数据分析。计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"/>
        </w:rPr>
        <w:t>数资料采用（%）</w:t>
      </w:r>
      <w:r>
        <w:rPr>
          <w:sz w:val="21"/>
          <w:szCs w:val="21"/>
          <w:color w:val="231F20"/>
          <w:spacing w:val="-22"/>
        </w:rPr>
        <w:t xml:space="preserve"> </w:t>
      </w:r>
      <w:r>
        <w:rPr>
          <w:sz w:val="21"/>
          <w:szCs w:val="21"/>
          <w:color w:val="231F20"/>
          <w:spacing w:val="-1"/>
        </w:rPr>
        <w:t>表示，进行</w:t>
      </w:r>
      <w:r>
        <w:rPr>
          <w:sz w:val="21"/>
          <w:szCs w:val="21"/>
          <w:color w:val="231F2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x</w:t>
      </w:r>
      <w:r>
        <w:rPr>
          <w:sz w:val="10"/>
          <w:szCs w:val="10"/>
          <w:color w:val="231F20"/>
          <w:spacing w:val="-1"/>
          <w:position w:val="7"/>
        </w:rPr>
        <w:t>2 </w:t>
      </w:r>
      <w:r>
        <w:rPr>
          <w:sz w:val="21"/>
          <w:szCs w:val="21"/>
          <w:color w:val="231F20"/>
          <w:spacing w:val="-1"/>
        </w:rPr>
        <w:t>检验，计量资料采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用（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x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9"/>
        </w:rPr>
        <w:t xml:space="preserve"> </w:t>
      </w:r>
      <w:r>
        <w:rPr>
          <w:rFonts w:ascii="Microsoft YaHei UI Light" w:hAnsi="Microsoft YaHei UI Light" w:eastAsia="Microsoft YaHei UI Light" w:cs="Microsoft YaHei UI Light"/>
          <w:color w:val="231F20"/>
        </w:rPr>
        <w:t>±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s</w:t>
      </w:r>
      <w:r>
        <w:rPr>
          <w:sz w:val="21"/>
          <w:szCs w:val="21"/>
          <w:color w:val="231F20"/>
        </w:rPr>
        <w:t>）表示，进行</w:t>
      </w:r>
      <w:r>
        <w:rPr>
          <w:sz w:val="21"/>
          <w:szCs w:val="21"/>
          <w:color w:val="231F20"/>
          <w:spacing w:val="-43"/>
        </w:rPr>
        <w:t xml:space="preserve"> </w:t>
      </w:r>
      <w:r>
        <w:rPr>
          <w:sz w:val="21"/>
          <w:szCs w:val="21"/>
          <w:i/>
          <w:iCs/>
          <w:color w:val="231F20"/>
        </w:rPr>
        <w:t>t</w:t>
      </w:r>
      <w:r>
        <w:rPr>
          <w:sz w:val="21"/>
          <w:szCs w:val="21"/>
          <w:color w:val="231F20"/>
          <w:spacing w:val="-36"/>
        </w:rPr>
        <w:t xml:space="preserve"> </w:t>
      </w:r>
      <w:r>
        <w:rPr>
          <w:sz w:val="21"/>
          <w:szCs w:val="21"/>
          <w:color w:val="231F20"/>
        </w:rPr>
        <w:t>检验，</w:t>
      </w:r>
      <w:r>
        <w:rPr>
          <w:sz w:val="21"/>
          <w:szCs w:val="21"/>
          <w:i/>
          <w:iCs/>
          <w:color w:val="231F20"/>
        </w:rPr>
        <w:t>P</w:t>
      </w:r>
      <w:r>
        <w:rPr>
          <w:sz w:val="21"/>
          <w:szCs w:val="21"/>
          <w:color w:val="231F20"/>
        </w:rPr>
        <w:t>&lt;0.05</w:t>
      </w:r>
      <w:r>
        <w:rPr>
          <w:sz w:val="21"/>
          <w:szCs w:val="21"/>
          <w:color w:val="231F20"/>
          <w:spacing w:val="-39"/>
        </w:rPr>
        <w:t xml:space="preserve"> </w:t>
      </w:r>
      <w:r>
        <w:rPr>
          <w:sz w:val="21"/>
          <w:szCs w:val="21"/>
          <w:color w:val="231F20"/>
        </w:rPr>
        <w:t>为差异具有 </w:t>
      </w:r>
      <w:r>
        <w:rPr>
          <w:sz w:val="21"/>
          <w:szCs w:val="21"/>
          <w:color w:val="231F20"/>
          <w:spacing w:val="-4"/>
        </w:rPr>
        <w:t>统计学意义。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72" w:line="241" w:lineRule="auto"/>
        <w:outlineLvl w:val="1"/>
        <w:rPr>
          <w:sz w:val="22"/>
          <w:szCs w:val="22"/>
        </w:rPr>
      </w:pPr>
      <w:r>
        <w:rPr>
          <w:sz w:val="22"/>
          <w:szCs w:val="22"/>
          <w:color w:val="231F20"/>
          <w:spacing w:val="-13"/>
        </w:rPr>
        <w:t>2.</w:t>
      </w:r>
      <w:r>
        <w:rPr>
          <w:sz w:val="22"/>
          <w:szCs w:val="22"/>
          <w:color w:val="231F20"/>
          <w:spacing w:val="-48"/>
        </w:rPr>
        <w:t xml:space="preserve"> </w:t>
      </w:r>
      <w:r>
        <w:rPr>
          <w:sz w:val="22"/>
          <w:szCs w:val="22"/>
          <w:color w:val="231F20"/>
          <w:spacing w:val="-13"/>
        </w:rPr>
        <w:t>结果</w:t>
      </w:r>
    </w:p>
    <w:p>
      <w:pPr>
        <w:pStyle w:val="BodyText"/>
        <w:ind w:left="445"/>
        <w:spacing w:before="200" w:line="281" w:lineRule="exact"/>
        <w:rPr>
          <w:sz w:val="21"/>
          <w:szCs w:val="21"/>
        </w:rPr>
      </w:pPr>
      <w:r>
        <w:rPr>
          <w:sz w:val="21"/>
          <w:szCs w:val="21"/>
          <w:color w:val="231F20"/>
          <w:spacing w:val="-4"/>
          <w:position w:val="1"/>
        </w:rPr>
        <w:t>2.1</w:t>
      </w:r>
      <w:r>
        <w:rPr>
          <w:sz w:val="21"/>
          <w:szCs w:val="21"/>
          <w:color w:val="231F20"/>
          <w:spacing w:val="-38"/>
          <w:position w:val="1"/>
        </w:rPr>
        <w:t xml:space="preserve"> </w:t>
      </w:r>
      <w:r>
        <w:rPr>
          <w:sz w:val="21"/>
          <w:szCs w:val="21"/>
          <w:color w:val="231F20"/>
          <w:spacing w:val="-4"/>
          <w:position w:val="1"/>
        </w:rPr>
        <w:t>对比两组患者护理前后心理状态评分</w:t>
      </w:r>
    </w:p>
    <w:p>
      <w:pPr>
        <w:spacing w:line="281" w:lineRule="exact"/>
        <w:sectPr>
          <w:type w:val="continuous"/>
          <w:pgSz w:w="11906" w:h="16838"/>
          <w:pgMar w:top="1" w:right="1122" w:bottom="0" w:left="416" w:header="0" w:footer="0" w:gutter="0"/>
          <w:cols w:equalWidth="0" w:num="2">
            <w:col w:w="5581" w:space="100"/>
            <w:col w:w="4686" w:space="0"/>
          </w:cols>
        </w:sectPr>
        <w:rPr>
          <w:sz w:val="21"/>
          <w:szCs w:val="21"/>
        </w:rPr>
      </w:pPr>
    </w:p>
    <w:p>
      <w:pPr>
        <w:spacing w:line="424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452564</wp:posOffset>
            </wp:positionH>
            <wp:positionV relativeFrom="paragraph">
              <wp:posOffset>-9959163</wp:posOffset>
            </wp:positionV>
            <wp:extent cx="6350" cy="385208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385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"/>
        <w:spacing w:before="95" w:line="177" w:lineRule="auto"/>
        <w:rPr>
          <w:rFonts w:ascii="Arial" w:hAnsi="Arial" w:eastAsia="Arial" w:cs="Arial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"/>
          <w:position w:val="-1"/>
        </w:rPr>
        <w:t>中国</w:t>
      </w: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47"/>
          <w:position w:val="-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  <w:position w:val="1"/>
        </w:rPr>
        <w:t>122</w:t>
      </w:r>
      <w:r>
        <w:rPr>
          <w:rFonts w:ascii="Arial" w:hAnsi="Arial" w:eastAsia="Arial" w:cs="Arial"/>
          <w:sz w:val="18"/>
          <w:szCs w:val="18"/>
          <w:color w:val="231F20"/>
          <w:spacing w:val="46"/>
          <w:w w:val="101"/>
          <w:position w:val="1"/>
        </w:rPr>
        <w:t xml:space="preserve"> </w:t>
      </w:r>
      <w:r>
        <w:rPr>
          <w:sz w:val="18"/>
          <w:szCs w:val="18"/>
          <w:position w:val="2"/>
        </w:rPr>
        <w:drawing>
          <wp:inline distT="0" distB="0" distL="0" distR="0">
            <wp:extent cx="3643" cy="115201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43" cy="11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8"/>
          <w:szCs w:val="18"/>
          <w:color w:val="231F20"/>
          <w:spacing w:val="3"/>
          <w:position w:val="1"/>
        </w:rPr>
        <w:t xml:space="preserve">      </w:t>
      </w:r>
      <w:r>
        <w:rPr>
          <w:rFonts w:ascii="Arial" w:hAnsi="Arial" w:eastAsia="Arial" w:cs="Arial"/>
          <w:sz w:val="22"/>
          <w:szCs w:val="22"/>
          <w:color w:val="999999"/>
          <w:position w:val="-3"/>
        </w:rPr>
        <w:t>https</w:t>
      </w:r>
      <w:r>
        <w:rPr>
          <w:rFonts w:ascii="Arial" w:hAnsi="Arial" w:eastAsia="Arial" w:cs="Arial"/>
          <w:sz w:val="22"/>
          <w:szCs w:val="22"/>
          <w:color w:val="999999"/>
          <w:spacing w:val="1"/>
          <w:position w:val="-3"/>
        </w:rPr>
        <w:t>:</w:t>
      </w:r>
      <w:r>
        <w:rPr>
          <w:sz w:val="22"/>
          <w:szCs w:val="22"/>
          <w:position w:val="-3"/>
        </w:rPr>
        <w:drawing>
          <wp:inline distT="0" distB="0" distL="0" distR="0">
            <wp:extent cx="45060" cy="11430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6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3"/>
        </w:rPr>
        <w:drawing>
          <wp:inline distT="0" distB="0" distL="0" distR="0">
            <wp:extent cx="45060" cy="11430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6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color w:val="999999"/>
          <w:position w:val="-1"/>
        </w:rPr>
        <w:t>Www</w:t>
      </w:r>
      <w:r>
        <w:rPr>
          <w:rFonts w:ascii="Arial" w:hAnsi="Arial" w:eastAsia="Arial" w:cs="Arial"/>
          <w:sz w:val="22"/>
          <w:szCs w:val="22"/>
          <w:color w:val="999999"/>
          <w:spacing w:val="1"/>
          <w:position w:val="-1"/>
        </w:rPr>
        <w:t>.</w:t>
      </w:r>
      <w:r>
        <w:rPr>
          <w:rFonts w:ascii="Arial" w:hAnsi="Arial" w:eastAsia="Arial" w:cs="Arial"/>
          <w:sz w:val="22"/>
          <w:szCs w:val="22"/>
          <w:color w:val="999999"/>
        </w:rPr>
        <w:t>cnki</w:t>
      </w:r>
      <w:r>
        <w:rPr>
          <w:rFonts w:ascii="Arial" w:hAnsi="Arial" w:eastAsia="Arial" w:cs="Arial"/>
          <w:sz w:val="22"/>
          <w:szCs w:val="22"/>
          <w:color w:val="999999"/>
          <w:spacing w:val="-16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spacing w:val="1"/>
          <w:position w:val="-1"/>
        </w:rPr>
        <w:t>.</w:t>
      </w:r>
      <w:r>
        <w:rPr>
          <w:rFonts w:ascii="Arial" w:hAnsi="Arial" w:eastAsia="Arial" w:cs="Arial"/>
          <w:sz w:val="22"/>
          <w:szCs w:val="22"/>
          <w:color w:val="999999"/>
          <w:spacing w:val="-35"/>
          <w:position w:val="-1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position w:val="-1"/>
        </w:rPr>
        <w:t>net</w:t>
      </w:r>
    </w:p>
    <w:p>
      <w:pPr>
        <w:spacing w:line="177" w:lineRule="auto"/>
        <w:sectPr>
          <w:type w:val="continuous"/>
          <w:pgSz w:w="11906" w:h="16838"/>
          <w:pgMar w:top="1" w:right="1122" w:bottom="0" w:left="416" w:header="0" w:footer="0" w:gutter="0"/>
          <w:cols w:equalWidth="0" w:num="1">
            <w:col w:w="10367" w:space="0"/>
          </w:cols>
        </w:sectPr>
        <w:rPr>
          <w:rFonts w:ascii="Arial" w:hAnsi="Arial" w:eastAsia="Arial" w:cs="Arial"/>
          <w:sz w:val="22"/>
          <w:szCs w:val="22"/>
        </w:rPr>
      </w:pPr>
    </w:p>
    <w:p>
      <w:pPr>
        <w:spacing w:before="39"/>
        <w:rPr/>
      </w:pPr>
      <w:r/>
    </w:p>
    <w:p>
      <w:pPr>
        <w:spacing w:before="39"/>
        <w:rPr/>
      </w:pPr>
      <w:r/>
    </w:p>
    <w:p>
      <w:pPr>
        <w:sectPr>
          <w:headerReference w:type="default" r:id="rId9"/>
          <w:pgSz w:w="11906" w:h="16838"/>
          <w:pgMar w:top="647" w:right="952" w:bottom="0" w:left="424" w:header="0" w:footer="0" w:gutter="0"/>
          <w:cols w:equalWidth="0" w:num="1">
            <w:col w:w="10529" w:space="0"/>
          </w:cols>
        </w:sectPr>
        <w:rPr/>
      </w:pPr>
    </w:p>
    <w:p>
      <w:pPr>
        <w:pStyle w:val="BodyText"/>
        <w:ind w:left="771" w:right="302" w:firstLine="445"/>
        <w:spacing w:before="43" w:line="347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9"/>
        </w:rPr>
        <w:t>护理前，两组患者心理状态评分数据对比无</w:t>
      </w:r>
      <w:r>
        <w:rPr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  <w:spacing w:val="-1"/>
        </w:rPr>
        <w:t>意义（</w:t>
      </w:r>
      <w:r>
        <w:rPr>
          <w:sz w:val="21"/>
          <w:szCs w:val="21"/>
          <w:i/>
          <w:iCs/>
          <w:color w:val="231F20"/>
          <w:spacing w:val="-1"/>
        </w:rPr>
        <w:t>P</w:t>
      </w:r>
      <w:r>
        <w:rPr>
          <w:sz w:val="21"/>
          <w:szCs w:val="21"/>
          <w:color w:val="231F20"/>
          <w:spacing w:val="-1"/>
        </w:rPr>
        <w:t>&gt;0.05</w:t>
      </w:r>
      <w:r>
        <w:rPr>
          <w:sz w:val="21"/>
          <w:szCs w:val="21"/>
          <w:color w:val="231F20"/>
          <w:spacing w:val="6"/>
        </w:rPr>
        <w:t>）；</w:t>
      </w:r>
      <w:r>
        <w:rPr>
          <w:sz w:val="21"/>
          <w:szCs w:val="21"/>
          <w:color w:val="231F20"/>
          <w:spacing w:val="-1"/>
        </w:rPr>
        <w:t>护理后，实验组患者心理状态评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3"/>
        </w:rPr>
        <w:t>分比参照组更低，</w:t>
      </w:r>
      <w:r>
        <w:rPr>
          <w:sz w:val="21"/>
          <w:szCs w:val="21"/>
          <w:i/>
          <w:iCs/>
          <w:color w:val="231F20"/>
          <w:spacing w:val="-3"/>
        </w:rPr>
        <w:t>P</w:t>
      </w:r>
      <w:r>
        <w:rPr>
          <w:sz w:val="21"/>
          <w:szCs w:val="21"/>
          <w:color w:val="231F20"/>
          <w:spacing w:val="-3"/>
        </w:rPr>
        <w:t>&lt;0.05。见表</w:t>
      </w:r>
      <w:r>
        <w:rPr>
          <w:sz w:val="21"/>
          <w:szCs w:val="21"/>
          <w:color w:val="231F20"/>
          <w:spacing w:val="-29"/>
        </w:rPr>
        <w:t xml:space="preserve"> </w:t>
      </w:r>
      <w:r>
        <w:rPr>
          <w:sz w:val="21"/>
          <w:szCs w:val="21"/>
          <w:color w:val="231F20"/>
          <w:spacing w:val="-3"/>
        </w:rPr>
        <w:t>1。</w:t>
      </w:r>
    </w:p>
    <w:p>
      <w:pPr>
        <w:ind w:left="1132"/>
        <w:spacing w:line="19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pict>
          <v:shape id="_x0000_s10" style="position:absolute;margin-left:219.297pt;margin-top:1.18884pt;mso-position-vertical-relative:text;mso-position-horizontal-relative:text;width:3.65pt;height:0.2pt;z-index:-251656192;" filled="false" strokecolor="#231F20" strokeweight="0.16pt" coordsize="73,4" coordorigin="0,0" path="m0,1l72,1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表 1  两组患者护理前后的心理状态评分对比（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x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Microsoft YaHei UI Light" w:hAnsi="Microsoft YaHei UI Light" w:eastAsia="Microsoft YaHei UI Light" w:cs="Microsoft YaHei UI Light"/>
          <w:sz w:val="16"/>
          <w:szCs w:val="16"/>
          <w:color w:val="231F20"/>
          <w:spacing w:val="-3"/>
        </w:rPr>
        <w:t>±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s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，分）</w:t>
      </w:r>
    </w:p>
    <w:p>
      <w:pPr>
        <w:spacing w:line="18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620" w:type="dxa"/>
        <w:tblInd w:w="76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05"/>
        <w:gridCol w:w="415"/>
        <w:gridCol w:w="940"/>
        <w:gridCol w:w="942"/>
        <w:gridCol w:w="871"/>
        <w:gridCol w:w="847"/>
      </w:tblGrid>
      <w:tr>
        <w:trPr>
          <w:trHeight w:val="408" w:hRule="atLeast"/>
        </w:trPr>
        <w:tc>
          <w:tcPr>
            <w:tcW w:w="605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5"/>
              <w:spacing w:before="52" w:line="211" w:lineRule="auto"/>
              <w:rPr/>
            </w:pPr>
            <w:r>
              <w:rPr>
                <w:color w:val="231F20"/>
                <w:spacing w:val="-1"/>
              </w:rPr>
              <w:t>组别</w:t>
            </w:r>
          </w:p>
        </w:tc>
        <w:tc>
          <w:tcPr>
            <w:tcW w:w="415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"/>
              <w:spacing w:before="52" w:line="212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1882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  <w:right w:val="single" w:color="FFFFFF" w:sz="4" w:space="0"/>
            </w:tcBorders>
          </w:tcPr>
          <w:p>
            <w:pPr>
              <w:pStyle w:val="TableText"/>
              <w:ind w:left="631"/>
              <w:spacing w:before="128" w:line="211" w:lineRule="auto"/>
              <w:rPr/>
            </w:pPr>
            <w:r>
              <w:rPr>
                <w:color w:val="231F20"/>
              </w:rPr>
              <w:t>SAS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8"/>
              </w:rPr>
              <w:t>评分</w:t>
            </w:r>
          </w:p>
        </w:tc>
        <w:tc>
          <w:tcPr>
            <w:tcW w:w="1718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  <w:left w:val="single" w:color="FFFFFF" w:sz="4" w:space="0"/>
            </w:tcBorders>
          </w:tcPr>
          <w:p>
            <w:pPr>
              <w:pStyle w:val="TableText"/>
              <w:ind w:left="551"/>
              <w:spacing w:before="128" w:line="211" w:lineRule="auto"/>
              <w:rPr/>
            </w:pPr>
            <w:r>
              <w:rPr>
                <w:color w:val="231F20"/>
              </w:rPr>
              <w:t>SDS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8"/>
              </w:rPr>
              <w:t>评分</w:t>
            </w:r>
          </w:p>
        </w:tc>
      </w:tr>
      <w:tr>
        <w:trPr>
          <w:trHeight w:val="380" w:hRule="atLeast"/>
        </w:trPr>
        <w:tc>
          <w:tcPr>
            <w:tcW w:w="605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5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82" w:type="dxa"/>
            <w:vAlign w:val="top"/>
            <w:gridSpan w:val="2"/>
            <w:tcBorders>
              <w:bottom w:val="single" w:color="231F20" w:sz="2" w:space="0"/>
              <w:top w:val="single" w:color="231F20" w:sz="2" w:space="0"/>
              <w:right w:val="single" w:color="FFFFFF" w:sz="4" w:space="0"/>
            </w:tcBorders>
          </w:tcPr>
          <w:p>
            <w:pPr>
              <w:pStyle w:val="TableText"/>
              <w:ind w:left="237"/>
              <w:spacing w:before="113" w:line="211" w:lineRule="auto"/>
              <w:rPr/>
            </w:pPr>
            <w:r>
              <w:rPr>
                <w:color w:val="231F20"/>
                <w:spacing w:val="-2"/>
              </w:rPr>
              <w:t>护理前</w:t>
            </w:r>
            <w:r>
              <w:rPr>
                <w:color w:val="231F20"/>
                <w:spacing w:val="12"/>
              </w:rPr>
              <w:t xml:space="preserve">     </w:t>
            </w:r>
            <w:r>
              <w:rPr>
                <w:color w:val="231F20"/>
                <w:spacing w:val="-2"/>
              </w:rPr>
              <w:t>护理后</w:t>
            </w:r>
          </w:p>
        </w:tc>
        <w:tc>
          <w:tcPr>
            <w:tcW w:w="1718" w:type="dxa"/>
            <w:vAlign w:val="top"/>
            <w:gridSpan w:val="2"/>
            <w:tcBorders>
              <w:bottom w:val="single" w:color="231F20" w:sz="2" w:space="0"/>
              <w:top w:val="single" w:color="231F20" w:sz="2" w:space="0"/>
              <w:left w:val="single" w:color="FFFFFF" w:sz="4" w:space="0"/>
            </w:tcBorders>
          </w:tcPr>
          <w:p>
            <w:pPr>
              <w:pStyle w:val="TableText"/>
              <w:ind w:left="207"/>
              <w:spacing w:before="113" w:line="211" w:lineRule="auto"/>
              <w:rPr/>
            </w:pPr>
            <w:r>
              <w:rPr>
                <w:color w:val="231F20"/>
                <w:spacing w:val="-2"/>
              </w:rPr>
              <w:t>护理前</w:t>
            </w:r>
            <w:r>
              <w:rPr>
                <w:color w:val="231F20"/>
                <w:spacing w:val="15"/>
              </w:rPr>
              <w:t xml:space="preserve">    </w:t>
            </w:r>
            <w:r>
              <w:rPr>
                <w:color w:val="231F20"/>
                <w:spacing w:val="-2"/>
              </w:rPr>
              <w:t>护理后</w:t>
            </w:r>
          </w:p>
        </w:tc>
      </w:tr>
      <w:tr>
        <w:trPr>
          <w:trHeight w:val="378" w:hRule="atLeast"/>
        </w:trPr>
        <w:tc>
          <w:tcPr>
            <w:tcW w:w="60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7"/>
              <w:spacing w:before="116" w:line="209" w:lineRule="auto"/>
              <w:rPr/>
            </w:pPr>
            <w:r>
              <w:rPr>
                <w:color w:val="231F20"/>
                <w:spacing w:val="-2"/>
              </w:rPr>
              <w:t>实验组</w:t>
            </w:r>
          </w:p>
        </w:tc>
        <w:tc>
          <w:tcPr>
            <w:tcW w:w="41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9"/>
              <w:spacing w:before="111" w:line="232" w:lineRule="exact"/>
              <w:rPr/>
            </w:pPr>
            <w:r>
              <w:rPr>
                <w:color w:val="231F20"/>
                <w:spacing w:val="-1"/>
                <w:position w:val="1"/>
              </w:rPr>
              <w:t>40</w:t>
            </w:r>
          </w:p>
        </w:tc>
        <w:tc>
          <w:tcPr>
            <w:tcW w:w="94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8"/>
              <w:spacing w:before="111" w:line="228" w:lineRule="exact"/>
              <w:rPr/>
            </w:pPr>
            <w:r>
              <w:rPr>
                <w:color w:val="231F20"/>
                <w:spacing w:val="-10"/>
                <w:position w:val="1"/>
              </w:rPr>
              <w:t>50.24±4.36</w:t>
            </w:r>
          </w:p>
        </w:tc>
        <w:tc>
          <w:tcPr>
            <w:tcW w:w="94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1"/>
              <w:spacing w:before="111" w:line="228" w:lineRule="exact"/>
              <w:rPr/>
            </w:pPr>
            <w:r>
              <w:rPr>
                <w:color w:val="231F20"/>
                <w:spacing w:val="-10"/>
                <w:position w:val="1"/>
              </w:rPr>
              <w:t>38.51±3.22</w:t>
            </w:r>
          </w:p>
        </w:tc>
        <w:tc>
          <w:tcPr>
            <w:tcW w:w="87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0"/>
              <w:spacing w:before="111" w:line="228" w:lineRule="exact"/>
              <w:rPr/>
            </w:pPr>
            <w:r>
              <w:rPr>
                <w:color w:val="231F20"/>
                <w:spacing w:val="-10"/>
                <w:position w:val="1"/>
              </w:rPr>
              <w:t>51.24±5.63</w:t>
            </w:r>
          </w:p>
        </w:tc>
        <w:tc>
          <w:tcPr>
            <w:tcW w:w="84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0"/>
              <w:spacing w:before="111" w:line="228" w:lineRule="exact"/>
              <w:rPr/>
            </w:pPr>
            <w:r>
              <w:rPr>
                <w:color w:val="231F20"/>
                <w:spacing w:val="-10"/>
                <w:position w:val="1"/>
              </w:rPr>
              <w:t>37.62±4.37</w:t>
            </w:r>
          </w:p>
        </w:tc>
      </w:tr>
      <w:tr>
        <w:trPr>
          <w:trHeight w:val="397" w:hRule="atLeast"/>
        </w:trPr>
        <w:tc>
          <w:tcPr>
            <w:tcW w:w="605" w:type="dxa"/>
            <w:vAlign w:val="top"/>
          </w:tcPr>
          <w:p>
            <w:pPr>
              <w:pStyle w:val="TableText"/>
              <w:ind w:left="73"/>
              <w:spacing w:before="122" w:line="213" w:lineRule="auto"/>
              <w:rPr/>
            </w:pPr>
            <w:r>
              <w:rPr>
                <w:color w:val="231F20"/>
                <w:spacing w:val="-1"/>
              </w:rPr>
              <w:t>参照组</w:t>
            </w:r>
          </w:p>
        </w:tc>
        <w:tc>
          <w:tcPr>
            <w:tcW w:w="415" w:type="dxa"/>
            <w:vAlign w:val="top"/>
          </w:tcPr>
          <w:p>
            <w:pPr>
              <w:pStyle w:val="TableText"/>
              <w:ind w:left="139"/>
              <w:spacing w:before="120" w:line="231" w:lineRule="exact"/>
              <w:rPr/>
            </w:pPr>
            <w:r>
              <w:rPr>
                <w:color w:val="231F20"/>
                <w:spacing w:val="-1"/>
                <w:position w:val="1"/>
              </w:rPr>
              <w:t>40</w:t>
            </w:r>
          </w:p>
        </w:tc>
        <w:tc>
          <w:tcPr>
            <w:tcW w:w="940" w:type="dxa"/>
            <w:vAlign w:val="top"/>
          </w:tcPr>
          <w:p>
            <w:pPr>
              <w:pStyle w:val="TableText"/>
              <w:ind w:left="78"/>
              <w:spacing w:before="120" w:line="228" w:lineRule="exact"/>
              <w:rPr/>
            </w:pPr>
            <w:r>
              <w:rPr>
                <w:color w:val="231F20"/>
                <w:spacing w:val="-10"/>
                <w:position w:val="1"/>
              </w:rPr>
              <w:t>50.72±4.56</w:t>
            </w:r>
          </w:p>
        </w:tc>
        <w:tc>
          <w:tcPr>
            <w:tcW w:w="942" w:type="dxa"/>
            <w:vAlign w:val="top"/>
          </w:tcPr>
          <w:p>
            <w:pPr>
              <w:pStyle w:val="TableText"/>
              <w:ind w:left="76"/>
              <w:spacing w:before="120" w:line="228" w:lineRule="exact"/>
              <w:rPr/>
            </w:pPr>
            <w:r>
              <w:rPr>
                <w:color w:val="231F20"/>
                <w:spacing w:val="-9"/>
                <w:position w:val="1"/>
              </w:rPr>
              <w:t>44.59±4.25</w:t>
            </w:r>
          </w:p>
        </w:tc>
        <w:tc>
          <w:tcPr>
            <w:tcW w:w="871" w:type="dxa"/>
            <w:vAlign w:val="top"/>
          </w:tcPr>
          <w:p>
            <w:pPr>
              <w:pStyle w:val="TableText"/>
              <w:ind w:left="50"/>
              <w:spacing w:before="120" w:line="228" w:lineRule="exact"/>
              <w:rPr/>
            </w:pPr>
            <w:r>
              <w:rPr>
                <w:color w:val="231F20"/>
                <w:spacing w:val="-10"/>
                <w:position w:val="1"/>
              </w:rPr>
              <w:t>51.46±5.34</w:t>
            </w:r>
          </w:p>
        </w:tc>
        <w:tc>
          <w:tcPr>
            <w:tcW w:w="847" w:type="dxa"/>
            <w:vAlign w:val="top"/>
          </w:tcPr>
          <w:p>
            <w:pPr>
              <w:pStyle w:val="TableText"/>
              <w:ind w:left="35"/>
              <w:spacing w:before="120" w:line="228" w:lineRule="exact"/>
              <w:rPr/>
            </w:pPr>
            <w:r>
              <w:rPr>
                <w:color w:val="231F20"/>
                <w:spacing w:val="-9"/>
                <w:position w:val="1"/>
              </w:rPr>
              <w:t>45.29±3.55</w:t>
            </w:r>
          </w:p>
        </w:tc>
      </w:tr>
      <w:tr>
        <w:trPr>
          <w:trHeight w:val="378" w:hRule="atLeast"/>
        </w:trPr>
        <w:tc>
          <w:tcPr>
            <w:tcW w:w="605" w:type="dxa"/>
            <w:vAlign w:val="top"/>
          </w:tcPr>
          <w:p>
            <w:pPr>
              <w:pStyle w:val="TableText"/>
              <w:ind w:left="289"/>
              <w:spacing w:before="163" w:line="134" w:lineRule="exact"/>
              <w:rPr/>
            </w:pPr>
            <w:r>
              <w:rPr>
                <w:i/>
                <w:iCs/>
                <w:color w:val="231F20"/>
                <w:position w:val="-3"/>
              </w:rPr>
              <w:t>t</w:t>
            </w:r>
          </w:p>
        </w:tc>
        <w:tc>
          <w:tcPr>
            <w:tcW w:w="4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0" w:type="dxa"/>
            <w:vAlign w:val="top"/>
          </w:tcPr>
          <w:p>
            <w:pPr>
              <w:pStyle w:val="TableText"/>
              <w:ind w:left="256"/>
              <w:spacing w:before="110" w:line="231" w:lineRule="exact"/>
              <w:rPr/>
            </w:pPr>
            <w:r>
              <w:rPr>
                <w:color w:val="231F20"/>
                <w:spacing w:val="-7"/>
                <w:position w:val="1"/>
              </w:rPr>
              <w:t>0.4812</w:t>
            </w:r>
          </w:p>
        </w:tc>
        <w:tc>
          <w:tcPr>
            <w:tcW w:w="942" w:type="dxa"/>
            <w:vAlign w:val="top"/>
          </w:tcPr>
          <w:p>
            <w:pPr>
              <w:pStyle w:val="TableText"/>
              <w:ind w:left="257"/>
              <w:spacing w:before="110" w:line="231" w:lineRule="exact"/>
              <w:rPr/>
            </w:pPr>
            <w:r>
              <w:rPr>
                <w:color w:val="231F20"/>
                <w:spacing w:val="-7"/>
                <w:position w:val="1"/>
              </w:rPr>
              <w:t>7.2117</w:t>
            </w:r>
          </w:p>
        </w:tc>
        <w:tc>
          <w:tcPr>
            <w:tcW w:w="871" w:type="dxa"/>
            <w:vAlign w:val="top"/>
          </w:tcPr>
          <w:p>
            <w:pPr>
              <w:pStyle w:val="TableText"/>
              <w:ind w:left="228"/>
              <w:spacing w:before="110" w:line="231" w:lineRule="exact"/>
              <w:rPr/>
            </w:pPr>
            <w:r>
              <w:rPr>
                <w:color w:val="231F20"/>
                <w:spacing w:val="-7"/>
                <w:position w:val="1"/>
              </w:rPr>
              <w:t>0.1793</w:t>
            </w:r>
          </w:p>
        </w:tc>
        <w:tc>
          <w:tcPr>
            <w:tcW w:w="847" w:type="dxa"/>
            <w:vAlign w:val="top"/>
          </w:tcPr>
          <w:p>
            <w:pPr>
              <w:pStyle w:val="TableText"/>
              <w:ind w:left="218"/>
              <w:spacing w:before="110" w:line="231" w:lineRule="exact"/>
              <w:rPr/>
            </w:pPr>
            <w:r>
              <w:rPr>
                <w:color w:val="231F20"/>
                <w:spacing w:val="-7"/>
                <w:position w:val="1"/>
              </w:rPr>
              <w:t>8.6159</w:t>
            </w:r>
          </w:p>
        </w:tc>
      </w:tr>
      <w:tr>
        <w:trPr>
          <w:trHeight w:val="390" w:hRule="atLeast"/>
        </w:trPr>
        <w:tc>
          <w:tcPr>
            <w:tcW w:w="60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71"/>
              <w:spacing w:before="148" w:line="182" w:lineRule="auto"/>
              <w:rPr/>
            </w:pPr>
            <w:r>
              <w:rPr>
                <w:i/>
                <w:iCs/>
                <w:color w:val="231F20"/>
                <w:spacing w:val="2"/>
              </w:rPr>
              <w:t>P</w:t>
            </w:r>
          </w:p>
        </w:tc>
        <w:tc>
          <w:tcPr>
            <w:tcW w:w="415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56"/>
              <w:spacing w:before="118" w:line="231" w:lineRule="exact"/>
              <w:rPr/>
            </w:pPr>
            <w:r>
              <w:rPr>
                <w:color w:val="231F20"/>
                <w:spacing w:val="-7"/>
                <w:position w:val="1"/>
              </w:rPr>
              <w:t>0.6317</w:t>
            </w:r>
          </w:p>
        </w:tc>
        <w:tc>
          <w:tcPr>
            <w:tcW w:w="94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57"/>
              <w:spacing w:before="118" w:line="231" w:lineRule="exact"/>
              <w:rPr/>
            </w:pPr>
            <w:r>
              <w:rPr>
                <w:color w:val="231F20"/>
                <w:spacing w:val="-7"/>
                <w:position w:val="1"/>
              </w:rPr>
              <w:t>0.0000</w:t>
            </w:r>
          </w:p>
        </w:tc>
        <w:tc>
          <w:tcPr>
            <w:tcW w:w="87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8"/>
              <w:spacing w:before="118" w:line="231" w:lineRule="exact"/>
              <w:rPr/>
            </w:pPr>
            <w:r>
              <w:rPr>
                <w:color w:val="231F20"/>
                <w:spacing w:val="-7"/>
                <w:position w:val="1"/>
              </w:rPr>
              <w:t>0.8582</w:t>
            </w:r>
          </w:p>
        </w:tc>
        <w:tc>
          <w:tcPr>
            <w:tcW w:w="84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16"/>
              <w:spacing w:before="118" w:line="231" w:lineRule="exact"/>
              <w:rPr/>
            </w:pPr>
            <w:r>
              <w:rPr>
                <w:color w:val="231F20"/>
                <w:spacing w:val="-7"/>
                <w:position w:val="1"/>
              </w:rPr>
              <w:t>0.0000</w:t>
            </w:r>
          </w:p>
        </w:tc>
      </w:tr>
    </w:tbl>
    <w:p>
      <w:pPr>
        <w:pStyle w:val="BodyText"/>
        <w:ind w:left="1214"/>
        <w:spacing w:before="172" w:line="280" w:lineRule="exact"/>
        <w:rPr>
          <w:sz w:val="21"/>
          <w:szCs w:val="21"/>
        </w:rPr>
      </w:pPr>
      <w:r>
        <w:rPr>
          <w:sz w:val="21"/>
          <w:szCs w:val="21"/>
          <w:color w:val="231F20"/>
          <w:spacing w:val="-6"/>
          <w:position w:val="1"/>
        </w:rPr>
        <w:t>2.2</w:t>
      </w:r>
      <w:r>
        <w:rPr>
          <w:sz w:val="21"/>
          <w:szCs w:val="21"/>
          <w:color w:val="231F20"/>
          <w:spacing w:val="-16"/>
          <w:position w:val="1"/>
        </w:rPr>
        <w:t xml:space="preserve"> </w:t>
      </w:r>
      <w:r>
        <w:rPr>
          <w:sz w:val="21"/>
          <w:szCs w:val="21"/>
          <w:color w:val="231F20"/>
          <w:spacing w:val="-6"/>
          <w:position w:val="1"/>
        </w:rPr>
        <w:t>比较两组患者的并发症发生率</w:t>
      </w:r>
    </w:p>
    <w:p>
      <w:pPr>
        <w:pStyle w:val="BodyText"/>
        <w:ind w:left="768" w:right="332" w:firstLine="447"/>
        <w:spacing w:before="120" w:line="347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7"/>
        </w:rPr>
        <w:t>实验组患者的并发症发生率比参照组更低，</w:t>
      </w:r>
      <w:r>
        <w:rPr>
          <w:sz w:val="21"/>
          <w:szCs w:val="21"/>
          <w:color w:val="231F20"/>
          <w:spacing w:val="10"/>
        </w:rPr>
        <w:t xml:space="preserve"> </w:t>
      </w:r>
      <w:r>
        <w:rPr>
          <w:sz w:val="21"/>
          <w:szCs w:val="21"/>
          <w:color w:val="231F20"/>
          <w:spacing w:val="-3"/>
        </w:rPr>
        <w:t>存在对比意义，</w:t>
      </w:r>
      <w:r>
        <w:rPr>
          <w:sz w:val="21"/>
          <w:szCs w:val="21"/>
          <w:i/>
          <w:iCs/>
          <w:color w:val="231F20"/>
          <w:spacing w:val="-3"/>
        </w:rPr>
        <w:t>P</w:t>
      </w:r>
      <w:r>
        <w:rPr>
          <w:sz w:val="21"/>
          <w:szCs w:val="21"/>
          <w:color w:val="231F20"/>
          <w:spacing w:val="-3"/>
        </w:rPr>
        <w:t>&lt;0.05，见表</w:t>
      </w:r>
      <w:r>
        <w:rPr>
          <w:sz w:val="21"/>
          <w:szCs w:val="21"/>
          <w:color w:val="231F20"/>
          <w:spacing w:val="-41"/>
        </w:rPr>
        <w:t xml:space="preserve"> </w:t>
      </w:r>
      <w:r>
        <w:rPr>
          <w:sz w:val="21"/>
          <w:szCs w:val="21"/>
          <w:color w:val="231F20"/>
          <w:spacing w:val="-3"/>
        </w:rPr>
        <w:t>2。</w:t>
      </w:r>
    </w:p>
    <w:p>
      <w:pPr>
        <w:ind w:left="1491"/>
        <w:spacing w:line="196" w:lineRule="auto"/>
        <w:outlineLvl w:val="0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表 2  两组患者的并发症发生率对比 [ 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-3"/>
        </w:rPr>
        <w:t>n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（%）]</w:t>
      </w:r>
    </w:p>
    <w:p>
      <w:pPr>
        <w:spacing w:line="23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620" w:type="dxa"/>
        <w:tblInd w:w="76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83"/>
        <w:gridCol w:w="1134"/>
        <w:gridCol w:w="618"/>
        <w:gridCol w:w="645"/>
        <w:gridCol w:w="737"/>
        <w:gridCol w:w="903"/>
      </w:tblGrid>
      <w:tr>
        <w:trPr>
          <w:trHeight w:val="573" w:hRule="atLeast"/>
        </w:trPr>
        <w:tc>
          <w:tcPr>
            <w:tcW w:w="58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38"/>
              <w:spacing w:before="209" w:line="211" w:lineRule="auto"/>
              <w:rPr/>
            </w:pPr>
            <w:r>
              <w:rPr>
                <w:color w:val="231F20"/>
                <w:spacing w:val="-1"/>
              </w:rPr>
              <w:t>组别</w:t>
            </w:r>
          </w:p>
        </w:tc>
        <w:tc>
          <w:tcPr>
            <w:tcW w:w="113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5"/>
              <w:spacing w:before="209" w:line="212" w:lineRule="auto"/>
              <w:rPr/>
            </w:pPr>
            <w:r>
              <w:rPr>
                <w:color w:val="231F20"/>
                <w:spacing w:val="-2"/>
              </w:rPr>
              <w:t>例数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2"/>
              </w:rPr>
              <w:t>切口感染</w:t>
            </w:r>
          </w:p>
        </w:tc>
        <w:tc>
          <w:tcPr>
            <w:tcW w:w="61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4"/>
              <w:spacing w:before="114" w:line="209" w:lineRule="auto"/>
              <w:rPr/>
            </w:pPr>
            <w:r>
              <w:rPr>
                <w:color w:val="231F20"/>
                <w:spacing w:val="-1"/>
              </w:rPr>
              <w:t>下肢静</w:t>
            </w:r>
          </w:p>
          <w:p>
            <w:pPr>
              <w:pStyle w:val="TableText"/>
              <w:ind w:left="66"/>
              <w:spacing w:before="10" w:line="211" w:lineRule="auto"/>
              <w:rPr/>
            </w:pPr>
            <w:r>
              <w:rPr>
                <w:color w:val="231F20"/>
                <w:spacing w:val="-2"/>
              </w:rPr>
              <w:t>脉血栓</w:t>
            </w:r>
          </w:p>
        </w:tc>
        <w:tc>
          <w:tcPr>
            <w:tcW w:w="64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21"/>
              <w:spacing w:before="113" w:line="211" w:lineRule="auto"/>
              <w:rPr/>
            </w:pPr>
            <w:r>
              <w:rPr>
                <w:color w:val="231F20"/>
                <w:spacing w:val="-1"/>
              </w:rPr>
              <w:t>粘连性</w:t>
            </w:r>
          </w:p>
          <w:p>
            <w:pPr>
              <w:pStyle w:val="TableText"/>
              <w:ind w:left="120"/>
              <w:spacing w:before="10" w:line="208" w:lineRule="auto"/>
              <w:rPr/>
            </w:pPr>
            <w:r>
              <w:rPr>
                <w:color w:val="231F20"/>
                <w:spacing w:val="-1"/>
              </w:rPr>
              <w:t>肠梗阻</w:t>
            </w:r>
          </w:p>
        </w:tc>
        <w:tc>
          <w:tcPr>
            <w:tcW w:w="73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8"/>
              <w:spacing w:before="207" w:line="214" w:lineRule="auto"/>
              <w:rPr/>
            </w:pPr>
            <w:r>
              <w:rPr>
                <w:color w:val="231F20"/>
                <w:spacing w:val="-1"/>
              </w:rPr>
              <w:t>排尿障碍</w:t>
            </w:r>
          </w:p>
        </w:tc>
        <w:tc>
          <w:tcPr>
            <w:tcW w:w="90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92"/>
              <w:spacing w:before="210" w:line="209" w:lineRule="auto"/>
              <w:rPr/>
            </w:pPr>
            <w:r>
              <w:rPr>
                <w:color w:val="231F20"/>
                <w:spacing w:val="-1"/>
              </w:rPr>
              <w:t>并发症</w:t>
            </w:r>
          </w:p>
        </w:tc>
      </w:tr>
      <w:tr>
        <w:trPr>
          <w:trHeight w:val="378" w:hRule="atLeast"/>
        </w:trPr>
        <w:tc>
          <w:tcPr>
            <w:tcW w:w="58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0"/>
              <w:spacing w:before="115" w:line="209" w:lineRule="auto"/>
              <w:rPr/>
            </w:pPr>
            <w:r>
              <w:rPr>
                <w:color w:val="231F20"/>
                <w:spacing w:val="-2"/>
              </w:rPr>
              <w:t>实验组</w:t>
            </w:r>
          </w:p>
        </w:tc>
        <w:tc>
          <w:tcPr>
            <w:tcW w:w="1752" w:type="dxa"/>
            <w:vAlign w:val="top"/>
            <w:gridSpan w:val="2"/>
            <w:tcBorders>
              <w:top w:val="single" w:color="231F20" w:sz="2" w:space="0"/>
            </w:tcBorders>
          </w:tcPr>
          <w:p>
            <w:pPr>
              <w:pStyle w:val="TableText"/>
              <w:spacing w:before="110" w:line="225" w:lineRule="exact"/>
              <w:jc w:val="right"/>
              <w:rPr/>
            </w:pPr>
            <w:r>
              <w:rPr>
                <w:color w:val="231F20"/>
                <w:spacing w:val="-8"/>
                <w:position w:val="1"/>
              </w:rPr>
              <w:t>40</w:t>
            </w:r>
            <w:r>
              <w:rPr>
                <w:color w:val="231F20"/>
                <w:spacing w:val="65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1（2.50）0（0.00）</w:t>
            </w:r>
          </w:p>
        </w:tc>
        <w:tc>
          <w:tcPr>
            <w:tcW w:w="1382" w:type="dxa"/>
            <w:vAlign w:val="top"/>
            <w:gridSpan w:val="2"/>
            <w:tcBorders>
              <w:top w:val="single" w:color="231F20" w:sz="2" w:space="0"/>
            </w:tcBorders>
          </w:tcPr>
          <w:p>
            <w:pPr>
              <w:pStyle w:val="TableText"/>
              <w:ind w:left="52"/>
              <w:spacing w:before="110" w:line="225" w:lineRule="exact"/>
              <w:rPr/>
            </w:pPr>
            <w:r>
              <w:rPr>
                <w:color w:val="231F20"/>
                <w:spacing w:val="-11"/>
                <w:position w:val="1"/>
              </w:rPr>
              <w:t>1（2.50）0（0.00）</w:t>
            </w:r>
          </w:p>
        </w:tc>
        <w:tc>
          <w:tcPr>
            <w:tcW w:w="90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5"/>
              <w:spacing w:before="110" w:line="225" w:lineRule="exact"/>
              <w:rPr/>
            </w:pPr>
            <w:r>
              <w:rPr>
                <w:color w:val="231F20"/>
                <w:spacing w:val="-6"/>
                <w:position w:val="1"/>
              </w:rPr>
              <w:t>2（5.00）</w:t>
            </w:r>
          </w:p>
        </w:tc>
      </w:tr>
      <w:tr>
        <w:trPr>
          <w:trHeight w:val="388" w:hRule="atLeast"/>
        </w:trPr>
        <w:tc>
          <w:tcPr>
            <w:tcW w:w="583" w:type="dxa"/>
            <w:vAlign w:val="top"/>
          </w:tcPr>
          <w:p>
            <w:pPr>
              <w:pStyle w:val="TableText"/>
              <w:ind w:left="56"/>
              <w:spacing w:before="121" w:line="213" w:lineRule="auto"/>
              <w:rPr/>
            </w:pPr>
            <w:r>
              <w:rPr>
                <w:color w:val="231F20"/>
                <w:spacing w:val="-1"/>
              </w:rPr>
              <w:t>参照组</w:t>
            </w:r>
          </w:p>
        </w:tc>
        <w:tc>
          <w:tcPr>
            <w:tcW w:w="1752" w:type="dxa"/>
            <w:vAlign w:val="top"/>
            <w:gridSpan w:val="2"/>
          </w:tcPr>
          <w:p>
            <w:pPr>
              <w:pStyle w:val="TableText"/>
              <w:spacing w:before="119" w:line="224" w:lineRule="exact"/>
              <w:jc w:val="right"/>
              <w:rPr/>
            </w:pPr>
            <w:r>
              <w:rPr>
                <w:color w:val="231F20"/>
                <w:spacing w:val="-7"/>
                <w:position w:val="1"/>
              </w:rPr>
              <w:t>40</w:t>
            </w:r>
            <w:r>
              <w:rPr>
                <w:color w:val="231F20"/>
                <w:spacing w:val="49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3（7.50）2（5.00）</w:t>
            </w:r>
          </w:p>
        </w:tc>
        <w:tc>
          <w:tcPr>
            <w:tcW w:w="1382" w:type="dxa"/>
            <w:vAlign w:val="top"/>
            <w:gridSpan w:val="2"/>
          </w:tcPr>
          <w:p>
            <w:pPr>
              <w:pStyle w:val="TableText"/>
              <w:ind w:left="52"/>
              <w:spacing w:before="119" w:line="224" w:lineRule="exact"/>
              <w:rPr/>
            </w:pPr>
            <w:r>
              <w:rPr>
                <w:color w:val="231F20"/>
                <w:spacing w:val="-11"/>
                <w:position w:val="1"/>
              </w:rPr>
              <w:t>1（2.50）2（5.00）</w:t>
            </w:r>
          </w:p>
        </w:tc>
        <w:tc>
          <w:tcPr>
            <w:tcW w:w="903" w:type="dxa"/>
            <w:vAlign w:val="top"/>
          </w:tcPr>
          <w:p>
            <w:pPr>
              <w:pStyle w:val="TableText"/>
              <w:ind w:left="58"/>
              <w:spacing w:before="119" w:line="224" w:lineRule="exact"/>
              <w:rPr/>
            </w:pPr>
            <w:r>
              <w:rPr>
                <w:color w:val="231F20"/>
                <w:spacing w:val="-6"/>
                <w:position w:val="1"/>
              </w:rPr>
              <w:t>8（20.00）</w:t>
            </w:r>
          </w:p>
        </w:tc>
      </w:tr>
      <w:tr>
        <w:trPr>
          <w:trHeight w:val="386" w:hRule="atLeast"/>
        </w:trPr>
        <w:tc>
          <w:tcPr>
            <w:tcW w:w="583" w:type="dxa"/>
            <w:vAlign w:val="top"/>
          </w:tcPr>
          <w:p>
            <w:pPr>
              <w:pStyle w:val="TableText"/>
              <w:ind w:left="228"/>
              <w:spacing w:before="108" w:line="237" w:lineRule="auto"/>
              <w:rPr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position w:val="-4"/>
              </w:rPr>
              <w:t>x</w:t>
            </w:r>
            <w:r>
              <w:rPr>
                <w:sz w:val="10"/>
                <w:szCs w:val="10"/>
                <w:color w:val="231F20"/>
                <w:spacing w:val="-2"/>
                <w:position w:val="1"/>
              </w:rPr>
              <w:t>2</w:t>
            </w:r>
          </w:p>
        </w:tc>
        <w:tc>
          <w:tcPr>
            <w:tcW w:w="175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3" w:type="dxa"/>
            <w:vAlign w:val="top"/>
          </w:tcPr>
          <w:p>
            <w:pPr>
              <w:pStyle w:val="TableText"/>
              <w:ind w:left="213"/>
              <w:spacing w:before="118" w:line="231" w:lineRule="exact"/>
              <w:rPr/>
            </w:pPr>
            <w:r>
              <w:rPr>
                <w:color w:val="231F20"/>
                <w:spacing w:val="-7"/>
                <w:position w:val="1"/>
              </w:rPr>
              <w:t>4.1143</w:t>
            </w:r>
          </w:p>
        </w:tc>
      </w:tr>
      <w:tr>
        <w:trPr>
          <w:trHeight w:val="390" w:hRule="atLeast"/>
        </w:trPr>
        <w:tc>
          <w:tcPr>
            <w:tcW w:w="58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54"/>
              <w:spacing w:before="148" w:line="182" w:lineRule="auto"/>
              <w:rPr/>
            </w:pPr>
            <w:r>
              <w:rPr>
                <w:i/>
                <w:iCs/>
                <w:color w:val="231F20"/>
                <w:spacing w:val="2"/>
              </w:rPr>
              <w:t>P</w:t>
            </w:r>
          </w:p>
        </w:tc>
        <w:tc>
          <w:tcPr>
            <w:tcW w:w="1752" w:type="dxa"/>
            <w:vAlign w:val="top"/>
            <w:gridSpan w:val="2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2" w:type="dxa"/>
            <w:vAlign w:val="top"/>
            <w:gridSpan w:val="2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15"/>
              <w:spacing w:before="118" w:line="231" w:lineRule="exact"/>
              <w:rPr/>
            </w:pPr>
            <w:r>
              <w:rPr>
                <w:color w:val="231F20"/>
                <w:spacing w:val="-7"/>
                <w:position w:val="1"/>
              </w:rPr>
              <w:t>0.0425</w:t>
            </w:r>
          </w:p>
        </w:tc>
      </w:tr>
    </w:tbl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772"/>
        <w:spacing w:before="72" w:line="242" w:lineRule="auto"/>
        <w:outlineLvl w:val="1"/>
        <w:rPr>
          <w:sz w:val="22"/>
          <w:szCs w:val="22"/>
        </w:rPr>
      </w:pPr>
      <w:r>
        <w:rPr>
          <w:sz w:val="22"/>
          <w:szCs w:val="22"/>
          <w:color w:val="231F20"/>
          <w:spacing w:val="-13"/>
        </w:rPr>
        <w:t>3.</w:t>
      </w:r>
      <w:r>
        <w:rPr>
          <w:sz w:val="22"/>
          <w:szCs w:val="22"/>
          <w:color w:val="231F20"/>
          <w:spacing w:val="-48"/>
        </w:rPr>
        <w:t xml:space="preserve"> </w:t>
      </w:r>
      <w:r>
        <w:rPr>
          <w:sz w:val="22"/>
          <w:szCs w:val="22"/>
          <w:color w:val="231F20"/>
          <w:spacing w:val="-13"/>
        </w:rPr>
        <w:t>讨论</w:t>
      </w:r>
    </w:p>
    <w:p>
      <w:pPr>
        <w:pStyle w:val="BodyText"/>
        <w:ind w:left="769" w:right="297" w:firstLine="442"/>
        <w:spacing w:before="202" w:line="351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9"/>
        </w:rPr>
        <w:t>对于急性阑尾炎患者而言，早期发现、及时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1"/>
        </w:rPr>
        <w:t>治疗能够改善患者预后，该疾病是目前比较常见的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-1"/>
        </w:rPr>
        <w:t>外科急腹症，但是相比其他急腹症而言，急性阑尾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-1"/>
        </w:rPr>
        <w:t>炎是一种特殊腹痛，即腹痛部位出现转移。一般而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-1"/>
        </w:rPr>
        <w:t>言，急性阑尾炎患者在发病初期疼痛部位通常在上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-1"/>
        </w:rPr>
        <w:t>腹部或者肚脐周围，患者常常伴随着恶心呕吐等症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-1"/>
        </w:rPr>
        <w:t>状，因此常常被患者误认为是胃部疾病。随着疾病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-1"/>
        </w:rPr>
        <w:t>不断发展，疼痛会转移到右下腹，呈现出持续性腹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-1"/>
        </w:rPr>
        <w:t>痛，且随着时间不断推移而加剧，部分患者都会存</w:t>
      </w:r>
    </w:p>
    <w:p>
      <w:pPr>
        <w:spacing w:line="79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 w:right="125" w:hanging="3"/>
        <w:spacing w:before="38" w:line="349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在阵发性疼痛加重症状，一般患者的疼痛值都在可</w:t>
      </w:r>
      <w:r>
        <w:rPr>
          <w:sz w:val="21"/>
          <w:szCs w:val="21"/>
          <w:color w:val="231F20"/>
          <w:spacing w:val="15"/>
        </w:rPr>
        <w:t xml:space="preserve"> </w:t>
      </w:r>
      <w:r>
        <w:rPr>
          <w:sz w:val="21"/>
          <w:szCs w:val="21"/>
          <w:color w:val="231F20"/>
          <w:spacing w:val="-7"/>
          <w:position w:val="-1"/>
        </w:rPr>
        <w:t>承受范围内</w:t>
      </w:r>
      <w:r>
        <w:rPr>
          <w:sz w:val="21"/>
          <w:szCs w:val="21"/>
          <w:color w:val="231F20"/>
          <w:spacing w:val="-46"/>
          <w:position w:val="-1"/>
        </w:rPr>
        <w:t xml:space="preserve"> </w:t>
      </w:r>
      <w:r>
        <w:rPr>
          <w:sz w:val="10"/>
          <w:szCs w:val="10"/>
          <w:color w:val="231F20"/>
          <w:spacing w:val="-7"/>
          <w:position w:val="6"/>
        </w:rPr>
        <w:t>[3]</w:t>
      </w:r>
      <w:r>
        <w:rPr>
          <w:sz w:val="21"/>
          <w:szCs w:val="21"/>
          <w:color w:val="231F20"/>
          <w:spacing w:val="-7"/>
          <w:position w:val="-1"/>
        </w:rPr>
        <w:t>。</w:t>
      </w:r>
    </w:p>
    <w:p>
      <w:pPr>
        <w:pStyle w:val="BodyText"/>
        <w:ind w:left="1" w:right="56" w:firstLine="443"/>
        <w:spacing w:before="19" w:line="347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对于急性阑尾患者，手术治疗是有效的措施，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但围术期容易因各种因素影响延长患者术后</w:t>
      </w:r>
      <w:r>
        <w:rPr>
          <w:sz w:val="21"/>
          <w:szCs w:val="21"/>
          <w:color w:val="231F20"/>
          <w:spacing w:val="-1"/>
        </w:rPr>
        <w:t>恢复时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7"/>
        </w:rPr>
        <w:t>间，如术前负面情绪的发生会影响到手术顺利进行，</w:t>
      </w:r>
      <w:r>
        <w:rPr>
          <w:sz w:val="21"/>
          <w:szCs w:val="21"/>
          <w:color w:val="231F20"/>
          <w:spacing w:val="16"/>
        </w:rPr>
        <w:t xml:space="preserve"> </w:t>
      </w:r>
      <w:r>
        <w:rPr>
          <w:sz w:val="21"/>
          <w:szCs w:val="21"/>
          <w:color w:val="231F20"/>
        </w:rPr>
        <w:t>在一定程度上会对其术后康复造成一定影响</w:t>
      </w:r>
      <w:r>
        <w:rPr>
          <w:sz w:val="21"/>
          <w:szCs w:val="21"/>
          <w:color w:val="231F20"/>
          <w:spacing w:val="-1"/>
        </w:rPr>
        <w:t>；术后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并发症发生会导致住院时间延长，为此应注</w:t>
      </w:r>
      <w:r>
        <w:rPr>
          <w:sz w:val="21"/>
          <w:szCs w:val="21"/>
          <w:color w:val="231F20"/>
          <w:spacing w:val="-1"/>
        </w:rPr>
        <w:t>重加强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患者护理干预。循证护理其属于新型护理模</w:t>
      </w:r>
      <w:r>
        <w:rPr>
          <w:sz w:val="21"/>
          <w:szCs w:val="21"/>
          <w:color w:val="231F20"/>
          <w:spacing w:val="-1"/>
        </w:rPr>
        <w:t>式，也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是临床比较常见的护理干预措施，将其应用</w:t>
      </w:r>
      <w:r>
        <w:rPr>
          <w:sz w:val="21"/>
          <w:szCs w:val="21"/>
          <w:color w:val="231F20"/>
          <w:spacing w:val="-1"/>
        </w:rPr>
        <w:t>于急性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阑尾炎手术患者中的有效性显著。从结果上分析： </w:t>
      </w:r>
      <w:r>
        <w:rPr>
          <w:sz w:val="21"/>
          <w:szCs w:val="21"/>
          <w:color w:val="231F20"/>
          <w:spacing w:val="9"/>
        </w:rPr>
        <w:t>实验组患者护理后其负性情绪评分明显较参照组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1"/>
        </w:rPr>
        <w:t>低，</w:t>
      </w:r>
      <w:r>
        <w:rPr>
          <w:sz w:val="21"/>
          <w:szCs w:val="21"/>
          <w:i/>
          <w:iCs/>
          <w:color w:val="231F20"/>
          <w:spacing w:val="-1"/>
        </w:rPr>
        <w:t>P</w:t>
      </w:r>
      <w:r>
        <w:rPr>
          <w:sz w:val="21"/>
          <w:szCs w:val="21"/>
          <w:color w:val="231F20"/>
          <w:spacing w:val="-1"/>
        </w:rPr>
        <w:t>&lt;0.05。究其原因，可能在于：循证护理在循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</w:rPr>
        <w:t>证过程中明确负面情绪对患者疾病影响比较</w:t>
      </w:r>
      <w:r>
        <w:rPr>
          <w:sz w:val="21"/>
          <w:szCs w:val="21"/>
          <w:color w:val="231F20"/>
          <w:spacing w:val="-1"/>
        </w:rPr>
        <w:t>大，因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此在循证护理过程中，术前通过予以患者心</w:t>
      </w:r>
      <w:r>
        <w:rPr>
          <w:sz w:val="21"/>
          <w:szCs w:val="21"/>
          <w:color w:val="231F20"/>
          <w:spacing w:val="-1"/>
        </w:rPr>
        <w:t>理疏导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来改善患者术前心理状态，让患者能够以积</w:t>
      </w:r>
      <w:r>
        <w:rPr>
          <w:sz w:val="21"/>
          <w:szCs w:val="21"/>
          <w:color w:val="231F20"/>
          <w:spacing w:val="-1"/>
        </w:rPr>
        <w:t>极向上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的心态面对疾病，应用效果较为显著。实验</w:t>
      </w:r>
      <w:r>
        <w:rPr>
          <w:sz w:val="21"/>
          <w:szCs w:val="21"/>
          <w:color w:val="231F20"/>
          <w:spacing w:val="-1"/>
        </w:rPr>
        <w:t>组并发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"/>
        </w:rPr>
        <w:t>症发生率显著低于参照组，</w:t>
      </w:r>
      <w:r>
        <w:rPr>
          <w:sz w:val="21"/>
          <w:szCs w:val="21"/>
          <w:i/>
          <w:iCs/>
          <w:color w:val="231F20"/>
          <w:spacing w:val="-1"/>
        </w:rPr>
        <w:t>P</w:t>
      </w:r>
      <w:r>
        <w:rPr>
          <w:sz w:val="21"/>
          <w:szCs w:val="21"/>
          <w:color w:val="231F20"/>
          <w:spacing w:val="-1"/>
        </w:rPr>
        <w:t>&lt;0.05。其原因可能在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</w:rPr>
        <w:t>于循证护理中针对术后并发症的发生予以针</w:t>
      </w:r>
      <w:r>
        <w:rPr>
          <w:sz w:val="21"/>
          <w:szCs w:val="21"/>
          <w:color w:val="231F20"/>
          <w:spacing w:val="-1"/>
        </w:rPr>
        <w:t>对性护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理措施，如通过切口感染预防护理、排尿障</w:t>
      </w:r>
      <w:r>
        <w:rPr>
          <w:sz w:val="21"/>
          <w:szCs w:val="21"/>
          <w:color w:val="231F20"/>
          <w:spacing w:val="-1"/>
        </w:rPr>
        <w:t>碍预防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护理等，进一步减少切口感染、排尿障碍等</w:t>
      </w:r>
      <w:r>
        <w:rPr>
          <w:sz w:val="21"/>
          <w:szCs w:val="21"/>
          <w:color w:val="231F20"/>
          <w:spacing w:val="-1"/>
        </w:rPr>
        <w:t>并发症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3"/>
        </w:rPr>
        <w:t>的发生，应用效果显著。</w:t>
      </w:r>
    </w:p>
    <w:p>
      <w:pPr>
        <w:pStyle w:val="BodyText"/>
        <w:ind w:left="9" w:right="132" w:firstLine="435"/>
        <w:spacing w:before="3" w:line="328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9"/>
        </w:rPr>
        <w:t>综上所述，临床护理中对于急性阑尾炎手术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  <w:spacing w:val="-2"/>
        </w:rPr>
        <w:t>患者采取循证护理的有效性较高，值得推广。</w:t>
      </w:r>
    </w:p>
    <w:p>
      <w:pPr>
        <w:spacing w:line="2703" w:lineRule="exact"/>
        <w:rPr/>
      </w:pPr>
      <w:r>
        <w:rPr>
          <w:position w:val="-54"/>
        </w:rPr>
        <w:pict>
          <v:shape id="_x0000_s12" style="mso-position-vertical-relative:line;mso-position-horizontal-relative:char;width:231.05pt;height:135.2pt;" fillcolor="#DFE0E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3"/>
                    <w:spacing w:before="149" w:line="201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2"/>
                    </w:rPr>
                    <w:t>参考文献</w:t>
                  </w:r>
                </w:p>
                <w:p>
                  <w:pPr>
                    <w:ind w:left="686" w:right="162" w:hanging="416"/>
                    <w:spacing w:before="17" w:line="259" w:lineRule="auto"/>
                    <w:rPr>
                      <w:rFonts w:ascii="FangSong" w:hAnsi="FangSong" w:eastAsia="FangSong" w:cs="FangSong"/>
                      <w:sz w:val="16"/>
                      <w:szCs w:val="16"/>
                    </w:rPr>
                  </w:pP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4"/>
                    </w:rPr>
                    <w:t>[1]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31"/>
                    </w:rPr>
                    <w:t xml:space="preserve"> 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4"/>
                    </w:rPr>
                    <w:t>赵海燕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4"/>
                    </w:rPr>
                    <w:t>,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4"/>
                    </w:rPr>
                    <w:t>韩晓燕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4"/>
                    </w:rPr>
                    <w:t>,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4"/>
                    </w:rPr>
                    <w:t>李敏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4"/>
                    </w:rPr>
                    <w:t>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4"/>
                    </w:rPr>
                    <w:t>临床路径护理对急性阑尾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5"/>
                    </w:rPr>
                    <w:t>炎手术患者护理质量的影响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5"/>
                    </w:rPr>
                    <w:t>[J].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5"/>
                    </w:rPr>
                    <w:t>医学食疗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4"/>
                    </w:rPr>
                    <w:t>与健康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4"/>
                    </w:rPr>
                    <w:t>,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>2021,19(1):130-131.</w:t>
                  </w:r>
                </w:p>
                <w:p>
                  <w:pPr>
                    <w:ind w:left="686" w:right="162" w:hanging="416"/>
                    <w:spacing w:before="46" w:line="259" w:lineRule="auto"/>
                    <w:rPr>
                      <w:rFonts w:ascii="FangSong" w:hAnsi="FangSong" w:eastAsia="FangSong" w:cs="FangSong"/>
                      <w:sz w:val="16"/>
                      <w:szCs w:val="16"/>
                    </w:rPr>
                  </w:pP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"/>
                    </w:rPr>
                    <w:t>[2]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29"/>
                    </w:rPr>
                    <w:t xml:space="preserve"> 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"/>
                    </w:rPr>
                    <w:t>何素华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"/>
                    </w:rPr>
                    <w:t>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"/>
                    </w:rPr>
                    <w:t>优质护理对急性阑尾炎手术患者术后康复及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"/>
                    </w:rPr>
                    <w:t>生活质量的影响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"/>
                    </w:rPr>
                    <w:t>[J].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"/>
                    </w:rPr>
                    <w:t>中国农村卫生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"/>
                    </w:rPr>
                    <w:t>,2020,12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6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"/>
                    </w:rPr>
                    <w:t>(20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):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>65,53.</w:t>
                  </w:r>
                </w:p>
                <w:p>
                  <w:pPr>
                    <w:ind w:left="686" w:right="162" w:hanging="416"/>
                    <w:spacing w:before="46" w:line="259" w:lineRule="auto"/>
                    <w:rPr>
                      <w:rFonts w:ascii="FangSong" w:hAnsi="FangSong" w:eastAsia="FangSong" w:cs="FangSong"/>
                      <w:sz w:val="16"/>
                      <w:szCs w:val="16"/>
                    </w:rPr>
                  </w:pP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6"/>
                    </w:rPr>
                    <w:t>[3]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30"/>
                    </w:rPr>
                    <w:t xml:space="preserve"> 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6"/>
                    </w:rPr>
                    <w:t>李灵萍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6"/>
                    </w:rPr>
                    <w:t>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6"/>
                    </w:rPr>
                    <w:t>中西医结合护理对急性阑尾炎手术患者炎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5"/>
                    </w:rPr>
                    <w:t>症因子、胃肠功能和负性情绪的影响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5"/>
                    </w:rPr>
                    <w:t>[J].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5"/>
                    </w:rPr>
                    <w:t>新中医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5"/>
                    </w:rPr>
                    <w:t>,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>2020,52(17):130-133.</w:t>
                  </w:r>
                </w:p>
              </w:txbxContent>
            </v:textbox>
          </v:shape>
        </w:pict>
      </w:r>
    </w:p>
    <w:p>
      <w:pPr>
        <w:spacing w:line="2703" w:lineRule="exact"/>
        <w:sectPr>
          <w:type w:val="continuous"/>
          <w:pgSz w:w="11906" w:h="16838"/>
          <w:pgMar w:top="647" w:right="952" w:bottom="0" w:left="424" w:header="0" w:footer="0" w:gutter="0"/>
          <w:cols w:equalWidth="0" w:num="2">
            <w:col w:w="5684" w:space="100"/>
            <w:col w:w="4746" w:space="0"/>
          </w:cols>
        </w:sectPr>
        <w:rPr/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before="58" w:line="245" w:lineRule="exact"/>
        <w:jc w:val="righ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20"/>
          <w:szCs w:val="20"/>
          <w:color w:val="D0D1D3"/>
        </w:rPr>
        <w:t>Fertility</w:t>
      </w:r>
      <w:r>
        <w:rPr>
          <w:rFonts w:ascii="Arial" w:hAnsi="Arial" w:eastAsia="Arial" w:cs="Arial"/>
          <w:sz w:val="20"/>
          <w:szCs w:val="20"/>
          <w:color w:val="D0D1D3"/>
          <w:spacing w:val="17"/>
        </w:rPr>
        <w:t xml:space="preserve"> &amp;</w:t>
      </w:r>
      <w:r>
        <w:rPr>
          <w:rFonts w:ascii="Arial" w:hAnsi="Arial" w:eastAsia="Arial" w:cs="Arial"/>
          <w:sz w:val="20"/>
          <w:szCs w:val="20"/>
          <w:color w:val="D0D1D3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D0D1D3"/>
        </w:rPr>
        <w:t>Health</w:t>
      </w:r>
      <w:r>
        <w:rPr>
          <w:rFonts w:ascii="Arial" w:hAnsi="Arial" w:eastAsia="Arial" w:cs="Arial"/>
          <w:sz w:val="20"/>
          <w:szCs w:val="20"/>
          <w:color w:val="D0D1D3"/>
          <w:spacing w:val="12"/>
        </w:rPr>
        <w:t xml:space="preserve">   </w:t>
      </w:r>
      <w:r>
        <w:rPr>
          <w:sz w:val="20"/>
          <w:szCs w:val="20"/>
        </w:rPr>
        <w:drawing>
          <wp:inline distT="0" distB="0" distL="0" distR="0">
            <wp:extent cx="3593" cy="115201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93" cy="11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0"/>
          <w:szCs w:val="20"/>
          <w:color w:val="D0D1D3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>123</w:t>
      </w:r>
    </w:p>
    <w:sectPr>
      <w:type w:val="continuous"/>
      <w:pgSz w:w="11906" w:h="16838"/>
      <w:pgMar w:top="647" w:right="952" w:bottom="0" w:left="424" w:header="0" w:footer="0" w:gutter="0"/>
      <w:cols w:equalWidth="0" w:num="1">
        <w:col w:w="1052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 UI Light">
    <w:panose1 w:val="020B0502040204020203"/>
    <w:charset w:val="86"/>
    <w:family w:val="auto"/>
    <w:pitch w:val="variable"/>
    <w:sig w:usb0="80000287" w:usb1="2ACF0010" w:usb2="00000016" w:usb3="00000000" w:csb0="0004001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811.69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428" w:lineRule="auto"/>
      <w:rPr>
        <w:rFonts w:ascii="Arial"/>
        <w:sz w:val="21"/>
      </w:rPr>
    </w:pPr>
    <w:r>
      <w:pict>
        <v:shape id="WordPictureWatermark4" style="position:absolute;margin-left:21.2pt;margin-top:811.69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6835237</wp:posOffset>
          </wp:positionH>
          <wp:positionV relativeFrom="page">
            <wp:posOffset>0</wp:posOffset>
          </wp:positionV>
          <wp:extent cx="6350" cy="385208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350" cy="3852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ind w:left="6725"/>
      <w:spacing w:before="51" w:line="181" w:lineRule="auto"/>
      <w:rPr>
        <w:rFonts w:ascii="Microsoft YaHei" w:hAnsi="Microsoft YaHei" w:eastAsia="Microsoft YaHei" w:cs="Microsoft YaHei"/>
        <w:sz w:val="12"/>
        <w:szCs w:val="12"/>
      </w:rPr>
    </w:pPr>
    <w:r>
      <w:pict>
        <v:shape id="_x0000_s6" style="position:absolute;margin-left:296.36pt;margin-top:1.59044pt;mso-position-vertical-relative:text;mso-position-horizontal-relative:text;width:36.65pt;height:10.85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06" w:lineRule="auto"/>
                  <w:rPr>
                    <w:rFonts w:ascii="Microsoft YaHei" w:hAnsi="Microsoft YaHei" w:eastAsia="Microsoft YaHei" w:cs="Microsoft YaHei"/>
                    <w:sz w:val="12"/>
                    <w:szCs w:val="12"/>
                  </w:rPr>
                </w:pPr>
                <w:r>
                  <w:rPr>
                    <w:rFonts w:ascii="Microsoft YaHei" w:hAnsi="Microsoft YaHei" w:eastAsia="Microsoft YaHei" w:cs="Microsoft YaHei"/>
                    <w:sz w:val="12"/>
                    <w:szCs w:val="12"/>
                    <w:color w:val="7C7E81"/>
                    <w:spacing w:val="19"/>
                  </w:rPr>
                  <w:t>婚育与健康</w:t>
                </w:r>
              </w:p>
            </w:txbxContent>
          </v:textbox>
        </v:shape>
      </w:pict>
    </w:r>
    <w:r>
      <w:pict>
        <v:shape id="_x0000_s8" style="position:absolute;margin-left:475.373pt;margin-top:-0.480845pt;mso-position-vertical-relative:text;mso-position-horizontal-relative:text;width:38.65pt;height:13.8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06" w:lineRule="auto"/>
                  <w:rPr>
                    <w:rFonts w:ascii="Microsoft YaHei" w:hAnsi="Microsoft YaHei" w:eastAsia="Microsoft YaHei" w:cs="Microsoft YaHei"/>
                    <w:sz w:val="16"/>
                    <w:szCs w:val="16"/>
                  </w:rPr>
                </w:pPr>
                <w:r>
                  <w:rPr>
                    <w:rFonts w:ascii="Microsoft YaHei" w:hAnsi="Microsoft YaHei" w:eastAsia="Microsoft YaHei" w:cs="Microsoft YaHei"/>
                    <w:sz w:val="16"/>
                    <w:szCs w:val="16"/>
                    <w:color w:val="B6B7BB"/>
                    <w:spacing w:val="23"/>
                  </w:rPr>
                  <w:t>健康护理</w:t>
                </w:r>
              </w:p>
            </w:txbxContent>
          </v:textbox>
        </v:shape>
      </w:pict>
    </w:r>
    <w:r>
      <w:rPr>
        <w:rFonts w:ascii="Microsoft YaHei" w:hAnsi="Microsoft YaHei" w:eastAsia="Microsoft YaHei" w:cs="Microsoft YaHei"/>
        <w:sz w:val="12"/>
        <w:szCs w:val="12"/>
        <w:color w:val="7C7E81"/>
        <w:spacing w:val="-2"/>
      </w:rPr>
      <w:t>2024 年 8 月（下） 第 30 卷</w:t>
    </w:r>
    <w:r>
      <w:rPr>
        <w:rFonts w:ascii="Microsoft YaHei" w:hAnsi="Microsoft YaHei" w:eastAsia="Microsoft YaHei" w:cs="Microsoft YaHei"/>
        <w:sz w:val="12"/>
        <w:szCs w:val="12"/>
        <w:color w:val="7C7E81"/>
        <w:spacing w:val="43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color w:val="7C7E81"/>
        <w:spacing w:val="-2"/>
      </w:rPr>
      <w:t>第</w:t>
    </w:r>
    <w:r>
      <w:rPr>
        <w:rFonts w:ascii="Microsoft YaHei" w:hAnsi="Microsoft YaHei" w:eastAsia="Microsoft YaHei" w:cs="Microsoft YaHei"/>
        <w:sz w:val="12"/>
        <w:szCs w:val="12"/>
        <w:color w:val="7C7E81"/>
        <w:spacing w:val="9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color w:val="7C7E81"/>
        <w:spacing w:val="-2"/>
      </w:rPr>
      <w:t>16 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header" Target="header2.xml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image" Target="media/image10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2024-09-16T21:12:16Z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2025-10-28T21:32:35</vt:filetime>
  </property>
</Properties>
</file>