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395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sz w:val="11"/>
          <w:szCs w:val="11"/>
          <w:color w:val="231F20"/>
          <w:position w:val="-5"/>
        </w:rPr>
        <w:t>China</w:t>
      </w:r>
      <w:r>
        <w:rPr>
          <w:sz w:val="11"/>
          <w:szCs w:val="11"/>
          <w:color w:val="231F20"/>
          <w:spacing w:val="11"/>
          <w:w w:val="101"/>
          <w:position w:val="-5"/>
        </w:rPr>
        <w:t xml:space="preserve"> </w:t>
      </w:r>
      <w:r>
        <w:rPr>
          <w:sz w:val="11"/>
          <w:szCs w:val="11"/>
          <w:color w:val="231F20"/>
          <w:spacing w:val="24"/>
          <w:position w:val="-5"/>
        </w:rPr>
        <w:t>&amp;</w:t>
      </w:r>
      <w:r>
        <w:rPr>
          <w:sz w:val="11"/>
          <w:szCs w:val="11"/>
          <w:color w:val="231F20"/>
          <w:position w:val="-5"/>
        </w:rPr>
        <w:t>Foreign</w:t>
      </w:r>
      <w:r>
        <w:rPr>
          <w:sz w:val="11"/>
          <w:szCs w:val="11"/>
          <w:color w:val="231F20"/>
          <w:spacing w:val="15"/>
          <w:w w:val="102"/>
          <w:position w:val="-5"/>
        </w:rPr>
        <w:t xml:space="preserve"> </w:t>
      </w:r>
      <w:r>
        <w:rPr>
          <w:sz w:val="11"/>
          <w:szCs w:val="11"/>
          <w:color w:val="231F20"/>
          <w:position w:val="-5"/>
        </w:rPr>
        <w:t>Medi</w:t>
      </w:r>
      <w:r>
        <w:rPr>
          <w:sz w:val="11"/>
          <w:szCs w:val="11"/>
          <w:position w:val="-3"/>
        </w:rPr>
        <w:drawing>
          <wp:inline distT="0" distB="0" distL="0" distR="0">
            <wp:extent cx="484527" cy="17778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27" cy="1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231F20"/>
          <w:sz w:val="11"/>
          <w:szCs w:val="11"/>
          <w:color w:val="231F20"/>
          <w:spacing w:val="9"/>
          <w:position w:val="-5"/>
        </w:rPr>
        <w:t xml:space="preserve">   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spacing w:val="24"/>
          <w:position w:val="-1"/>
        </w:rPr>
        <w:t>中外医疗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position w:val="-1"/>
        </w:rPr>
        <w:t xml:space="preserve"> </w:t>
      </w:r>
    </w:p>
    <w:p>
      <w:pPr>
        <w:pStyle w:val="BodyText"/>
        <w:ind w:left="718" w:right="2" w:firstLine="452"/>
        <w:spacing w:before="2" w:line="258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床  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  <w:spacing w:val="1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</w:rPr>
        <w:t xml:space="preserve">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16662/j.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.1674-0</w:t>
      </w:r>
      <w:r>
        <w:rPr>
          <w:sz w:val="17"/>
          <w:szCs w:val="17"/>
          <w:color w:val="231F20"/>
          <w:spacing w:val="2"/>
        </w:rPr>
        <w:t>742.2024.33.031</w:t>
      </w:r>
    </w:p>
    <w:p>
      <w:pPr>
        <w:ind w:left="1530"/>
        <w:spacing w:before="387" w:line="184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1"/>
        </w:rPr>
        <w:t>急性阑尾炎手术时机对治疗效果的影响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4600"/>
        <w:spacing w:before="73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林龙海，江义舟，潘梓荣</w:t>
      </w:r>
    </w:p>
    <w:p>
      <w:pPr>
        <w:pStyle w:val="BodyText"/>
        <w:ind w:left="3734"/>
        <w:spacing w:before="77" w:line="187" w:lineRule="auto"/>
        <w:rPr/>
      </w:pPr>
      <w:r>
        <w:rPr>
          <w:rFonts w:ascii="Microsoft YaHei" w:hAnsi="Microsoft YaHei" w:eastAsia="Microsoft YaHei" w:cs="Microsoft YaHei"/>
          <w:color w:val="231F20"/>
          <w:spacing w:val="6"/>
        </w:rPr>
        <w:t>厦门市海沧医院普外科，福建 厦门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 </w:t>
      </w:r>
      <w:r>
        <w:rPr>
          <w:color w:val="231F20"/>
          <w:spacing w:val="6"/>
        </w:rPr>
        <w:t>361000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133" w:right="353" w:hanging="68"/>
        <w:spacing w:before="77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7"/>
        </w:rPr>
        <w:t>［摘要］目的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评估不同手术治疗时间对急性阑尾炎患者的治疗效果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rFonts w:ascii="SimHei" w:hAnsi="SimHei" w:eastAsia="SimHei" w:cs="SimHei"/>
          <w:color w:val="231F20"/>
          <w:spacing w:val="7"/>
        </w:rPr>
        <w:t>方法</w:t>
      </w:r>
      <w:r>
        <w:rPr>
          <w:rFonts w:ascii="SimHei" w:hAnsi="SimHei" w:eastAsia="SimHei" w:cs="Sim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回顾性选取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7"/>
        </w:rPr>
        <w:t>2020 </w:t>
      </w:r>
      <w:r>
        <w:rPr>
          <w:rFonts w:ascii="Microsoft YaHei" w:hAnsi="Microsoft YaHei" w:eastAsia="Microsoft YaHei" w:cs="Microsoft YaHei"/>
          <w:color w:val="231F20"/>
          <w:spacing w:val="7"/>
        </w:rPr>
        <w:t>年 </w:t>
      </w:r>
      <w:r>
        <w:rPr>
          <w:color w:val="231F20"/>
          <w:spacing w:val="7"/>
        </w:rPr>
        <w:t>10 </w:t>
      </w:r>
      <w:r>
        <w:rPr>
          <w:rFonts w:ascii="Microsoft YaHei" w:hAnsi="Microsoft YaHei" w:eastAsia="Microsoft YaHei" w:cs="Microsoft YaHei"/>
          <w:color w:val="231F20"/>
          <w:spacing w:val="7"/>
        </w:rPr>
        <w:t>月—</w:t>
      </w:r>
      <w:r>
        <w:rPr>
          <w:color w:val="231F20"/>
          <w:spacing w:val="7"/>
        </w:rPr>
        <w:t>20</w:t>
      </w:r>
      <w:r>
        <w:rPr>
          <w:color w:val="231F20"/>
          <w:spacing w:val="6"/>
        </w:rPr>
        <w:t>22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年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7"/>
        </w:rPr>
        <w:t>9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月厦门市海沧医院收治的 </w:t>
      </w:r>
      <w:r>
        <w:rPr>
          <w:color w:val="231F20"/>
          <w:spacing w:val="7"/>
        </w:rPr>
        <w:t>180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例急性阑尾炎患者的临床资料，所有的患者均行腹腔镜阑尾切除术，</w:t>
      </w:r>
      <w:r>
        <w:rPr>
          <w:rFonts w:ascii="Microsoft YaHei" w:hAnsi="Microsoft YaHei" w:eastAsia="Microsoft YaHei" w:cs="Microsoft YaHei"/>
          <w:color w:val="231F20"/>
          <w:spacing w:val="6"/>
        </w:rPr>
        <w:t>根据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手术时间的不同分为早期手术治疗组（</w:t>
      </w:r>
      <w:r>
        <w:rPr>
          <w:rFonts w:ascii="Arial" w:hAnsi="Arial" w:eastAsia="Arial" w:cs="Arial"/>
          <w:i/>
          <w:iCs/>
          <w:color w:val="231F20"/>
          <w:spacing w:val="4"/>
        </w:rPr>
        <w:t>n</w:t>
      </w:r>
      <w:r>
        <w:rPr>
          <w:color w:val="231F20"/>
          <w:spacing w:val="4"/>
        </w:rPr>
        <w:t>=97</w:t>
      </w:r>
      <w:r>
        <w:rPr>
          <w:rFonts w:ascii="Microsoft YaHei" w:hAnsi="Microsoft YaHei" w:eastAsia="Microsoft YaHei" w:cs="Microsoft YaHei"/>
          <w:color w:val="231F20"/>
          <w:spacing w:val="4"/>
        </w:rPr>
        <w:t>，发病至手术时间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4"/>
        </w:rPr>
        <w:t>≤24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h</w:t>
      </w:r>
      <w:r>
        <w:rPr>
          <w:rFonts w:ascii="Microsoft YaHei" w:hAnsi="Microsoft YaHei" w:eastAsia="Microsoft YaHei" w:cs="Microsoft YaHei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3"/>
        </w:rPr>
        <w:t>和晚期手术治疗组（</w:t>
      </w:r>
      <w:r>
        <w:rPr>
          <w:rFonts w:ascii="Arial" w:hAnsi="Arial" w:eastAsia="Arial" w:cs="Arial"/>
          <w:i/>
          <w:iCs/>
          <w:color w:val="231F20"/>
          <w:spacing w:val="3"/>
        </w:rPr>
        <w:t>n</w:t>
      </w:r>
      <w:r>
        <w:rPr>
          <w:color w:val="231F20"/>
          <w:spacing w:val="3"/>
        </w:rPr>
        <w:t>=83</w:t>
      </w:r>
      <w:r>
        <w:rPr>
          <w:rFonts w:ascii="Microsoft YaHei" w:hAnsi="Microsoft YaHei" w:eastAsia="Microsoft YaHei" w:cs="Microsoft YaHei"/>
          <w:color w:val="231F20"/>
          <w:spacing w:val="3"/>
        </w:rPr>
        <w:t>，发病至手术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时间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2"/>
        </w:rPr>
        <w:t>&gt;24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h</w:t>
      </w:r>
      <w:r>
        <w:rPr>
          <w:rFonts w:ascii="Microsoft YaHei" w:hAnsi="Microsoft YaHei" w:eastAsia="Microsoft YaHei" w:cs="Microsoft YaHei"/>
          <w:color w:val="231F20"/>
          <w:spacing w:val="2"/>
        </w:rPr>
        <w:t>）。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比较两组患者的住院时间、手术时间</w:t>
      </w:r>
      <w:r>
        <w:rPr>
          <w:rFonts w:ascii="Microsoft YaHei" w:hAnsi="Microsoft YaHei" w:eastAsia="Microsoft YaHei" w:cs="Microsoft YaHei"/>
          <w:color w:val="231F20"/>
          <w:spacing w:val="1"/>
        </w:rPr>
        <w:t>、术后感染发生率、术后并发症发生率及血常规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SimHei" w:hAnsi="SimHei" w:eastAsia="SimHei" w:cs="SimHei"/>
          <w:color w:val="231F20"/>
          <w:spacing w:val="1"/>
        </w:rPr>
        <w:t>结果</w:t>
      </w:r>
      <w:r>
        <w:rPr>
          <w:rFonts w:ascii="SimHei" w:hAnsi="SimHei" w:eastAsia="SimHei" w:cs="Sim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早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期手术治疗组术后并发症发生率为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5"/>
        </w:rPr>
        <w:t>8.25%</w:t>
      </w:r>
      <w:r>
        <w:rPr>
          <w:rFonts w:ascii="Microsoft YaHei" w:hAnsi="Microsoft YaHei" w:eastAsia="Microsoft YaHei" w:cs="Microsoft YaHei"/>
          <w:color w:val="231F20"/>
          <w:spacing w:val="5"/>
        </w:rPr>
        <w:t>（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5"/>
        </w:rPr>
        <w:t>8/97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5"/>
        </w:rPr>
        <w:t>低于晚期手术治疗组的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5"/>
        </w:rPr>
        <w:t>24.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10%</w:t>
      </w:r>
      <w:r>
        <w:rPr>
          <w:rFonts w:ascii="Microsoft YaHei" w:hAnsi="Microsoft YaHei" w:eastAsia="Microsoft YaHei" w:cs="Microsoft YaHei"/>
          <w:color w:val="231F20"/>
          <w:spacing w:val="5"/>
        </w:rPr>
        <w:t>（</w:t>
      </w:r>
      <w:r>
        <w:rPr>
          <w:color w:val="231F20"/>
          <w:spacing w:val="5"/>
        </w:rPr>
        <w:t>20/83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5"/>
        </w:rPr>
        <w:t>差异有统计学意义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(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color w:val="231F20"/>
          <w:spacing w:val="-2"/>
        </w:rPr>
        <w:t>χ</w:t>
      </w:r>
      <w:r>
        <w:rPr>
          <w:sz w:val="10"/>
          <w:szCs w:val="10"/>
          <w:color w:val="231F20"/>
          <w:spacing w:val="-2"/>
          <w:position w:val="7"/>
        </w:rPr>
        <w:t>2</w:t>
      </w:r>
      <w:r>
        <w:rPr>
          <w:color w:val="231F20"/>
          <w:spacing w:val="-2"/>
        </w:rPr>
        <w:t>=8.553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早期手术治疗组术后感染发生率低于晚期手术治疗组，差异有统计学意义（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</w:t>
      </w:r>
    </w:p>
    <w:p>
      <w:pPr>
        <w:pStyle w:val="BodyText"/>
        <w:ind w:left="1134" w:right="423"/>
        <w:spacing w:before="2" w:line="25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早期手术治疗组患者的手术时间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、住院时间均短于晚期手术治疗组，差异均有统计学意义（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均</w:t>
      </w:r>
      <w:r>
        <w:rPr>
          <w:color w:val="231F20"/>
          <w:spacing w:val="4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后第 </w:t>
      </w:r>
      <w:r>
        <w:rPr>
          <w:color w:val="231F20"/>
          <w:spacing w:val="8"/>
        </w:rPr>
        <w:t>1 </w:t>
      </w:r>
      <w:r>
        <w:rPr>
          <w:rFonts w:ascii="Microsoft YaHei" w:hAnsi="Microsoft YaHei" w:eastAsia="Microsoft YaHei" w:cs="Microsoft YaHei"/>
          <w:color w:val="231F20"/>
          <w:spacing w:val="8"/>
        </w:rPr>
        <w:t>天和第 </w:t>
      </w:r>
      <w:r>
        <w:rPr>
          <w:color w:val="231F20"/>
          <w:spacing w:val="8"/>
        </w:rPr>
        <w:t>3 </w:t>
      </w:r>
      <w:r>
        <w:rPr>
          <w:rFonts w:ascii="Microsoft YaHei" w:hAnsi="Microsoft YaHei" w:eastAsia="Microsoft YaHei" w:cs="Microsoft YaHei"/>
          <w:color w:val="231F20"/>
          <w:spacing w:val="8"/>
        </w:rPr>
        <w:t>天，早期手术治疗组血常规指标水平均优于晚期手术治疗组，差异均有统计学意义（</w:t>
      </w:r>
      <w:r>
        <w:rPr>
          <w:rFonts w:ascii="Arial" w:hAnsi="Arial" w:eastAsia="Arial" w:cs="Arial"/>
          <w:i/>
          <w:iCs/>
          <w:color w:val="231F20"/>
          <w:spacing w:val="8"/>
        </w:rPr>
        <w:t>P</w:t>
      </w:r>
      <w:r>
        <w:rPr>
          <w:rFonts w:ascii="Arial" w:hAnsi="Arial" w:eastAsia="Arial" w:cs="Arial"/>
          <w:i/>
          <w:iCs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均</w:t>
      </w:r>
      <w:r>
        <w:rPr>
          <w:color w:val="231F20"/>
          <w:spacing w:val="8"/>
        </w:rPr>
        <w:t>&lt;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color w:val="231F20"/>
          <w:spacing w:val="9"/>
        </w:rPr>
        <w:t>）。 </w:t>
      </w:r>
      <w:r>
        <w:rPr>
          <w:rFonts w:ascii="SimHei" w:hAnsi="SimHei" w:eastAsia="SimHei" w:cs="SimHei"/>
          <w:color w:val="231F20"/>
          <w:spacing w:val="9"/>
        </w:rPr>
        <w:t>结论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对于急性阑尾炎患者而言，早期手术治疗的治疗效果较好，可缩短患者的住院时</w:t>
      </w:r>
      <w:r>
        <w:rPr>
          <w:rFonts w:ascii="Microsoft YaHei" w:hAnsi="Microsoft YaHei" w:eastAsia="Microsoft YaHei" w:cs="Microsoft YaHei"/>
          <w:color w:val="231F20"/>
          <w:spacing w:val="8"/>
        </w:rPr>
        <w:t>间和手术时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间，减少术后并发症的发生，改善血常规指标。</w:t>
      </w:r>
    </w:p>
    <w:p>
      <w:pPr>
        <w:ind w:left="1065"/>
        <w:spacing w:before="7" w:line="20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［关键词］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急性阑尾炎；早期手术；晚期手术；治疗效果</w:t>
      </w:r>
    </w:p>
    <w:p>
      <w:pPr>
        <w:pStyle w:val="BodyText"/>
        <w:ind w:left="1065"/>
        <w:spacing w:before="67" w:line="224" w:lineRule="auto"/>
        <w:rPr/>
      </w:pPr>
      <w:r>
        <w:rPr>
          <w:rFonts w:ascii="SimHei" w:hAnsi="SimHei" w:eastAsia="SimHei" w:cs="SimHei"/>
          <w:color w:val="231F20"/>
          <w:spacing w:val="6"/>
        </w:rPr>
        <w:t>［中图分类号］</w:t>
      </w:r>
      <w:r>
        <w:rPr>
          <w:color w:val="231F20"/>
          <w:spacing w:val="6"/>
        </w:rPr>
        <w:t>R65         </w:t>
      </w:r>
      <w:r>
        <w:rPr>
          <w:rFonts w:ascii="SimHei" w:hAnsi="SimHei" w:eastAsia="SimHei" w:cs="SimHei"/>
          <w:color w:val="231F20"/>
          <w:spacing w:val="6"/>
        </w:rPr>
        <w:t>［文献标</w:t>
      </w:r>
      <w:r>
        <w:rPr>
          <w:rFonts w:ascii="SimHei" w:hAnsi="SimHei" w:eastAsia="SimHei" w:cs="SimHei"/>
          <w:color w:val="231F20"/>
          <w:spacing w:val="5"/>
        </w:rPr>
        <w:t>识码］</w:t>
      </w:r>
      <w:r>
        <w:rPr>
          <w:color w:val="231F20"/>
          <w:spacing w:val="5"/>
        </w:rPr>
        <w:t>A          </w:t>
      </w:r>
      <w:r>
        <w:rPr>
          <w:rFonts w:ascii="SimHei" w:hAnsi="SimHei" w:eastAsia="SimHei" w:cs="SimHei"/>
          <w:color w:val="231F20"/>
          <w:spacing w:val="5"/>
        </w:rPr>
        <w:t>［文章编号］</w:t>
      </w:r>
      <w:r>
        <w:rPr>
          <w:color w:val="231F20"/>
          <w:spacing w:val="5"/>
        </w:rPr>
        <w:t>1674-0742</w:t>
      </w:r>
      <w:r>
        <w:rPr>
          <w:rFonts w:ascii="SimHei" w:hAnsi="SimHei" w:eastAsia="SimHei" w:cs="SimHei"/>
          <w:color w:val="231F20"/>
          <w:spacing w:val="5"/>
        </w:rPr>
        <w:t>（</w:t>
      </w:r>
      <w:r>
        <w:rPr>
          <w:color w:val="231F20"/>
          <w:spacing w:val="5"/>
        </w:rPr>
        <w:t>2024</w:t>
      </w:r>
      <w:r>
        <w:rPr>
          <w:rFonts w:ascii="SimHei" w:hAnsi="SimHei" w:eastAsia="SimHei" w:cs="SimHei"/>
          <w:color w:val="231F20"/>
          <w:spacing w:val="5"/>
        </w:rPr>
        <w:t>）</w:t>
      </w:r>
      <w:r>
        <w:rPr>
          <w:color w:val="231F20"/>
          <w:spacing w:val="5"/>
        </w:rPr>
        <w:t>11(c)-0031-04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1129" w:right="661" w:firstLine="7"/>
        <w:spacing w:before="75" w:line="318" w:lineRule="auto"/>
        <w:rPr>
          <w:rFonts w:ascii="Arial" w:hAnsi="Arial" w:eastAsia="Arial" w:cs="Arial"/>
        </w:rPr>
      </w:pPr>
      <w:r>
        <w:rPr>
          <w:sz w:val="26"/>
          <w:szCs w:val="26"/>
          <w:color w:val="231F20"/>
          <w:spacing w:val="11"/>
        </w:rPr>
        <w:t>Effect of Surgical Timing on the</w:t>
      </w:r>
      <w:r>
        <w:rPr>
          <w:sz w:val="26"/>
          <w:szCs w:val="26"/>
          <w:color w:val="231F20"/>
          <w:spacing w:val="22"/>
        </w:rPr>
        <w:t xml:space="preserve"> </w:t>
      </w:r>
      <w:r>
        <w:rPr>
          <w:sz w:val="26"/>
          <w:szCs w:val="26"/>
          <w:color w:val="231F20"/>
          <w:spacing w:val="11"/>
        </w:rPr>
        <w:t>Therap</w:t>
      </w:r>
      <w:r>
        <w:rPr>
          <w:sz w:val="26"/>
          <w:szCs w:val="26"/>
          <w:color w:val="231F20"/>
          <w:spacing w:val="10"/>
        </w:rPr>
        <w:t>eutic</w:t>
      </w:r>
      <w:r>
        <w:rPr>
          <w:sz w:val="26"/>
          <w:szCs w:val="26"/>
          <w:color w:val="231F20"/>
          <w:spacing w:val="17"/>
          <w:w w:val="101"/>
        </w:rPr>
        <w:t xml:space="preserve"> </w:t>
      </w:r>
      <w:r>
        <w:rPr>
          <w:sz w:val="26"/>
          <w:szCs w:val="26"/>
          <w:color w:val="231F20"/>
          <w:spacing w:val="10"/>
        </w:rPr>
        <w:t>Effect</w:t>
      </w:r>
      <w:r>
        <w:rPr>
          <w:sz w:val="26"/>
          <w:szCs w:val="26"/>
          <w:color w:val="231F20"/>
          <w:spacing w:val="19"/>
        </w:rPr>
        <w:t xml:space="preserve"> </w:t>
      </w:r>
      <w:r>
        <w:rPr>
          <w:sz w:val="26"/>
          <w:szCs w:val="26"/>
          <w:color w:val="231F20"/>
          <w:spacing w:val="10"/>
        </w:rPr>
        <w:t>of Acute Appendicitis</w:t>
      </w:r>
      <w:r>
        <w:rPr>
          <w:sz w:val="26"/>
          <w:szCs w:val="26"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LIN Longhai, JIANG</w:t>
      </w:r>
      <w:r>
        <w:rPr>
          <w:rFonts w:ascii="Arial" w:hAnsi="Arial" w:eastAsia="Arial" w:cs="Arial"/>
          <w:i/>
          <w:iCs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Yizhou, PAN Zirong</w:t>
      </w:r>
    </w:p>
    <w:p>
      <w:pPr>
        <w:pStyle w:val="BodyText"/>
        <w:ind w:left="1139"/>
        <w:spacing w:before="54" w:line="198" w:lineRule="auto"/>
        <w:rPr/>
      </w:pPr>
      <w:r>
        <w:rPr>
          <w:color w:val="231F20"/>
          <w:spacing w:val="-1"/>
        </w:rPr>
        <w:t>Department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of General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Surgery,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Xiamen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Medical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College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Affiliated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Haicang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Hospital,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Xiamen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361000,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China</w:t>
      </w:r>
    </w:p>
    <w:p>
      <w:pPr>
        <w:pStyle w:val="BodyText"/>
        <w:ind w:left="1132" w:right="421" w:firstLine="11"/>
        <w:spacing w:before="96" w:line="377" w:lineRule="auto"/>
        <w:rPr/>
      </w:pPr>
      <w:r>
        <w:rPr>
          <w:color w:val="231F20"/>
          <w:spacing w:val="1"/>
        </w:rPr>
        <w:t>[Abstract]</w:t>
      </w:r>
      <w:r>
        <w:rPr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1"/>
        </w:rPr>
        <w:t>Objective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evaluate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therapeutic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effect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of different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surgical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time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pendicitis</w:t>
      </w:r>
      <w:r>
        <w:rPr>
          <w:color w:val="231F20"/>
          <w:spacing w:val="19"/>
        </w:rPr>
        <w:t>.</w:t>
      </w:r>
      <w:r>
        <w:rPr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</w:rPr>
        <w:t>Methods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9"/>
        </w:rPr>
        <w:t>180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Xiamen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Haicang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Hospital </w:t>
      </w:r>
      <w:r>
        <w:rPr>
          <w:color w:val="231F20"/>
        </w:rPr>
        <w:t>from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October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2020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September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2022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retrospectively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selected.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underwent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lapar</w:t>
      </w:r>
      <w:r>
        <w:rPr>
          <w:color w:val="231F20"/>
          <w:spacing w:val="-1"/>
        </w:rPr>
        <w:t>oscopic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appendec⁃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tomy.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time,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hey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divided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into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early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operation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Arial" w:hAnsi="Arial" w:eastAsia="Arial" w:cs="Arial"/>
          <w:i/>
          <w:iCs/>
          <w:color w:val="231F20"/>
          <w:spacing w:val="-2"/>
        </w:rPr>
        <w:t>n</w:t>
      </w:r>
      <w:r>
        <w:rPr>
          <w:color w:val="231F20"/>
          <w:spacing w:val="-2"/>
        </w:rPr>
        <w:t>=97,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on⁃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operation≤24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h)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late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n</w:t>
      </w:r>
      <w:r>
        <w:rPr>
          <w:color w:val="231F20"/>
          <w:spacing w:val="-1"/>
        </w:rPr>
        <w:t>=83,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onset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&gt;24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h).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hosp</w:t>
      </w:r>
      <w:r>
        <w:rPr>
          <w:color w:val="231F20"/>
          <w:spacing w:val="-2"/>
        </w:rPr>
        <w:t>italization</w:t>
      </w:r>
      <w:r>
        <w:rPr>
          <w:color w:val="231F20"/>
        </w:rPr>
        <w:t xml:space="preserve"> </w:t>
      </w:r>
      <w:r>
        <w:rPr>
          <w:color w:val="231F20"/>
        </w:rPr>
        <w:t>time,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time,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incide</w:t>
      </w:r>
      <w:r>
        <w:rPr>
          <w:color w:val="231F20"/>
          <w:spacing w:val="-1"/>
        </w:rPr>
        <w:t>nce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postoperative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routine</w:t>
      </w:r>
      <w:r>
        <w:rPr>
          <w:color w:val="231F20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groups.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</w:rPr>
        <w:t>Results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post</w:t>
      </w:r>
      <w:r>
        <w:rPr>
          <w:color w:val="231F20"/>
          <w:spacing w:val="-1"/>
        </w:rPr>
        <w:t>operative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8.25%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(8/97)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24.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10%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(20/83)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late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signifi⁃</w:t>
      </w:r>
      <w:r>
        <w:rPr>
          <w:color w:val="231F20"/>
        </w:rPr>
        <w:t xml:space="preserve"> </w:t>
      </w:r>
      <w:r>
        <w:rPr>
          <w:color w:val="231F20"/>
        </w:rPr>
        <w:t>cant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(χ</w:t>
      </w:r>
      <w:r>
        <w:rPr>
          <w:sz w:val="10"/>
          <w:szCs w:val="10"/>
          <w:color w:val="231F20"/>
          <w:position w:val="7"/>
        </w:rPr>
        <w:t>2</w:t>
      </w:r>
      <w:r>
        <w:rPr>
          <w:color w:val="231F20"/>
        </w:rPr>
        <w:t>=8.553,</w:t>
      </w:r>
      <w:r>
        <w:rPr>
          <w:color w:val="231F20"/>
          <w:spacing w:val="17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&lt;0.05).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operat</w:t>
      </w:r>
      <w:r>
        <w:rPr>
          <w:color w:val="231F20"/>
          <w:spacing w:val="-1"/>
        </w:rPr>
        <w:t>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late</w:t>
      </w:r>
      <w:r>
        <w:rPr>
          <w:color w:val="231F20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wa</w:t>
      </w:r>
      <w:r>
        <w:rPr>
          <w:color w:val="231F20"/>
          <w:spacing w:val="-1"/>
        </w:rPr>
        <w:t>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stay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shorter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late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signifi⁃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(both</w:t>
      </w:r>
      <w:r>
        <w:rPr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1st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3rd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operation,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routine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indexes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late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(both</w:t>
      </w:r>
      <w:r>
        <w:rPr>
          <w:color w:val="231F20"/>
          <w:spacing w:val="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</w:p>
    <w:p>
      <w:pPr>
        <w:pStyle w:val="BodyText"/>
        <w:ind w:left="1135" w:right="423" w:firstLine="4"/>
        <w:spacing w:before="39" w:line="358" w:lineRule="auto"/>
        <w:rPr/>
      </w:pPr>
      <w:r>
        <w:rPr>
          <w:sz w:val="17"/>
          <w:szCs w:val="17"/>
          <w:color w:val="231F20"/>
          <w:spacing w:val="1"/>
        </w:rPr>
        <w:t>Conclusions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appendicitis,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operation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has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better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therapeutic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effect,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whi</w:t>
      </w:r>
      <w:r>
        <w:rPr>
          <w:color w:val="231F20"/>
        </w:rPr>
        <w:t>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can </w:t>
      </w:r>
      <w:r>
        <w:rPr>
          <w:color w:val="231F20"/>
        </w:rPr>
        <w:t>reduce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hospital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stay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complications,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 hospital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stay.</w:t>
      </w:r>
    </w:p>
    <w:p>
      <w:pPr>
        <w:pStyle w:val="BodyText"/>
        <w:ind w:left="1143"/>
        <w:spacing w:before="38" w:line="228" w:lineRule="exact"/>
        <w:rPr/>
      </w:pPr>
      <w:r>
        <w:rPr>
          <w:color w:val="231F20"/>
          <w:spacing w:val="5"/>
          <w:position w:val="3"/>
        </w:rPr>
        <w:t>[</w:t>
      </w:r>
      <w:r>
        <w:rPr>
          <w:color w:val="231F20"/>
          <w:position w:val="3"/>
        </w:rPr>
        <w:t>Key</w:t>
      </w:r>
      <w:r>
        <w:rPr>
          <w:color w:val="231F20"/>
          <w:spacing w:val="14"/>
          <w:w w:val="101"/>
          <w:position w:val="3"/>
        </w:rPr>
        <w:t xml:space="preserve"> </w:t>
      </w:r>
      <w:r>
        <w:rPr>
          <w:color w:val="231F20"/>
          <w:position w:val="3"/>
        </w:rPr>
        <w:t>words</w:t>
      </w:r>
      <w:r>
        <w:rPr>
          <w:color w:val="231F20"/>
          <w:spacing w:val="5"/>
          <w:position w:val="3"/>
        </w:rPr>
        <w:t>]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Acute</w:t>
      </w:r>
      <w:r>
        <w:rPr>
          <w:color w:val="231F20"/>
          <w:spacing w:val="14"/>
          <w:w w:val="102"/>
          <w:position w:val="3"/>
        </w:rPr>
        <w:t xml:space="preserve"> </w:t>
      </w:r>
      <w:r>
        <w:rPr>
          <w:color w:val="231F20"/>
          <w:position w:val="3"/>
        </w:rPr>
        <w:t>appendicitis</w:t>
      </w:r>
      <w:r>
        <w:rPr>
          <w:color w:val="231F20"/>
          <w:spacing w:val="5"/>
          <w:position w:val="3"/>
        </w:rPr>
        <w:t>;</w:t>
      </w:r>
      <w:r>
        <w:rPr>
          <w:color w:val="231F20"/>
          <w:spacing w:val="13"/>
          <w:w w:val="101"/>
          <w:position w:val="3"/>
        </w:rPr>
        <w:t xml:space="preserve"> </w:t>
      </w:r>
      <w:r>
        <w:rPr>
          <w:color w:val="231F20"/>
          <w:position w:val="3"/>
        </w:rPr>
        <w:t>Early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operation</w:t>
      </w:r>
      <w:r>
        <w:rPr>
          <w:color w:val="231F20"/>
          <w:spacing w:val="5"/>
          <w:position w:val="3"/>
        </w:rPr>
        <w:t>;</w:t>
      </w:r>
      <w:r>
        <w:rPr>
          <w:color w:val="231F20"/>
          <w:spacing w:val="14"/>
          <w:w w:val="101"/>
          <w:position w:val="3"/>
        </w:rPr>
        <w:t xml:space="preserve"> </w:t>
      </w:r>
      <w:r>
        <w:rPr>
          <w:color w:val="231F20"/>
          <w:position w:val="3"/>
        </w:rPr>
        <w:t>Late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operation</w:t>
      </w:r>
      <w:r>
        <w:rPr>
          <w:color w:val="231F20"/>
          <w:spacing w:val="5"/>
          <w:position w:val="3"/>
        </w:rPr>
        <w:t>; </w:t>
      </w:r>
      <w:r>
        <w:rPr>
          <w:color w:val="231F20"/>
          <w:position w:val="3"/>
        </w:rPr>
        <w:t>Treatment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effect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4" style="position:absolute;margin-left:35.6901pt;margin-top:15.4793pt;mso-position-vertical-relative:text;mso-position-horizontal-relative:text;width:173.3pt;height:0.4pt;z-index:251658240;" filled="false" strokecolor="#231F20" strokeweight="0.37pt" coordsize="3466,8" coordorigin="0,0" path="m0,3l3465,3e">
            <v:stroke joinstyle="miter" miterlimit="4"/>
          </v:shape>
        </w:pict>
      </w:r>
      <w:r/>
    </w:p>
    <w:p>
      <w:pPr>
        <w:pStyle w:val="BodyText"/>
        <w:ind w:left="723"/>
        <w:spacing w:before="78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3"/>
        </w:rPr>
        <w:t>[</w:t>
      </w:r>
      <w:r>
        <w:rPr>
          <w:rFonts w:ascii="SimHei" w:hAnsi="SimHei" w:eastAsia="SimHei" w:cs="SimHei"/>
          <w:color w:val="231F20"/>
          <w:spacing w:val="3"/>
        </w:rPr>
        <w:t>基金项目</w:t>
      </w:r>
      <w:r>
        <w:rPr>
          <w:color w:val="231F20"/>
          <w:spacing w:val="3"/>
        </w:rPr>
        <w:t>]</w:t>
      </w:r>
      <w:r>
        <w:rPr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厦门市海沧区科技计划（</w:t>
      </w:r>
      <w:r>
        <w:rPr>
          <w:color w:val="231F20"/>
          <w:spacing w:val="3"/>
        </w:rPr>
        <w:t>35</w:t>
      </w:r>
      <w:r>
        <w:rPr>
          <w:color w:val="231F20"/>
          <w:spacing w:val="2"/>
        </w:rPr>
        <w:t>0205Z20202007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</w:p>
    <w:p>
      <w:pPr>
        <w:pStyle w:val="BodyText"/>
        <w:ind w:left="723"/>
        <w:spacing w:before="5" w:line="22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4"/>
        </w:rPr>
        <w:t>[</w:t>
      </w:r>
      <w:r>
        <w:rPr>
          <w:rFonts w:ascii="SimHei" w:hAnsi="SimHei" w:eastAsia="SimHei" w:cs="SimHei"/>
          <w:color w:val="231F20"/>
          <w:spacing w:val="4"/>
        </w:rPr>
        <w:t>作者简介</w:t>
      </w:r>
      <w:r>
        <w:rPr>
          <w:color w:val="231F20"/>
          <w:spacing w:val="4"/>
        </w:rPr>
        <w:t>]</w:t>
      </w:r>
      <w:r>
        <w:rPr>
          <w:rFonts w:ascii="Microsoft YaHei" w:hAnsi="Microsoft YaHei" w:eastAsia="Microsoft YaHei" w:cs="Microsoft YaHei"/>
          <w:color w:val="231F20"/>
          <w:spacing w:val="4"/>
        </w:rPr>
        <w:t>林龙海（</w:t>
      </w:r>
      <w:r>
        <w:rPr>
          <w:color w:val="231F20"/>
          <w:spacing w:val="4"/>
        </w:rPr>
        <w:t>1987-</w:t>
      </w:r>
      <w:r>
        <w:rPr>
          <w:rFonts w:ascii="Microsoft YaHei" w:hAnsi="Microsoft YaHei" w:eastAsia="Microsoft YaHei" w:cs="Microsoft YaHei"/>
          <w:color w:val="231F20"/>
          <w:spacing w:val="-27"/>
          <w:w w:val="63"/>
        </w:rPr>
        <w:t>），</w:t>
      </w:r>
      <w:r>
        <w:rPr>
          <w:rFonts w:ascii="Microsoft YaHei" w:hAnsi="Microsoft YaHei" w:eastAsia="Microsoft YaHei" w:cs="Microsoft YaHei"/>
          <w:color w:val="231F20"/>
          <w:spacing w:val="4"/>
        </w:rPr>
        <w:t>男，硕士，主治医师，研究方向为甲状腺乳腺规范化治疗及急腹症诊疗。</w:t>
      </w:r>
    </w:p>
    <w:p>
      <w:pPr>
        <w:pStyle w:val="BodyText"/>
        <w:ind w:left="723"/>
        <w:spacing w:before="2" w:line="227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</w:t>
      </w:r>
      <w:r>
        <w:rPr>
          <w:rFonts w:ascii="SimHei" w:hAnsi="SimHei" w:eastAsia="SimHei" w:cs="SimHei"/>
          <w:color w:val="231F20"/>
        </w:rPr>
        <w:t>通信作者</w:t>
      </w:r>
      <w:r>
        <w:rPr>
          <w:color w:val="231F20"/>
        </w:rPr>
        <w:t>]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潘梓荣（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1979-</w:t>
      </w:r>
      <w:r>
        <w:rPr>
          <w:rFonts w:ascii="Microsoft YaHei" w:hAnsi="Microsoft YaHei" w:eastAsia="Microsoft YaHei" w:cs="Microsoft YaHei"/>
          <w:color w:val="231F20"/>
          <w:spacing w:val="-26"/>
          <w:w w:val="60"/>
        </w:rPr>
        <w:t>），</w:t>
      </w:r>
      <w:r>
        <w:rPr>
          <w:rFonts w:ascii="Microsoft YaHei" w:hAnsi="Microsoft YaHei" w:eastAsia="Microsoft YaHei" w:cs="Microsoft YaHei"/>
          <w:color w:val="231F20"/>
        </w:rPr>
        <w:t>男，硕士，主任医师，研究方向为胃肠道肿</w:t>
      </w:r>
      <w:r>
        <w:rPr>
          <w:rFonts w:ascii="Microsoft YaHei" w:hAnsi="Microsoft YaHei" w:eastAsia="Microsoft YaHei" w:cs="Microsoft YaHei"/>
          <w:color w:val="231F20"/>
          <w:spacing w:val="-1"/>
        </w:rPr>
        <w:t>瘤微创治疗，</w:t>
      </w:r>
      <w:r>
        <w:rPr>
          <w:color w:val="231F20"/>
          <w:spacing w:val="-1"/>
        </w:rPr>
        <w:t>E-mail:arong0922@163.com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</w:p>
    <w:p>
      <w:pPr>
        <w:pStyle w:val="BodyText"/>
        <w:ind w:left="6294"/>
        <w:spacing w:before="230" w:line="230" w:lineRule="auto"/>
        <w:rPr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 </w:t>
      </w:r>
      <w:r>
        <w:rPr>
          <w:rFonts w:ascii="SimHei" w:hAnsi="SimHei" w:eastAsia="SimHei" w:cs="SimHei"/>
          <w:sz w:val="15"/>
          <w:szCs w:val="15"/>
          <w:color w:val="231F20"/>
          <w:spacing w:val="13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13"/>
        </w:rPr>
        <w:t xml:space="preserve">    </w:t>
      </w:r>
      <w:r>
        <w:rPr>
          <w:sz w:val="17"/>
          <w:szCs w:val="17"/>
          <w:color w:val="231F20"/>
          <w:spacing w:val="13"/>
        </w:rPr>
        <w:t>31</w:t>
      </w:r>
    </w:p>
    <w:p>
      <w:pPr>
        <w:spacing w:line="230" w:lineRule="auto"/>
        <w:sectPr>
          <w:headerReference w:type="default" r:id="rId1"/>
          <w:pgSz w:w="11906" w:h="16838"/>
          <w:pgMar w:top="400" w:right="1131" w:bottom="0" w:left="424" w:header="0" w:footer="0" w:gutter="0"/>
        </w:sectPr>
        <w:rPr>
          <w:sz w:val="17"/>
          <w:szCs w:val="17"/>
        </w:rPr>
      </w:pPr>
    </w:p>
    <w:p>
      <w:pPr>
        <w:spacing w:before="69"/>
        <w:rPr/>
      </w:pPr>
      <w:r>
        <w:pict>
          <v:shape id="_x0000_s8" style="position:absolute;margin-left:108.746pt;margin-top:36.885pt;mso-position-vertical-relative:page;mso-position-horizontal-relative:page;width:94.65pt;height:18.85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.33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ind w:left="20"/>
                    <w:spacing w:before="41" w:line="173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</w:rPr>
                    <w:t>China &amp;Foreign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</w:rPr>
                    <w:t>Medical Treatm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1"/>
                    </w:rPr>
                    <w:t>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3"/>
          <w:pgSz w:w="11906" w:h="16838"/>
          <w:pgMar w:top="400" w:right="1057" w:bottom="0" w:left="424" w:header="0" w:footer="0" w:gutter="0"/>
          <w:cols w:equalWidth="0" w:num="1">
            <w:col w:w="10425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spacing w:line="239" w:lineRule="exact"/>
        <w:rPr>
          <w:rFonts w:ascii="Arial"/>
          <w:sz w:val="20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学</w:t>
      </w:r>
    </w:p>
    <w:p>
      <w:pPr>
        <w:spacing w:line="187" w:lineRule="auto"/>
        <w:sectPr>
          <w:type w:val="continuous"/>
          <w:pgSz w:w="11906" w:h="16838"/>
          <w:pgMar w:top="400" w:right="1057" w:bottom="0" w:left="424" w:header="0" w:footer="0" w:gutter="0"/>
          <w:cols w:equalWidth="0" w:num="2">
            <w:col w:w="8737" w:space="100"/>
            <w:col w:w="1589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66" w:lineRule="exact"/>
        <w:rPr/>
      </w:pPr>
      <w:r/>
    </w:p>
    <w:p>
      <w:pPr>
        <w:spacing w:line="66" w:lineRule="exact"/>
        <w:sectPr>
          <w:type w:val="continuous"/>
          <w:pgSz w:w="11906" w:h="16838"/>
          <w:pgMar w:top="400" w:right="1057" w:bottom="0" w:left="424" w:header="0" w:footer="0" w:gutter="0"/>
          <w:cols w:equalWidth="0" w:num="1">
            <w:col w:w="10425" w:space="0"/>
          </w:cols>
        </w:sectPr>
        <w:rPr/>
      </w:pPr>
    </w:p>
    <w:p>
      <w:pPr>
        <w:ind w:left="712" w:right="177" w:firstLine="418"/>
        <w:spacing w:before="57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急性阑尾炎是常见的急腹症之一，不同年龄段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均可发病，成年人发病率约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7%~8%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[1]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。急性阑尾炎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的诊断主要依靠病史、体征、检验和检查手段，目前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以手术切除作为主要治疗方式，手术治疗的质量和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成功率对患者的预后有着重要的影响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。但发病后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手术治疗的时机并不一致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2"/>
          <w:position w:val="7"/>
        </w:rPr>
        <w:t>[2-3]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。部分患者对该疾病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认识不足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、恐惧手术，以及部分医院受限于医疗水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、床位紧张等因素，并且可能存在众多的风险因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素和并发症，无法对每位患者尽早进行手术治疗，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造成不同的治疗结局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9"/>
          <w:position w:val="7"/>
        </w:rPr>
        <w:t>[4-5]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，确定合适的手术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时机，保证患者安全的同时获得尽可能良好的治疗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。为探讨手术治疗时机对急性阑尾炎患者的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影响，许多研究对患者的手术时间进行分组，以确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定这一因素对治疗效果的影响，从而选择合适的手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术时机可以避免疾病的恶化和并发症的发生，提高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治疗效果和生命质量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。本研究回顾性选取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月—2022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月厦门市海沧医院收治的 180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性阑尾炎患者的临床资料，通过急性阑尾炎发病至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手术切除时间对比，探讨手术治疗时机对临床效果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。现报道如下。</w:t>
      </w:r>
    </w:p>
    <w:p>
      <w:pPr>
        <w:ind w:left="732"/>
        <w:spacing w:before="1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资料与方法</w:t>
      </w:r>
    </w:p>
    <w:p>
      <w:pPr>
        <w:ind w:left="729"/>
        <w:spacing w:before="56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1.1  一般资料</w:t>
      </w:r>
    </w:p>
    <w:p>
      <w:pPr>
        <w:ind w:left="714" w:right="174" w:firstLine="437"/>
        <w:spacing w:before="69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回顾性选取本院普外科收治的 180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炎的临床资料，患者均在入院后行腹腔镜阑尾切除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，并给予静滴抗生素治疗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。根据不同的治疗时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，患者分为早期手术治疗组（发病至手术时间≤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24 h，97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例）和晚期手术治疗组（发病至手术时间&gt;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183 例）。 早期手术治疗组：男 55 例，女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42 例；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平均年龄（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37.60±11.40）岁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；临床症状：右下腹疼痛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例，发热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例，恶心呕吐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例；检查结果：实验室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检查白细胞计数升高 85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，超声检查显示阑尾炎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75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检查显示阑尾炎症状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晚期手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术 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：男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38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；平 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37.00±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11.90）岁；临床症状：右下腹疼痛 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例，发热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恶心呕吐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例；检查结果：实验室检查显示白细胞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计数升高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78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例，超声检查显示阑尾炎症状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例，CT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检查显示阑尾炎症状 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。两组患者的年龄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别、右下腹疼痛、检查结果对比，差异均无统计学意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均&gt;0.05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具有可比性；晚期手术治疗组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热和恶心呕吐发生率高于早期手术治疗组，差异有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均&lt;0.05）。 本研究经厦门市海沧医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院医学伦理委员会批准（LW-2024024）。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7"/>
        <w:spacing w:before="42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1.2  纳入与排除标准</w:t>
      </w:r>
    </w:p>
    <w:p>
      <w:pPr>
        <w:ind w:left="83" w:right="78" w:firstLine="415"/>
        <w:spacing w:before="54" w:line="23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性 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准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7"/>
        </w:rPr>
        <w:t>[6]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；②接受腹腔镜阑尾切除术；③初次发作；④所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有患者或其法定监护人知情同意本研究。</w:t>
      </w:r>
    </w:p>
    <w:p>
      <w:pPr>
        <w:ind w:left="80" w:right="78" w:firstLine="414"/>
        <w:spacing w:before="5" w:line="24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排除标准：①有严重合并症或其他影响手术及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预后的疾病的患者；②既往有阑尾炎手术史或其他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腹部手术史的患者；③未能完成手术治疗或术后随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访的患者。</w:t>
      </w:r>
    </w:p>
    <w:p>
      <w:pPr>
        <w:ind w:left="97"/>
        <w:spacing w:before="1" w:line="16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方法</w:t>
      </w:r>
    </w:p>
    <w:p>
      <w:pPr>
        <w:ind w:left="80" w:firstLine="413"/>
        <w:spacing w:before="105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所有患者均在全麻下行腹腔镜阑尾切除术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早期手术治疗组发病至手术时间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≤24 h；晚期手术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&gt;24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下：术中取仰卧位，气管插管全身麻醉，采用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孔法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插入套管，建立人工气腹（气压 11~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12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术中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提起阑尾分离阑尾系膜直至根部，使用特殊线双道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套扎，阑尾残端黏膜电钩烧灼，阑尾动脉酌情给予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电凝或特殊线套扎夹闭，根据术中情况用无菌纱布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蘸取腹腔渗液进行细菌培养，部分患者擦洗腹腔，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部分冲洗腹腔后留置盆腔引流管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。术后均继续抗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感染治疗，术后第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天切口换药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次，之后换药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d。</w:t>
      </w:r>
    </w:p>
    <w:p>
      <w:pPr>
        <w:ind w:left="97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1.4  观察指标</w:t>
      </w:r>
    </w:p>
    <w:p>
      <w:pPr>
        <w:ind w:left="81" w:right="77" w:firstLine="413"/>
        <w:spacing w:before="65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①对比两组的手术时间、住院时间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。②对比两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组术后并发症发生率，包括伤口感染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、肠梗阻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及其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他并发症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。③对比两组术后感染发生率，包括伤口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感染和腹腔感染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。④对比两组术后血常规，在术后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第 1 天和第 3 天进行检测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，包括血白细胞计数和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反应蛋白水平。</w:t>
      </w:r>
    </w:p>
    <w:p>
      <w:pPr>
        <w:ind w:left="97"/>
        <w:spacing w:before="84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1.5  统计方法</w:t>
      </w:r>
    </w:p>
    <w:p>
      <w:pPr>
        <w:ind w:left="81" w:right="11" w:firstLine="413"/>
        <w:spacing w:before="68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采用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SPSS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22.0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统计学软件进行数据分析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数资料（性别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、临床症状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、检查结果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、术后并发症发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、术后感染发生率）以例数（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）和率（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%）表示，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组间比较采用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检验；经检验符合正态分布的计量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资料（手术时间、住院时间、术后血常规）以（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  <w:w w:val="98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  <w:w w:val="98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</w:rPr>
        <w:t>）表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，组间比较采用独立样本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&lt;0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为差异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有统计学意义。</w:t>
      </w:r>
    </w:p>
    <w:p>
      <w:pPr>
        <w:ind w:left="84"/>
        <w:spacing w:before="1" w:line="214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</w:rPr>
        <w:t>结果</w:t>
      </w:r>
    </w:p>
    <w:p>
      <w:pPr>
        <w:ind w:left="85"/>
        <w:spacing w:before="5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2.1  两组患者术后并发症比较</w:t>
      </w:r>
    </w:p>
    <w:p>
      <w:pPr>
        <w:ind w:right="78" w:firstLine="494"/>
        <w:spacing w:before="62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早期手术治疗组的术后并发症包括伤口感染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9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9"/>
        </w:rPr>
        <w:t>例）、肠梗阻（2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9"/>
        </w:rPr>
        <w:t>例）及其他并发症（3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9"/>
        </w:rPr>
        <w:t>例）。 晚期手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术治疗组的术后并发症包括伤口感染（8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例）、肠梗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阻（5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例）及其他并发症（7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例）。 早期手术治疗组术</w:t>
      </w:r>
    </w:p>
    <w:p>
      <w:pPr>
        <w:spacing w:line="238" w:lineRule="auto"/>
        <w:sectPr>
          <w:type w:val="continuous"/>
          <w:pgSz w:w="11906" w:h="16838"/>
          <w:pgMar w:top="400" w:right="1057" w:bottom="0" w:left="424" w:header="0" w:footer="0" w:gutter="0"/>
          <w:cols w:equalWidth="0" w:num="2">
            <w:col w:w="5562" w:space="100"/>
            <w:col w:w="476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990"/>
        <w:spacing w:before="173" w:line="182" w:lineRule="exact"/>
        <w:rPr>
          <w:rFonts w:ascii="Arial" w:hAnsi="Arial" w:eastAsia="Arial" w:cs="Arial"/>
          <w:sz w:val="15"/>
          <w:szCs w:val="15"/>
        </w:rPr>
      </w:pPr>
      <w:r>
        <w:pict>
          <v:shape id="_x0000_s10" style="position:absolute;margin-left:35.9181pt;margin-top:-735.231pt;mso-position-vertical-relative:text;mso-position-horizontal-relative:text;width:383.95pt;height:0.9pt;z-index:251660288;" filled="false" strokecolor="#231F20" strokeweight="0.85pt" coordsize="7679,17" coordorigin="0,0" path="m0,8l7678,8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32      </w:t>
      </w:r>
      <w:r>
        <w:rPr>
          <w:rFonts w:ascii="SimHei" w:hAnsi="SimHei" w:eastAsia="SimHei" w:cs="SimHei"/>
          <w:sz w:val="15"/>
          <w:szCs w:val="15"/>
          <w:color w:val="231F20"/>
          <w:spacing w:val="9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2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</w:t>
      </w:r>
    </w:p>
    <w:p>
      <w:pPr>
        <w:spacing w:line="182" w:lineRule="exact"/>
        <w:sectPr>
          <w:type w:val="continuous"/>
          <w:pgSz w:w="11906" w:h="16838"/>
          <w:pgMar w:top="400" w:right="1057" w:bottom="0" w:left="424" w:header="0" w:footer="0" w:gutter="0"/>
          <w:cols w:equalWidth="0" w:num="1">
            <w:col w:w="1042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54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400" w:right="1057" w:bottom="824" w:left="424" w:header="0" w:footer="596" w:gutter="0"/>
          <w:cols w:equalWidth="0" w:num="1">
            <w:col w:w="10425" w:space="0"/>
          </w:cols>
        </w:sectPr>
        <w:rPr/>
      </w:pPr>
    </w:p>
    <w:p>
      <w:pPr>
        <w:rPr>
          <w:rFonts w:ascii="Arial"/>
          <w:sz w:val="21"/>
        </w:rPr>
      </w:pPr>
      <w:r/>
    </w:p>
    <w:p>
      <w:pPr>
        <w:ind w:left="1171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25" w:right="1146" w:firstLine="1148"/>
        <w:spacing w:before="45" w:line="297" w:lineRule="auto"/>
        <w:rPr>
          <w:rFonts w:ascii="Microsoft YaHei" w:hAnsi="Microsoft YaHei" w:eastAsia="Microsoft YaHei" w:cs="Microsoft YaHei"/>
          <w:sz w:val="11"/>
          <w:szCs w:val="11"/>
        </w:rPr>
      </w:pPr>
      <w:r>
        <w:pict>
          <v:shape id="_x0000_s14" style="position:absolute;margin-left:0.425201pt;margin-top:21.9171pt;mso-position-vertical-relative:text;mso-position-horizontal-relative:text;width:383.95pt;height:0.9pt;z-index:251662336;" filled="false" strokecolor="#231F20" strokeweight="0.85pt" coordsize="7679,17" coordorigin="0,0" path="m0,8l7678,8e">
            <v:stroke joinstyle="miter" miterlimit="4"/>
          </v:shape>
        </w:pict>
      </w:r>
      <w:r>
        <w:pict>
          <v:shape id="_x0000_s16" style="position:absolute;margin-left:331.684pt;margin-top:2.04744pt;mso-position-vertical-relative:text;mso-position-horizontal-relative:text;width:53.4pt;height:17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22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022"/>
                  </w:tblGrid>
                  <w:tr>
                    <w:trPr>
                      <w:trHeight w:val="300" w:hRule="atLeast"/>
                    </w:trPr>
                    <w:tc>
                      <w:tcPr>
                        <w:tcW w:w="1022" w:type="dxa"/>
                        <w:vAlign w:val="top"/>
                      </w:tcPr>
                      <w:p>
                        <w:pPr>
                          <w:ind w:left="59"/>
                          <w:spacing w:before="22" w:line="215" w:lineRule="auto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shd w:val="clear" w:fill="231F20"/>
                            <w:rFonts w:ascii="SimHei" w:hAnsi="SimHei" w:eastAsia="SimHei" w:cs="SimHei"/>
                            <w:sz w:val="23"/>
                            <w:szCs w:val="23"/>
                            <w:color w:val="FFFFFF"/>
                            <w:spacing w:val="1"/>
                          </w:rPr>
                          <w:t>中外医疗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2024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7"/>
          <w:w w:val="103"/>
        </w:rPr>
        <w:t xml:space="preserve">   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</w:rPr>
        <w:t>NO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.33 </w:t>
      </w:r>
      <w:r>
        <w:rPr>
          <w:rFonts w:ascii="Arial" w:hAnsi="Arial" w:eastAsia="Arial" w:cs="Arial"/>
          <w:sz w:val="11"/>
          <w:szCs w:val="1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</w:rPr>
        <w:t>China &amp;Foreign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</w:rPr>
        <w:t>Medical Treatm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ent</w:t>
      </w:r>
    </w:p>
    <w:p>
      <w:pPr>
        <w:spacing w:line="297" w:lineRule="auto"/>
        <w:sectPr>
          <w:type w:val="continuous"/>
          <w:pgSz w:w="11906" w:h="16838"/>
          <w:pgMar w:top="400" w:right="1057" w:bottom="824" w:left="424" w:header="0" w:footer="596" w:gutter="0"/>
          <w:cols w:equalWidth="0" w:num="2">
            <w:col w:w="2570" w:space="100"/>
            <w:col w:w="7755" w:space="0"/>
          </w:cols>
        </w:sectPr>
        <w:rPr>
          <w:rFonts w:ascii="Microsoft YaHei" w:hAnsi="Microsoft YaHei" w:eastAsia="Microsoft YaHei" w:cs="Microsoft YaHei"/>
          <w:sz w:val="11"/>
          <w:szCs w:val="11"/>
        </w:rPr>
      </w:pP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1906" w:h="16838"/>
          <w:pgMar w:top="400" w:right="1057" w:bottom="824" w:left="424" w:header="0" w:footer="596" w:gutter="0"/>
          <w:cols w:equalWidth="0" w:num="1">
            <w:col w:w="10425" w:space="0"/>
          </w:cols>
        </w:sectPr>
        <w:rPr/>
      </w:pPr>
    </w:p>
    <w:p>
      <w:pPr>
        <w:ind w:left="714" w:right="324"/>
        <w:spacing w:before="82" w:line="23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后并发症发生率为 8.25%（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8/97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低于晚期手术治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 的 24.10%（20/83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(χ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7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8.553，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=0.003）。</w:t>
      </w:r>
    </w:p>
    <w:p>
      <w:pPr>
        <w:ind w:left="717"/>
        <w:spacing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2.2  两组患者术后感染发生率比较</w:t>
      </w:r>
    </w:p>
    <w:p>
      <w:pPr>
        <w:ind w:left="715" w:right="323" w:firstLine="412"/>
        <w:spacing w:before="56" w:line="23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早期手术治疗组的术后感染包括伤口感染（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例）和腹腔感染（3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晚期手术治疗组的术后感染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包括伤口感染（8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例）和腹腔感染（7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 早期手术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治疗组术后感染发生率为 6.19%（6/97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低于晚期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手术治疗组的 18.07%（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15/83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差异有统计学意义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=6.132，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4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=0.013）。</w:t>
      </w:r>
    </w:p>
    <w:p>
      <w:pPr>
        <w:ind w:left="717"/>
        <w:spacing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2.3  两组患者手术时间和住院时间比较</w:t>
      </w:r>
    </w:p>
    <w:p>
      <w:pPr>
        <w:ind w:left="716" w:right="324" w:firstLine="410"/>
        <w:spacing w:before="60" w:line="24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早期手术治疗组的手术时间和住院时间均短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于晚期手术治疗组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，差异均有统计学意义（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均&lt;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0.05）。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见表 1。</w:t>
      </w:r>
    </w:p>
    <w:p>
      <w:pPr>
        <w:ind w:left="1434"/>
        <w:spacing w:before="141" w:line="207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两组患者手术时间和住院时间比较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5"/>
        </w:rPr>
        <w:t>x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5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</w:p>
    <w:p>
      <w:pPr>
        <w:spacing w:line="34" w:lineRule="exact"/>
        <w:rPr/>
      </w:pPr>
      <w:r/>
    </w:p>
    <w:tbl>
      <w:tblPr>
        <w:tblStyle w:val="TableNormal"/>
        <w:tblW w:w="4603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5"/>
        <w:gridCol w:w="1507"/>
        <w:gridCol w:w="1181"/>
      </w:tblGrid>
      <w:tr>
        <w:trPr>
          <w:trHeight w:val="240" w:hRule="atLeast"/>
        </w:trPr>
        <w:tc>
          <w:tcPr>
            <w:tcW w:w="191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46" w:line="171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15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6"/>
              <w:spacing w:before="43" w:line="174" w:lineRule="auto"/>
              <w:rPr/>
            </w:pPr>
            <w:r>
              <w:rPr>
                <w:color w:val="231F20"/>
                <w:spacing w:val="-10"/>
              </w:rPr>
              <w:t>手术时间（min）</w:t>
            </w:r>
          </w:p>
        </w:tc>
        <w:tc>
          <w:tcPr>
            <w:tcW w:w="11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6"/>
              <w:spacing w:before="18" w:line="197" w:lineRule="auto"/>
              <w:rPr/>
            </w:pPr>
            <w:r>
              <w:rPr>
                <w:color w:val="231F20"/>
                <w:spacing w:val="-9"/>
              </w:rPr>
              <w:t>住院时间（d）</w:t>
            </w:r>
          </w:p>
        </w:tc>
      </w:tr>
      <w:tr>
        <w:trPr>
          <w:trHeight w:val="238" w:hRule="atLeast"/>
        </w:trPr>
        <w:tc>
          <w:tcPr>
            <w:tcW w:w="19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"/>
              <w:spacing w:before="43" w:line="172" w:lineRule="auto"/>
              <w:rPr/>
            </w:pPr>
            <w:r>
              <w:rPr>
                <w:color w:val="231F20"/>
                <w:spacing w:val="-6"/>
              </w:rPr>
              <w:t>早期手术治疗组（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color w:val="231F20"/>
                <w:spacing w:val="-6"/>
              </w:rPr>
              <w:t>=97）</w:t>
            </w:r>
          </w:p>
        </w:tc>
        <w:tc>
          <w:tcPr>
            <w:tcW w:w="15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2"/>
              <w:spacing w:before="68" w:line="159" w:lineRule="exact"/>
              <w:rPr/>
            </w:pPr>
            <w:r>
              <w:rPr>
                <w:color w:val="231F20"/>
                <w:spacing w:val="-10"/>
                <w:position w:val="-3"/>
              </w:rPr>
              <w:t>60.00±11.45</w:t>
            </w:r>
          </w:p>
        </w:tc>
        <w:tc>
          <w:tcPr>
            <w:tcW w:w="11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4"/>
              <w:spacing w:before="68" w:line="159" w:lineRule="exact"/>
              <w:rPr/>
            </w:pPr>
            <w:r>
              <w:rPr>
                <w:color w:val="231F20"/>
                <w:spacing w:val="-10"/>
                <w:position w:val="1"/>
              </w:rPr>
              <w:t>5.22±1.29</w:t>
            </w:r>
          </w:p>
        </w:tc>
      </w:tr>
      <w:tr>
        <w:trPr>
          <w:trHeight w:val="242" w:hRule="atLeast"/>
        </w:trPr>
        <w:tc>
          <w:tcPr>
            <w:tcW w:w="1915" w:type="dxa"/>
            <w:vAlign w:val="top"/>
          </w:tcPr>
          <w:p>
            <w:pPr>
              <w:pStyle w:val="TableText"/>
              <w:ind w:left="30"/>
              <w:spacing w:before="49" w:line="170" w:lineRule="auto"/>
              <w:rPr/>
            </w:pPr>
            <w:r>
              <w:rPr>
                <w:color w:val="231F20"/>
                <w:spacing w:val="-6"/>
              </w:rPr>
              <w:t>晚期手术治疗组（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color w:val="231F20"/>
                <w:spacing w:val="-6"/>
              </w:rPr>
              <w:t>=83）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456"/>
              <w:spacing w:before="75" w:line="157" w:lineRule="exact"/>
              <w:rPr/>
            </w:pPr>
            <w:r>
              <w:rPr>
                <w:color w:val="231F20"/>
                <w:spacing w:val="-10"/>
                <w:position w:val="-3"/>
              </w:rPr>
              <w:t>80.12±16.24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302"/>
              <w:spacing w:before="74" w:line="158" w:lineRule="exact"/>
              <w:rPr/>
            </w:pPr>
            <w:r>
              <w:rPr>
                <w:color w:val="231F20"/>
                <w:spacing w:val="-10"/>
                <w:position w:val="-3"/>
              </w:rPr>
              <w:t>7.50±1.67</w:t>
            </w:r>
          </w:p>
        </w:tc>
      </w:tr>
      <w:tr>
        <w:trPr>
          <w:trHeight w:val="243" w:hRule="atLeast"/>
        </w:trPr>
        <w:tc>
          <w:tcPr>
            <w:tcW w:w="1915" w:type="dxa"/>
            <w:vAlign w:val="top"/>
          </w:tcPr>
          <w:p>
            <w:pPr>
              <w:pStyle w:val="TableText"/>
              <w:ind w:left="20"/>
              <w:spacing w:before="54" w:line="166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667"/>
              <w:spacing w:before="78" w:line="154" w:lineRule="exact"/>
              <w:rPr/>
            </w:pPr>
            <w:r>
              <w:rPr>
                <w:color w:val="231F20"/>
                <w:spacing w:val="-8"/>
                <w:position w:val="-3"/>
              </w:rPr>
              <w:t>9.706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416"/>
              <w:spacing w:before="79" w:line="153" w:lineRule="exact"/>
              <w:rPr/>
            </w:pPr>
            <w:r>
              <w:rPr>
                <w:color w:val="231F20"/>
                <w:spacing w:val="-10"/>
                <w:position w:val="1"/>
              </w:rPr>
              <w:t>10.322</w:t>
            </w:r>
          </w:p>
        </w:tc>
      </w:tr>
      <w:tr>
        <w:trPr>
          <w:trHeight w:val="250" w:hRule="atLeast"/>
        </w:trPr>
        <w:tc>
          <w:tcPr>
            <w:tcW w:w="19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6" w:line="171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15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7"/>
              <w:spacing w:before="81" w:line="158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  <w:tc>
          <w:tcPr>
            <w:tcW w:w="11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02"/>
              <w:spacing w:before="81" w:line="158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</w:tr>
    </w:tbl>
    <w:p>
      <w:pPr>
        <w:spacing w:line="356" w:lineRule="auto"/>
        <w:rPr>
          <w:rFonts w:ascii="Arial"/>
          <w:sz w:val="21"/>
        </w:rPr>
      </w:pPr>
      <w:r/>
    </w:p>
    <w:p>
      <w:pPr>
        <w:ind w:left="717"/>
        <w:spacing w:before="86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2.4  两组患者术后血常规比较</w:t>
      </w:r>
    </w:p>
    <w:p>
      <w:pPr>
        <w:ind w:left="715" w:right="325" w:firstLine="411"/>
        <w:spacing w:before="56" w:line="25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术后第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天和第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，早期手术治疗组的血白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细胞计数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、C反应蛋白水平均低于晚期手术治疗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组，差异均有统计学意义（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均&lt;0.05）。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2。</w:t>
      </w:r>
    </w:p>
    <w:p>
      <w:pPr>
        <w:ind w:left="1939"/>
        <w:spacing w:before="110" w:line="208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两组患者术后血常规比较</w:t>
      </w:r>
    </w:p>
    <w:p>
      <w:pPr>
        <w:spacing w:line="32" w:lineRule="exact"/>
        <w:rPr/>
      </w:pPr>
      <w:r/>
    </w:p>
    <w:tbl>
      <w:tblPr>
        <w:tblStyle w:val="TableNormal"/>
        <w:tblW w:w="4603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5"/>
        <w:gridCol w:w="780"/>
        <w:gridCol w:w="766"/>
        <w:gridCol w:w="711"/>
        <w:gridCol w:w="691"/>
      </w:tblGrid>
      <w:tr>
        <w:trPr>
          <w:trHeight w:val="241" w:hRule="atLeast"/>
        </w:trPr>
        <w:tc>
          <w:tcPr>
            <w:tcW w:w="165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"/>
              <w:spacing w:before="299" w:line="179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2948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1"/>
              <w:spacing w:before="43" w:line="175" w:lineRule="auto"/>
              <w:rPr/>
            </w:pPr>
            <w:r>
              <w:rPr>
                <w:color w:val="231F20"/>
                <w:spacing w:val="-6"/>
              </w:rPr>
              <w:t>白细胞计数(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6"/>
              </w:rPr>
              <w:t>×10</w:t>
            </w:r>
            <w:r>
              <w:rPr>
                <w:sz w:val="9"/>
                <w:szCs w:val="9"/>
                <w:color w:val="231F20"/>
                <w:spacing w:val="-6"/>
                <w:position w:val="6"/>
              </w:rPr>
              <w:t>9</w:t>
            </w:r>
            <w:r>
              <w:rPr>
                <w:color w:val="231F20"/>
                <w:spacing w:val="-6"/>
              </w:rPr>
              <w:t>/L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）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6"/>
              </w:rPr>
              <w:t>C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反应蛋白（mg/L）</w:t>
            </w:r>
          </w:p>
        </w:tc>
      </w:tr>
      <w:tr>
        <w:trPr>
          <w:trHeight w:val="496" w:hRule="atLeast"/>
        </w:trPr>
        <w:tc>
          <w:tcPr>
            <w:tcW w:w="165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3" w:right="178" w:firstLine="60"/>
              <w:spacing w:before="46" w:line="205" w:lineRule="auto"/>
              <w:rPr/>
            </w:pPr>
            <w:r>
              <w:rPr>
                <w:color w:val="231F20"/>
                <w:spacing w:val="3"/>
              </w:rPr>
              <w:t>术后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3"/>
              </w:rPr>
              <w:t>第1天</w:t>
            </w:r>
          </w:p>
        </w:tc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5" w:right="172" w:firstLine="60"/>
              <w:spacing w:before="46" w:line="205" w:lineRule="auto"/>
              <w:rPr/>
            </w:pPr>
            <w:r>
              <w:rPr>
                <w:color w:val="231F20"/>
                <w:spacing w:val="3"/>
              </w:rPr>
              <w:t>术后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3"/>
              </w:rPr>
              <w:t>第3天</w:t>
            </w:r>
          </w:p>
        </w:tc>
        <w:tc>
          <w:tcPr>
            <w:tcW w:w="7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6" w:right="146" w:firstLine="60"/>
              <w:spacing w:before="46" w:line="205" w:lineRule="auto"/>
              <w:rPr/>
            </w:pPr>
            <w:r>
              <w:rPr>
                <w:color w:val="231F20"/>
                <w:spacing w:val="3"/>
              </w:rPr>
              <w:t>术后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3"/>
              </w:rPr>
              <w:t>第1天</w:t>
            </w:r>
          </w:p>
        </w:tc>
        <w:tc>
          <w:tcPr>
            <w:tcW w:w="69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7" w:right="135" w:firstLine="60"/>
              <w:spacing w:before="46" w:line="205" w:lineRule="auto"/>
              <w:rPr/>
            </w:pPr>
            <w:r>
              <w:rPr>
                <w:color w:val="231F20"/>
                <w:spacing w:val="3"/>
              </w:rPr>
              <w:t>术后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3"/>
              </w:rPr>
              <w:t>第3天</w:t>
            </w:r>
          </w:p>
        </w:tc>
      </w:tr>
      <w:tr>
        <w:trPr>
          <w:trHeight w:val="238" w:hRule="atLeast"/>
        </w:trPr>
        <w:tc>
          <w:tcPr>
            <w:tcW w:w="16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4" w:line="171" w:lineRule="auto"/>
              <w:jc w:val="right"/>
              <w:rPr/>
            </w:pPr>
            <w:r>
              <w:rPr>
                <w:color w:val="231F20"/>
                <w:spacing w:val="-7"/>
              </w:rPr>
              <w:t>早期手术治疗组（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=97）</w:t>
            </w:r>
          </w:p>
        </w:tc>
        <w:tc>
          <w:tcPr>
            <w:tcW w:w="7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70" w:line="157" w:lineRule="exact"/>
              <w:rPr/>
            </w:pPr>
            <w:r>
              <w:rPr>
                <w:color w:val="231F20"/>
                <w:spacing w:val="-11"/>
                <w:position w:val="-3"/>
              </w:rPr>
              <w:t>12.20±1.60</w:t>
            </w:r>
          </w:p>
        </w:tc>
        <w:tc>
          <w:tcPr>
            <w:tcW w:w="7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"/>
              <w:spacing w:before="70" w:line="157" w:lineRule="exact"/>
              <w:rPr/>
            </w:pPr>
            <w:r>
              <w:rPr>
                <w:color w:val="231F20"/>
                <w:spacing w:val="-10"/>
                <w:position w:val="-3"/>
              </w:rPr>
              <w:t>9.60±1.20</w:t>
            </w:r>
          </w:p>
        </w:tc>
        <w:tc>
          <w:tcPr>
            <w:tcW w:w="7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"/>
              <w:spacing w:before="70" w:line="157" w:lineRule="exact"/>
              <w:rPr/>
            </w:pPr>
            <w:r>
              <w:rPr>
                <w:color w:val="231F20"/>
                <w:spacing w:val="-9"/>
                <w:position w:val="-3"/>
              </w:rPr>
              <w:t>44.6±11.2</w:t>
            </w:r>
          </w:p>
        </w:tc>
        <w:tc>
          <w:tcPr>
            <w:tcW w:w="6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"/>
              <w:spacing w:before="70" w:line="157" w:lineRule="exact"/>
              <w:rPr/>
            </w:pPr>
            <w:r>
              <w:rPr>
                <w:color w:val="231F20"/>
                <w:spacing w:val="-9"/>
                <w:position w:val="-3"/>
              </w:rPr>
              <w:t>22.3±4.6</w:t>
            </w:r>
          </w:p>
        </w:tc>
      </w:tr>
      <w:tr>
        <w:trPr>
          <w:trHeight w:val="242" w:hRule="atLeast"/>
        </w:trPr>
        <w:tc>
          <w:tcPr>
            <w:tcW w:w="1655" w:type="dxa"/>
            <w:vAlign w:val="top"/>
          </w:tcPr>
          <w:p>
            <w:pPr>
              <w:pStyle w:val="TableText"/>
              <w:spacing w:before="51" w:line="168" w:lineRule="auto"/>
              <w:jc w:val="right"/>
              <w:rPr/>
            </w:pPr>
            <w:r>
              <w:rPr>
                <w:color w:val="231F20"/>
                <w:spacing w:val="-8"/>
              </w:rPr>
              <w:t>晚期手术治疗组（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=83）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54"/>
              <w:spacing w:before="78" w:line="154" w:lineRule="exact"/>
              <w:rPr/>
            </w:pPr>
            <w:r>
              <w:rPr>
                <w:color w:val="231F20"/>
                <w:spacing w:val="-11"/>
                <w:position w:val="-3"/>
              </w:rPr>
              <w:t>14.30±2.10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46"/>
              <w:spacing w:before="76" w:line="156" w:lineRule="exact"/>
              <w:rPr/>
            </w:pPr>
            <w:r>
              <w:rPr>
                <w:color w:val="231F20"/>
                <w:spacing w:val="-11"/>
                <w:position w:val="-3"/>
              </w:rPr>
              <w:t>11.40±1.50</w:t>
            </w:r>
          </w:p>
        </w:tc>
        <w:tc>
          <w:tcPr>
            <w:tcW w:w="711" w:type="dxa"/>
            <w:vAlign w:val="top"/>
          </w:tcPr>
          <w:p>
            <w:pPr>
              <w:pStyle w:val="TableText"/>
              <w:ind w:left="44"/>
              <w:spacing w:before="76" w:line="156" w:lineRule="exact"/>
              <w:rPr/>
            </w:pPr>
            <w:r>
              <w:rPr>
                <w:color w:val="231F20"/>
                <w:spacing w:val="-10"/>
                <w:position w:val="-3"/>
              </w:rPr>
              <w:t>65.3±15.3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right="5"/>
              <w:spacing w:before="76" w:line="156" w:lineRule="exact"/>
              <w:jc w:val="right"/>
              <w:rPr/>
            </w:pPr>
            <w:r>
              <w:rPr>
                <w:color w:val="231F20"/>
                <w:spacing w:val="-10"/>
                <w:position w:val="-3"/>
              </w:rPr>
              <w:t>36.3±10.5</w:t>
            </w:r>
          </w:p>
        </w:tc>
      </w:tr>
      <w:tr>
        <w:trPr>
          <w:trHeight w:val="243" w:hRule="atLeast"/>
        </w:trPr>
        <w:tc>
          <w:tcPr>
            <w:tcW w:w="1655" w:type="dxa"/>
            <w:vAlign w:val="top"/>
          </w:tcPr>
          <w:p>
            <w:pPr>
              <w:pStyle w:val="TableText"/>
              <w:ind w:left="20"/>
              <w:spacing w:before="57" w:line="16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17"/>
              <w:spacing w:before="79" w:line="153" w:lineRule="exact"/>
              <w:rPr/>
            </w:pPr>
            <w:r>
              <w:rPr>
                <w:color w:val="231F20"/>
                <w:spacing w:val="-8"/>
                <w:position w:val="-3"/>
              </w:rPr>
              <w:t>7.603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215"/>
              <w:spacing w:before="81" w:line="151" w:lineRule="exact"/>
              <w:rPr/>
            </w:pPr>
            <w:r>
              <w:rPr>
                <w:color w:val="231F20"/>
                <w:spacing w:val="-9"/>
                <w:position w:val="-3"/>
              </w:rPr>
              <w:t>8.940</w:t>
            </w:r>
          </w:p>
        </w:tc>
        <w:tc>
          <w:tcPr>
            <w:tcW w:w="711" w:type="dxa"/>
            <w:vAlign w:val="top"/>
          </w:tcPr>
          <w:p>
            <w:pPr>
              <w:pStyle w:val="TableText"/>
              <w:ind w:left="156"/>
              <w:spacing w:before="79" w:line="153" w:lineRule="exact"/>
              <w:rPr/>
            </w:pPr>
            <w:r>
              <w:rPr>
                <w:color w:val="231F20"/>
                <w:spacing w:val="-10"/>
                <w:position w:val="-3"/>
              </w:rPr>
              <w:t>10.450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146"/>
              <w:spacing w:before="80" w:line="152" w:lineRule="exact"/>
              <w:rPr/>
            </w:pPr>
            <w:r>
              <w:rPr>
                <w:color w:val="231F20"/>
                <w:spacing w:val="-10"/>
                <w:position w:val="1"/>
              </w:rPr>
              <w:t>11.872</w:t>
            </w:r>
          </w:p>
        </w:tc>
      </w:tr>
      <w:tr>
        <w:trPr>
          <w:trHeight w:val="251" w:hRule="atLeast"/>
        </w:trPr>
        <w:tc>
          <w:tcPr>
            <w:tcW w:w="16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8" w:line="170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7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8"/>
              <w:spacing w:before="82" w:line="159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  <w:tc>
          <w:tcPr>
            <w:tcW w:w="7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1"/>
              <w:spacing w:before="82" w:line="159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  <w:tc>
          <w:tcPr>
            <w:tcW w:w="7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2"/>
              <w:spacing w:before="82" w:line="159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  <w:tc>
          <w:tcPr>
            <w:tcW w:w="6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82" w:line="159" w:lineRule="exact"/>
              <w:rPr/>
            </w:pPr>
            <w:r>
              <w:rPr>
                <w:color w:val="231F20"/>
                <w:spacing w:val="-11"/>
                <w:position w:val="-3"/>
              </w:rPr>
              <w:t>&lt;0.001</w:t>
            </w:r>
          </w:p>
        </w:tc>
      </w:tr>
    </w:tbl>
    <w:p>
      <w:pPr>
        <w:ind w:left="718"/>
        <w:spacing w:before="321" w:line="213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讨论</w:t>
      </w:r>
    </w:p>
    <w:p>
      <w:pPr>
        <w:ind w:left="714" w:right="246" w:firstLine="416"/>
        <w:spacing w:before="52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急性阑尾炎是较为常见的急腹症之一，主要治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疗手段是手术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。是否应该对出现的每一例阑尾炎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都要采用立刻切除的治疗方式，至今尚无定论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在普遍认为太晚治疗或是延缓手术会造成阑尾炎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症情况加重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，可能出现阑尾穿孔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、全身炎症反应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有研究表明，发病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72 h 以内为最佳手术时机，超过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72 h 因手术难度及术后并发症（如阑尾与周边的大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网膜、腹膜和肠管产生炎性粘连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导致进行手术的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复杂性提升，因此手术时长会延长，创口感染、脂肪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液化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、肠梗阻等术后并发症也会增加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0"/>
          <w:position w:val="7"/>
        </w:rPr>
        <w:t>[5-6]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。发病超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78"/>
        <w:spacing w:before="49" w:line="23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72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通常建议保守治疗，待病情控制后择期行阑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2"/>
        </w:rPr>
        <w:t>尾切除术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6"/>
        </w:rPr>
        <w:t>[7]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2"/>
        </w:rPr>
        <w:t>。</w:t>
      </w:r>
    </w:p>
    <w:p>
      <w:pPr>
        <w:ind w:firstLine="413"/>
        <w:spacing w:before="47" w:line="23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早期手术治疗的优势，可能与急性阑尾炎的病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理特点有关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8"/>
          <w:position w:val="7"/>
        </w:rPr>
        <w:t>[8]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。早期手术治疗能够减少炎症的扩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散，降低感染风险，能够在肠蠕动恢复正常的情况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下减少单核细胞和其他免疫细胞的激活，促进患者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的康复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9"/>
          <w:position w:val="7"/>
        </w:rPr>
        <w:t>[9-10]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。对于急性阑尾炎患者，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早期手术可显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著减少住院时间，降低治疗费用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。有研究发现，晚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期手术可能增加了患者恢复时间和术后疼痛程度。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，尽早进行手术治疗可以达到更好的治疗效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果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4"/>
          <w:position w:val="7"/>
        </w:rPr>
        <w:t>[11-12]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。手术时机的选择也可能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会受到各种因素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的影响，如患者的年龄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、体质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、病情严重程度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存在相关合并症等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7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</w:t>
      </w:r>
    </w:p>
    <w:p>
      <w:pPr>
        <w:ind w:left="2" w:right="78" w:firstLine="411"/>
        <w:spacing w:before="4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本研究针对 180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例患者按照其入院后实施手术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的时间分为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组，所有患者均接受了腹腔镜下阑尾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切除术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。患者在发病后不同时间行腹腔镜阑尾切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除术，可能导致手术中的操作困难程度不同，并且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影响腹腔及盆腔渗出液体的清除。</w:t>
      </w:r>
    </w:p>
    <w:p>
      <w:pPr>
        <w:ind w:right="78" w:firstLine="440"/>
        <w:spacing w:before="9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白细胞及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反应蛋白是机体炎症反应的重要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指标，与机体的炎症反应均呈正相关性，如指标提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，表示机体的炎症反应程度升高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。早期手术治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疗，阑尾病灶化脓改变较为轻微，脓性渗液较少，术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中可有效减少对周围组织的损伤，且病灶及脓液与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切口的接触均较晚期手术治疗减少，进一步降低了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切口感染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、术后并发症的发生，对患者机体炎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症反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应影响有一定的改善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7"/>
        </w:rPr>
        <w:t>[14-15]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。本研究发现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，早期手术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治疗组在术后第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天的白细胞计数低于晚期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&lt;0.05）。 这一结果的临床意义可能涉及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以下几个方面：①手术时机对炎症反应的影响：早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期手术可以减少炎症反应的累积时间，从而降低术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后炎症的严重程度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由于急性阑尾炎的炎症反应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在病程早期可能较为剧烈，早期手术有助于在炎症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扩散到周围组织之前将病灶切除，从而减少术后的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全身炎症反应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。这种操作时机可能避免了炎症进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展到更严重的阶段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，减少了术后白细胞计数的升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。②病理状态和感染控制：早期手术能够更快地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清除感染源，限制感染的进一步扩散，从而在术后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第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天更有效地控制体内炎症和感染反应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相比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之下，晚期手术治疗组在较长时间内持续暴露于感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染环境中，可能导致更严重的全身炎症反应，导致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术后白细胞计数较高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7"/>
        </w:rPr>
        <w:t>[16]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。然而，手术时机的选择应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该综合考虑多个因素，如患者的年龄、体质、病情严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重程度等，需要进一步研究来探讨手术时机对急性</w:t>
      </w:r>
    </w:p>
    <w:p>
      <w:pPr>
        <w:spacing w:line="229" w:lineRule="auto"/>
        <w:sectPr>
          <w:type w:val="continuous"/>
          <w:pgSz w:w="11906" w:h="16838"/>
          <w:pgMar w:top="400" w:right="1057" w:bottom="824" w:left="424" w:header="0" w:footer="596" w:gutter="0"/>
          <w:cols w:equalWidth="0" w:num="2">
            <w:col w:w="5643" w:space="100"/>
            <w:col w:w="468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9"/>
        <w:rPr/>
      </w:pPr>
      <w:r>
        <w:pict>
          <v:shape id="_x0000_s20" style="position:absolute;margin-left:108.746pt;margin-top:36.885pt;mso-position-vertical-relative:page;mso-position-horizontal-relative:page;width:94.65pt;height:18.6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.33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spacing w:before="41" w:line="221" w:lineRule="auto"/>
                    <w:jc w:val="right"/>
                    <w:rPr>
                      <w:rFonts w:ascii="MS Gothic" w:hAnsi="MS Gothic" w:eastAsia="MS Gothic" w:cs="MS Gothic"/>
                      <w:sz w:val="11"/>
                      <w:szCs w:val="11"/>
                    </w:rPr>
                  </w:pP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5"/>
                    </w:rPr>
                    <w:t>China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5"/>
                    </w:rPr>
                    <w:t>&amp;Foreign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5"/>
                    </w:rPr>
                    <w:t>Medical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5"/>
                    </w:rPr>
                    <w:t>Tr</w:t>
                  </w:r>
                  <w:r>
                    <w:rPr>
                      <w:rFonts w:ascii="MS Gothic" w:hAnsi="MS Gothic" w:eastAsia="MS Gothic" w:cs="MS Gothic"/>
                      <w:sz w:val="11"/>
                      <w:szCs w:val="11"/>
                      <w:color w:val="231F20"/>
                      <w:spacing w:val="4"/>
                    </w:rPr>
                    <w:t>eatment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6"/>
          <w:footerReference w:type="default" r:id="rId7"/>
          <w:pgSz w:w="11906" w:h="16838"/>
          <w:pgMar w:top="400" w:right="1065" w:bottom="824" w:left="424" w:header="0" w:footer="624" w:gutter="0"/>
          <w:cols w:equalWidth="0" w:num="1">
            <w:col w:w="10416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spacing w:line="239" w:lineRule="exact"/>
        <w:rPr>
          <w:rFonts w:ascii="Arial"/>
          <w:sz w:val="20"/>
        </w:rPr>
      </w:pPr>
      <w:r>
        <w:pict>
          <v:shape id="_x0000_s22" style="position:absolute;margin-left:35.9181pt;margin-top:3.35162pt;mso-position-vertical-relative:text;mso-position-horizontal-relative:text;width:383.95pt;height:0.9pt;z-index:251664384;" filled="false" strokecolor="#231F20" strokeweight="0.85pt" coordsize="7679,17" coordorigin="0,0" path="m0,8l7678,8e">
            <v:stroke joinstyle="miter" miterlimit="4"/>
          </v:shape>
        </w:pict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学</w:t>
      </w:r>
    </w:p>
    <w:p>
      <w:pPr>
        <w:spacing w:line="187" w:lineRule="auto"/>
        <w:sectPr>
          <w:type w:val="continuous"/>
          <w:pgSz w:w="11906" w:h="16838"/>
          <w:pgMar w:top="400" w:right="1065" w:bottom="824" w:left="424" w:header="0" w:footer="624" w:gutter="0"/>
          <w:cols w:equalWidth="0" w:num="2">
            <w:col w:w="8737" w:space="100"/>
            <w:col w:w="1580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40" w:lineRule="exact"/>
        <w:rPr/>
      </w:pPr>
      <w:r/>
    </w:p>
    <w:p>
      <w:pPr>
        <w:spacing w:line="40" w:lineRule="exact"/>
        <w:sectPr>
          <w:type w:val="continuous"/>
          <w:pgSz w:w="11906" w:h="16838"/>
          <w:pgMar w:top="400" w:right="1065" w:bottom="824" w:left="424" w:header="0" w:footer="624" w:gutter="0"/>
          <w:cols w:equalWidth="0" w:num="1">
            <w:col w:w="10416" w:space="0"/>
          </w:cols>
        </w:sectPr>
        <w:rPr/>
      </w:pPr>
    </w:p>
    <w:p>
      <w:pPr>
        <w:ind w:left="733"/>
        <w:spacing w:before="7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阑尾炎患者预后的影响，并提供更具体的指导。</w:t>
      </w:r>
    </w:p>
    <w:p>
      <w:pPr>
        <w:ind w:left="714" w:right="254" w:firstLine="410"/>
        <w:spacing w:before="65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，不同手术时机影响治疗效果还在于：</w:t>
      </w:r>
      <w:r>
        <w:rPr>
          <w:rFonts w:ascii="MS Gothic" w:hAnsi="MS Gothic" w:eastAsia="MS Gothic" w:cs="MS Gothic"/>
          <w:sz w:val="20"/>
          <w:szCs w:val="20"/>
          <w:color w:val="231F20"/>
          <w:spacing w:val="8"/>
        </w:rPr>
        <w:t>①</w:t>
      </w:r>
      <w:r>
        <w:rPr>
          <w:rFonts w:ascii="MS Gothic" w:hAnsi="MS Gothic" w:eastAsia="MS Gothic" w:cs="MS Gothic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病情复杂度：晚期手术患者可能因为病情进展，使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阑尾炎加重，如出现脓肿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、坏疽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、穿孔等情况，这些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情况会使手术过程更为复杂，从而延长手术时间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231F20"/>
          <w:spacing w:val="12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组织粘连：晚期手术患者由于炎症的持续存在，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可能会出现更严重的组织粘连，需要更多的时间来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分离粘连组织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手术难度：晚期手术患者的手术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难度通常更大，因为炎症扩散和感染范围增加，需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要更为细致和谨慎地操作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术中处理：对于晚期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手术患者，术中可能需要进行额外的处理，如清除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脓肿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、处理腹腔内感染，这些额外的步骤会增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加手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S Gothic" w:hAnsi="MS Gothic" w:eastAsia="MS Gothic" w:cs="MS Gothic"/>
          <w:sz w:val="20"/>
          <w:szCs w:val="20"/>
          <w:color w:val="231F20"/>
          <w:spacing w:val="7"/>
        </w:rPr>
        <w:t>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术者经验：经验丰富的外科医生可能在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处理复杂病例时速度更快，但总体上，复杂病情还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是会增加手术时间。</w:t>
      </w:r>
    </w:p>
    <w:p>
      <w:pPr>
        <w:ind w:left="714" w:right="332" w:firstLine="412"/>
        <w:spacing w:before="6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本研究结果表明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，在严格的临床指导下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阑尾炎患者进行早期手术治疗能够获得更好的治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疗效果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。这可能与早期手术治疗能够避免炎症扩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散、减少术后并发症及快速恢复肠功能和免疫系统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的功能有关</w:t>
      </w:r>
      <w:r>
        <w:rPr>
          <w:rFonts w:ascii="MS Gothic" w:hAnsi="MS Gothic" w:eastAsia="MS Gothic" w:cs="MS Gothic"/>
          <w:sz w:val="12"/>
          <w:szCs w:val="12"/>
          <w:color w:val="231F20"/>
          <w:spacing w:val="4"/>
          <w:position w:val="7"/>
        </w:rPr>
        <w:t>[17-18]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，但具体机制尚需进一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步探究。</w:t>
      </w:r>
    </w:p>
    <w:p>
      <w:pPr>
        <w:ind w:left="713" w:right="265" w:firstLine="412"/>
        <w:spacing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需要指出的是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，本研究存在一些限制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，如回顾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性研究的局限性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、患者临床病史不完全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、手术治疗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的经验和技能等原因可能导致数据的偏差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因此，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需要采用更加严格的研究方法，扩大研究样本的规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模，加强数据来源的可靠性，以获得更为准确的结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。为临床医生提供更具体、更准确的指导。</w:t>
      </w:r>
    </w:p>
    <w:p>
      <w:pPr>
        <w:ind w:left="714" w:right="332" w:firstLine="412"/>
        <w:spacing w:before="5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综上所述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，在急性阑尾炎治疗中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，早期手术治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疗与晚期手术治疗相比具有确切的优势，早期手术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治疗可以缩短手术时间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、住院时间，同时降低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症发生率。</w:t>
      </w:r>
    </w:p>
    <w:p>
      <w:pPr>
        <w:ind w:left="2550"/>
        <w:spacing w:before="169" w:line="269" w:lineRule="exact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color w:val="231F20"/>
          <w:spacing w:val="-4"/>
          <w:position w:val="1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参考文献</w:t>
      </w:r>
      <w:r>
        <w:rPr>
          <w:rFonts w:ascii="MS Gothic" w:hAnsi="MS Gothic" w:eastAsia="MS Gothic" w:cs="MS Gothic"/>
          <w:sz w:val="20"/>
          <w:szCs w:val="20"/>
          <w:color w:val="231F20"/>
          <w:spacing w:val="-4"/>
          <w:position w:val="1"/>
        </w:rPr>
        <w:t>]</w:t>
      </w:r>
    </w:p>
    <w:p>
      <w:pPr>
        <w:ind w:left="1061" w:right="332" w:hanging="341"/>
        <w:spacing w:before="146" w:line="231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[1]</w:t>
      </w:r>
      <w:r>
        <w:rPr>
          <w:rFonts w:ascii="MS Gothic" w:hAnsi="MS Gothic" w:eastAsia="MS Gothic" w:cs="MS Gothic"/>
          <w:sz w:val="18"/>
          <w:szCs w:val="18"/>
          <w:color w:val="231F20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许豪杰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徐嘉泽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李慧敏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等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高位急性阑尾炎的诊断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与外科治疗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[J].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浙江临床医学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,2023,25(2</w:t>
      </w:r>
      <w:r>
        <w:rPr>
          <w:rFonts w:ascii="MS Gothic" w:hAnsi="MS Gothic" w:eastAsia="MS Gothic" w:cs="MS Gothic"/>
          <w:sz w:val="18"/>
          <w:szCs w:val="18"/>
          <w:color w:val="231F20"/>
          <w:spacing w:val="-5"/>
        </w:rPr>
        <w:t>):234-235.</w:t>
      </w:r>
    </w:p>
    <w:p>
      <w:pPr>
        <w:ind w:left="1059" w:right="332" w:hanging="339"/>
        <w:spacing w:before="23" w:line="231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[2]</w:t>
      </w:r>
      <w:r>
        <w:rPr>
          <w:rFonts w:ascii="MS Gothic" w:hAnsi="MS Gothic" w:eastAsia="MS Gothic" w:cs="MS Gothic"/>
          <w:sz w:val="18"/>
          <w:szCs w:val="18"/>
          <w:color w:val="231F20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王正吕 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急性阑尾炎即时与延迟手术对病理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分型及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预后影响的比较</w:t>
      </w:r>
      <w:r>
        <w:rPr>
          <w:rFonts w:ascii="MS Gothic" w:hAnsi="MS Gothic" w:eastAsia="MS Gothic" w:cs="MS Gothic"/>
          <w:sz w:val="18"/>
          <w:szCs w:val="18"/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浙江实用医学</w:t>
      </w:r>
      <w:r>
        <w:rPr>
          <w:rFonts w:ascii="MS Gothic" w:hAnsi="MS Gothic" w:eastAsia="MS Gothic" w:cs="MS Gothic"/>
          <w:sz w:val="18"/>
          <w:szCs w:val="18"/>
          <w:color w:val="231F20"/>
          <w:spacing w:val="-5"/>
        </w:rPr>
        <w:t>,2014,5(4):249-250.</w:t>
      </w:r>
    </w:p>
    <w:p>
      <w:pPr>
        <w:ind w:left="1058" w:right="330" w:hanging="338"/>
        <w:spacing w:before="24" w:line="242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[3]</w:t>
      </w:r>
      <w:r>
        <w:rPr>
          <w:rFonts w:ascii="MS Gothic" w:hAnsi="MS Gothic" w:eastAsia="MS Gothic" w:cs="MS Gothic"/>
          <w:sz w:val="18"/>
          <w:szCs w:val="18"/>
          <w:color w:val="231F20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陈宇航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刘晓明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李海波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等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手术时机对急性阑尾炎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果 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影 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1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志 </w:t>
      </w:r>
      <w:r>
        <w:rPr>
          <w:rFonts w:ascii="MS Gothic" w:hAnsi="MS Gothic" w:eastAsia="MS Gothic" w:cs="MS Gothic"/>
          <w:sz w:val="18"/>
          <w:szCs w:val="18"/>
          <w:color w:val="231F20"/>
          <w:spacing w:val="-11"/>
        </w:rPr>
        <w:t>[J].2018,23(5):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374-376.</w:t>
      </w:r>
    </w:p>
    <w:p>
      <w:pPr>
        <w:ind w:left="1054" w:right="330" w:hanging="334"/>
        <w:spacing w:before="67" w:line="241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[4]</w:t>
      </w:r>
      <w:r>
        <w:rPr>
          <w:rFonts w:ascii="MS Gothic" w:hAnsi="MS Gothic" w:eastAsia="MS Gothic" w:cs="MS Gothic"/>
          <w:sz w:val="18"/>
          <w:szCs w:val="18"/>
          <w:color w:val="231F20"/>
          <w:spacing w:val="7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刘超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高迎瑶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李萍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等 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早期手术治疗急性阑尾炎比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0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界 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0"/>
        </w:rPr>
        <w:t>,2013,</w:t>
      </w:r>
      <w:r>
        <w:rPr>
          <w:rFonts w:ascii="MS Gothic" w:hAnsi="MS Gothic" w:eastAsia="MS Gothic" w:cs="MS Gothic"/>
          <w:sz w:val="18"/>
          <w:szCs w:val="18"/>
          <w:color w:val="231F20"/>
          <w:spacing w:val="-5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0"/>
        </w:rPr>
        <w:t>19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6"/>
        </w:rPr>
        <w:t>(46):8893-8898.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7" w:right="67" w:hanging="337"/>
        <w:spacing w:before="38" w:line="24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[5]</w:t>
      </w:r>
      <w:r>
        <w:rPr>
          <w:rFonts w:ascii="MS Gothic" w:hAnsi="MS Gothic" w:eastAsia="MS Gothic" w:cs="MS Gothic"/>
          <w:sz w:val="18"/>
          <w:szCs w:val="18"/>
          <w:color w:val="231F2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何海平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廖文英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腹腔镜阑尾切除术治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疗急性阑尾炎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者 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,2021,34(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5):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94-95.</w:t>
      </w:r>
    </w:p>
    <w:p>
      <w:pPr>
        <w:spacing w:before="72" w:line="222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[6]</w:t>
      </w:r>
      <w:r>
        <w:rPr>
          <w:rFonts w:ascii="MS Gothic" w:hAnsi="MS Gothic" w:eastAsia="MS Gothic" w:cs="MS Gothic"/>
          <w:sz w:val="18"/>
          <w:szCs w:val="18"/>
          <w:color w:val="231F20"/>
          <w:spacing w:val="7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TINTINALLI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JE,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MA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OJ.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急 诊 医 学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[M].9</w:t>
      </w:r>
      <w:r>
        <w:rPr>
          <w:rFonts w:ascii="MS Gothic" w:hAnsi="MS Gothic" w:eastAsia="MS Gothic" w:cs="MS Gothic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北 京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:</w:t>
      </w:r>
    </w:p>
    <w:p>
      <w:pPr>
        <w:ind w:left="340"/>
        <w:spacing w:before="63" w:line="18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</w:rPr>
        <w:t>McGraw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-</w:t>
      </w:r>
      <w:r>
        <w:rPr>
          <w:rFonts w:ascii="MS Gothic" w:hAnsi="MS Gothic" w:eastAsia="MS Gothic" w:cs="MS Gothic"/>
          <w:sz w:val="18"/>
          <w:szCs w:val="18"/>
          <w:color w:val="231F20"/>
        </w:rPr>
        <w:t>Hill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教育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,2016.</w:t>
      </w:r>
    </w:p>
    <w:p>
      <w:pPr>
        <w:ind w:left="335" w:right="67" w:hanging="336"/>
        <w:spacing w:before="43" w:line="24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[7]</w:t>
      </w:r>
      <w:r>
        <w:rPr>
          <w:rFonts w:ascii="MS Gothic" w:hAnsi="MS Gothic" w:eastAsia="MS Gothic" w:cs="MS Gothic"/>
          <w:sz w:val="18"/>
          <w:szCs w:val="18"/>
          <w:color w:val="231F20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李泰山 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腹腔镜阑尾切除术治疗急性坏疽穿孔性阑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尾 炎 的 临 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效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中 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药 物 与 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,2021,21(6):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968-970.</w:t>
      </w:r>
    </w:p>
    <w:p>
      <w:pPr>
        <w:ind w:left="337" w:right="70" w:hanging="337"/>
        <w:spacing w:before="70" w:line="23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[8]</w:t>
      </w:r>
      <w:r>
        <w:rPr>
          <w:rFonts w:ascii="MS Gothic" w:hAnsi="MS Gothic" w:eastAsia="MS Gothic" w:cs="MS Gothic"/>
          <w:sz w:val="18"/>
          <w:szCs w:val="18"/>
          <w:color w:val="231F20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房誉轩 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.D</w:t>
      </w:r>
      <w:r>
        <w:rPr>
          <w:rFonts w:ascii="MS Gothic" w:hAnsi="MS Gothic" w:eastAsia="MS Gothic" w:cs="MS Gothic"/>
          <w:sz w:val="18"/>
          <w:szCs w:val="18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二聚体和白细胞计数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、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C-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反应蛋白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、降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钙素原在急性阑尾炎患者中的诊断价值</w:t>
      </w:r>
      <w:r>
        <w:rPr>
          <w:rFonts w:ascii="MS Gothic" w:hAnsi="MS Gothic" w:eastAsia="MS Gothic" w:cs="MS Gothic"/>
          <w:sz w:val="18"/>
          <w:szCs w:val="18"/>
          <w:color w:val="231F20"/>
          <w:spacing w:val="10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血栓与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止血学</w:t>
      </w:r>
      <w:r>
        <w:rPr>
          <w:rFonts w:ascii="MS Gothic" w:hAnsi="MS Gothic" w:eastAsia="MS Gothic" w:cs="MS Gothic"/>
          <w:sz w:val="18"/>
          <w:szCs w:val="18"/>
          <w:color w:val="231F20"/>
          <w:spacing w:val="-6"/>
        </w:rPr>
        <w:t>,2021,27(5):841-842.</w:t>
      </w:r>
    </w:p>
    <w:p>
      <w:pPr>
        <w:ind w:left="335" w:right="67" w:hanging="335"/>
        <w:spacing w:before="29" w:line="252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[9]</w:t>
      </w:r>
      <w:r>
        <w:rPr>
          <w:rFonts w:ascii="MS Gothic" w:hAnsi="MS Gothic" w:eastAsia="MS Gothic" w:cs="MS Gothic"/>
          <w:sz w:val="18"/>
          <w:szCs w:val="18"/>
          <w:color w:val="231F20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乐浩 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急性阑尾炎腹腔镜手术前后血清炎症因子水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胞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疫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化 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中 国 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,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2020,26(7):25-30.</w:t>
      </w:r>
    </w:p>
    <w:p>
      <w:pPr>
        <w:ind w:left="427" w:right="67" w:hanging="427"/>
        <w:spacing w:before="51" w:line="24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[10]</w:t>
      </w:r>
      <w:r>
        <w:rPr>
          <w:rFonts w:ascii="MS Gothic" w:hAnsi="MS Gothic" w:eastAsia="MS Gothic" w:cs="MS Gothic"/>
          <w:sz w:val="18"/>
          <w:szCs w:val="18"/>
          <w:color w:val="231F20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董麒锋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杨振杰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腹腔镜下阑尾切除术治疗急性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阑尾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60</w:t>
      </w:r>
      <w:r>
        <w:rPr>
          <w:rFonts w:ascii="MS Gothic" w:hAnsi="MS Gothic" w:eastAsia="MS Gothic" w:cs="MS Gothic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例 疗 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分 析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浙 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科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,</w:t>
      </w:r>
      <w:r>
        <w:rPr>
          <w:rFonts w:ascii="MS Gothic" w:hAnsi="MS Gothic" w:eastAsia="MS Gothic" w:cs="MS Gothic"/>
          <w:sz w:val="18"/>
          <w:szCs w:val="18"/>
          <w:color w:val="231F20"/>
          <w:spacing w:val="-5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2023,</w:t>
      </w:r>
      <w:r>
        <w:rPr>
          <w:rFonts w:ascii="MS Gothic" w:hAnsi="MS Gothic" w:eastAsia="MS Gothic" w:cs="MS Gothic"/>
          <w:sz w:val="18"/>
          <w:szCs w:val="18"/>
          <w:color w:val="231F20"/>
          <w:spacing w:val="-5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2"/>
        </w:rPr>
        <w:t>23(2):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45-47.</w:t>
      </w:r>
    </w:p>
    <w:p>
      <w:pPr>
        <w:ind w:left="429" w:right="67" w:hanging="429"/>
        <w:spacing w:before="75" w:line="23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</w:rPr>
        <w:t>[11]</w:t>
      </w:r>
      <w:r>
        <w:rPr>
          <w:rFonts w:ascii="MS Gothic" w:hAnsi="MS Gothic" w:eastAsia="MS Gothic" w:cs="MS Gothic"/>
          <w:sz w:val="18"/>
          <w:szCs w:val="18"/>
          <w:color w:val="231F20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郑镇波</w:t>
      </w:r>
      <w:r>
        <w:rPr>
          <w:rFonts w:ascii="MS Gothic" w:hAnsi="MS Gothic" w:eastAsia="MS Gothic" w:cs="MS Gothic"/>
          <w:sz w:val="18"/>
          <w:szCs w:val="18"/>
          <w:color w:val="231F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陈喜德</w:t>
      </w:r>
      <w:r>
        <w:rPr>
          <w:rFonts w:ascii="MS Gothic" w:hAnsi="MS Gothic" w:eastAsia="MS Gothic" w:cs="MS Gothic"/>
          <w:sz w:val="18"/>
          <w:szCs w:val="18"/>
          <w:color w:val="231F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周雁苹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化脓性阑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尾炎抗生素治疗后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不同时机腹腔镜阑尾切除术的疗效及预后研究</w:t>
      </w:r>
      <w:r>
        <w:rPr>
          <w:rFonts w:ascii="MS Gothic" w:hAnsi="MS Gothic" w:eastAsia="MS Gothic" w:cs="MS Gothic"/>
          <w:sz w:val="18"/>
          <w:szCs w:val="18"/>
          <w:color w:val="231F20"/>
          <w:spacing w:val="8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海南医学</w:t>
      </w:r>
      <w:r>
        <w:rPr>
          <w:rFonts w:ascii="MS Gothic" w:hAnsi="MS Gothic" w:eastAsia="MS Gothic" w:cs="MS Gothic"/>
          <w:sz w:val="18"/>
          <w:szCs w:val="18"/>
          <w:color w:val="231F20"/>
          <w:spacing w:val="-7"/>
        </w:rPr>
        <w:t>,2022,33(1):47-50.</w:t>
      </w:r>
    </w:p>
    <w:p>
      <w:pPr>
        <w:ind w:left="429" w:right="70" w:hanging="429"/>
        <w:spacing w:before="29" w:line="23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[12]</w:t>
      </w:r>
      <w:r>
        <w:rPr>
          <w:rFonts w:ascii="MS Gothic" w:hAnsi="MS Gothic" w:eastAsia="MS Gothic" w:cs="MS Gothic"/>
          <w:sz w:val="18"/>
          <w:szCs w:val="18"/>
          <w:color w:val="231F20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张洪建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李荣霖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化脓性阑尾炎不同时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机行腹腔镜阑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尾切除术的疗效对比分析</w:t>
      </w:r>
      <w:r>
        <w:rPr>
          <w:rFonts w:ascii="MS Gothic" w:hAnsi="MS Gothic" w:eastAsia="MS Gothic" w:cs="MS Gothic"/>
          <w:sz w:val="18"/>
          <w:szCs w:val="18"/>
          <w:color w:val="231F20"/>
          <w:spacing w:val="6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中国中西医结合外科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杂志</w:t>
      </w:r>
      <w:r>
        <w:rPr>
          <w:rFonts w:ascii="MS Gothic" w:hAnsi="MS Gothic" w:eastAsia="MS Gothic" w:cs="MS Gothic"/>
          <w:sz w:val="18"/>
          <w:szCs w:val="18"/>
          <w:color w:val="231F20"/>
          <w:spacing w:val="-7"/>
        </w:rPr>
        <w:t>,2020,26(3):519-523.</w:t>
      </w:r>
    </w:p>
    <w:p>
      <w:pPr>
        <w:ind w:left="427" w:right="67" w:hanging="428"/>
        <w:spacing w:before="27" w:line="309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[13]</w:t>
      </w:r>
      <w:r>
        <w:rPr>
          <w:rFonts w:ascii="MS Gothic" w:hAnsi="MS Gothic" w:eastAsia="MS Gothic" w:cs="MS Gothic"/>
          <w:sz w:val="18"/>
          <w:szCs w:val="18"/>
          <w:color w:val="231F20"/>
          <w:spacing w:val="6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BAUMGARTEN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HD,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BROWN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EG,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5"/>
        </w:rPr>
        <w:t>R</w:t>
      </w:r>
      <w:r>
        <w:rPr>
          <w:rFonts w:ascii="MS Gothic" w:hAnsi="MS Gothic" w:eastAsia="MS Gothic" w:cs="MS Gothic"/>
          <w:sz w:val="18"/>
          <w:szCs w:val="18"/>
          <w:color w:val="231F20"/>
          <w:spacing w:val="14"/>
        </w:rPr>
        <w:t>USSELL</w:t>
      </w:r>
      <w:r>
        <w:rPr>
          <w:rFonts w:ascii="MS Gothic" w:hAnsi="MS Gothic" w:eastAsia="MS Gothic" w:cs="MS Gothic"/>
          <w:sz w:val="18"/>
          <w:szCs w:val="18"/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4"/>
        </w:rPr>
        <w:t>KW,</w:t>
      </w:r>
      <w:r>
        <w:rPr>
          <w:rFonts w:ascii="MS Gothic" w:hAnsi="MS Gothic" w:eastAsia="MS Gothic" w:cs="MS Gothic"/>
          <w:sz w:val="18"/>
          <w:szCs w:val="18"/>
          <w:color w:val="231F20"/>
          <w:spacing w:val="-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4"/>
        </w:rPr>
        <w:t>et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al.</w:t>
      </w:r>
      <w:r>
        <w:rPr>
          <w:rFonts w:ascii="MS Gothic" w:hAnsi="MS Gothic" w:eastAsia="MS Gothic" w:cs="MS Gothic"/>
          <w:sz w:val="18"/>
          <w:szCs w:val="18"/>
          <w:color w:val="231F20"/>
          <w:spacing w:val="5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Laparoscopic</w:t>
      </w:r>
      <w:r>
        <w:rPr>
          <w:rFonts w:ascii="MS Gothic" w:hAnsi="MS Gothic" w:eastAsia="MS Gothic" w:cs="MS Gothic"/>
          <w:sz w:val="18"/>
          <w:szCs w:val="18"/>
          <w:color w:val="231F20"/>
          <w:spacing w:val="5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appendectomy-Outcome</w:t>
      </w:r>
      <w:r>
        <w:rPr>
          <w:rFonts w:ascii="MS Gothic" w:hAnsi="MS Gothic" w:eastAsia="MS Gothic" w:cs="MS Gothic"/>
          <w:sz w:val="18"/>
          <w:szCs w:val="18"/>
          <w:color w:val="231F20"/>
          <w:spacing w:val="-9"/>
        </w:rPr>
        <w:t>s</w:t>
      </w:r>
      <w:r>
        <w:rPr>
          <w:rFonts w:ascii="MS Gothic" w:hAnsi="MS Gothic" w:eastAsia="MS Gothic" w:cs="MS Gothic"/>
          <w:sz w:val="18"/>
          <w:szCs w:val="18"/>
          <w:color w:val="231F20"/>
          <w:spacing w:val="5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9"/>
        </w:rPr>
        <w:t>of</w:t>
      </w:r>
      <w:r>
        <w:rPr>
          <w:rFonts w:ascii="MS Gothic" w:hAnsi="MS Gothic" w:eastAsia="MS Gothic" w:cs="MS Gothic"/>
          <w:sz w:val="18"/>
          <w:szCs w:val="18"/>
          <w:color w:val="231F20"/>
          <w:spacing w:val="4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9"/>
        </w:rPr>
        <w:t>Senior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5"/>
        </w:rPr>
        <w:t>trainees</w:t>
      </w:r>
      <w:r>
        <w:rPr>
          <w:rFonts w:ascii="MS Gothic" w:hAnsi="MS Gothic" w:eastAsia="MS Gothic" w:cs="MS Gothic"/>
          <w:sz w:val="18"/>
          <w:szCs w:val="18"/>
          <w:color w:val="231F20"/>
          <w:spacing w:val="29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5"/>
        </w:rPr>
        <w:t>operating</w:t>
      </w:r>
      <w:r>
        <w:rPr>
          <w:rFonts w:ascii="MS Gothic" w:hAnsi="MS Gothic" w:eastAsia="MS Gothic" w:cs="MS Gothic"/>
          <w:sz w:val="18"/>
          <w:szCs w:val="18"/>
          <w:color w:val="231F20"/>
          <w:spacing w:val="2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5"/>
        </w:rPr>
        <w:t>without</w:t>
      </w:r>
      <w:r>
        <w:rPr>
          <w:rFonts w:ascii="MS Gothic" w:hAnsi="MS Gothic" w:eastAsia="MS Gothic" w:cs="MS Gothic"/>
          <w:sz w:val="18"/>
          <w:szCs w:val="18"/>
          <w:color w:val="231F20"/>
          <w:spacing w:val="3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supervision</w:t>
      </w:r>
      <w:r>
        <w:rPr>
          <w:rFonts w:ascii="MS Gothic" w:hAnsi="MS Gothic" w:eastAsia="MS Gothic" w:cs="MS Gothic"/>
          <w:sz w:val="18"/>
          <w:szCs w:val="18"/>
          <w:color w:val="231F20"/>
          <w:spacing w:val="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versus</w:t>
      </w:r>
      <w:r>
        <w:rPr>
          <w:rFonts w:ascii="MS Gothic" w:hAnsi="MS Gothic" w:eastAsia="MS Gothic" w:cs="MS Gothic"/>
          <w:sz w:val="18"/>
          <w:szCs w:val="18"/>
          <w:color w:val="231F20"/>
          <w:spacing w:val="3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experi⁃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enced</w:t>
      </w:r>
      <w:r>
        <w:rPr>
          <w:rFonts w:ascii="MS Gothic" w:hAnsi="MS Gothic" w:eastAsia="MS Gothic" w:cs="MS Gothic"/>
          <w:sz w:val="18"/>
          <w:szCs w:val="18"/>
          <w:color w:val="231F20"/>
          <w:spacing w:val="2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pediatric</w:t>
      </w:r>
      <w:r>
        <w:rPr>
          <w:rFonts w:ascii="MS Gothic" w:hAnsi="MS Gothic" w:eastAsia="MS Gothic" w:cs="MS Gothic"/>
          <w:sz w:val="18"/>
          <w:szCs w:val="18"/>
          <w:color w:val="231F20"/>
          <w:spacing w:val="16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surgeons[J].</w:t>
      </w:r>
      <w:r>
        <w:rPr>
          <w:rFonts w:ascii="MS Gothic" w:hAnsi="MS Gothic" w:eastAsia="MS Gothic" w:cs="MS Gothic"/>
          <w:sz w:val="18"/>
          <w:szCs w:val="18"/>
          <w:color w:val="231F20"/>
          <w:spacing w:val="1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Pediatr</w:t>
      </w:r>
      <w:r>
        <w:rPr>
          <w:rFonts w:ascii="MS Gothic" w:hAnsi="MS Gothic" w:eastAsia="MS Gothic" w:cs="MS Gothic"/>
          <w:sz w:val="18"/>
          <w:szCs w:val="18"/>
          <w:color w:val="231F20"/>
          <w:spacing w:val="13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Surg,</w:t>
      </w:r>
      <w:r>
        <w:rPr>
          <w:rFonts w:ascii="MS Gothic" w:hAnsi="MS Gothic" w:eastAsia="MS Gothic" w:cs="MS Gothic"/>
          <w:sz w:val="18"/>
          <w:szCs w:val="18"/>
          <w:color w:val="231F20"/>
          <w:spacing w:val="-38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2019,</w:t>
      </w:r>
      <w:r>
        <w:rPr>
          <w:rFonts w:ascii="MS Gothic" w:hAnsi="MS Gothic" w:eastAsia="MS Gothic" w:cs="MS Gothic"/>
          <w:sz w:val="18"/>
          <w:szCs w:val="18"/>
          <w:color w:val="231F20"/>
          <w:spacing w:val="-24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6"/>
        </w:rPr>
        <w:t>18(7):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1322-1325.</w:t>
      </w:r>
    </w:p>
    <w:p>
      <w:pPr>
        <w:ind w:left="429" w:right="67" w:hanging="429"/>
        <w:spacing w:before="72" w:line="247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[14]</w:t>
      </w:r>
      <w:r>
        <w:rPr>
          <w:rFonts w:ascii="MS Gothic" w:hAnsi="MS Gothic" w:eastAsia="MS Gothic" w:cs="MS Gothic"/>
          <w:sz w:val="18"/>
          <w:szCs w:val="18"/>
          <w:color w:val="231F20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杜健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王江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王舒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等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腹腔镜手术对急性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化脓性阑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尾炎患者免疫功能及血清白介素</w:t>
      </w:r>
      <w:r>
        <w:rPr>
          <w:rFonts w:ascii="MS Gothic" w:hAnsi="MS Gothic" w:eastAsia="MS Gothic" w:cs="MS Gothic"/>
          <w:sz w:val="18"/>
          <w:szCs w:val="18"/>
          <w:color w:val="231F20"/>
          <w:spacing w:val="17"/>
        </w:rPr>
        <w:t>-8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>、肿瘤坏死因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子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-</w:t>
      </w:r>
      <w:r>
        <w:rPr>
          <w:rFonts w:ascii="MS Gothic" w:hAnsi="MS Gothic" w:eastAsia="MS Gothic" w:cs="MS Gothic"/>
          <w:sz w:val="18"/>
          <w:szCs w:val="18"/>
          <w:color w:val="231F20"/>
          <w:spacing w:val="-45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α</w:t>
      </w:r>
      <w:r>
        <w:rPr>
          <w:rFonts w:ascii="MS Gothic" w:hAnsi="MS Gothic" w:eastAsia="MS Gothic" w:cs="MS Gothic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水 平 的 影 响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中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国 当 代 医 药 </w:t>
      </w:r>
      <w:r>
        <w:rPr>
          <w:rFonts w:ascii="MS Gothic" w:hAnsi="MS Gothic" w:eastAsia="MS Gothic" w:cs="MS Gothic"/>
          <w:sz w:val="18"/>
          <w:szCs w:val="18"/>
          <w:color w:val="231F20"/>
          <w:spacing w:val="-13"/>
        </w:rPr>
        <w:t>,2021,28(4):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99-101.</w:t>
      </w:r>
    </w:p>
    <w:p>
      <w:pPr>
        <w:ind w:left="427" w:right="70" w:hanging="427"/>
        <w:spacing w:before="71" w:line="23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[15]</w:t>
      </w:r>
      <w:r>
        <w:rPr>
          <w:rFonts w:ascii="MS Gothic" w:hAnsi="MS Gothic" w:eastAsia="MS Gothic" w:cs="MS Gothic"/>
          <w:sz w:val="18"/>
          <w:szCs w:val="18"/>
          <w:color w:val="231F20"/>
          <w:spacing w:val="7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李亚杰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尼晓丽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孙贝贝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腹腔镜辅助下阑尾切除术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治疗不同病理类型的急性阑尾炎的效果与安全性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研究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中国实用医刊</w:t>
      </w:r>
      <w:r>
        <w:rPr>
          <w:rFonts w:ascii="MS Gothic" w:hAnsi="MS Gothic" w:eastAsia="MS Gothic" w:cs="MS Gothic"/>
          <w:sz w:val="18"/>
          <w:szCs w:val="18"/>
          <w:color w:val="231F20"/>
          <w:spacing w:val="-8"/>
        </w:rPr>
        <w:t>,2020,47(23):38-41.</w:t>
      </w:r>
    </w:p>
    <w:p>
      <w:pPr>
        <w:ind w:left="447" w:right="67" w:hanging="447"/>
        <w:spacing w:before="30" w:line="234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[16]</w:t>
      </w:r>
      <w:r>
        <w:rPr>
          <w:rFonts w:ascii="MS Gothic" w:hAnsi="MS Gothic" w:eastAsia="MS Gothic" w:cs="MS Gothic"/>
          <w:sz w:val="18"/>
          <w:szCs w:val="18"/>
          <w:color w:val="231F20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王文祥 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急性阑尾炎早期手术治疗的效果分析</w:t>
      </w:r>
      <w:r>
        <w:rPr>
          <w:rFonts w:ascii="MS Gothic" w:hAnsi="MS Gothic" w:eastAsia="MS Gothic" w:cs="MS Gothic"/>
          <w:sz w:val="18"/>
          <w:szCs w:val="18"/>
          <w:color w:val="231F20"/>
          <w:spacing w:val="4"/>
        </w:rPr>
        <w:t>[J</w:t>
      </w:r>
      <w:r>
        <w:rPr>
          <w:rFonts w:ascii="MS Gothic" w:hAnsi="MS Gothic" w:eastAsia="MS Gothic" w:cs="MS Gothic"/>
          <w:sz w:val="18"/>
          <w:szCs w:val="18"/>
          <w:color w:val="231F20"/>
          <w:spacing w:val="3"/>
        </w:rPr>
        <w:t>].</w:t>
      </w:r>
      <w:r>
        <w:rPr>
          <w:rFonts w:ascii="MS Gothic" w:hAnsi="MS Gothic" w:eastAsia="MS Gothic" w:cs="MS Gothic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中国现代药物应用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,2021,15(23):39-42.</w:t>
      </w:r>
    </w:p>
    <w:p>
      <w:pPr>
        <w:ind w:left="429" w:right="70" w:hanging="429"/>
        <w:spacing w:before="31" w:line="238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[17]</w:t>
      </w:r>
      <w:r>
        <w:rPr>
          <w:rFonts w:ascii="MS Gothic" w:hAnsi="MS Gothic" w:eastAsia="MS Gothic" w:cs="MS Gothic"/>
          <w:sz w:val="18"/>
          <w:szCs w:val="18"/>
          <w:color w:val="231F20"/>
          <w:spacing w:val="7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张琪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李明亮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贺铁刚 </w:t>
      </w:r>
      <w:r>
        <w:rPr>
          <w:rFonts w:ascii="MS Gothic" w:hAnsi="MS Gothic" w:eastAsia="MS Gothic" w:cs="MS Gothic"/>
          <w:sz w:val="18"/>
          <w:szCs w:val="18"/>
          <w:color w:val="231F20"/>
          <w:spacing w:val="2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腹腔镜阑尾切除术对急性阑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尾炎患者术后疼痛程度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S Gothic" w:hAnsi="MS Gothic" w:eastAsia="MS Gothic" w:cs="MS Gothic"/>
          <w:sz w:val="18"/>
          <w:szCs w:val="18"/>
          <w:color w:val="231F20"/>
          <w:spacing w:val="1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>免疫应激反应及并发症的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影响</w:t>
      </w:r>
      <w:r>
        <w:rPr>
          <w:rFonts w:ascii="MS Gothic" w:hAnsi="MS Gothic" w:eastAsia="MS Gothic" w:cs="MS Gothic"/>
          <w:sz w:val="18"/>
          <w:szCs w:val="18"/>
          <w:color w:val="231F20"/>
          <w:spacing w:val="-7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临床医学工程</w:t>
      </w:r>
      <w:r>
        <w:rPr>
          <w:rFonts w:ascii="MS Gothic" w:hAnsi="MS Gothic" w:eastAsia="MS Gothic" w:cs="MS Gothic"/>
          <w:sz w:val="18"/>
          <w:szCs w:val="18"/>
          <w:color w:val="231F20"/>
          <w:spacing w:val="-7"/>
        </w:rPr>
        <w:t>,2023,30(2):161-162.</w:t>
      </w:r>
    </w:p>
    <w:p>
      <w:pPr>
        <w:ind w:left="427" w:right="70" w:hanging="427"/>
        <w:spacing w:before="31" w:line="233" w:lineRule="auto"/>
        <w:rPr>
          <w:rFonts w:ascii="MS Gothic" w:hAnsi="MS Gothic" w:eastAsia="MS Gothic" w:cs="MS Gothic"/>
          <w:sz w:val="18"/>
          <w:szCs w:val="18"/>
        </w:rPr>
      </w:pP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[18]</w:t>
      </w:r>
      <w:r>
        <w:rPr>
          <w:rFonts w:ascii="MS Gothic" w:hAnsi="MS Gothic" w:eastAsia="MS Gothic" w:cs="MS Gothic"/>
          <w:sz w:val="18"/>
          <w:szCs w:val="18"/>
          <w:color w:val="231F20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杨泽龙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.</w:t>
      </w:r>
      <w:r>
        <w:rPr>
          <w:rFonts w:ascii="MS Gothic" w:hAnsi="MS Gothic" w:eastAsia="MS Gothic" w:cs="MS Gothic"/>
          <w:sz w:val="18"/>
          <w:szCs w:val="18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临床中急性阑尾炎 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172</w:t>
      </w:r>
      <w:r>
        <w:rPr>
          <w:rFonts w:ascii="MS Gothic" w:hAnsi="MS Gothic" w:eastAsia="MS Gothic" w:cs="MS Gothic"/>
          <w:sz w:val="18"/>
          <w:szCs w:val="18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例疗效分析</w:t>
      </w:r>
      <w:r>
        <w:rPr>
          <w:rFonts w:ascii="MS Gothic" w:hAnsi="MS Gothic" w:eastAsia="MS Gothic" w:cs="MS Gothic"/>
          <w:sz w:val="18"/>
          <w:szCs w:val="18"/>
          <w:color w:val="231F20"/>
          <w:spacing w:val="-4"/>
        </w:rPr>
        <w:t>[J].</w:t>
      </w:r>
      <w:r>
        <w:rPr>
          <w:rFonts w:ascii="MS Gothic" w:hAnsi="MS Gothic" w:eastAsia="MS Gothic" w:cs="MS Gothic"/>
          <w:sz w:val="18"/>
          <w:szCs w:val="18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中文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科技期刊数据库</w: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全文版</w: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医药卫生</w:t>
      </w:r>
      <w:r>
        <w:rPr>
          <w:rFonts w:ascii="MS Gothic" w:hAnsi="MS Gothic" w:eastAsia="MS Gothic" w:cs="MS Gothic"/>
          <w:sz w:val="18"/>
          <w:szCs w:val="18"/>
          <w:color w:val="231F20"/>
          <w:spacing w:val="-2"/>
        </w:rPr>
        <w:t>,2023(4):4.</w:t>
      </w:r>
    </w:p>
    <w:p>
      <w:pPr>
        <w:spacing w:before="61" w:line="166" w:lineRule="auto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（收稿日期：</w:t>
      </w:r>
      <w:r>
        <w:rPr>
          <w:rFonts w:ascii="MS Gothic" w:hAnsi="MS Gothic" w:eastAsia="MS Gothic" w:cs="MS Gothic"/>
          <w:sz w:val="18"/>
          <w:szCs w:val="18"/>
          <w:color w:val="231F20"/>
          <w:spacing w:val="-1"/>
        </w:rPr>
        <w:t>2024-08-30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</w:t>
      </w:r>
    </w:p>
    <w:sectPr>
      <w:type w:val="continuous"/>
      <w:pgSz w:w="11906" w:h="16838"/>
      <w:pgMar w:top="400" w:right="1065" w:bottom="824" w:left="424" w:header="0" w:footer="624" w:gutter="0"/>
      <w:cols w:equalWidth="0" w:num="2">
        <w:col w:w="5650" w:space="100"/>
        <w:col w:w="46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94"/>
      <w:spacing w:line="179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Arial" w:hAnsi="Arial" w:eastAsia="Arial" w:cs="Arial"/>
        <w:sz w:val="15"/>
        <w:szCs w:val="15"/>
        <w:color w:val="231F20"/>
      </w:rPr>
      <w:t>China</w:t>
    </w:r>
    <w:r>
      <w:rPr>
        <w:rFonts w:ascii="Arial" w:hAnsi="Arial" w:eastAsia="Arial" w:cs="Arial"/>
        <w:sz w:val="15"/>
        <w:szCs w:val="15"/>
        <w:color w:val="231F20"/>
        <w:spacing w:val="11"/>
      </w:rPr>
      <w:t xml:space="preserve"> &amp;</w:t>
    </w:r>
    <w:r>
      <w:rPr>
        <w:rFonts w:ascii="Arial" w:hAnsi="Arial" w:eastAsia="Arial" w:cs="Arial"/>
        <w:sz w:val="15"/>
        <w:szCs w:val="15"/>
        <w:color w:val="231F20"/>
      </w:rPr>
      <w:t>Foreign</w:t>
    </w:r>
    <w:r>
      <w:rPr>
        <w:rFonts w:ascii="Arial" w:hAnsi="Arial" w:eastAsia="Arial" w:cs="Arial"/>
        <w:sz w:val="15"/>
        <w:szCs w:val="15"/>
        <w:color w:val="231F20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Medical</w:t>
    </w:r>
    <w:r>
      <w:rPr>
        <w:rFonts w:ascii="Arial" w:hAnsi="Arial" w:eastAsia="Arial" w:cs="Arial"/>
        <w:sz w:val="15"/>
        <w:szCs w:val="15"/>
        <w:color w:val="231F20"/>
        <w:spacing w:val="1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Treatment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   </w:t>
    </w:r>
    <w:r>
      <w:rPr>
        <w:rFonts w:ascii="SimHei" w:hAnsi="SimHei" w:eastAsia="SimHei" w:cs="SimHei"/>
        <w:sz w:val="15"/>
        <w:szCs w:val="15"/>
        <w:color w:val="231F20"/>
        <w:spacing w:val="11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11"/>
      </w:rPr>
      <w:t xml:space="preserve">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1"/>
      </w:rPr>
      <w:t>33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0"/>
      <w:spacing w:line="206" w:lineRule="auto"/>
      <w:rPr>
        <w:rFonts w:ascii="Arial" w:hAnsi="Arial" w:eastAsia="Arial" w:cs="Arial"/>
        <w:sz w:val="15"/>
        <w:szCs w:val="15"/>
      </w:rPr>
    </w:pPr>
    <w:r>
      <w:rPr>
        <w:rFonts w:ascii="MS Gothic" w:hAnsi="MS Gothic" w:eastAsia="MS Gothic" w:cs="MS Gothic"/>
        <w:sz w:val="17"/>
        <w:szCs w:val="17"/>
        <w:color w:val="231F20"/>
        <w:spacing w:val="17"/>
      </w:rPr>
      <w:t>34</w:t>
    </w:r>
    <w:r>
      <w:rPr>
        <w:rFonts w:ascii="MS Gothic" w:hAnsi="MS Gothic" w:eastAsia="MS Gothic" w:cs="MS Gothic"/>
        <w:sz w:val="17"/>
        <w:szCs w:val="17"/>
        <w:color w:val="231F20"/>
        <w:spacing w:val="22"/>
      </w:rPr>
      <w:t xml:space="preserve">   </w:t>
    </w:r>
    <w:r>
      <w:rPr>
        <w:rFonts w:ascii="SimHei" w:hAnsi="SimHei" w:eastAsia="SimHei" w:cs="SimHei"/>
        <w:sz w:val="15"/>
        <w:szCs w:val="15"/>
        <w:color w:val="231F20"/>
        <w:spacing w:val="17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20"/>
      </w:rPr>
      <w:t xml:space="preserve">  </w:t>
    </w:r>
    <w:r>
      <w:rPr>
        <w:rFonts w:ascii="Arial" w:hAnsi="Arial" w:eastAsia="Arial" w:cs="Arial"/>
        <w:sz w:val="15"/>
        <w:szCs w:val="15"/>
        <w:color w:val="231F20"/>
      </w:rPr>
      <w:t>China</w:t>
    </w:r>
    <w:r>
      <w:rPr>
        <w:rFonts w:ascii="Arial" w:hAnsi="Arial" w:eastAsia="Arial" w:cs="Arial"/>
        <w:sz w:val="15"/>
        <w:szCs w:val="15"/>
        <w:color w:val="231F20"/>
        <w:spacing w:val="17"/>
      </w:rPr>
      <w:t xml:space="preserve"> &amp;</w:t>
    </w:r>
    <w:r>
      <w:rPr>
        <w:rFonts w:ascii="Arial" w:hAnsi="Arial" w:eastAsia="Arial" w:cs="Arial"/>
        <w:sz w:val="15"/>
        <w:szCs w:val="15"/>
        <w:color w:val="231F20"/>
      </w:rPr>
      <w:t>Foreign</w:t>
    </w:r>
    <w:r>
      <w:rPr>
        <w:rFonts w:ascii="Arial" w:hAnsi="Arial" w:eastAsia="Arial" w:cs="Arial"/>
        <w:sz w:val="15"/>
        <w:szCs w:val="15"/>
        <w:color w:val="231F20"/>
        <w:spacing w:val="2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Medical</w:t>
    </w:r>
    <w:r>
      <w:rPr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Treatment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header" Target="header4.xml"/><Relationship Id="rId5" Type="http://schemas.openxmlformats.org/officeDocument/2006/relationships/footer" Target="footer1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2025-01-03T15:51:22Z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2025-10-28T21:32:40</vt:filetime>
  </property>
</Properties>
</file>