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62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急性阑尾炎穿孔增强</w:t>
      </w:r>
      <w:r>
        <w:rPr>
          <w:rFonts w:ascii="SimHei" w:hAnsi="SimHei" w:eastAsia="SimHei" w:cs="SimHei"/>
          <w:sz w:val="40"/>
          <w:szCs w:val="40"/>
          <w:color w:val="231F20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color w:val="231F20"/>
          <w:spacing w:val="-2"/>
        </w:rPr>
        <w:t>CT </w:t>
      </w: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表现及诊断价值</w:t>
      </w:r>
    </w:p>
    <w:p>
      <w:pPr>
        <w:ind w:left="5405"/>
        <w:spacing w:before="193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柳其珍</w:t>
      </w:r>
    </w:p>
    <w:p>
      <w:pPr>
        <w:ind w:left="3598"/>
        <w:spacing w:before="44" w:line="21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（邳州市中医院放射科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江苏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邳州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221300）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592" w:right="70" w:firstLine="2"/>
        <w:spacing w:before="65" w:line="318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1805660</wp:posOffset>
            </wp:positionH>
            <wp:positionV relativeFrom="paragraph">
              <wp:posOffset>619679</wp:posOffset>
            </wp:positionV>
            <wp:extent cx="98069" cy="9679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069" cy="9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454955</wp:posOffset>
            </wp:positionH>
            <wp:positionV relativeFrom="paragraph">
              <wp:posOffset>845019</wp:posOffset>
            </wp:positionV>
            <wp:extent cx="217666" cy="5005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666" cy="5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31F20"/>
          <w:spacing w:val="-6"/>
        </w:rPr>
        <w:t>【摘要】</w:t>
      </w:r>
      <w:r>
        <w:rPr>
          <w:sz w:val="17"/>
          <w:szCs w:val="17"/>
          <w:b/>
          <w:bCs/>
          <w:color w:val="231F20"/>
          <w:spacing w:val="-6"/>
        </w:rPr>
        <w:t>目的：探讨急性阑尾炎穿孔的增强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6"/>
        </w:rPr>
        <w:t>CT </w:t>
      </w:r>
      <w:r>
        <w:rPr>
          <w:sz w:val="17"/>
          <w:szCs w:val="17"/>
          <w:b/>
          <w:bCs/>
          <w:color w:val="231F20"/>
          <w:spacing w:val="-6"/>
        </w:rPr>
        <w:t>表现，以及在临床诊断应用中的意义。方法：收集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2021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年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2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月—2024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年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2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6"/>
        </w:rPr>
        <w:t>月邳州市中医院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收治的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67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sz w:val="17"/>
          <w:szCs w:val="17"/>
          <w:b/>
          <w:bCs/>
          <w:color w:val="231F20"/>
          <w:spacing w:val="-5"/>
        </w:rPr>
        <w:t>例急性阑尾炎患者，均行增强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CT </w:t>
      </w:r>
      <w:r>
        <w:rPr>
          <w:sz w:val="17"/>
          <w:szCs w:val="17"/>
          <w:b/>
          <w:bCs/>
          <w:color w:val="231F20"/>
          <w:spacing w:val="-5"/>
        </w:rPr>
        <w:t>检查，以手术病理检查为金标准，分析增强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5"/>
        </w:rPr>
        <w:t>CT </w:t>
      </w:r>
      <w:r>
        <w:rPr>
          <w:sz w:val="17"/>
          <w:szCs w:val="17"/>
          <w:b/>
          <w:bCs/>
          <w:color w:val="231F20"/>
          <w:spacing w:val="-5"/>
        </w:rPr>
        <w:t>检查对急性阑尾炎穿孔的</w:t>
      </w:r>
      <w:r>
        <w:rPr>
          <w:sz w:val="17"/>
          <w:szCs w:val="17"/>
          <w:b/>
          <w:bCs/>
          <w:color w:val="231F20"/>
          <w:spacing w:val="-6"/>
        </w:rPr>
        <w:t>诊断效能，根据患者是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3"/>
        </w:rPr>
        <w:t>否发生穿孔分成穿孔组和未穿孔组，对比两组患者影像学表现。结果：手术结果显示，67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例急性阑尾炎患者中有</w:t>
      </w:r>
      <w:r>
        <w:rPr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32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3"/>
        </w:rPr>
        <w:t>例发生穿孔，增强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3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</w:rPr>
        <w:t xml:space="preserve">   </w:t>
      </w:r>
      <w:r>
        <w:rPr>
          <w:sz w:val="17"/>
          <w:szCs w:val="17"/>
          <w:color w:val="231F20"/>
          <w:spacing w:val="-1"/>
        </w:rPr>
        <w:t>检查诊断穿孔患者</w:t>
      </w:r>
      <w:r>
        <w:rPr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1"/>
        </w:rPr>
        <w:t>31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1"/>
        </w:rPr>
        <w:t>例，2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1"/>
        </w:rPr>
        <w:t>例漏诊，1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1"/>
        </w:rPr>
        <w:t>例误诊；增强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CT </w:t>
      </w:r>
      <w:r>
        <w:rPr>
          <w:sz w:val="17"/>
          <w:szCs w:val="17"/>
          <w:color w:val="231F20"/>
          <w:spacing w:val="-1"/>
        </w:rPr>
        <w:t>检查急性阑尾炎的特异度为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1"/>
        </w:rPr>
        <w:t>97.14、灵</w:t>
      </w:r>
      <w:r>
        <w:rPr>
          <w:sz w:val="17"/>
          <w:szCs w:val="17"/>
          <w:color w:val="231F20"/>
          <w:spacing w:val="-2"/>
        </w:rPr>
        <w:t>敏度为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2"/>
        </w:rPr>
        <w:t>93.75、准确率为</w:t>
      </w:r>
      <w:r>
        <w:rPr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2"/>
        </w:rPr>
        <w:t>95.52（64/67</w:t>
      </w:r>
      <w:r>
        <w:rPr>
          <w:sz w:val="17"/>
          <w:szCs w:val="17"/>
          <w:color w:val="231F20"/>
          <w:spacing w:val="-14"/>
        </w:rPr>
        <w:t>），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Kappa </w:t>
      </w:r>
      <w:r>
        <w:rPr>
          <w:sz w:val="17"/>
          <w:szCs w:val="17"/>
          <w:color w:val="231F20"/>
          <w:spacing w:val="-3"/>
        </w:rPr>
        <w:t>值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color w:val="231F20"/>
          <w:spacing w:val="-3"/>
        </w:rPr>
        <w:t>=0.910，与金标准高度一致；穿孔组阑尾腔外气体、阑尾腔外粪石、阑尾周围炎、周围脓肿及周围肠壁增厚等的发生率均高于未穿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孔组，差异有统计学意义（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i/>
          <w:iCs/>
          <w:color w:val="231F20"/>
          <w:spacing w:val="14"/>
          <w:w w:val="101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b/>
          <w:bCs/>
          <w:color w:val="231F20"/>
          <w:spacing w:val="-4"/>
        </w:rPr>
        <w:t>0.05）。结论：增强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b/>
          <w:bCs/>
          <w:color w:val="231F20"/>
          <w:spacing w:val="-4"/>
        </w:rPr>
        <w:t>CT </w:t>
      </w:r>
      <w:r>
        <w:rPr>
          <w:sz w:val="17"/>
          <w:szCs w:val="17"/>
          <w:b/>
          <w:bCs/>
          <w:color w:val="231F20"/>
          <w:spacing w:val="-4"/>
        </w:rPr>
        <w:t>应</w:t>
      </w:r>
      <w:r>
        <w:rPr>
          <w:sz w:val="17"/>
          <w:szCs w:val="17"/>
          <w:b/>
          <w:bCs/>
          <w:color w:val="231F20"/>
          <w:spacing w:val="-5"/>
        </w:rPr>
        <w:t>用于急性阑尾炎的诊断中，能够帮助检查者准确识别病灶，提高诊断效能，在急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b/>
          <w:bCs/>
          <w:color w:val="231F20"/>
          <w:spacing w:val="-5"/>
        </w:rPr>
        <w:t>性阑尾炎穿孔的诊断中具有重要的应用价值。</w:t>
      </w:r>
    </w:p>
    <w:p>
      <w:pPr>
        <w:pStyle w:val="BodyText"/>
        <w:ind w:left="594"/>
        <w:spacing w:line="220" w:lineRule="auto"/>
        <w:rPr>
          <w:sz w:val="17"/>
          <w:szCs w:val="17"/>
        </w:rPr>
      </w:pPr>
      <w:r>
        <w:rPr>
          <w:color w:val="231F20"/>
          <w:spacing w:val="-4"/>
        </w:rPr>
        <w:t>【关键词】</w:t>
      </w:r>
      <w:r>
        <w:rPr>
          <w:sz w:val="17"/>
          <w:szCs w:val="17"/>
          <w:color w:val="231F20"/>
          <w:spacing w:val="-4"/>
        </w:rPr>
        <w:t>急性阑尾炎；穿孔；增强</w:t>
      </w:r>
      <w:r>
        <w:rPr>
          <w:sz w:val="17"/>
          <w:szCs w:val="17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CT </w:t>
      </w:r>
      <w:r>
        <w:rPr>
          <w:sz w:val="17"/>
          <w:szCs w:val="17"/>
          <w:color w:val="231F20"/>
          <w:spacing w:val="-4"/>
        </w:rPr>
        <w:t>表现；诊断价值</w:t>
      </w:r>
    </w:p>
    <w:p>
      <w:pPr>
        <w:pStyle w:val="BodyText"/>
        <w:ind w:left="594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R445.3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2096-3807（2024）19-0161-04</w:t>
      </w:r>
    </w:p>
    <w:p>
      <w:pPr>
        <w:spacing w:before="191"/>
        <w:rPr/>
      </w:pPr>
      <w:r/>
    </w:p>
    <w:p>
      <w:pPr>
        <w:sectPr>
          <w:headerReference w:type="default" r:id="rId1"/>
          <w:footerReference w:type="default" r:id="rId2"/>
          <w:pgSz w:w="12246" w:h="16498"/>
          <w:pgMar w:top="1208" w:right="949" w:bottom="868" w:left="424" w:header="826" w:footer="526" w:gutter="0"/>
          <w:cols w:equalWidth="0" w:num="1">
            <w:col w:w="10873" w:space="0"/>
          </w:cols>
        </w:sectPr>
        <w:rPr/>
      </w:pPr>
    </w:p>
    <w:p>
      <w:pPr>
        <w:pStyle w:val="BodyText"/>
        <w:ind w:left="603" w:right="191" w:firstLine="403"/>
        <w:spacing w:before="48" w:line="295" w:lineRule="auto"/>
        <w:rPr/>
      </w:pPr>
      <w:r>
        <w:rPr>
          <w:color w:val="231F20"/>
          <w:spacing w:val="5"/>
        </w:rPr>
        <w:t>急性阑尾炎作为外科常见的急腹症之一，其发病率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一直居高不下，且常常伴随着阑尾穿孔这一严重并发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症。阑尾穿孔不仅会导致弥漫性腹膜炎，</w:t>
      </w:r>
      <w:r>
        <w:rPr>
          <w:color w:val="231F20"/>
          <w:spacing w:val="72"/>
        </w:rPr>
        <w:t xml:space="preserve"> </w:t>
      </w:r>
      <w:r>
        <w:rPr>
          <w:color w:val="231F20"/>
          <w:spacing w:val="-2"/>
        </w:rPr>
        <w:t>严重时还可能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危及生命。因此，</w:t>
      </w:r>
      <w:r>
        <w:rPr>
          <w:color w:val="231F20"/>
          <w:spacing w:val="72"/>
        </w:rPr>
        <w:t xml:space="preserve"> </w:t>
      </w:r>
      <w:r>
        <w:rPr>
          <w:color w:val="231F20"/>
          <w:spacing w:val="-2"/>
        </w:rPr>
        <w:t>对急性阑尾炎及其穿孔的及时、准确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诊断，对于患者的预后至关重要。传统的急性阑尾炎诊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断方法主要依赖于患者的临床表现、实验室检查以及医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生的体格检查。尽管这些方法在一定程度上能够指导诊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断，但其准确率往往受到多种因素的影响， 如患者的主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观感受、医生的经验等。特别是在阑尾穿孔的情况下，  </w:t>
      </w:r>
      <w:r>
        <w:rPr>
          <w:color w:val="231F20"/>
          <w:spacing w:val="13"/>
        </w:rPr>
        <w:t>由于炎症的扩散和病情的复杂性，常规诊断方法的局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限性更加明显</w:t>
      </w:r>
      <w:r>
        <w:rPr>
          <w:color w:val="231F20"/>
          <w:spacing w:val="-7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[1-2]</w:t>
      </w:r>
      <w:r>
        <w:rPr>
          <w:sz w:val="11"/>
          <w:szCs w:val="11"/>
          <w:color w:val="231F20"/>
          <w:spacing w:val="-24"/>
          <w:position w:val="9"/>
        </w:rPr>
        <w:t xml:space="preserve"> </w:t>
      </w:r>
      <w:r>
        <w:rPr>
          <w:color w:val="231F20"/>
          <w:spacing w:val="4"/>
        </w:rPr>
        <w:t>。随着医学影像技术的飞速发展，增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5"/>
        </w:rPr>
        <w:t>作为一种无创、高效的检查手段，在急性阑尾炎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及其穿孔的诊断中逐渐展现出其独特的优势</w:t>
      </w:r>
      <w:r>
        <w:rPr>
          <w:color w:val="231F20"/>
          <w:spacing w:val="8"/>
        </w:rPr>
        <w:t>。增强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  </w:t>
      </w:r>
      <w:r>
        <w:rPr>
          <w:color w:val="231F20"/>
          <w:spacing w:val="13"/>
        </w:rPr>
        <w:t>不仅能够清晰显示阑尾及其周围组织的解剖结构，还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能够通过血流灌注情况的观察，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为诊断提供更加全面、  </w:t>
      </w:r>
      <w:r>
        <w:rPr>
          <w:color w:val="231F20"/>
          <w:spacing w:val="6"/>
        </w:rPr>
        <w:t>准确的信息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[3-5]</w:t>
      </w:r>
      <w:r>
        <w:rPr>
          <w:sz w:val="11"/>
          <w:szCs w:val="11"/>
          <w:color w:val="231F20"/>
          <w:spacing w:val="-24"/>
          <w:position w:val="9"/>
        </w:rPr>
        <w:t xml:space="preserve"> </w:t>
      </w:r>
      <w:r>
        <w:rPr>
          <w:color w:val="231F20"/>
          <w:spacing w:val="6"/>
        </w:rPr>
        <w:t>。基于此，本研究收集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20</w:t>
      </w:r>
      <w:r>
        <w:rPr>
          <w:color w:val="231F20"/>
          <w:spacing w:val="5"/>
        </w:rPr>
        <w:t>21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月—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2024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"/>
        </w:rPr>
        <w:t>月邳州市中医院收治的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1"/>
        </w:rPr>
        <w:t>67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1"/>
        </w:rPr>
        <w:t>例急性阑尾炎</w:t>
      </w:r>
      <w:r>
        <w:rPr>
          <w:color w:val="231F20"/>
        </w:rPr>
        <w:t>患者， </w:t>
      </w:r>
      <w:r>
        <w:rPr>
          <w:color w:val="231F20"/>
          <w:spacing w:val="16"/>
        </w:rPr>
        <w:t>旨在探讨急性阑尾炎穿孔的增强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16"/>
        </w:rPr>
        <w:t>表现及其诊断价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值，以期为该疾病的临床诊断和治疗提供有益的参考。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现报道如下。</w:t>
      </w:r>
    </w:p>
    <w:p>
      <w:pPr>
        <w:ind w:left="614"/>
        <w:spacing w:before="1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1015"/>
        <w:spacing w:before="8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608" w:right="246" w:firstLine="399"/>
        <w:spacing w:before="83" w:line="295" w:lineRule="auto"/>
        <w:rPr/>
      </w:pPr>
      <w:r>
        <w:rPr>
          <w:color w:val="231F20"/>
          <w:spacing w:val="3"/>
        </w:rPr>
        <w:t>收集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2021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月—2024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月邳州</w:t>
      </w:r>
      <w:r>
        <w:rPr>
          <w:color w:val="231F20"/>
          <w:spacing w:val="2"/>
        </w:rPr>
        <w:t>市中医院收治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67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例急性阑尾炎患者，其中男 36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例，女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31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例，年龄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94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岁，平均（48.56±8.24）岁。</w:t>
      </w:r>
    </w:p>
    <w:p>
      <w:pPr>
        <w:pStyle w:val="BodyText"/>
        <w:ind w:left="606" w:right="247" w:firstLine="396"/>
        <w:spacing w:before="3" w:line="267" w:lineRule="auto"/>
        <w:jc w:val="both"/>
        <w:rPr/>
      </w:pPr>
      <w:r>
        <w:rPr>
          <w:color w:val="231F20"/>
          <w:spacing w:val="2"/>
        </w:rPr>
        <w:t>纳入标准</w:t>
      </w:r>
      <w:r>
        <w:rPr>
          <w:color w:val="231F20"/>
          <w:spacing w:val="-14"/>
        </w:rPr>
        <w:t>：（</w:t>
      </w:r>
      <w:r>
        <w:rPr>
          <w:color w:val="231F20"/>
          <w:spacing w:val="2"/>
        </w:rPr>
        <w:t>1）具有急性阑尾炎穿孔的典型症状，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如转移性右下腹痛、右下腹固定压痛等</w:t>
      </w:r>
      <w:r>
        <w:rPr>
          <w:color w:val="231F20"/>
          <w:spacing w:val="-13"/>
        </w:rPr>
        <w:t>；（</w:t>
      </w:r>
      <w:r>
        <w:rPr>
          <w:color w:val="231F20"/>
          <w:spacing w:val="2"/>
        </w:rPr>
        <w:t>2）实验室检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查血常规升高，存在感染</w:t>
      </w:r>
      <w:r>
        <w:rPr>
          <w:color w:val="231F20"/>
          <w:spacing w:val="-13"/>
        </w:rPr>
        <w:t>；（</w:t>
      </w:r>
      <w:r>
        <w:rPr>
          <w:color w:val="231F20"/>
          <w:spacing w:val="2"/>
        </w:rPr>
        <w:t>3）患者或监护人对研究内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容知情。排除标准</w:t>
      </w:r>
      <w:r>
        <w:rPr>
          <w:color w:val="231F20"/>
          <w:spacing w:val="-13"/>
        </w:rPr>
        <w:t>：（</w:t>
      </w:r>
      <w:r>
        <w:rPr>
          <w:color w:val="231F20"/>
          <w:spacing w:val="2"/>
        </w:rPr>
        <w:t>1）合并有心、肝、肾等器质性疾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9"/>
        <w:spacing w:before="40" w:line="295" w:lineRule="auto"/>
        <w:rPr/>
      </w:pPr>
      <w:r>
        <w:rPr>
          <w:color w:val="231F20"/>
          <w:spacing w:val="3"/>
        </w:rPr>
        <w:t>病</w:t>
      </w:r>
      <w:r>
        <w:rPr>
          <w:color w:val="231F20"/>
          <w:spacing w:val="-8"/>
        </w:rPr>
        <w:t>；（</w:t>
      </w:r>
      <w:r>
        <w:rPr>
          <w:color w:val="231F20"/>
          <w:spacing w:val="3"/>
        </w:rPr>
        <w:t>2）合并血液系统疾病</w:t>
      </w:r>
      <w:r>
        <w:rPr>
          <w:color w:val="231F20"/>
          <w:spacing w:val="-8"/>
        </w:rPr>
        <w:t>；（</w:t>
      </w:r>
      <w:r>
        <w:rPr>
          <w:color w:val="231F20"/>
          <w:spacing w:val="3"/>
        </w:rPr>
        <w:t>3）精神异常</w:t>
      </w:r>
      <w:r>
        <w:rPr>
          <w:color w:val="231F20"/>
          <w:spacing w:val="-8"/>
        </w:rPr>
        <w:t>；（</w:t>
      </w:r>
      <w:r>
        <w:rPr>
          <w:color w:val="231F20"/>
          <w:spacing w:val="3"/>
        </w:rPr>
        <w:t>4）造 </w:t>
      </w:r>
      <w:r>
        <w:rPr>
          <w:color w:val="231F20"/>
          <w:spacing w:val="-6"/>
        </w:rPr>
        <w:t>影剂过敏。</w:t>
      </w:r>
    </w:p>
    <w:p>
      <w:pPr>
        <w:pStyle w:val="BodyText"/>
        <w:ind w:left="412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right="71" w:firstLine="396"/>
        <w:spacing w:before="84" w:line="295" w:lineRule="auto"/>
        <w:rPr/>
      </w:pPr>
      <w:r>
        <w:rPr>
          <w:color w:val="231F20"/>
          <w:spacing w:val="13"/>
        </w:rPr>
        <w:t>所有患者均进行增强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13"/>
        </w:rPr>
        <w:t>检查</w:t>
      </w:r>
      <w:r>
        <w:rPr>
          <w:color w:val="231F20"/>
          <w:spacing w:val="-4"/>
        </w:rPr>
        <w:t>：（</w:t>
      </w:r>
      <w:r>
        <w:rPr>
          <w:color w:val="231F20"/>
          <w:spacing w:val="13"/>
        </w:rPr>
        <w:t>1）仪器选择与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型号：使用美国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公司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Optima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8"/>
        </w:rPr>
        <w:t>680 64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排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128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8"/>
        </w:rPr>
        <w:t>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螺旋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4"/>
        </w:rPr>
        <w:t>。（2）检查参数设置：扫描范围从膈顶至耻骨</w:t>
      </w:r>
      <w:r>
        <w:rPr>
          <w:color w:val="231F20"/>
        </w:rPr>
        <w:t xml:space="preserve"> </w:t>
      </w:r>
      <w:r>
        <w:rPr>
          <w:color w:val="231F20"/>
        </w:rPr>
        <w:t>联合上缘，管电压为 120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kV</w:t>
      </w:r>
      <w:r>
        <w:rPr>
          <w:color w:val="231F20"/>
        </w:rPr>
        <w:t>，管电流为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320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mAs</w:t>
      </w:r>
      <w:r>
        <w:rPr>
          <w:color w:val="231F20"/>
        </w:rPr>
        <w:t>，扫描 </w:t>
      </w:r>
      <w:r>
        <w:rPr>
          <w:color w:val="231F20"/>
          <w:spacing w:val="8"/>
        </w:rPr>
        <w:t>层厚与层距为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5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  <w:spacing w:val="8"/>
        </w:rPr>
        <w:t>。增强扫描经右侧肘正中静脉注射</w:t>
      </w:r>
      <w:r>
        <w:rPr>
          <w:color w:val="231F20"/>
        </w:rPr>
        <w:t xml:space="preserve"> </w:t>
      </w:r>
      <w:r>
        <w:rPr>
          <w:color w:val="231F20"/>
        </w:rPr>
        <w:t>300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mgI</w:t>
      </w:r>
      <w:r>
        <w:rPr>
          <w:color w:val="231F20"/>
        </w:rPr>
        <w:t>/</w:t>
      </w:r>
      <w:r>
        <w:rPr>
          <w:rFonts w:ascii="Times New Roman" w:hAnsi="Times New Roman" w:eastAsia="Times New Roman" w:cs="Times New Roman"/>
          <w:color w:val="231F20"/>
        </w:rPr>
        <w:t>mL </w:t>
      </w:r>
      <w:r>
        <w:rPr>
          <w:color w:val="231F20"/>
        </w:rPr>
        <w:t>碘海醇，碘海醇的用量为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1.5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</w:rPr>
        <w:t>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</w:rPr>
        <w:t>，儿童 </w:t>
      </w:r>
      <w:r>
        <w:rPr>
          <w:color w:val="231F20"/>
        </w:rPr>
        <w:t>用量酌减，流速为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2.0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3.5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</w:rPr>
        <w:t>/</w:t>
      </w:r>
      <w:r>
        <w:rPr>
          <w:rFonts w:ascii="Times New Roman" w:hAnsi="Times New Roman" w:eastAsia="Times New Roman" w:cs="Times New Roman"/>
          <w:color w:val="231F20"/>
        </w:rPr>
        <w:t>s</w:t>
      </w:r>
      <w:r>
        <w:rPr>
          <w:color w:val="231F20"/>
        </w:rPr>
        <w:t>，注射碘海醇后进行 </w:t>
      </w:r>
      <w:r>
        <w:rPr>
          <w:color w:val="231F20"/>
          <w:spacing w:val="-6"/>
        </w:rPr>
        <w:t>扫描。采用阈值监测法进行扫描，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监测点设为腹主动脉，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触发阈值设定为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100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HU</w:t>
      </w:r>
      <w:r>
        <w:rPr>
          <w:color w:val="231F20"/>
          <w:spacing w:val="5"/>
        </w:rPr>
        <w:t>，延迟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12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s </w:t>
      </w:r>
      <w:r>
        <w:rPr>
          <w:color w:val="231F20"/>
          <w:spacing w:val="5"/>
        </w:rPr>
        <w:t>扫描动脉期，延迟</w:t>
      </w:r>
    </w:p>
    <w:p>
      <w:pPr>
        <w:pStyle w:val="BodyText"/>
        <w:spacing w:before="9" w:line="287" w:lineRule="auto"/>
        <w:rPr/>
      </w:pPr>
      <w:r>
        <w:rPr>
          <w:color w:val="231F20"/>
          <w:spacing w:val="1"/>
        </w:rPr>
        <w:t>45、130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s </w:t>
      </w:r>
      <w:r>
        <w:rPr>
          <w:color w:val="231F20"/>
          <w:spacing w:val="1"/>
        </w:rPr>
        <w:t>分别扫描静脉期、延迟期，扫描结束</w:t>
      </w:r>
      <w:r>
        <w:rPr>
          <w:color w:val="231F20"/>
        </w:rPr>
        <w:t>后对原始  </w:t>
      </w:r>
      <w:r>
        <w:rPr>
          <w:color w:val="231F20"/>
          <w:spacing w:val="-11"/>
        </w:rPr>
        <w:t>图像进行重建处理，重建层厚为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1"/>
        </w:rPr>
        <w:t>1.25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mm</w:t>
      </w:r>
      <w:r>
        <w:rPr>
          <w:color w:val="231F20"/>
          <w:spacing w:val="-11"/>
        </w:rPr>
        <w:t>。（3）影</w:t>
      </w:r>
      <w:r>
        <w:rPr>
          <w:color w:val="231F20"/>
          <w:spacing w:val="-12"/>
        </w:rPr>
        <w:t>像诊断：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诊断工作由两名副高级职称诊断医师完成，两名诊断医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师不知道手术病理的结果，各自完成阅片，对存有异议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的</w:t>
      </w:r>
      <w:r>
        <w:rPr>
          <w:rFonts w:ascii="Times New Roman" w:hAnsi="Times New Roman" w:eastAsia="Times New Roman" w:cs="Times New Roman"/>
          <w:color w:val="231F20"/>
          <w:spacing w:val="-4"/>
        </w:rPr>
        <w:t>CT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-4"/>
        </w:rPr>
        <w:t>征象，另外增加两名副高级职称诊断医师进行讨论，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取得一致性结果。主要观察内容包括阑尾直径、阑尾壁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的厚度、阑尾腔内积液、粪石、气体情况、阑尾腔外气体、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粪石情况、阑尾周围渗出改变、积液情况，以及阑尾邻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近肠管有无水肿、增厚情况、阑尾周围的蜂窝织炎及脓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肿情况等。</w:t>
      </w:r>
    </w:p>
    <w:p>
      <w:pPr>
        <w:pStyle w:val="BodyText"/>
        <w:ind w:left="412"/>
        <w:spacing w:before="81" w:line="220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2" w:right="78" w:firstLine="417"/>
        <w:spacing w:before="84" w:line="295" w:lineRule="auto"/>
        <w:rPr/>
      </w:pPr>
      <w:r>
        <w:rPr>
          <w:color w:val="231F20"/>
          <w:spacing w:val="-3"/>
        </w:rPr>
        <w:t>以手术结果为金标准，分析增强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CT </w:t>
      </w:r>
      <w:r>
        <w:rPr>
          <w:color w:val="231F20"/>
          <w:spacing w:val="-3"/>
        </w:rPr>
        <w:t>检查的灵敏度、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准确率、特异度、阴性预测值、阳性预测值；分析阑尾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炎穿孔的影像学特征。</w:t>
      </w:r>
    </w:p>
    <w:p>
      <w:pPr>
        <w:pStyle w:val="BodyText"/>
        <w:ind w:left="412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right="70" w:firstLine="396"/>
        <w:spacing w:before="80"/>
        <w:rPr/>
      </w:pPr>
      <w:r>
        <w:rPr>
          <w:color w:val="231F20"/>
        </w:rPr>
        <w:t>应用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24.0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统计学软件进</w:t>
      </w:r>
      <w:r>
        <w:rPr>
          <w:color w:val="231F20"/>
          <w:spacing w:val="-1"/>
        </w:rPr>
        <w:t>行数据处理，计量资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料以均数 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x</w:t>
      </w:r>
      <w:r>
        <w:rPr>
          <w:sz w:val="11"/>
          <w:szCs w:val="11"/>
          <w:color w:val="231F20"/>
          <w:spacing w:val="-4"/>
          <w:position w:val="9"/>
        </w:rPr>
        <w:t>-</w:t>
      </w:r>
      <w:r>
        <w:rPr>
          <w:sz w:val="11"/>
          <w:szCs w:val="11"/>
          <w:color w:val="231F20"/>
          <w:spacing w:val="35"/>
          <w:position w:val="9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s</w:t>
      </w:r>
      <w:r>
        <w:rPr>
          <w:color w:val="231F20"/>
          <w:spacing w:val="-4"/>
        </w:rPr>
        <w:t>）表示，采用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t </w:t>
      </w:r>
      <w:r>
        <w:rPr>
          <w:color w:val="231F20"/>
          <w:spacing w:val="-4"/>
        </w:rPr>
        <w:t>检验；计数资</w:t>
      </w:r>
    </w:p>
    <w:p>
      <w:pPr>
        <w:sectPr>
          <w:type w:val="continuous"/>
          <w:pgSz w:w="12246" w:h="16498"/>
          <w:pgMar w:top="1208" w:right="949" w:bottom="868" w:left="424" w:header="826" w:footer="526" w:gutter="0"/>
          <w:cols w:equalWidth="0" w:num="2">
            <w:col w:w="5776" w:space="100"/>
            <w:col w:w="4997" w:space="0"/>
          </w:cols>
        </w:sectPr>
        <w:rPr/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5"/>
          <w:footerReference w:type="default" r:id="rId6"/>
          <w:pgSz w:w="12246" w:h="16498"/>
          <w:pgMar w:top="1207" w:right="949" w:bottom="868" w:left="424" w:header="827" w:footer="526" w:gutter="0"/>
          <w:cols w:equalWidth="0" w:num="1">
            <w:col w:w="10873" w:space="0"/>
          </w:cols>
        </w:sectPr>
        <w:rPr/>
      </w:pPr>
    </w:p>
    <w:p>
      <w:pPr>
        <w:pStyle w:val="BodyText"/>
        <w:ind w:left="606" w:right="240" w:hanging="2"/>
        <w:spacing w:before="44" w:line="303" w:lineRule="auto"/>
        <w:rPr/>
      </w:pPr>
      <w:r>
        <w:rPr>
          <w:color w:val="231F20"/>
          <w:spacing w:val="-20"/>
        </w:rPr>
        <w:t>料以频数（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-20"/>
        </w:rPr>
        <w:t>n</w:t>
      </w:r>
      <w:r>
        <w:rPr>
          <w:color w:val="231F20"/>
          <w:spacing w:val="-20"/>
        </w:rPr>
        <w:t>）、百分率（%）表示，采用 </w:t>
      </w:r>
      <w:r>
        <w:rPr>
          <w:i/>
          <w:iCs/>
          <w:color w:val="231F20"/>
          <w:spacing w:val="-20"/>
        </w:rPr>
        <w:t>χ</w:t>
      </w:r>
      <w:r>
        <w:rPr>
          <w:sz w:val="11"/>
          <w:szCs w:val="11"/>
          <w:color w:val="231F20"/>
          <w:spacing w:val="11"/>
          <w:w w:val="106"/>
          <w:position w:val="9"/>
        </w:rPr>
        <w:t>2</w:t>
      </w:r>
      <w:r>
        <w:rPr>
          <w:sz w:val="11"/>
          <w:szCs w:val="11"/>
          <w:color w:val="231F20"/>
          <w:spacing w:val="-9"/>
          <w:position w:val="9"/>
        </w:rPr>
        <w:t xml:space="preserve"> </w:t>
      </w:r>
      <w:r>
        <w:rPr>
          <w:color w:val="231F20"/>
          <w:spacing w:val="-9"/>
        </w:rPr>
        <w:t>检验。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>P </w:t>
      </w:r>
      <w:r>
        <w:rPr>
          <w:color w:val="231F20"/>
          <w:spacing w:val="-9"/>
        </w:rPr>
        <w:t>＜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9"/>
        </w:rPr>
        <w:t>0.05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为差异有统计学意义。</w:t>
      </w:r>
    </w:p>
    <w:p>
      <w:pPr>
        <w:ind w:left="602"/>
        <w:spacing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1003"/>
        <w:spacing w:before="70" w:line="220" w:lineRule="auto"/>
        <w:rPr/>
      </w:pPr>
      <w:r>
        <w:rPr>
          <w:color w:val="231F20"/>
          <w:spacing w:val="-2"/>
        </w:rPr>
        <w:t>2.1 增强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-2"/>
        </w:rPr>
        <w:t>诊断结果</w:t>
      </w:r>
    </w:p>
    <w:p>
      <w:pPr>
        <w:pStyle w:val="BodyText"/>
        <w:ind w:left="605" w:right="239" w:firstLine="395"/>
        <w:spacing w:before="77" w:line="292" w:lineRule="auto"/>
        <w:rPr/>
      </w:pPr>
      <w:r>
        <w:rPr>
          <w:color w:val="231F20"/>
          <w:spacing w:val="6"/>
        </w:rPr>
        <w:t>手术结果显示，67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6"/>
        </w:rPr>
        <w:t>例急性阑尾炎患者中有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32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6"/>
        </w:rPr>
        <w:t>例发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生穿孔，增强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检查诊断穿孔患者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31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例，2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例漏诊，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1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例误诊；增强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17"/>
        </w:rPr>
        <w:t>检查诊断急性阑尾炎的特异度为</w:t>
      </w:r>
    </w:p>
    <w:p>
      <w:pPr>
        <w:pStyle w:val="BodyText"/>
        <w:ind w:left="605"/>
        <w:spacing w:line="219" w:lineRule="auto"/>
        <w:rPr/>
      </w:pPr>
      <w:r>
        <w:rPr>
          <w:color w:val="231F20"/>
          <w:spacing w:val="2"/>
        </w:rPr>
        <w:t>97.14（34/35）、灵敏度为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93.75（30/3</w:t>
      </w:r>
      <w:r>
        <w:rPr>
          <w:color w:val="231F20"/>
          <w:spacing w:val="1"/>
        </w:rPr>
        <w:t>2）、准确率为</w:t>
      </w:r>
    </w:p>
    <w:p>
      <w:pPr>
        <w:pStyle w:val="BodyText"/>
        <w:ind w:left="607" w:right="184" w:hanging="2"/>
        <w:spacing w:before="78" w:line="256" w:lineRule="auto"/>
        <w:rPr/>
      </w:pPr>
      <w:r>
        <w:rPr>
          <w:color w:val="231F20"/>
          <w:spacing w:val="-1"/>
        </w:rPr>
        <w:t>95.52（64/67</w:t>
      </w:r>
      <w:r>
        <w:rPr>
          <w:color w:val="231F20"/>
          <w:spacing w:val="-8"/>
        </w:rPr>
        <w:t>），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Kappa </w:t>
      </w:r>
      <w:r>
        <w:rPr>
          <w:color w:val="231F20"/>
          <w:spacing w:val="-1"/>
        </w:rPr>
        <w:t>值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=0.</w:t>
      </w:r>
      <w:r>
        <w:rPr>
          <w:color w:val="231F20"/>
          <w:spacing w:val="-2"/>
        </w:rPr>
        <w:t>910，与金标准高度一致，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见表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1。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32"/>
        <w:spacing w:before="88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增强</w:t>
      </w:r>
      <w:r>
        <w:rPr>
          <w:rFonts w:ascii="SimHei" w:hAnsi="SimHei" w:eastAsia="SimHei" w:cs="SimHe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诊断结果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         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单位：例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4"/>
        <w:gridCol w:w="779"/>
        <w:gridCol w:w="947"/>
        <w:gridCol w:w="1026"/>
        <w:gridCol w:w="986"/>
      </w:tblGrid>
      <w:tr>
        <w:trPr>
          <w:trHeight w:val="252" w:hRule="atLeast"/>
        </w:trPr>
        <w:tc>
          <w:tcPr>
            <w:tcW w:w="119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79"/>
              <w:spacing w:before="173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77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35"/>
              <w:spacing w:before="174" w:line="220" w:lineRule="auto"/>
              <w:rPr/>
            </w:pPr>
            <w:r>
              <w:rPr>
                <w:color w:val="231F20"/>
                <w:spacing w:val="-3"/>
              </w:rPr>
              <w:t>结果</w:t>
            </w:r>
          </w:p>
        </w:tc>
        <w:tc>
          <w:tcPr>
            <w:tcW w:w="1973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53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金标准</w:t>
            </w:r>
          </w:p>
        </w:tc>
        <w:tc>
          <w:tcPr>
            <w:tcW w:w="98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39"/>
              <w:spacing w:before="173" w:line="221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</w:tr>
      <w:tr>
        <w:trPr>
          <w:trHeight w:val="244" w:hRule="atLeast"/>
        </w:trPr>
        <w:tc>
          <w:tcPr>
            <w:tcW w:w="119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47"/>
              <w:spacing w:before="40" w:line="221" w:lineRule="auto"/>
              <w:rPr/>
            </w:pPr>
            <w:r>
              <w:rPr>
                <w:color w:val="231F20"/>
                <w:spacing w:val="-4"/>
              </w:rPr>
              <w:t>穿孔</w:t>
            </w:r>
          </w:p>
        </w:tc>
        <w:tc>
          <w:tcPr>
            <w:tcW w:w="10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1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未穿孔</w:t>
            </w:r>
          </w:p>
        </w:tc>
        <w:tc>
          <w:tcPr>
            <w:tcW w:w="98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119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7"/>
              <w:spacing w:before="170" w:line="220" w:lineRule="auto"/>
              <w:rPr/>
            </w:pPr>
            <w:r>
              <w:rPr>
                <w:color w:val="231F20"/>
                <w:spacing w:val="-2"/>
              </w:rPr>
              <w:t>增强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CT </w:t>
            </w:r>
            <w:r>
              <w:rPr>
                <w:color w:val="231F20"/>
                <w:spacing w:val="-2"/>
              </w:rPr>
              <w:t>检查</w:t>
            </w:r>
          </w:p>
        </w:tc>
        <w:tc>
          <w:tcPr>
            <w:tcW w:w="7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40"/>
              <w:spacing w:before="43" w:line="219" w:lineRule="auto"/>
              <w:rPr/>
            </w:pPr>
            <w:r>
              <w:rPr>
                <w:color w:val="231F20"/>
                <w:spacing w:val="-4"/>
              </w:rPr>
              <w:t>穿孔</w:t>
            </w:r>
          </w:p>
        </w:tc>
        <w:tc>
          <w:tcPr>
            <w:tcW w:w="94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22"/>
              <w:spacing w:before="43" w:line="219" w:lineRule="auto"/>
              <w:rPr/>
            </w:pPr>
            <w:r>
              <w:rPr>
                <w:color w:val="231F20"/>
                <w:spacing w:val="-3"/>
              </w:rPr>
              <w:t>30</w:t>
            </w:r>
          </w:p>
        </w:tc>
        <w:tc>
          <w:tcPr>
            <w:tcW w:w="102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50"/>
              <w:spacing w:before="43" w:line="219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98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22"/>
              <w:spacing w:before="43" w:line="219" w:lineRule="auto"/>
              <w:rPr/>
            </w:pPr>
            <w:r>
              <w:rPr>
                <w:color w:val="231F20"/>
                <w:spacing w:val="-3"/>
              </w:rPr>
              <w:t>31</w:t>
            </w:r>
          </w:p>
        </w:tc>
      </w:tr>
      <w:tr>
        <w:trPr>
          <w:trHeight w:val="256" w:hRule="atLeast"/>
        </w:trPr>
        <w:tc>
          <w:tcPr>
            <w:tcW w:w="119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"/>
              <w:spacing w:before="56" w:line="219" w:lineRule="auto"/>
              <w:rPr/>
            </w:pPr>
            <w:r>
              <w:rPr>
                <w:color w:val="231F20"/>
                <w:spacing w:val="-2"/>
              </w:rPr>
              <w:t>未穿孔</w:t>
            </w:r>
          </w:p>
        </w:tc>
        <w:tc>
          <w:tcPr>
            <w:tcW w:w="9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1"/>
              <w:spacing w:before="56" w:line="219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02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2"/>
              <w:spacing w:before="56" w:line="219" w:lineRule="auto"/>
              <w:rPr/>
            </w:pPr>
            <w:r>
              <w:rPr>
                <w:color w:val="231F20"/>
                <w:spacing w:val="-3"/>
              </w:rPr>
              <w:t>34</w:t>
            </w:r>
          </w:p>
        </w:tc>
        <w:tc>
          <w:tcPr>
            <w:tcW w:w="9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2"/>
              <w:spacing w:before="56" w:line="219" w:lineRule="auto"/>
              <w:rPr/>
            </w:pPr>
            <w:r>
              <w:rPr>
                <w:color w:val="231F20"/>
                <w:spacing w:val="-3"/>
              </w:rPr>
              <w:t>36</w:t>
            </w:r>
          </w:p>
        </w:tc>
      </w:tr>
      <w:tr>
        <w:trPr>
          <w:trHeight w:val="252" w:hRule="atLeast"/>
        </w:trPr>
        <w:tc>
          <w:tcPr>
            <w:tcW w:w="119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33"/>
              <w:spacing w:before="47" w:line="221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  <w:tc>
          <w:tcPr>
            <w:tcW w:w="7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22"/>
              <w:spacing w:before="46" w:line="225" w:lineRule="auto"/>
              <w:rPr/>
            </w:pPr>
            <w:r>
              <w:rPr>
                <w:color w:val="231F20"/>
                <w:spacing w:val="-3"/>
              </w:rPr>
              <w:t>32</w:t>
            </w:r>
          </w:p>
        </w:tc>
        <w:tc>
          <w:tcPr>
            <w:tcW w:w="10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62"/>
              <w:spacing w:before="46" w:line="225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  <w:tc>
          <w:tcPr>
            <w:tcW w:w="98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20"/>
              <w:spacing w:before="46" w:line="225" w:lineRule="auto"/>
              <w:rPr/>
            </w:pPr>
            <w:r>
              <w:rPr>
                <w:color w:val="231F20"/>
                <w:spacing w:val="-2"/>
              </w:rPr>
              <w:t>67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65" w:line="220" w:lineRule="auto"/>
        <w:rPr/>
      </w:pPr>
      <w:r>
        <w:rPr>
          <w:color w:val="231F20"/>
          <w:spacing w:val="-2"/>
        </w:rPr>
        <w:t>2.2 两组患者增强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下特征对比</w:t>
      </w:r>
    </w:p>
    <w:p>
      <w:pPr>
        <w:pStyle w:val="BodyText"/>
        <w:ind w:left="8" w:firstLine="406"/>
        <w:spacing w:before="74" w:line="288" w:lineRule="auto"/>
        <w:rPr/>
      </w:pPr>
      <w:r>
        <w:rPr>
          <w:color w:val="231F20"/>
          <w:spacing w:val="-9"/>
        </w:rPr>
        <w:t>穿孔组的阑尾腔外气体、阑尾腔外粪石、阑尾周围炎、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周围脓肿及周围肠壁增厚等的发生率均高于未穿孔组，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  <w:spacing w:val="2"/>
        </w:rPr>
        <w:t>），</w:t>
      </w:r>
      <w:r>
        <w:rPr>
          <w:color w:val="231F20"/>
          <w:spacing w:val="-3"/>
        </w:rPr>
        <w:t>见表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3"/>
        </w:rPr>
        <w:t>2。</w:t>
      </w:r>
    </w:p>
    <w:p>
      <w:pPr>
        <w:spacing w:line="288" w:lineRule="auto"/>
        <w:sectPr>
          <w:type w:val="continuous"/>
          <w:pgSz w:w="12246" w:h="16498"/>
          <w:pgMar w:top="1207" w:right="949" w:bottom="868" w:left="424" w:header="827" w:footer="526" w:gutter="0"/>
          <w:cols w:equalWidth="0" w:num="2">
            <w:col w:w="5769" w:space="100"/>
            <w:col w:w="5004" w:space="0"/>
          </w:cols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ind w:left="4160"/>
        <w:spacing w:before="52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两组患者增强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CT 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下特征对比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7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7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10210" w:type="dxa"/>
        <w:tblInd w:w="5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1"/>
        <w:gridCol w:w="728"/>
        <w:gridCol w:w="1209"/>
        <w:gridCol w:w="1158"/>
        <w:gridCol w:w="1183"/>
        <w:gridCol w:w="1173"/>
        <w:gridCol w:w="1101"/>
        <w:gridCol w:w="1218"/>
        <w:gridCol w:w="1479"/>
      </w:tblGrid>
      <w:tr>
        <w:trPr>
          <w:trHeight w:val="252" w:hRule="atLeast"/>
        </w:trPr>
        <w:tc>
          <w:tcPr>
            <w:tcW w:w="96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30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tcW w:w="72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5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2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4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阑尾腔外气体</w:t>
            </w:r>
          </w:p>
        </w:tc>
        <w:tc>
          <w:tcPr>
            <w:tcW w:w="115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99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阑尾腔内气体</w:t>
            </w:r>
          </w:p>
        </w:tc>
        <w:tc>
          <w:tcPr>
            <w:tcW w:w="118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5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阑尾腔外粪石</w:t>
            </w:r>
          </w:p>
        </w:tc>
        <w:tc>
          <w:tcPr>
            <w:tcW w:w="117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5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阑尾腔内粪石</w:t>
            </w:r>
          </w:p>
        </w:tc>
        <w:tc>
          <w:tcPr>
            <w:tcW w:w="110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6"/>
              <w:spacing w:before="45" w:line="220" w:lineRule="auto"/>
              <w:rPr/>
            </w:pPr>
            <w:r>
              <w:rPr>
                <w:color w:val="231F20"/>
                <w:spacing w:val="-4"/>
              </w:rPr>
              <w:t>阑尾周围炎</w:t>
            </w:r>
          </w:p>
        </w:tc>
        <w:tc>
          <w:tcPr>
            <w:tcW w:w="121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63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阑尾周围脓肿</w:t>
            </w:r>
          </w:p>
        </w:tc>
        <w:tc>
          <w:tcPr>
            <w:tcW w:w="147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7"/>
              <w:spacing w:before="45" w:line="220" w:lineRule="auto"/>
              <w:rPr/>
            </w:pPr>
            <w:r>
              <w:rPr>
                <w:color w:val="231F20"/>
                <w:spacing w:val="-3"/>
              </w:rPr>
              <w:t>阑尾周围肠壁增厚</w:t>
            </w:r>
          </w:p>
        </w:tc>
      </w:tr>
      <w:tr>
        <w:trPr>
          <w:trHeight w:val="243" w:hRule="atLeast"/>
        </w:trPr>
        <w:tc>
          <w:tcPr>
            <w:tcW w:w="96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36"/>
              <w:spacing w:before="40" w:line="221" w:lineRule="auto"/>
              <w:rPr/>
            </w:pPr>
            <w:r>
              <w:rPr>
                <w:color w:val="231F20"/>
                <w:spacing w:val="-4"/>
              </w:rPr>
              <w:t>穿孔</w:t>
            </w:r>
          </w:p>
        </w:tc>
        <w:tc>
          <w:tcPr>
            <w:tcW w:w="72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9"/>
              <w:spacing w:before="40" w:line="222" w:lineRule="auto"/>
              <w:rPr/>
            </w:pPr>
            <w:r>
              <w:rPr>
                <w:color w:val="231F20"/>
                <w:spacing w:val="-3"/>
              </w:rPr>
              <w:t>32</w:t>
            </w:r>
          </w:p>
        </w:tc>
        <w:tc>
          <w:tcPr>
            <w:tcW w:w="12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04"/>
              <w:spacing w:before="40" w:line="222" w:lineRule="auto"/>
              <w:rPr/>
            </w:pPr>
            <w:r>
              <w:rPr>
                <w:color w:val="231F20"/>
                <w:spacing w:val="-2"/>
              </w:rPr>
              <w:t>31（96.88）</w:t>
            </w:r>
          </w:p>
        </w:tc>
        <w:tc>
          <w:tcPr>
            <w:tcW w:w="115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8"/>
              <w:spacing w:before="40" w:line="222" w:lineRule="auto"/>
              <w:rPr/>
            </w:pPr>
            <w:r>
              <w:rPr>
                <w:color w:val="231F20"/>
                <w:spacing w:val="-3"/>
              </w:rPr>
              <w:t>11（34.76）</w:t>
            </w:r>
          </w:p>
        </w:tc>
        <w:tc>
          <w:tcPr>
            <w:tcW w:w="11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3"/>
              <w:spacing w:before="40" w:line="222" w:lineRule="auto"/>
              <w:rPr/>
            </w:pPr>
            <w:r>
              <w:rPr>
                <w:color w:val="231F20"/>
                <w:spacing w:val="-1"/>
              </w:rPr>
              <w:t>22（68.75）</w:t>
            </w:r>
          </w:p>
        </w:tc>
        <w:tc>
          <w:tcPr>
            <w:tcW w:w="117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64"/>
              <w:spacing w:before="40" w:line="222" w:lineRule="auto"/>
              <w:rPr/>
            </w:pPr>
            <w:r>
              <w:rPr>
                <w:color w:val="231F20"/>
                <w:spacing w:val="-3"/>
              </w:rPr>
              <w:t>11（34.76）</w:t>
            </w:r>
          </w:p>
        </w:tc>
        <w:tc>
          <w:tcPr>
            <w:tcW w:w="110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5"/>
              <w:spacing w:before="40" w:line="222" w:lineRule="auto"/>
              <w:rPr/>
            </w:pPr>
            <w:r>
              <w:rPr>
                <w:color w:val="231F20"/>
                <w:spacing w:val="-1"/>
              </w:rPr>
              <w:t>28（87.50）</w:t>
            </w:r>
          </w:p>
        </w:tc>
        <w:tc>
          <w:tcPr>
            <w:tcW w:w="121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02"/>
              <w:spacing w:before="40" w:line="222" w:lineRule="auto"/>
              <w:rPr/>
            </w:pPr>
            <w:r>
              <w:rPr>
                <w:color w:val="231F20"/>
                <w:spacing w:val="-2"/>
              </w:rPr>
              <w:t>17（53.13）</w:t>
            </w:r>
          </w:p>
        </w:tc>
        <w:tc>
          <w:tcPr>
            <w:tcW w:w="147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16"/>
              <w:spacing w:before="40" w:line="222" w:lineRule="auto"/>
              <w:rPr/>
            </w:pPr>
            <w:r>
              <w:rPr>
                <w:color w:val="231F20"/>
                <w:spacing w:val="-2"/>
              </w:rPr>
              <w:t>21（65.63）</w:t>
            </w:r>
          </w:p>
        </w:tc>
      </w:tr>
      <w:tr>
        <w:trPr>
          <w:trHeight w:val="250" w:hRule="atLeast"/>
        </w:trPr>
        <w:tc>
          <w:tcPr>
            <w:tcW w:w="961" w:type="dxa"/>
            <w:vAlign w:val="top"/>
          </w:tcPr>
          <w:p>
            <w:pPr>
              <w:pStyle w:val="TableText"/>
              <w:ind w:left="250"/>
              <w:spacing w:before="53" w:line="215" w:lineRule="auto"/>
              <w:rPr/>
            </w:pPr>
            <w:r>
              <w:rPr>
                <w:color w:val="231F20"/>
                <w:spacing w:val="-2"/>
              </w:rPr>
              <w:t>未穿孔</w:t>
            </w:r>
          </w:p>
        </w:tc>
        <w:tc>
          <w:tcPr>
            <w:tcW w:w="728" w:type="dxa"/>
            <w:vAlign w:val="top"/>
          </w:tcPr>
          <w:p>
            <w:pPr>
              <w:pStyle w:val="TableText"/>
              <w:ind w:left="329"/>
              <w:spacing w:before="53" w:line="215" w:lineRule="auto"/>
              <w:rPr/>
            </w:pPr>
            <w:r>
              <w:rPr>
                <w:color w:val="231F20"/>
                <w:spacing w:val="-3"/>
              </w:rPr>
              <w:t>35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282"/>
              <w:spacing w:before="53" w:line="215" w:lineRule="auto"/>
              <w:rPr/>
            </w:pPr>
            <w:r>
              <w:rPr>
                <w:color w:val="231F20"/>
                <w:spacing w:val="-2"/>
              </w:rPr>
              <w:t>0（0.00）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38"/>
              <w:spacing w:before="53" w:line="215" w:lineRule="auto"/>
              <w:rPr/>
            </w:pPr>
            <w:r>
              <w:rPr>
                <w:color w:val="231F20"/>
                <w:spacing w:val="-3"/>
              </w:rPr>
              <w:t>14（40.00）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243"/>
              <w:spacing w:before="53" w:line="215" w:lineRule="auto"/>
              <w:rPr/>
            </w:pPr>
            <w:r>
              <w:rPr>
                <w:color w:val="231F20"/>
                <w:spacing w:val="-3"/>
              </w:rPr>
              <w:t>1（2.86）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164"/>
              <w:spacing w:before="53" w:line="215" w:lineRule="auto"/>
              <w:rPr/>
            </w:pPr>
            <w:r>
              <w:rPr>
                <w:color w:val="231F20"/>
                <w:spacing w:val="-3"/>
              </w:rPr>
              <w:t>16（45.71）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ind w:left="125"/>
              <w:spacing w:before="53" w:line="215" w:lineRule="auto"/>
              <w:rPr/>
            </w:pPr>
            <w:r>
              <w:rPr>
                <w:color w:val="231F20"/>
                <w:spacing w:val="-3"/>
              </w:rPr>
              <w:t>17（48.57）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274"/>
              <w:spacing w:before="53" w:line="215" w:lineRule="auto"/>
              <w:rPr/>
            </w:pPr>
            <w:r>
              <w:rPr>
                <w:color w:val="231F20"/>
                <w:spacing w:val="-2"/>
              </w:rPr>
              <w:t>7（20.00）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395"/>
              <w:spacing w:before="53" w:line="215" w:lineRule="auto"/>
              <w:rPr/>
            </w:pPr>
            <w:r>
              <w:rPr>
                <w:color w:val="231F20"/>
                <w:spacing w:val="-1"/>
              </w:rPr>
              <w:t>9（25.71）</w:t>
            </w:r>
          </w:p>
        </w:tc>
      </w:tr>
      <w:tr>
        <w:trPr>
          <w:trHeight w:val="261" w:hRule="atLeast"/>
        </w:trPr>
        <w:tc>
          <w:tcPr>
            <w:tcW w:w="961" w:type="dxa"/>
            <w:vAlign w:val="top"/>
          </w:tcPr>
          <w:p>
            <w:pPr>
              <w:pStyle w:val="TableText"/>
              <w:ind w:left="421"/>
              <w:spacing w:before="40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7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9" w:type="dxa"/>
            <w:vAlign w:val="top"/>
          </w:tcPr>
          <w:p>
            <w:pPr>
              <w:pStyle w:val="TableText"/>
              <w:ind w:left="402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60.121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367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0.226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355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32.195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393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0.893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ind w:left="325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11.487</w:t>
            </w:r>
          </w:p>
        </w:tc>
        <w:tc>
          <w:tcPr>
            <w:tcW w:w="1218" w:type="dxa"/>
            <w:vAlign w:val="top"/>
          </w:tcPr>
          <w:p>
            <w:pPr>
              <w:pStyle w:val="TableText"/>
              <w:ind w:left="434"/>
              <w:spacing w:before="60" w:line="220" w:lineRule="auto"/>
              <w:rPr/>
            </w:pPr>
            <w:r>
              <w:rPr>
                <w:color w:val="231F20"/>
                <w:spacing w:val="-2"/>
              </w:rPr>
              <w:t>7.989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526"/>
              <w:spacing w:before="60" w:line="220" w:lineRule="auto"/>
              <w:rPr/>
            </w:pPr>
            <w:r>
              <w:rPr>
                <w:color w:val="231F20"/>
                <w:spacing w:val="-3"/>
              </w:rPr>
              <w:t>10.768</w:t>
            </w:r>
          </w:p>
        </w:tc>
      </w:tr>
      <w:tr>
        <w:trPr>
          <w:trHeight w:val="261" w:hRule="atLeast"/>
        </w:trPr>
        <w:tc>
          <w:tcPr>
            <w:tcW w:w="961" w:type="dxa"/>
            <w:vAlign w:val="top"/>
            <w:tcBorders>
              <w:bottom w:val="single" w:color="231F20" w:sz="4" w:space="0"/>
            </w:tcBorders>
          </w:tcPr>
          <w:p>
            <w:pPr>
              <w:ind w:left="430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72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0"/>
              <w:spacing w:before="55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115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7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0.634</w:t>
            </w:r>
          </w:p>
        </w:tc>
        <w:tc>
          <w:tcPr>
            <w:tcW w:w="11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6"/>
              <w:spacing w:before="55" w:line="225" w:lineRule="auto"/>
              <w:rPr/>
            </w:pPr>
            <w:r>
              <w:rPr>
                <w:color w:val="231F20"/>
                <w:spacing w:val="5"/>
              </w:rPr>
              <w:t>&lt;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0.001</w:t>
            </w:r>
          </w:p>
        </w:tc>
        <w:tc>
          <w:tcPr>
            <w:tcW w:w="11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3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0.345</w:t>
            </w:r>
          </w:p>
        </w:tc>
        <w:tc>
          <w:tcPr>
            <w:tcW w:w="11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4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0.001</w:t>
            </w:r>
          </w:p>
        </w:tc>
        <w:tc>
          <w:tcPr>
            <w:tcW w:w="12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1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0.005</w:t>
            </w:r>
          </w:p>
        </w:tc>
        <w:tc>
          <w:tcPr>
            <w:tcW w:w="14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95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2246" w:h="16498"/>
          <w:pgMar w:top="1207" w:right="949" w:bottom="868" w:left="424" w:header="827" w:footer="526" w:gutter="0"/>
          <w:cols w:equalWidth="0" w:num="1">
            <w:col w:w="10873" w:space="0"/>
          </w:cols>
        </w:sectPr>
        <w:rPr/>
      </w:pPr>
    </w:p>
    <w:p>
      <w:pPr>
        <w:pStyle w:val="BodyText"/>
        <w:ind w:left="1003"/>
        <w:spacing w:before="39" w:line="220" w:lineRule="auto"/>
        <w:rPr/>
      </w:pPr>
      <w:r>
        <w:rPr>
          <w:color w:val="231F20"/>
          <w:spacing w:val="-1"/>
        </w:rPr>
        <w:t>2.3 急性阑尾炎穿孔患者典型影像特征</w:t>
      </w:r>
    </w:p>
    <w:p>
      <w:pPr>
        <w:pStyle w:val="BodyText"/>
        <w:ind w:left="604" w:right="246" w:firstLine="406"/>
        <w:spacing w:before="75" w:line="292" w:lineRule="auto"/>
        <w:rPr/>
      </w:pPr>
      <w:r>
        <w:rPr>
          <w:color w:val="231F20"/>
          <w:spacing w:val="3"/>
        </w:rPr>
        <w:t>患者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1，年龄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15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岁，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3"/>
        </w:rPr>
        <w:t>下可见阑尾壁局灶性强化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缺损，阑尾周围游离小气泡影，阑尾腔内粪石阑尾周围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积液，见图 1a；患者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2，年龄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90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岁，可见</w:t>
      </w:r>
      <w:r>
        <w:rPr>
          <w:color w:val="231F20"/>
          <w:spacing w:val="-4"/>
        </w:rPr>
        <w:t>肿大的阑尾壁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局灶性强化缺损，伴阑尾周围脓肿，见图 1b；患者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3，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年龄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69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"/>
        </w:rPr>
        <w:t>岁，可见阑尾周围游离气泡影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并见阑尾肿</w:t>
      </w:r>
      <w:r>
        <w:rPr>
          <w:color w:val="231F20"/>
          <w:spacing w:val="-2"/>
        </w:rPr>
        <w:t>大伴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阑尾腔内积液、阑尾周围脂肪间隙高密度模糊影、邻近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回肠壁水肿，见图 1c，阑尾腔外高密度粪石影，并见阑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尾周围脂肪间隙高密度模糊影，阑尾周围积液，回肠壁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水肿，见图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1d。</w:t>
      </w:r>
    </w:p>
    <w:p>
      <w:pPr>
        <w:ind w:left="604"/>
        <w:spacing w:before="1" w:line="22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607" w:right="257" w:firstLine="399"/>
        <w:spacing w:before="73" w:line="292" w:lineRule="auto"/>
        <w:rPr/>
      </w:pPr>
      <w:r>
        <w:rPr>
          <w:color w:val="231F20"/>
          <w:spacing w:val="4"/>
        </w:rPr>
        <w:t>急性阑尾炎是外科常见的急腹症，居各种急腹症的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首位，典型临床表现为转移性右下腹痛，伴有发热、恶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34" w:line="292" w:lineRule="auto"/>
        <w:rPr/>
      </w:pPr>
      <w:r>
        <w:rPr>
          <w:color w:val="231F20"/>
          <w:spacing w:val="5"/>
        </w:rPr>
        <w:t>心及呕吐，右下腹有固定压痛点。急性阑尾炎</w:t>
      </w:r>
      <w:r>
        <w:rPr>
          <w:color w:val="231F20"/>
          <w:spacing w:val="4"/>
        </w:rPr>
        <w:t>病情变化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多端，若不及时治疗，可能出现阑尾穿孔、感</w:t>
      </w:r>
      <w:r>
        <w:rPr>
          <w:color w:val="231F20"/>
          <w:spacing w:val="-5"/>
        </w:rPr>
        <w:t>染性休克、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腹腔脓肿等严重并发症，甚至危及患者生命安全。阑尾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炎穿孔是急性阑尾炎的一种严重并发症，其表现为腹痛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突然加剧，全腹压痛和反跳痛，腹肌紧张等腹膜刺激症状。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同时，患者可能会出现发热、心率增快、血压下降等全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身中毒症状，严重者可出现感染性休克。此外，穿孔后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还可能引发肠粘连、肠梗阻、阑尾周围脓肿等并发症，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严重影响患者的生活质量。急性阑尾炎的发</w:t>
      </w:r>
      <w:r>
        <w:rPr>
          <w:color w:val="231F20"/>
          <w:spacing w:val="4"/>
        </w:rPr>
        <w:t>病率逐年上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升，且病情向年轻化发展。早期、准确的诊断</w:t>
      </w:r>
      <w:r>
        <w:rPr>
          <w:color w:val="231F20"/>
          <w:spacing w:val="4"/>
        </w:rPr>
        <w:t>对于急性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阑尾炎的治疗和预后具有重要意义。然而，由于其临床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表现多样，许多急腹症的症状、体征与急性阑尾炎相似，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准确诊断急性阑尾炎对于临床具有一定难度。近年来，</w:t>
      </w:r>
    </w:p>
    <w:p>
      <w:pPr>
        <w:spacing w:line="292" w:lineRule="auto"/>
        <w:sectPr>
          <w:type w:val="continuous"/>
          <w:pgSz w:w="12246" w:h="16498"/>
          <w:pgMar w:top="1207" w:right="949" w:bottom="868" w:left="424" w:header="827" w:footer="526" w:gutter="0"/>
          <w:cols w:equalWidth="0" w:num="2">
            <w:col w:w="5776" w:space="100"/>
            <w:col w:w="4997" w:space="0"/>
          </w:cols>
        </w:sectPr>
        <w:rPr/>
      </w:pPr>
    </w:p>
    <w:p>
      <w:pPr>
        <w:spacing w:line="313" w:lineRule="auto"/>
        <w:rPr>
          <w:rFonts w:ascii="Arial"/>
          <w:sz w:val="21"/>
        </w:rPr>
      </w:pPr>
      <w:r/>
    </w:p>
    <w:p>
      <w:pPr>
        <w:ind w:firstLine="1318"/>
        <w:spacing w:before="1" w:line="3724" w:lineRule="exact"/>
        <w:rPr/>
      </w:pPr>
      <w:r>
        <w:rPr>
          <w:position w:val="-74"/>
        </w:rPr>
        <w:drawing>
          <wp:inline distT="0" distB="0" distL="0" distR="0">
            <wp:extent cx="5563603" cy="23652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3603" cy="23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97"/>
        <w:spacing w:before="110" w:line="18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（a</w:t>
      </w:r>
      <w:r>
        <w:rPr>
          <w:sz w:val="16"/>
          <w:szCs w:val="16"/>
          <w:color w:val="231F20"/>
          <w:spacing w:val="-13"/>
        </w:rPr>
        <w:t>）</w:t>
      </w:r>
      <w:r>
        <w:rPr>
          <w:sz w:val="16"/>
          <w:szCs w:val="16"/>
          <w:color w:val="231F20"/>
          <w:spacing w:val="2"/>
        </w:rPr>
        <w:t xml:space="preserve">                            </w:t>
      </w:r>
      <w:r>
        <w:rPr>
          <w:sz w:val="16"/>
          <w:szCs w:val="16"/>
          <w:color w:val="231F20"/>
          <w:spacing w:val="1"/>
        </w:rPr>
        <w:t xml:space="preserve">                   </w:t>
      </w:r>
      <w:r>
        <w:rPr>
          <w:sz w:val="16"/>
          <w:szCs w:val="16"/>
          <w:color w:val="231F20"/>
          <w:spacing w:val="-13"/>
        </w:rPr>
        <w:t>（</w:t>
      </w:r>
      <w:r>
        <w:rPr>
          <w:sz w:val="16"/>
          <w:szCs w:val="16"/>
          <w:color w:val="231F20"/>
          <w:spacing w:val="1"/>
        </w:rPr>
        <w:t>b）</w:t>
      </w:r>
    </w:p>
    <w:p>
      <w:pPr>
        <w:spacing w:line="185" w:lineRule="auto"/>
        <w:sectPr>
          <w:type w:val="continuous"/>
          <w:pgSz w:w="12246" w:h="16498"/>
          <w:pgMar w:top="1207" w:right="949" w:bottom="868" w:left="424" w:header="827" w:footer="526" w:gutter="0"/>
          <w:cols w:equalWidth="0" w:num="1">
            <w:col w:w="10873" w:space="0"/>
          </w:cols>
        </w:sectPr>
        <w:rPr>
          <w:sz w:val="16"/>
          <w:szCs w:val="16"/>
        </w:rPr>
      </w:pPr>
    </w:p>
    <w:p>
      <w:pPr>
        <w:ind w:firstLine="1212"/>
        <w:spacing w:before="216" w:line="3493" w:lineRule="exact"/>
        <w:rPr/>
      </w:pPr>
      <w:r>
        <w:rPr>
          <w:position w:val="-69"/>
        </w:rPr>
        <w:drawing>
          <wp:inline distT="0" distB="0" distL="0" distR="0">
            <wp:extent cx="5697147" cy="221845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7147" cy="2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20"/>
        <w:spacing w:before="159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（c</w:t>
      </w:r>
      <w:r>
        <w:rPr>
          <w:sz w:val="16"/>
          <w:szCs w:val="16"/>
          <w:color w:val="231F20"/>
          <w:spacing w:val="-13"/>
        </w:rPr>
        <w:t>）</w:t>
      </w:r>
      <w:r>
        <w:rPr>
          <w:sz w:val="16"/>
          <w:szCs w:val="16"/>
          <w:color w:val="231F20"/>
          <w:spacing w:val="2"/>
        </w:rPr>
        <w:t xml:space="preserve">                    </w:t>
      </w:r>
      <w:r>
        <w:rPr>
          <w:sz w:val="16"/>
          <w:szCs w:val="16"/>
          <w:color w:val="231F20"/>
          <w:spacing w:val="1"/>
        </w:rPr>
        <w:t xml:space="preserve">                             </w:t>
      </w:r>
      <w:r>
        <w:rPr>
          <w:sz w:val="16"/>
          <w:szCs w:val="16"/>
          <w:color w:val="231F20"/>
          <w:spacing w:val="-13"/>
        </w:rPr>
        <w:t>（</w:t>
      </w:r>
      <w:r>
        <w:rPr>
          <w:sz w:val="16"/>
          <w:szCs w:val="16"/>
          <w:color w:val="231F20"/>
          <w:spacing w:val="1"/>
        </w:rPr>
        <w:t>d）</w:t>
      </w:r>
    </w:p>
    <w:p>
      <w:pPr>
        <w:pStyle w:val="BodyText"/>
        <w:ind w:left="602" w:right="94" w:firstLine="340"/>
        <w:spacing w:before="99" w:line="337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</w:rPr>
        <w:t>注</w:t>
      </w:r>
      <w:r>
        <w:rPr>
          <w:sz w:val="16"/>
          <w:szCs w:val="16"/>
          <w:color w:val="231F20"/>
          <w:spacing w:val="-1"/>
        </w:rPr>
        <w:t>：（</w:t>
      </w:r>
      <w:r>
        <w:rPr>
          <w:sz w:val="16"/>
          <w:szCs w:val="16"/>
          <w:color w:val="231F20"/>
        </w:rPr>
        <w:t>a）阑尾壁局灶性强化缺损</w:t>
      </w:r>
      <w:r>
        <w:rPr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39"/>
        </w:rPr>
        <w:t xml:space="preserve"> </w:t>
      </w:r>
      <w:r>
        <w:rPr>
          <w:sz w:val="16"/>
          <w:szCs w:val="16"/>
          <w:position w:val="-4"/>
        </w:rPr>
        <w:drawing>
          <wp:inline distT="0" distB="0" distL="0" distR="0">
            <wp:extent cx="53597" cy="10082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97" cy="10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"/>
        </w:rPr>
        <w:t>），</w:t>
      </w:r>
      <w:r>
        <w:rPr>
          <w:sz w:val="16"/>
          <w:szCs w:val="16"/>
          <w:color w:val="231F20"/>
        </w:rPr>
        <w:t>阑尾周围游离小气泡影(↑),阑尾腔内粪石</w:t>
      </w:r>
      <w:r>
        <w:rPr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  <w:color w:val="231F20"/>
          <w:spacing w:val="-60"/>
        </w:rPr>
        <w:t xml:space="preserve"> </w:t>
      </w:r>
      <w:r>
        <w:rPr>
          <w:sz w:val="16"/>
          <w:szCs w:val="16"/>
          <w:position w:val="-3"/>
        </w:rPr>
        <w:drawing>
          <wp:inline distT="0" distB="0" distL="0" distR="0">
            <wp:extent cx="61658" cy="10814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58" cy="10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1"/>
        </w:rPr>
        <w:t>），</w:t>
      </w:r>
      <w:r>
        <w:rPr>
          <w:sz w:val="16"/>
          <w:szCs w:val="16"/>
          <w:color w:val="231F20"/>
        </w:rPr>
        <w:t>阑尾周围积液</w:t>
      </w:r>
      <w:r>
        <w:rPr>
          <w:sz w:val="16"/>
          <w:szCs w:val="16"/>
          <w:color w:val="231F20"/>
          <w:spacing w:val="-1"/>
        </w:rPr>
        <w:t>（</w:t>
      </w:r>
      <w:r>
        <w:rPr>
          <w:sz w:val="16"/>
          <w:szCs w:val="16"/>
        </w:rPr>
        <w:drawing>
          <wp:inline distT="0" distB="0" distL="0" distR="0">
            <wp:extent cx="75005" cy="7133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05" cy="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1"/>
        </w:rPr>
        <w:t>）；（</w:t>
      </w:r>
      <w:r>
        <w:rPr>
          <w:sz w:val="16"/>
          <w:szCs w:val="16"/>
          <w:color w:val="231F20"/>
        </w:rPr>
        <w:t>b）肿大的阑尾壁局灶  </w:t>
      </w:r>
      <w:r>
        <w:rPr>
          <w:sz w:val="16"/>
          <w:szCs w:val="16"/>
          <w:color w:val="231F20"/>
          <w:spacing w:val="-2"/>
        </w:rPr>
        <w:t>性强化缺损</w:t>
      </w:r>
      <w:r>
        <w:rPr>
          <w:sz w:val="16"/>
          <w:szCs w:val="16"/>
          <w:color w:val="231F20"/>
          <w:spacing w:val="-8"/>
        </w:rPr>
        <w:t>（</w:t>
      </w:r>
      <w:r>
        <w:rPr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position w:val="-4"/>
        </w:rPr>
        <w:drawing>
          <wp:inline distT="0" distB="0" distL="0" distR="0">
            <wp:extent cx="53597" cy="10080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97" cy="10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8"/>
        </w:rPr>
        <w:t>）</w:t>
      </w:r>
      <w:r>
        <w:rPr>
          <w:sz w:val="16"/>
          <w:szCs w:val="16"/>
          <w:color w:val="231F20"/>
          <w:spacing w:val="-2"/>
        </w:rPr>
        <w:t>伴阑尾周围脓肿(△)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8"/>
        </w:rPr>
        <w:t>；（</w:t>
      </w:r>
      <w:r>
        <w:rPr>
          <w:sz w:val="16"/>
          <w:szCs w:val="16"/>
          <w:color w:val="231F20"/>
          <w:spacing w:val="-2"/>
        </w:rPr>
        <w:t>c）阑尾周围游离气泡影(</w:t>
      </w:r>
      <w:r>
        <w:rPr>
          <w:sz w:val="16"/>
          <w:szCs w:val="16"/>
          <w:color w:val="231F20"/>
          <w:spacing w:val="-3"/>
        </w:rPr>
        <w:t>↑)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42"/>
        </w:rPr>
        <w:t xml:space="preserve"> </w:t>
      </w:r>
      <w:r>
        <w:rPr>
          <w:sz w:val="16"/>
          <w:szCs w:val="16"/>
          <w:color w:val="231F20"/>
          <w:spacing w:val="-3"/>
        </w:rPr>
        <w:t>并见阑尾肿大伴阑尾腔内积液</w:t>
      </w:r>
      <w:r>
        <w:rPr>
          <w:sz w:val="16"/>
          <w:szCs w:val="16"/>
          <w:color w:val="231F20"/>
          <w:spacing w:val="-8"/>
        </w:rPr>
        <w:t>（</w:t>
      </w:r>
      <w:r>
        <w:rPr>
          <w:sz w:val="16"/>
          <w:szCs w:val="16"/>
          <w:position w:val="-2"/>
        </w:rPr>
        <w:drawing>
          <wp:inline distT="0" distB="0" distL="0" distR="0">
            <wp:extent cx="55399" cy="10711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99" cy="1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8"/>
        </w:rPr>
        <w:t>）</w:t>
      </w:r>
      <w:r>
        <w:rPr>
          <w:sz w:val="16"/>
          <w:szCs w:val="16"/>
          <w:color w:val="231F20"/>
          <w:spacing w:val="-3"/>
        </w:rPr>
        <w:t>阑尾周围脂肪间隙高密度模糊影、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邻近回肠壁水肿</w:t>
      </w:r>
      <w:r>
        <w:rPr>
          <w:sz w:val="16"/>
          <w:szCs w:val="16"/>
          <w:color w:val="231F20"/>
          <w:spacing w:val="-5"/>
        </w:rPr>
        <w:t>（</w:t>
      </w:r>
      <w:r>
        <w:rPr>
          <w:sz w:val="16"/>
          <w:szCs w:val="16"/>
          <w:position w:val="-1"/>
        </w:rPr>
        <w:drawing>
          <wp:inline distT="0" distB="0" distL="0" distR="0">
            <wp:extent cx="96035" cy="9602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35" cy="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5"/>
        </w:rPr>
        <w:t>）；（</w:t>
      </w:r>
      <w:r>
        <w:rPr>
          <w:sz w:val="16"/>
          <w:szCs w:val="16"/>
          <w:color w:val="231F20"/>
          <w:spacing w:val="-3"/>
        </w:rPr>
        <w:t>d）阑尾腔外高密度粪石影</w:t>
      </w:r>
      <w:r>
        <w:rPr>
          <w:sz w:val="16"/>
          <w:szCs w:val="16"/>
          <w:color w:val="231F20"/>
          <w:spacing w:val="-5"/>
        </w:rPr>
        <w:t>（</w:t>
      </w:r>
      <w:r>
        <w:rPr>
          <w:sz w:val="16"/>
          <w:szCs w:val="16"/>
          <w:position w:val="-3"/>
        </w:rPr>
        <w:drawing>
          <wp:inline distT="0" distB="0" distL="0" distR="0">
            <wp:extent cx="61658" cy="10814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58" cy="10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5"/>
        </w:rPr>
        <w:t>），</w:t>
      </w:r>
      <w:r>
        <w:rPr>
          <w:sz w:val="16"/>
          <w:szCs w:val="16"/>
          <w:color w:val="231F20"/>
          <w:spacing w:val="-3"/>
        </w:rPr>
        <w:t>并见阑尾周围脂肪间隙高密度模糊</w:t>
      </w:r>
      <w:r>
        <w:rPr>
          <w:sz w:val="16"/>
          <w:szCs w:val="16"/>
          <w:color w:val="231F20"/>
          <w:spacing w:val="-4"/>
        </w:rPr>
        <w:t>影及阑尾周围积液</w:t>
      </w:r>
      <w:r>
        <w:rPr>
          <w:sz w:val="16"/>
          <w:szCs w:val="16"/>
          <w:color w:val="231F20"/>
          <w:spacing w:val="-5"/>
        </w:rPr>
        <w:t>（</w:t>
      </w:r>
      <w:r>
        <w:rPr>
          <w:sz w:val="16"/>
          <w:szCs w:val="16"/>
        </w:rPr>
        <w:drawing>
          <wp:inline distT="0" distB="0" distL="0" distR="0">
            <wp:extent cx="75011" cy="7133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11" cy="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5"/>
        </w:rPr>
        <w:t>），</w:t>
      </w:r>
      <w:r>
        <w:rPr>
          <w:sz w:val="16"/>
          <w:szCs w:val="16"/>
          <w:color w:val="231F20"/>
          <w:spacing w:val="-4"/>
        </w:rPr>
        <w:t>回肠壁水肿</w:t>
      </w:r>
      <w:r>
        <w:rPr>
          <w:sz w:val="16"/>
          <w:szCs w:val="16"/>
          <w:color w:val="231F20"/>
          <w:spacing w:val="-5"/>
        </w:rPr>
        <w:t>（</w:t>
      </w:r>
      <w:r>
        <w:rPr>
          <w:sz w:val="16"/>
          <w:szCs w:val="16"/>
          <w:position w:val="-1"/>
        </w:rPr>
        <w:drawing>
          <wp:inline distT="0" distB="0" distL="0" distR="0">
            <wp:extent cx="96037" cy="9602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37" cy="9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231F20"/>
          <w:spacing w:val="-5"/>
        </w:rPr>
        <w:t>）</w:t>
      </w:r>
      <w:r>
        <w:rPr>
          <w:sz w:val="16"/>
          <w:szCs w:val="16"/>
          <w:color w:val="231F20"/>
          <w:spacing w:val="-4"/>
        </w:rPr>
        <w:t>。</w:t>
      </w:r>
    </w:p>
    <w:p>
      <w:pPr>
        <w:ind w:left="4323"/>
        <w:spacing w:before="22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急性阑尾炎穿孔患者典型影像特征</w:t>
      </w:r>
    </w:p>
    <w:p>
      <w:pPr>
        <w:spacing w:before="138"/>
        <w:rPr/>
      </w:pPr>
      <w:r/>
    </w:p>
    <w:p>
      <w:pPr>
        <w:sectPr>
          <w:headerReference w:type="default" r:id="rId8"/>
          <w:footerReference w:type="default" r:id="rId9"/>
          <w:pgSz w:w="12246" w:h="16498"/>
          <w:pgMar w:top="1208" w:right="949" w:bottom="354" w:left="424" w:header="826" w:footer="0" w:gutter="0"/>
          <w:cols w:equalWidth="0" w:num="1">
            <w:col w:w="10873" w:space="0"/>
          </w:cols>
        </w:sectPr>
        <w:rPr/>
      </w:pPr>
    </w:p>
    <w:p>
      <w:pPr>
        <w:pStyle w:val="BodyText"/>
        <w:ind w:left="603" w:right="167" w:firstLine="11"/>
        <w:spacing w:before="45" w:line="293" w:lineRule="auto"/>
        <w:jc w:val="both"/>
        <w:rPr/>
      </w:pPr>
      <w:r>
        <w:rPr>
          <w:color w:val="231F20"/>
          <w:spacing w:val="6"/>
        </w:rPr>
        <w:t>随着医学影像技术的发展，增强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在急性阑尾炎的诊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断中显示出较高的准确率和价值</w:t>
      </w:r>
      <w:r>
        <w:rPr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[6-7]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1"/>
        </w:rPr>
        <w:t>。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检查基于不同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组织间密度差异做出诊断，增强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检查通过静脉注射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造影剂后再行扫描，可提高病变组织与非病变组织的密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度差，从而提高检查的灵敏度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[8-9]</w:t>
      </w:r>
      <w:r>
        <w:rPr>
          <w:color w:val="231F20"/>
          <w:spacing w:val="-1"/>
        </w:rPr>
        <w:t>。阑尾管腔阻塞是急性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阑尾炎最常见的病因，阑尾粪石是常见的阻塞原因，阑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尾管腔阻塞后阑尾黏液持续分泌使管腔内压力升高，阑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尾壁出现血运障碍，出现阑尾充血、肿胀，周围渗出改变。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对于急性阑尾炎，增强</w:t>
      </w:r>
      <w:r>
        <w:rPr>
          <w:rFonts w:ascii="Times New Roman" w:hAnsi="Times New Roman" w:eastAsia="Times New Roman" w:cs="Times New Roman"/>
          <w:color w:val="231F20"/>
          <w:spacing w:val="-11"/>
        </w:rPr>
        <w:t>CT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1"/>
        </w:rPr>
        <w:t>可以显示阑尾位置、形态、管壁、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阑尾腔内、腔外及阑尾周围组织情况，为临床选择最恰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当的治疗方案提供更多的依据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[10]</w:t>
      </w:r>
      <w:r>
        <w:rPr>
          <w:color w:val="231F20"/>
          <w:spacing w:val="-1"/>
        </w:rPr>
        <w:t>。</w:t>
      </w:r>
    </w:p>
    <w:p>
      <w:pPr>
        <w:pStyle w:val="BodyText"/>
        <w:ind w:left="603" w:right="238" w:firstLine="403"/>
        <w:spacing w:before="8" w:line="293" w:lineRule="auto"/>
        <w:rPr/>
      </w:pPr>
      <w:r>
        <w:rPr>
          <w:color w:val="231F20"/>
          <w:spacing w:val="7"/>
        </w:rPr>
        <w:t>急性阑尾炎增强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有以下表现：阑尾腔内积液，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阑尾增粗</w:t>
      </w:r>
      <w:r>
        <w:rPr>
          <w:color w:val="231F20"/>
          <w:spacing w:val="-5"/>
        </w:rPr>
        <w:t>（＞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6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5"/>
        </w:rPr>
        <w:t>），</w:t>
      </w:r>
      <w:r>
        <w:rPr>
          <w:color w:val="231F20"/>
          <w:spacing w:val="6"/>
        </w:rPr>
        <w:t>阑尾壁增厚(≥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5"/>
        </w:rPr>
        <w:t>），</w:t>
      </w:r>
      <w:r>
        <w:rPr>
          <w:color w:val="231F20"/>
          <w:spacing w:val="6"/>
        </w:rPr>
        <w:t>阑尾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腔内粪石、积气，阑尾周围的渗出改变和积液，邻近盲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肠、回肠肠壁水肿，回盲部周围淋巴结肿大等。急性阑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尾炎穿孔后，除上述表现外，还会出现阑尾壁的局灶性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缺损、阑尾周围的小气泡、阑尾腔外游离粪石、阑尾周 </w:t>
      </w:r>
      <w:r>
        <w:rPr>
          <w:color w:val="231F20"/>
          <w:spacing w:val="4"/>
        </w:rPr>
        <w:t>围的炎性改变及脓肿等表现。阑尾壁局灶缺损是诊断阑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尾穿孔的直接证据，表现为阑尾壁出现强化连续性中断，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实际工作中，部分病例依此能明确诊断出阑尾穿孔位置。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阑尾腔外气体、腔外粪石对于急性阑尾炎穿孔的灵敏度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及特异度较高。</w:t>
      </w:r>
    </w:p>
    <w:p>
      <w:pPr>
        <w:pStyle w:val="BodyText"/>
        <w:ind w:left="591" w:right="238" w:firstLine="410"/>
        <w:spacing w:before="3" w:line="293" w:lineRule="auto"/>
        <w:jc w:val="both"/>
        <w:rPr/>
      </w:pPr>
      <w:r>
        <w:rPr>
          <w:color w:val="231F20"/>
          <w:spacing w:val="9"/>
        </w:rPr>
        <w:t>本次研究结果显示，增强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9"/>
        </w:rPr>
        <w:t>检查急性阑尾炎的特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异度为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97.14、灵敏度为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93.75%、准确率为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95.52%，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</w:rPr>
        <w:t>Kappa</w:t>
      </w:r>
      <w:r>
        <w:rPr>
          <w:rFonts w:ascii="Times New Roman" w:hAnsi="Times New Roman" w:eastAsia="Times New Roman" w:cs="Times New Roman"/>
          <w:i/>
          <w:iCs/>
          <w:color w:val="231F20"/>
          <w:spacing w:val="11"/>
        </w:rPr>
        <w:t xml:space="preserve"> </w:t>
      </w:r>
      <w:r>
        <w:rPr>
          <w:color w:val="231F20"/>
          <w:spacing w:val="11"/>
        </w:rPr>
        <w:t>值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=0.910，与金标准高度一致；穿孔组阑尾腔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外气体和腔外粪石、阑尾周围炎、周围脓肿及周围肠壁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4"/>
        </w:rPr>
        <w:t>增厚等的发生率均高于未穿孔组，差异有统计学意义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67" w:firstLine="5"/>
        <w:spacing w:before="29" w:line="294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＜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0.05</w:t>
      </w:r>
      <w:r>
        <w:rPr>
          <w:color w:val="231F20"/>
          <w:spacing w:val="19"/>
        </w:rPr>
        <w:t>），</w:t>
      </w:r>
      <w:r>
        <w:rPr>
          <w:color w:val="231F20"/>
          <w:spacing w:val="2"/>
        </w:rPr>
        <w:t>以上可显示出增强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检查在急性阑尾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炎穿孔的诊断中具有较高的准确性和可靠性。分析原因：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增强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检查通过静脉注射造影剂，可以直观地显示阑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尾及其邻近组织的病变情况。当阑尾发生穿孔时，</w:t>
      </w:r>
      <w:r>
        <w:rPr>
          <w:rFonts w:ascii="Times New Roman" w:hAnsi="Times New Roman" w:eastAsia="Times New Roman" w:cs="Times New Roman"/>
          <w:color w:val="231F20"/>
          <w:spacing w:val="-1"/>
        </w:rPr>
        <w:t>CT</w:t>
      </w:r>
      <w:r>
        <w:rPr>
          <w:rFonts w:ascii="Times New Roman" w:hAnsi="Times New Roman" w:eastAsia="Times New Roman" w:cs="Times New Roman"/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像上可以清晰地看到阑尾壁的不连续性，以及阑尾周围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的液体渗出和气体聚集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[11]</w:t>
      </w:r>
      <w:r>
        <w:rPr>
          <w:color w:val="231F20"/>
          <w:spacing w:val="1"/>
        </w:rPr>
        <w:t>。这种直观地显示效果使得医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生能够准确地判断阑尾炎是否穿孔。增强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检查不仅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能够显示阑尾本身的病变，还能够显示阑尾周围组织的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改变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[12]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</w:rPr>
        <w:t>。当阑尾炎穿孔时，阑尾周围的脂</w:t>
      </w:r>
      <w:r>
        <w:rPr>
          <w:color w:val="231F20"/>
          <w:spacing w:val="-1"/>
        </w:rPr>
        <w:t>肪组织会出现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炎症改变，表现为脂肪密度的增高和模糊，这种改变可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以帮助医生进一步确认阑尾炎穿孔的诊断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[13]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3"/>
        </w:rPr>
        <w:t>。增强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  <w:spacing w:val="4"/>
        </w:rPr>
        <w:t>检查通过观察阑尾周围液体渗出和气体聚集的范围，医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生可以判断病情的严重程度，为制定治疗方案提供依据。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增强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检查使病变组织与正常组织之间的密度</w:t>
      </w:r>
      <w:r>
        <w:rPr>
          <w:color w:val="231F20"/>
          <w:spacing w:val="6"/>
        </w:rPr>
        <w:t>差异更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加明显，从而提高了病变的检出率。在急性阑尾炎穿孔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的情况下，由于腹腔内的炎症和感染扩散，使得穿孔部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位的周围组织发生水肿、充血等病理变化，这些变化在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增强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color w:val="231F20"/>
          <w:spacing w:val="5"/>
        </w:rPr>
        <w:t>图像上表现为明显的密度差异，从而有助于诊</w:t>
      </w:r>
      <w:r>
        <w:rPr>
          <w:color w:val="231F20"/>
        </w:rPr>
        <w:t xml:space="preserve"> </w:t>
      </w:r>
      <w:r>
        <w:rPr>
          <w:color w:val="231F20"/>
          <w:spacing w:val="-2"/>
          <w:position w:val="-1"/>
        </w:rPr>
        <w:t>断的准确性和可靠性</w:t>
      </w:r>
      <w:r>
        <w:rPr>
          <w:color w:val="231F20"/>
          <w:spacing w:val="-18"/>
          <w:position w:val="-1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[14]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8" w:firstLine="400"/>
        <w:spacing w:before="2" w:line="294" w:lineRule="auto"/>
        <w:jc w:val="both"/>
        <w:rPr/>
      </w:pPr>
      <w:r>
        <w:rPr>
          <w:color w:val="231F20"/>
          <w:spacing w:val="-4"/>
        </w:rPr>
        <w:t>综上所述，增强</w:t>
      </w:r>
      <w:r>
        <w:rPr>
          <w:rFonts w:ascii="Times New Roman" w:hAnsi="Times New Roman" w:eastAsia="Times New Roman" w:cs="Times New Roman"/>
          <w:color w:val="231F20"/>
          <w:spacing w:val="-4"/>
        </w:rPr>
        <w:t>CT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"/>
        </w:rPr>
        <w:t>检查基于阑尾壁的局灶强化</w:t>
      </w:r>
      <w:r>
        <w:rPr>
          <w:color w:val="231F20"/>
          <w:spacing w:val="-5"/>
        </w:rPr>
        <w:t>缺损、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阑尾腔外的气体和粪石、阑尾周围炎症改变及脓肿等直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接、间接征象诊断急性阑尾炎穿孔。增强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检查作为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一种简便、快速的检查方法，可以为临床诊断阑尾炎穿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孔提供有力的证据。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41"/>
        <w:spacing w:before="79" w:line="20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SHENG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radiological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</w:t>
      </w:r>
    </w:p>
    <w:p>
      <w:pPr>
        <w:spacing w:line="206" w:lineRule="auto"/>
        <w:sectPr>
          <w:type w:val="continuous"/>
          <w:pgSz w:w="12246" w:h="16498"/>
          <w:pgMar w:top="1208" w:right="949" w:bottom="354" w:left="424" w:header="826" w:footer="0" w:gutter="0"/>
          <w:cols w:equalWidth="0" w:num="2">
            <w:col w:w="5768" w:space="100"/>
            <w:col w:w="5005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10429"/>
        <w:spacing w:before="155" w:line="22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-5"/>
        </w:rPr>
        <w:t>163</w:t>
      </w:r>
    </w:p>
    <w:p>
      <w:pPr>
        <w:spacing w:line="228" w:lineRule="exact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</w:rPr>
        <w:t>:</w:t>
      </w:r>
      <w:r>
        <w:rPr>
          <w:sz w:val="22"/>
          <w:szCs w:val="22"/>
        </w:rPr>
        <w:drawing>
          <wp:inline distT="0" distB="0" distL="0" distR="0">
            <wp:extent cx="45084" cy="10411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0" distB="0" distL="0" distR="0">
            <wp:extent cx="45084" cy="10411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2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2"/>
        </w:rPr>
        <w:t>net</w:t>
      </w:r>
    </w:p>
    <w:p>
      <w:pPr>
        <w:spacing w:line="228" w:lineRule="exact"/>
        <w:sectPr>
          <w:type w:val="continuous"/>
          <w:pgSz w:w="12246" w:h="16498"/>
          <w:pgMar w:top="1208" w:right="949" w:bottom="354" w:left="424" w:header="826" w:footer="0" w:gutter="0"/>
          <w:cols w:equalWidth="0" w:num="1">
            <w:col w:w="10873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22"/>
          <w:footerReference w:type="default" r:id="rId23"/>
          <w:pgSz w:w="12246" w:h="16498"/>
          <w:pgMar w:top="1207" w:right="970" w:bottom="868" w:left="424" w:header="827" w:footer="526" w:gutter="0"/>
          <w:cols w:equalWidth="0" w:num="1">
            <w:col w:w="10851" w:space="0"/>
          </w:cols>
        </w:sectPr>
        <w:rPr/>
      </w:pPr>
    </w:p>
    <w:p>
      <w:pPr>
        <w:ind w:left="941" w:right="279" w:hanging="3"/>
        <w:spacing w:before="51" w:line="375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temporal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appendicitis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non-enhanced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computed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tomography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images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[J]. 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Radiol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(NY),  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2022,</w:t>
      </w:r>
      <w:r>
        <w:rPr>
          <w:rFonts w:ascii="KaiTi" w:hAnsi="KaiTi" w:eastAsia="KaiTi" w:cs="KaiTi"/>
          <w:sz w:val="16"/>
          <w:szCs w:val="16"/>
          <w:color w:val="231F20"/>
          <w:spacing w:val="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47(7):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2279-2288.</w:t>
      </w:r>
    </w:p>
    <w:p>
      <w:pPr>
        <w:ind w:left="941" w:right="278" w:hanging="305"/>
        <w:spacing w:before="2" w:line="34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TAHTABAŞI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ERTÜRK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Ş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periton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thickening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enhancement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used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determine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perforation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appendicitis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Ulus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Travma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Cerrahi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Derg,  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2022,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28(4):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428-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433.</w:t>
      </w:r>
    </w:p>
    <w:p>
      <w:pPr>
        <w:ind w:left="961" w:right="280" w:hanging="325"/>
        <w:spacing w:before="112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沈中梅，袁潇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急性坏疽性阑尾炎穿孔的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诊断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影像研究与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医学应用，2022，6(6):34-36.</w:t>
      </w:r>
    </w:p>
    <w:p>
      <w:pPr>
        <w:ind w:left="950" w:right="280" w:hanging="314"/>
        <w:spacing w:before="136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8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周柯均，谢梦忆，刘瑜，等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在儿童急性阑尾炎术前诊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断中的应用及影像特点分析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杂志，2021，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19(5):106-108，150.</w:t>
      </w:r>
    </w:p>
    <w:p>
      <w:pPr>
        <w:ind w:left="941" w:right="278" w:hanging="305"/>
        <w:spacing w:before="135" w:line="35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CHO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Final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disposition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equivocal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2-mSv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conventiona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l-dose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adolescents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young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suspected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appendicitis: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large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pragmatic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data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Radiol,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 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2021,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31(12):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9176-9187.</w:t>
      </w:r>
    </w:p>
    <w:p>
      <w:pPr>
        <w:ind w:left="938" w:right="280" w:hanging="302"/>
        <w:spacing w:before="127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陈珍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螺旋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在急性阑尾炎诊断中的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价值分析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中国现代药物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应用，2022，16(14):89-92.</w:t>
      </w:r>
    </w:p>
    <w:p>
      <w:pPr>
        <w:ind w:left="636"/>
        <w:spacing w:before="136" w:line="184" w:lineRule="auto"/>
        <w:rPr>
          <w:rFonts w:ascii="KaiTi" w:hAnsi="KaiTi" w:eastAsia="KaiTi" w:cs="KaiTi"/>
          <w:sz w:val="16"/>
          <w:szCs w:val="16"/>
        </w:rPr>
      </w:pPr>
      <w:r>
        <w:pict>
          <v:shape id="_x0000_s16" style="position:absolute;margin-left:30.0751pt;margin-top:29.3183pt;mso-position-vertical-relative:text;mso-position-horizontal-relative:text;width:510.25pt;height:0.5pt;z-index:251660288;" filled="false" strokecolor="#231F20" strokeweight="0.50pt" coordsize="10205,10" coordorigin="0,0" path="m0,5l10204,5e">
            <v:stroke joinstyle="miter" miterlimit="4"/>
          </v:shape>
        </w:pic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王少华，史建英，杨志刚，等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MSCT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平扫在基层医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院诊断儿童不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3" w:right="49" w:hanging="8"/>
        <w:spacing w:before="30" w:line="36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典型急性阑尾炎的价值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临床急诊杂志，2021，22(11):772-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775.</w:t>
      </w:r>
    </w:p>
    <w:p>
      <w:pPr>
        <w:ind w:left="302" w:right="49" w:hanging="302"/>
        <w:spacing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梁树生，莫永灿，朱玉莉，等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急性阑尾炎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的临床及影像学特征分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中国临床新医学，2019，12(2):207-210.</w:t>
      </w:r>
    </w:p>
    <w:p>
      <w:pPr>
        <w:ind w:left="306" w:right="49" w:hanging="306"/>
        <w:spacing w:before="136" w:line="32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刘中刚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平扫联合重建技术诊断急性阑尾炎及其并发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症的应用价值研究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影像研究与医学应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用，2022，6(20):50-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52.</w:t>
      </w:r>
    </w:p>
    <w:p>
      <w:pPr>
        <w:ind w:left="364" w:right="49" w:hanging="364"/>
        <w:spacing w:before="112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曹振，张仕兵，肖正文，等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MSCT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征象及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MPR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CPR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重建对急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性复杂性与非复杂性阑尾炎的鉴别价值分析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内蒙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古医科大学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学报，2021，43(6):626-628，651.</w:t>
      </w:r>
    </w:p>
    <w:p>
      <w:pPr>
        <w:ind w:left="369" w:right="49" w:hanging="369"/>
        <w:spacing w:before="136" w:line="32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[11]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柯灿泽，吴梦楠，刘向华，等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.128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层螺旋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CTMPR </w:t>
      </w:r>
      <w:r>
        <w:rPr>
          <w:rFonts w:ascii="KaiTi" w:hAnsi="KaiTi" w:eastAsia="KaiTi" w:cs="KaiTi"/>
          <w:sz w:val="16"/>
          <w:szCs w:val="16"/>
          <w:color w:val="231F20"/>
        </w:rPr>
        <w:t>联合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CPR </w:t>
      </w:r>
      <w:r>
        <w:rPr>
          <w:rFonts w:ascii="KaiTi" w:hAnsi="KaiTi" w:eastAsia="KaiTi" w:cs="KaiTi"/>
          <w:sz w:val="16"/>
          <w:szCs w:val="16"/>
          <w:color w:val="231F20"/>
        </w:rPr>
        <w:t>对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急性阑尾炎的诊断分析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现代医用影像学，2020，29(4):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679-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681.</w:t>
      </w:r>
    </w:p>
    <w:p>
      <w:pPr>
        <w:ind w:left="357" w:right="49" w:hanging="357"/>
        <w:spacing w:before="114" w:line="29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5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郑圣树</w:t>
      </w:r>
      <w:r>
        <w:rPr>
          <w:rFonts w:ascii="KaiTi" w:hAnsi="KaiTi" w:eastAsia="KaiTi" w:cs="KaiTi"/>
          <w:sz w:val="16"/>
          <w:szCs w:val="16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腹部多层螺旋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>在急性阑尾炎术前辅助诊断中的价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值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现代医用影像学，2021，30(12):2274-2276.</w:t>
      </w:r>
    </w:p>
    <w:p>
      <w:pPr>
        <w:ind w:left="370" w:right="50" w:hanging="371"/>
        <w:spacing w:before="136" w:line="32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葛明，涂丹丹，杨湃，等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多层螺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旋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平扫阑尾腔内气体及小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气泡征在诊断急性阑尾炎中的价值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实用放射学杂志，2021，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37(1):80-83.</w:t>
      </w:r>
    </w:p>
    <w:p>
      <w:pPr>
        <w:ind w:left="357" w:right="49" w:hanging="358"/>
        <w:spacing w:before="125" w:line="27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张健，郭新友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急性阑尾炎螺旋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多平面重组技术影像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学表现及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诊断价值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现代医用影像学，2017，26(2):23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8-241.</w:t>
      </w:r>
    </w:p>
    <w:p>
      <w:pPr>
        <w:spacing w:line="277" w:lineRule="auto"/>
        <w:sectPr>
          <w:type w:val="continuous"/>
          <w:pgSz w:w="12246" w:h="16498"/>
          <w:pgMar w:top="1207" w:right="970" w:bottom="868" w:left="424" w:header="827" w:footer="526" w:gutter="0"/>
          <w:cols w:equalWidth="0" w:num="2">
            <w:col w:w="5809" w:space="100"/>
            <w:col w:w="4942" w:space="0"/>
          </w:cols>
        </w:sectPr>
        <w:rPr>
          <w:rFonts w:ascii="KaiTi" w:hAnsi="KaiTi" w:eastAsia="KaiTi" w:cs="KaiTi"/>
          <w:sz w:val="16"/>
          <w:szCs w:val="16"/>
        </w:rPr>
      </w:pP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2246" w:h="16498"/>
          <w:pgMar w:top="1207" w:right="970" w:bottom="868" w:left="424" w:header="827" w:footer="526" w:gutter="0"/>
          <w:cols w:equalWidth="0" w:num="1">
            <w:col w:w="10851" w:space="0"/>
          </w:cols>
        </w:sectPr>
        <w:rPr/>
      </w:pPr>
    </w:p>
    <w:p>
      <w:pPr>
        <w:ind w:left="596"/>
        <w:spacing w:before="40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9"/>
        </w:rPr>
        <w:t>（上接第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160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页）</w:t>
      </w:r>
    </w:p>
    <w:p>
      <w:pPr>
        <w:ind w:left="594"/>
        <w:spacing w:before="23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938" w:right="279" w:hanging="302"/>
        <w:spacing w:before="76" w:line="3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尤小雪，李馨欣，李莉，等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应用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TE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评价沙库巴曲缬沙坦对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原发性高血压早期伴左心房扩大患者左心房功能的影响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临床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心血管病杂志，2024，40(2):128-1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33.</w:t>
      </w:r>
    </w:p>
    <w:p>
      <w:pPr>
        <w:ind w:left="949" w:right="280" w:hanging="313"/>
        <w:spacing w:before="131" w:line="32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蔡金，梁中书，冯文畅，等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左房应变与高血压患者左室舒张功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能的相关性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中南大学学报（医学版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），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2023，48(6)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:846-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851.</w:t>
      </w:r>
    </w:p>
    <w:p>
      <w:pPr>
        <w:ind w:left="939" w:right="279" w:hanging="303"/>
        <w:spacing w:before="108" w:line="3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刘小冲，谷孝艳，卜力，等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二维应变参数结合组织多普勒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Tei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指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数在酒精所致精神和行为障碍患者左心功能的应用研究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中国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超声医学杂志，2023，39(6):661-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664.</w:t>
      </w:r>
    </w:p>
    <w:p>
      <w:pPr>
        <w:ind w:left="937" w:right="280" w:hanging="301"/>
        <w:spacing w:before="132" w:line="31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55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中华医学会，中华医学杂志社，中华医学会全科医学分会，等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高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血压基层诊疗指南（2019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年）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中华全科医师杂志，2019，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18(4):301-313.</w:t>
      </w:r>
    </w:p>
    <w:p>
      <w:pPr>
        <w:ind w:left="944" w:right="279" w:hanging="308"/>
        <w:spacing w:before="122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张子彬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左室舒张功能障碍性心力衰竭的诊断修订标准中国心力衰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竭协会（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CHFA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）[J]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心血管病学进展，2002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，1(3):126.</w:t>
      </w:r>
    </w:p>
    <w:p>
      <w:pPr>
        <w:ind w:left="636"/>
        <w:spacing w:before="133" w:line="18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2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殷宇岗，吕磊，汪文妮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原发性高血压合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并心力衰竭患者血清神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left="311" w:right="85" w:hanging="1"/>
        <w:spacing w:before="53" w:line="36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经调节蛋白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-1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与心室重塑的相关性分析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中国现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代医学杂志，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2022，32(2):58-63.</w:t>
      </w:r>
    </w:p>
    <w:p>
      <w:pPr>
        <w:ind w:left="315" w:right="50" w:hanging="315"/>
        <w:spacing w:before="3" w:line="28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齐明，李燕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超声心动图对老年缺血性心力衰竭患者心室重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构功能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的评价分析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贵州医药，2023，47(3):448-449.</w:t>
      </w:r>
    </w:p>
    <w:p>
      <w:pPr>
        <w:ind w:left="312" w:right="49" w:hanging="312"/>
        <w:spacing w:before="131" w:line="3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王淑华，张梅青，王秋霜，等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心脏超声造影测量肺循环时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间评估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心力衰竭患者左心室充盈压升高的价值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中国医学影像学杂志，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2023，31(4):338-343.</w:t>
      </w:r>
    </w:p>
    <w:p>
      <w:pPr>
        <w:ind w:left="305" w:right="48" w:hanging="305"/>
        <w:spacing w:before="132" w:line="3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胡文文，李慧，李海月，等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双脉冲多普勒超声心动图评估冠状动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脉粥样硬化性心脏病患者左心室充盈压力升高的应用价值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国分子心脏病学杂志，2022，22(4):4753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-4759.</w:t>
      </w:r>
    </w:p>
    <w:p>
      <w:pPr>
        <w:ind w:left="365" w:right="49" w:hanging="365"/>
        <w:spacing w:before="132" w:line="3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[10]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杨苗，郭晓扬，刘强，等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组织多普勒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联合心房容积追踪技术对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缩窄性心包炎心房容积及同步性变化的临床研究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中国超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声医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学杂志，2022，38(7):775-778.</w:t>
      </w:r>
    </w:p>
    <w:p>
      <w:pPr>
        <w:ind w:left="370" w:right="49" w:hanging="370"/>
        <w:spacing w:before="133" w:line="30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[11]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米娜，贾春梅，徐琨，等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左心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房二维应变参数早期评价高血压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患者的左心室舒张功能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中华高血压杂志，2022，30(7):638-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644.</w:t>
      </w:r>
    </w:p>
    <w:sectPr>
      <w:type w:val="continuous"/>
      <w:pgSz w:w="12246" w:h="16498"/>
      <w:pgMar w:top="1207" w:right="970" w:bottom="868" w:left="424" w:header="827" w:footer="526" w:gutter="0"/>
      <w:cols w:equalWidth="0" w:num="2">
        <w:col w:w="5809" w:space="100"/>
        <w:col w:w="49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429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0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2" style="position:absolute;margin-left:21.2pt;margin-top:794.6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.1905pt;margin-top:57.2814pt;mso-position-vertical-relative:page;mso-position-horizontal-relative:page;width:513.1pt;height:0.75pt;z-index:251659264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63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2024年10月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第8卷第19期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6" style="position:absolute;margin-left:21.2pt;margin-top:794.6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51.0251pt;margin-top:57.2814pt;mso-position-vertical-relative:page;mso-position-horizontal-relative:page;width:512.75pt;height:0.75pt;z-index:251661312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2024</w:t>
    </w:r>
    <w:r>
      <w:rPr>
        <w:rFonts w:ascii="KaiTi" w:hAnsi="KaiTi" w:eastAsia="KaiTi" w:cs="KaiTi"/>
        <w:sz w:val="21"/>
        <w:szCs w:val="21"/>
        <w:color w:val="231F20"/>
        <w:spacing w:val="10"/>
      </w:rPr>
      <w:t>年10月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第8卷第19期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0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_x0000_s10" style="position:absolute;margin-left:48.1905pt;margin-top:57.2814pt;mso-position-vertical-relative:page;mso-position-horizontal-relative:page;width:513.1pt;height:0.75pt;z-index:251662336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63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2024年10月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第8卷第19期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2" style="position:absolute;margin-left:21.2pt;margin-top:794.68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4" style="position:absolute;margin-left:51.0251pt;margin-top:57.2814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5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1"/>
      </w:rPr>
      <w:t>2024</w:t>
    </w:r>
    <w:r>
      <w:rPr>
        <w:rFonts w:ascii="KaiTi" w:hAnsi="KaiTi" w:eastAsia="KaiTi" w:cs="KaiTi"/>
        <w:sz w:val="21"/>
        <w:szCs w:val="21"/>
        <w:color w:val="231F20"/>
        <w:spacing w:val="10"/>
      </w:rPr>
      <w:t>年10月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第8卷第19期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3.xml"/><Relationship Id="rId7" Type="http://schemas.openxmlformats.org/officeDocument/2006/relationships/image" Target="media/image5.jpeg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footer" Target="footer4.xml"/><Relationship Id="rId22" Type="http://schemas.openxmlformats.org/officeDocument/2006/relationships/header" Target="header4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footer" Target="footer1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2024-11-04T20:39:33Z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2025-10-28T21:32:40</vt:filetime>
  </property>
</Properties>
</file>