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3" Type="http://schemas.openxmlformats.org/package/2006/relationships/metadata/core-properties" Target="docProps/core.xml"/><Relationship Id="rId4" Type="http://schemas.openxmlformats.org/officeDocument/2006/relationships/extended-properties" Target="docProps/app.xml"/><Relationship Id="rId2" Type="http://schemas.openxmlformats.org/officeDocument/2006/relationships/custom-properties" Target="docProps/custom.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body>
    <w:p>
      <w:pPr>
        <w:ind w:firstLine="6832"/>
        <w:spacing w:before="236" w:line="480" w:lineRule="exact"/>
        <w:rPr/>
      </w:pPr>
      <w:r>
        <w:rPr>
          <w:position w:val="-9"/>
        </w:rPr>
        <w:pict>
          <v:group id="_x0000_s4" style="mso-position-vertical-relative:line;mso-position-horizontal-relative:char;width:166.85pt;height:24pt;" filled="false" stroked="false" coordsize="3337,480" coordorigin="0,0">
            <v:shape id="_x0000_s6" style="position:absolute;left:0;top:0;width:3337;height:480;" filled="false" stroked="false" type="#_x0000_t75">
              <v:imagedata o:title="" r:id="rId2"/>
            </v:shape>
            <v:shape id="_x0000_s8" style="position:absolute;left:-20;top:-20;width:3377;height:520;" filled="false" stroked="false" type="#_x0000_t202">
              <v:fill on="false"/>
              <v:stroke on="false"/>
              <v:path/>
              <v:imagedata o:title=""/>
              <o:lock v:ext="edit" aspectratio="false"/>
              <v:textbox inset="0mm,0mm,0mm,0mm">
                <w:txbxContent>
                  <w:p>
                    <w:pPr>
                      <w:ind w:left="180"/>
                      <w:spacing w:before="130" w:line="242" w:lineRule="auto"/>
                      <w:rPr>
                        <w:rFonts w:ascii="Arial" w:hAnsi="Arial" w:eastAsia="Arial" w:cs="Arial"/>
                        <w:sz w:val="8"/>
                        <w:szCs w:val="8"/>
                      </w:rPr>
                    </w:pPr>
                    <w:r>
                      <w:rPr>
                        <w:rFonts w:ascii="Arial" w:hAnsi="Arial" w:eastAsia="Arial" w:cs="Arial"/>
                        <w:sz w:val="8"/>
                        <w:szCs w:val="8"/>
                        <w:color w:val="231F20"/>
                        <w:spacing w:val="-1"/>
                        <w:position w:val="6"/>
                      </w:rPr>
                      <w:t>·</w:t>
                    </w:r>
                    <w:r>
                      <w:rPr>
                        <w:rFonts w:ascii="Arial" w:hAnsi="Arial" w:eastAsia="Arial" w:cs="Arial"/>
                        <w:sz w:val="8"/>
                        <w:szCs w:val="8"/>
                        <w:color w:val="231F20"/>
                        <w:spacing w:val="6"/>
                        <w:w w:val="102"/>
                        <w:position w:val="6"/>
                      </w:rPr>
                      <w:t xml:space="preserve">  </w:t>
                    </w:r>
                    <w:r>
                      <w:rPr>
                        <w:rFonts w:ascii="SimHei" w:hAnsi="SimHei" w:eastAsia="SimHei" w:cs="SimHei"/>
                        <w:sz w:val="24"/>
                        <w:szCs w:val="24"/>
                        <w:color w:val="231F20"/>
                        <w:spacing w:val="-1"/>
                        <w:position w:val="-1"/>
                      </w:rPr>
                      <w:t>论著：用药护理与健康教育</w:t>
                    </w:r>
                    <w:r>
                      <w:rPr>
                        <w:rFonts w:ascii="SimHei" w:hAnsi="SimHei" w:eastAsia="SimHei" w:cs="SimHei"/>
                        <w:sz w:val="24"/>
                        <w:szCs w:val="24"/>
                        <w:color w:val="231F20"/>
                        <w:spacing w:val="-80"/>
                        <w:position w:val="-1"/>
                      </w:rPr>
                      <w:t xml:space="preserve"> </w:t>
                    </w:r>
                    <w:r>
                      <w:rPr>
                        <w:rFonts w:ascii="Arial" w:hAnsi="Arial" w:eastAsia="Arial" w:cs="Arial"/>
                        <w:sz w:val="8"/>
                        <w:szCs w:val="8"/>
                        <w:color w:val="231F20"/>
                        <w:spacing w:val="-1"/>
                        <w:position w:val="6"/>
                      </w:rPr>
                      <w:t>·</w:t>
                    </w:r>
                  </w:p>
                </w:txbxContent>
              </v:textbox>
            </v:shape>
          </v:group>
        </w:pict>
      </w:r>
    </w:p>
    <w:p>
      <w:pPr>
        <w:pStyle w:val="BodyText"/>
        <w:ind w:left="603"/>
        <w:spacing w:before="236" w:line="242" w:lineRule="auto"/>
        <w:rPr>
          <w:sz w:val="18"/>
          <w:szCs w:val="18"/>
        </w:rPr>
      </w:pPr>
      <w:r>
        <w:rPr>
          <w:rFonts w:ascii="SimHei" w:hAnsi="SimHei" w:eastAsia="SimHei" w:cs="SimHei"/>
          <w:sz w:val="32"/>
          <w:szCs w:val="32"/>
          <w:color w:val="231F20"/>
          <w:spacing w:val="-7"/>
        </w:rPr>
        <w:t>根因分析法护理对阑尾炎患者使用抗菌药物预防术后感染的干预效果</w:t>
      </w:r>
      <w:r>
        <w:rPr>
          <w:rFonts w:ascii="SimHei" w:hAnsi="SimHei" w:eastAsia="SimHei" w:cs="SimHei"/>
          <w:sz w:val="32"/>
          <w:szCs w:val="32"/>
          <w:color w:val="231F20"/>
          <w:spacing w:val="-58"/>
        </w:rPr>
        <w:t xml:space="preserve"> </w:t>
      </w:r>
      <w:r>
        <w:rPr>
          <w:sz w:val="18"/>
          <w:szCs w:val="18"/>
          <w:color w:val="231F20"/>
          <w:spacing w:val="-7"/>
          <w:position w:val="15"/>
        </w:rPr>
        <w:t>*</w:t>
      </w:r>
    </w:p>
    <w:p>
      <w:pPr>
        <w:pStyle w:val="BodyText"/>
        <w:ind w:left="3806"/>
        <w:spacing w:before="293" w:line="236" w:lineRule="exact"/>
        <w:rPr>
          <w:sz w:val="10"/>
          <w:szCs w:val="10"/>
        </w:rPr>
      </w:pPr>
      <w:r>
        <w:rPr>
          <w:rFonts w:ascii="SimSun" w:hAnsi="SimSun" w:eastAsia="SimSun" w:cs="SimSun"/>
          <w:sz w:val="18"/>
          <w:szCs w:val="18"/>
          <w:color w:val="231F20"/>
          <w:spacing w:val="-5"/>
          <w:position w:val="1"/>
        </w:rPr>
        <w:t>罗小英</w:t>
      </w:r>
      <w:r>
        <w:rPr>
          <w:rFonts w:ascii="SimSun" w:hAnsi="SimSun" w:eastAsia="SimSun" w:cs="SimSun"/>
          <w:sz w:val="18"/>
          <w:szCs w:val="18"/>
          <w:color w:val="231F20"/>
          <w:spacing w:val="-20"/>
          <w:position w:val="1"/>
        </w:rPr>
        <w:t xml:space="preserve"> </w:t>
      </w:r>
      <w:r>
        <w:rPr>
          <w:sz w:val="10"/>
          <w:szCs w:val="10"/>
          <w:color w:val="231F20"/>
          <w:spacing w:val="-5"/>
          <w:position w:val="9"/>
        </w:rPr>
        <w:t>1</w:t>
      </w:r>
      <w:r>
        <w:rPr>
          <w:rFonts w:ascii="SimSun" w:hAnsi="SimSun" w:eastAsia="SimSun" w:cs="SimSun"/>
          <w:sz w:val="18"/>
          <w:szCs w:val="18"/>
          <w:color w:val="231F20"/>
          <w:spacing w:val="-5"/>
          <w:position w:val="1"/>
        </w:rPr>
        <w:t>，林清丽</w:t>
      </w:r>
      <w:r>
        <w:rPr>
          <w:rFonts w:ascii="SimSun" w:hAnsi="SimSun" w:eastAsia="SimSun" w:cs="SimSun"/>
          <w:sz w:val="18"/>
          <w:szCs w:val="18"/>
          <w:color w:val="231F20"/>
          <w:spacing w:val="-24"/>
          <w:position w:val="1"/>
        </w:rPr>
        <w:t xml:space="preserve"> </w:t>
      </w:r>
      <w:r>
        <w:rPr>
          <w:sz w:val="10"/>
          <w:szCs w:val="10"/>
          <w:color w:val="231F20"/>
          <w:spacing w:val="-5"/>
          <w:position w:val="9"/>
        </w:rPr>
        <w:t>2 </w:t>
      </w:r>
      <w:r>
        <w:rPr>
          <w:rFonts w:ascii="SimSun" w:hAnsi="SimSun" w:eastAsia="SimSun" w:cs="SimSun"/>
          <w:sz w:val="18"/>
          <w:szCs w:val="18"/>
          <w:color w:val="231F20"/>
          <w:spacing w:val="-5"/>
          <w:position w:val="1"/>
        </w:rPr>
        <w:t>，谢梅珍</w:t>
      </w:r>
      <w:r>
        <w:rPr>
          <w:rFonts w:ascii="SimSun" w:hAnsi="SimSun" w:eastAsia="SimSun" w:cs="SimSun"/>
          <w:sz w:val="18"/>
          <w:szCs w:val="18"/>
          <w:color w:val="231F20"/>
          <w:spacing w:val="-30"/>
          <w:position w:val="1"/>
        </w:rPr>
        <w:t xml:space="preserve"> </w:t>
      </w:r>
      <w:r>
        <w:rPr>
          <w:sz w:val="10"/>
          <w:szCs w:val="10"/>
          <w:color w:val="231F20"/>
          <w:spacing w:val="-5"/>
          <w:position w:val="9"/>
        </w:rPr>
        <w:t>1</w:t>
      </w:r>
      <w:r>
        <w:rPr>
          <w:rFonts w:ascii="SimSun" w:hAnsi="SimSun" w:eastAsia="SimSun" w:cs="SimSun"/>
          <w:sz w:val="18"/>
          <w:szCs w:val="18"/>
          <w:color w:val="231F20"/>
          <w:spacing w:val="-5"/>
          <w:position w:val="1"/>
        </w:rPr>
        <w:t>，刘西将</w:t>
      </w:r>
      <w:r>
        <w:rPr>
          <w:rFonts w:ascii="SimSun" w:hAnsi="SimSun" w:eastAsia="SimSun" w:cs="SimSun"/>
          <w:sz w:val="18"/>
          <w:szCs w:val="18"/>
          <w:color w:val="231F20"/>
          <w:spacing w:val="-33"/>
          <w:position w:val="1"/>
        </w:rPr>
        <w:t xml:space="preserve"> </w:t>
      </w:r>
      <w:r>
        <w:rPr>
          <w:sz w:val="10"/>
          <w:szCs w:val="10"/>
          <w:color w:val="231F20"/>
          <w:spacing w:val="-5"/>
          <w:position w:val="9"/>
        </w:rPr>
        <w:t>3**</w:t>
      </w:r>
    </w:p>
    <w:p>
      <w:pPr>
        <w:pStyle w:val="BodyText"/>
        <w:ind w:left="2878"/>
        <w:spacing w:before="87" w:line="201" w:lineRule="auto"/>
        <w:rPr>
          <w:rFonts w:ascii="Microsoft YaHei" w:hAnsi="Microsoft YaHei" w:eastAsia="Microsoft YaHei" w:cs="Microsoft YaHei"/>
        </w:rPr>
      </w:pPr>
      <w:r>
        <w:rPr>
          <w:rFonts w:ascii="Microsoft YaHei" w:hAnsi="Microsoft YaHei" w:eastAsia="Microsoft YaHei" w:cs="Microsoft YaHei"/>
          <w:color w:val="231F20"/>
          <w:spacing w:val="-1"/>
        </w:rPr>
        <w:t>（永春县医院</w:t>
      </w:r>
      <w:r>
        <w:rPr>
          <w:rFonts w:ascii="Microsoft YaHei" w:hAnsi="Microsoft YaHei" w:eastAsia="Microsoft YaHei" w:cs="Microsoft YaHei"/>
          <w:color w:val="231F20"/>
          <w:spacing w:val="21"/>
          <w:w w:val="101"/>
        </w:rPr>
        <w:t xml:space="preserve"> </w:t>
      </w:r>
      <w:r>
        <w:rPr>
          <w:color w:val="231F20"/>
          <w:spacing w:val="-1"/>
        </w:rPr>
        <w:t>1. </w:t>
      </w:r>
      <w:r>
        <w:rPr>
          <w:rFonts w:ascii="Microsoft YaHei" w:hAnsi="Microsoft YaHei" w:eastAsia="Microsoft YaHei" w:cs="Microsoft YaHei"/>
          <w:color w:val="231F20"/>
          <w:spacing w:val="-1"/>
        </w:rPr>
        <w:t>全科医学科，</w:t>
      </w:r>
      <w:r>
        <w:rPr>
          <w:color w:val="231F20"/>
          <w:spacing w:val="-1"/>
        </w:rPr>
        <w:t>2. </w:t>
      </w:r>
      <w:r>
        <w:rPr>
          <w:rFonts w:ascii="Microsoft YaHei" w:hAnsi="Microsoft YaHei" w:eastAsia="Microsoft YaHei" w:cs="Microsoft YaHei"/>
          <w:color w:val="231F20"/>
          <w:spacing w:val="-1"/>
        </w:rPr>
        <w:t>综合外科，</w:t>
      </w:r>
      <w:r>
        <w:rPr>
          <w:color w:val="231F20"/>
          <w:spacing w:val="-1"/>
        </w:rPr>
        <w:t>3. </w:t>
      </w:r>
      <w:r>
        <w:rPr>
          <w:rFonts w:ascii="Microsoft YaHei" w:hAnsi="Microsoft YaHei" w:eastAsia="Microsoft YaHei" w:cs="Microsoft YaHei"/>
          <w:color w:val="231F20"/>
          <w:spacing w:val="-1"/>
        </w:rPr>
        <w:t>麻醉科，福建  泉州</w:t>
      </w:r>
      <w:r>
        <w:rPr>
          <w:rFonts w:ascii="Microsoft YaHei" w:hAnsi="Microsoft YaHei" w:eastAsia="Microsoft YaHei" w:cs="Microsoft YaHei"/>
          <w:color w:val="231F20"/>
          <w:spacing w:val="36"/>
          <w:w w:val="102"/>
        </w:rPr>
        <w:t xml:space="preserve"> </w:t>
      </w:r>
      <w:r>
        <w:rPr>
          <w:color w:val="231F20"/>
          <w:spacing w:val="-1"/>
        </w:rPr>
        <w:t>362621</w:t>
      </w:r>
      <w:r>
        <w:rPr>
          <w:color w:val="231F20"/>
          <w:spacing w:val="-10"/>
        </w:rPr>
        <w:t xml:space="preserve"> </w:t>
      </w:r>
      <w:r>
        <w:rPr>
          <w:rFonts w:ascii="Microsoft YaHei" w:hAnsi="Microsoft YaHei" w:eastAsia="Microsoft YaHei" w:cs="Microsoft YaHei"/>
          <w:color w:val="231F20"/>
          <w:spacing w:val="-1"/>
        </w:rPr>
        <w:t>）</w:t>
      </w:r>
    </w:p>
    <w:p>
      <w:pPr>
        <w:pStyle w:val="BodyText"/>
        <w:ind w:left="594" w:right="80" w:hanging="13"/>
        <w:spacing w:before="208" w:line="246" w:lineRule="auto"/>
        <w:jc w:val="both"/>
        <w:rPr>
          <w:rFonts w:ascii="FangSong" w:hAnsi="FangSong" w:eastAsia="FangSong" w:cs="FangSong"/>
        </w:rPr>
      </w:pPr>
      <w:r>
        <w:rPr>
          <w:rFonts w:ascii="SimHei" w:hAnsi="SimHei" w:eastAsia="SimHei" w:cs="SimHei"/>
          <w:color w:val="231F20"/>
        </w:rPr>
        <w:t>【摘要】</w:t>
      </w:r>
      <w:r>
        <w:rPr>
          <w:rFonts w:ascii="SimHei" w:hAnsi="SimHei" w:eastAsia="SimHei" w:cs="SimHei"/>
          <w:color w:val="231F20"/>
        </w:rPr>
        <w:t xml:space="preserve">  </w:t>
      </w:r>
      <w:r>
        <w:rPr>
          <w:rFonts w:ascii="SimHei" w:hAnsi="SimHei" w:eastAsia="SimHei" w:cs="SimHei"/>
          <w:color w:val="231F20"/>
        </w:rPr>
        <w:t>目的：</w:t>
      </w:r>
      <w:r>
        <w:rPr>
          <w:rFonts w:ascii="FangSong" w:hAnsi="FangSong" w:eastAsia="FangSong" w:cs="FangSong"/>
          <w:color w:val="231F20"/>
        </w:rPr>
        <w:t>探讨阑尾炎患者手术患者术后常规预防感染治疗期间应用根因分析法护理干预的效果。</w:t>
      </w:r>
      <w:r>
        <w:rPr>
          <w:rFonts w:ascii="SimHei" w:hAnsi="SimHei" w:eastAsia="SimHei" w:cs="SimHei"/>
          <w:color w:val="231F20"/>
        </w:rPr>
        <w:t>方法：</w:t>
      </w:r>
      <w:r>
        <w:rPr>
          <w:rFonts w:ascii="FangSong" w:hAnsi="FangSong" w:eastAsia="FangSong" w:cs="FangSong"/>
          <w:color w:val="231F20"/>
        </w:rPr>
        <w:t>选取我院在</w:t>
      </w:r>
      <w:r>
        <w:rPr>
          <w:rFonts w:ascii="FangSong" w:hAnsi="FangSong" w:eastAsia="FangSong" w:cs="FangSong"/>
          <w:color w:val="231F20"/>
          <w:spacing w:val="-16"/>
        </w:rPr>
        <w:t xml:space="preserve"> </w:t>
      </w:r>
      <w:r>
        <w:rPr>
          <w:color w:val="231F20"/>
        </w:rPr>
        <w:t>2019</w:t>
      </w:r>
      <w:r>
        <w:rPr>
          <w:color w:val="231F20"/>
          <w:spacing w:val="8"/>
        </w:rPr>
        <w:t xml:space="preserve"> </w:t>
      </w:r>
      <w:r>
        <w:rPr>
          <w:rFonts w:ascii="FangSong" w:hAnsi="FangSong" w:eastAsia="FangSong" w:cs="FangSong"/>
          <w:color w:val="231F20"/>
        </w:rPr>
        <w:t>年</w:t>
      </w:r>
      <w:r>
        <w:rPr>
          <w:rFonts w:ascii="FangSong" w:hAnsi="FangSong" w:eastAsia="FangSong" w:cs="FangSong"/>
          <w:color w:val="231F20"/>
          <w:spacing w:val="-19"/>
        </w:rPr>
        <w:t xml:space="preserve"> </w:t>
      </w:r>
      <w:r>
        <w:rPr>
          <w:color w:val="231F20"/>
        </w:rPr>
        <w:t>1</w:t>
      </w:r>
      <w:r>
        <w:rPr>
          <w:color w:val="231F20"/>
          <w:spacing w:val="14"/>
        </w:rPr>
        <w:t xml:space="preserve"> </w:t>
      </w:r>
      <w:r>
        <w:rPr>
          <w:rFonts w:ascii="FangSong" w:hAnsi="FangSong" w:eastAsia="FangSong" w:cs="FangSong"/>
          <w:color w:val="231F20"/>
        </w:rPr>
        <w:t>月—</w:t>
      </w:r>
      <w:r>
        <w:rPr>
          <w:color w:val="231F20"/>
        </w:rPr>
        <w:t>2024</w:t>
      </w:r>
      <w:r>
        <w:rPr>
          <w:rFonts w:ascii="FangSong" w:hAnsi="FangSong" w:eastAsia="FangSong" w:cs="FangSong"/>
          <w:color w:val="231F20"/>
        </w:rPr>
        <w:t>年</w:t>
      </w:r>
      <w:r>
        <w:rPr>
          <w:rFonts w:ascii="FangSong" w:hAnsi="FangSong" w:eastAsia="FangSong" w:cs="FangSong"/>
          <w:color w:val="231F20"/>
        </w:rPr>
        <w:t xml:space="preserve"> </w:t>
      </w:r>
      <w:r>
        <w:rPr>
          <w:color w:val="231F20"/>
          <w:spacing w:val="1"/>
        </w:rPr>
        <w:t>6</w:t>
      </w:r>
      <w:r>
        <w:rPr>
          <w:color w:val="231F20"/>
          <w:spacing w:val="15"/>
        </w:rPr>
        <w:t xml:space="preserve"> </w:t>
      </w:r>
      <w:r>
        <w:rPr>
          <w:rFonts w:ascii="FangSong" w:hAnsi="FangSong" w:eastAsia="FangSong" w:cs="FangSong"/>
          <w:color w:val="231F20"/>
          <w:spacing w:val="1"/>
        </w:rPr>
        <w:t>月收治的</w:t>
      </w:r>
      <w:r>
        <w:rPr>
          <w:rFonts w:ascii="FangSong" w:hAnsi="FangSong" w:eastAsia="FangSong" w:cs="FangSong"/>
          <w:color w:val="231F20"/>
          <w:spacing w:val="-30"/>
        </w:rPr>
        <w:t xml:space="preserve"> </w:t>
      </w:r>
      <w:r>
        <w:rPr>
          <w:color w:val="231F20"/>
          <w:spacing w:val="1"/>
        </w:rPr>
        <w:t>50</w:t>
      </w:r>
      <w:r>
        <w:rPr>
          <w:color w:val="231F20"/>
          <w:spacing w:val="10"/>
        </w:rPr>
        <w:t xml:space="preserve"> </w:t>
      </w:r>
      <w:r>
        <w:rPr>
          <w:rFonts w:ascii="FangSong" w:hAnsi="FangSong" w:eastAsia="FangSong" w:cs="FangSong"/>
          <w:color w:val="231F20"/>
          <w:spacing w:val="1"/>
        </w:rPr>
        <w:t>例阑尾炎术后患者为研究对象，均顺利完成腹腔镜阑尾切除术，并于术后予以抗感</w:t>
      </w:r>
      <w:r>
        <w:rPr>
          <w:rFonts w:ascii="FangSong" w:hAnsi="FangSong" w:eastAsia="FangSong" w:cs="FangSong"/>
          <w:color w:val="231F20"/>
        </w:rPr>
        <w:t>染治疗。依据入组时间先后进行分组，对照组给</w:t>
      </w:r>
      <w:r>
        <w:rPr>
          <w:rFonts w:ascii="FangSong" w:hAnsi="FangSong" w:eastAsia="FangSong" w:cs="FangSong"/>
          <w:color w:val="231F20"/>
        </w:rPr>
        <w:t xml:space="preserve"> </w:t>
      </w:r>
      <w:r>
        <w:rPr>
          <w:rFonts w:ascii="FangSong" w:hAnsi="FangSong" w:eastAsia="FangSong" w:cs="FangSong"/>
          <w:color w:val="231F20"/>
        </w:rPr>
        <w:t>予常规护理，观察组接受根因分析法护理干预。比较两组炎性因子水平变化及术后感染发生率。</w:t>
      </w:r>
      <w:r>
        <w:rPr>
          <w:rFonts w:ascii="SimHei" w:hAnsi="SimHei" w:eastAsia="SimHei" w:cs="SimHei"/>
          <w:color w:val="231F20"/>
        </w:rPr>
        <w:t>结果：</w:t>
      </w:r>
      <w:r>
        <w:rPr>
          <w:rFonts w:ascii="FangSong" w:hAnsi="FangSong" w:eastAsia="FangSong" w:cs="FangSong"/>
          <w:color w:val="231F20"/>
        </w:rPr>
        <w:t>干预后，观察组白细</w:t>
      </w:r>
      <w:r>
        <w:rPr>
          <w:rFonts w:ascii="FangSong" w:hAnsi="FangSong" w:eastAsia="FangSong" w:cs="FangSong"/>
          <w:color w:val="231F20"/>
          <w:spacing w:val="-1"/>
        </w:rPr>
        <w:t>胞介素</w:t>
      </w:r>
      <w:r>
        <w:rPr>
          <w:rFonts w:ascii="FangSong" w:hAnsi="FangSong" w:eastAsia="FangSong" w:cs="FangSong"/>
          <w:color w:val="231F20"/>
          <w:spacing w:val="-29"/>
        </w:rPr>
        <w:t xml:space="preserve"> </w:t>
      </w:r>
      <w:r>
        <w:rPr>
          <w:color w:val="231F20"/>
          <w:spacing w:val="-1"/>
        </w:rPr>
        <w:t>-6</w:t>
      </w:r>
      <w:r>
        <w:rPr>
          <w:rFonts w:ascii="FangSong" w:hAnsi="FangSong" w:eastAsia="FangSong" w:cs="FangSong"/>
          <w:color w:val="231F20"/>
          <w:spacing w:val="-1"/>
        </w:rPr>
        <w:t>（</w:t>
      </w:r>
      <w:r>
        <w:rPr>
          <w:color w:val="231F20"/>
          <w:spacing w:val="-1"/>
        </w:rPr>
        <w:t>IL-6</w:t>
      </w:r>
      <w:r>
        <w:rPr>
          <w:rFonts w:ascii="FangSong" w:hAnsi="FangSong" w:eastAsia="FangSong" w:cs="FangSong"/>
          <w:color w:val="231F20"/>
          <w:spacing w:val="-1"/>
        </w:rPr>
        <w:t>）、</w:t>
      </w:r>
      <w:r>
        <w:rPr>
          <w:color w:val="231F20"/>
          <w:spacing w:val="-1"/>
        </w:rPr>
        <w:t>C-</w:t>
      </w:r>
      <w:r>
        <w:rPr>
          <w:color w:val="231F20"/>
        </w:rPr>
        <w:t xml:space="preserve"> </w:t>
      </w:r>
      <w:r>
        <w:rPr>
          <w:rFonts w:ascii="FangSong" w:hAnsi="FangSong" w:eastAsia="FangSong" w:cs="FangSong"/>
          <w:color w:val="231F20"/>
          <w:spacing w:val="1"/>
        </w:rPr>
        <w:t>反应蛋白（</w:t>
      </w:r>
      <w:r>
        <w:rPr>
          <w:color w:val="231F20"/>
        </w:rPr>
        <w:t>CRP</w:t>
      </w:r>
      <w:r>
        <w:rPr>
          <w:rFonts w:ascii="FangSong" w:hAnsi="FangSong" w:eastAsia="FangSong" w:cs="FangSong"/>
          <w:color w:val="231F20"/>
          <w:spacing w:val="1"/>
        </w:rPr>
        <w:t>）、肿瘤坏死因子</w:t>
      </w:r>
      <w:r>
        <w:rPr>
          <w:rFonts w:ascii="FangSong" w:hAnsi="FangSong" w:eastAsia="FangSong" w:cs="FangSong"/>
          <w:color w:val="231F20"/>
          <w:spacing w:val="-20"/>
        </w:rPr>
        <w:t xml:space="preserve"> </w:t>
      </w:r>
      <w:r>
        <w:rPr>
          <w:color w:val="231F20"/>
          <w:spacing w:val="1"/>
        </w:rPr>
        <w:t>-α</w:t>
      </w:r>
      <w:r>
        <w:rPr>
          <w:rFonts w:ascii="FangSong" w:hAnsi="FangSong" w:eastAsia="FangSong" w:cs="FangSong"/>
          <w:color w:val="231F20"/>
          <w:spacing w:val="1"/>
        </w:rPr>
        <w:t>（</w:t>
      </w:r>
      <w:r>
        <w:rPr>
          <w:color w:val="231F20"/>
        </w:rPr>
        <w:t>TNF</w:t>
      </w:r>
      <w:r>
        <w:rPr>
          <w:color w:val="231F20"/>
          <w:spacing w:val="1"/>
        </w:rPr>
        <w:t>-α</w:t>
      </w:r>
      <w:r>
        <w:rPr>
          <w:rFonts w:ascii="FangSong" w:hAnsi="FangSong" w:eastAsia="FangSong" w:cs="FangSong"/>
          <w:color w:val="231F20"/>
          <w:spacing w:val="1"/>
        </w:rPr>
        <w:t>)水平以及感染总发生率均低于对照组（</w:t>
      </w:r>
      <w:r>
        <w:rPr>
          <w:i/>
          <w:iCs/>
          <w:color w:val="231F20"/>
          <w:spacing w:val="1"/>
        </w:rPr>
        <w:t>P&lt;</w:t>
      </w:r>
      <w:r>
        <w:rPr>
          <w:color w:val="231F20"/>
          <w:spacing w:val="1"/>
        </w:rPr>
        <w:t>0.05</w:t>
      </w:r>
      <w:r>
        <w:rPr>
          <w:rFonts w:ascii="FangSong" w:hAnsi="FangSong" w:eastAsia="FangSong" w:cs="FangSong"/>
          <w:color w:val="231F20"/>
          <w:spacing w:val="1"/>
        </w:rPr>
        <w:t>）。</w:t>
      </w:r>
      <w:r>
        <w:rPr>
          <w:rFonts w:ascii="SimHei" w:hAnsi="SimHei" w:eastAsia="SimHei" w:cs="SimHei"/>
          <w:color w:val="231F20"/>
          <w:spacing w:val="1"/>
        </w:rPr>
        <w:t>结论：</w:t>
      </w:r>
      <w:r>
        <w:rPr>
          <w:rFonts w:ascii="FangSong" w:hAnsi="FangSong" w:eastAsia="FangSong" w:cs="FangSong"/>
          <w:color w:val="231F20"/>
          <w:spacing w:val="1"/>
        </w:rPr>
        <w:t>对于阑</w:t>
      </w:r>
      <w:r>
        <w:rPr>
          <w:rFonts w:ascii="FangSong" w:hAnsi="FangSong" w:eastAsia="FangSong" w:cs="FangSong"/>
          <w:color w:val="231F20"/>
        </w:rPr>
        <w:t>尾炎患者，术后使用抗菌药物治疗</w:t>
      </w:r>
      <w:r>
        <w:rPr>
          <w:rFonts w:ascii="FangSong" w:hAnsi="FangSong" w:eastAsia="FangSong" w:cs="FangSong"/>
          <w:color w:val="231F20"/>
        </w:rPr>
        <w:t xml:space="preserve"> </w:t>
      </w:r>
      <w:r>
        <w:rPr>
          <w:rFonts w:ascii="FangSong" w:hAnsi="FangSong" w:eastAsia="FangSong" w:cs="FangSong"/>
          <w:color w:val="231F20"/>
        </w:rPr>
        <w:t>期间，采取根本原因分析的护理方法是可行的，能够有</w:t>
      </w:r>
      <w:r>
        <w:rPr>
          <w:rFonts w:ascii="FangSong" w:hAnsi="FangSong" w:eastAsia="FangSong" w:cs="FangSong"/>
          <w:color w:val="231F20"/>
          <w:spacing w:val="-1"/>
        </w:rPr>
        <w:t>效地抑制体内炎性因子水平，从而降低术后感染的风险。</w:t>
      </w:r>
    </w:p>
    <w:p>
      <w:pPr>
        <w:ind w:left="581"/>
        <w:spacing w:before="1" w:line="241" w:lineRule="auto"/>
        <w:rPr>
          <w:rFonts w:ascii="FangSong" w:hAnsi="FangSong" w:eastAsia="FangSong" w:cs="FangSong"/>
          <w:sz w:val="15"/>
          <w:szCs w:val="15"/>
        </w:rPr>
      </w:pPr>
      <w:r>
        <w:rPr>
          <w:rFonts w:ascii="SimHei" w:hAnsi="SimHei" w:eastAsia="SimHei" w:cs="SimHei"/>
          <w:sz w:val="15"/>
          <w:szCs w:val="15"/>
          <w:color w:val="231F20"/>
        </w:rPr>
        <w:t>【关键词】</w:t>
      </w:r>
      <w:r>
        <w:rPr>
          <w:rFonts w:ascii="SimHei" w:hAnsi="SimHei" w:eastAsia="SimHei" w:cs="SimHei"/>
          <w:sz w:val="15"/>
          <w:szCs w:val="15"/>
          <w:color w:val="231F20"/>
        </w:rPr>
        <w:t xml:space="preserve">  </w:t>
      </w:r>
      <w:r>
        <w:rPr>
          <w:rFonts w:ascii="FangSong" w:hAnsi="FangSong" w:eastAsia="FangSong" w:cs="FangSong"/>
          <w:sz w:val="15"/>
          <w:szCs w:val="15"/>
          <w:color w:val="231F20"/>
        </w:rPr>
        <w:t>阑尾炎；根因分析法；头孢呋辛钠；甲硝唑；抗菌药物</w:t>
      </w:r>
    </w:p>
    <w:p>
      <w:pPr>
        <w:pStyle w:val="BodyText"/>
        <w:ind w:left="593"/>
        <w:spacing w:before="96" w:line="212" w:lineRule="auto"/>
        <w:rPr>
          <w:sz w:val="16"/>
          <w:szCs w:val="16"/>
        </w:rPr>
      </w:pPr>
      <w:r>
        <w:rPr>
          <w:sz w:val="16"/>
          <w:szCs w:val="16"/>
          <w:color w:val="231F20"/>
        </w:rPr>
        <w:t>doi</w:t>
      </w:r>
      <w:r>
        <w:rPr>
          <w:rFonts w:ascii="SimSun" w:hAnsi="SimSun" w:eastAsia="SimSun" w:cs="SimSun"/>
          <w:sz w:val="16"/>
          <w:szCs w:val="16"/>
          <w:color w:val="231F20"/>
        </w:rPr>
        <w:t>：</w:t>
      </w:r>
      <w:r>
        <w:rPr>
          <w:sz w:val="16"/>
          <w:szCs w:val="16"/>
          <w:color w:val="231F20"/>
        </w:rPr>
        <w:t>10.15900/j.cnki.zylf1995.2024</w:t>
      </w:r>
      <w:r>
        <w:rPr>
          <w:sz w:val="16"/>
          <w:szCs w:val="16"/>
          <w:color w:val="231F20"/>
          <w:spacing w:val="-1"/>
        </w:rPr>
        <w:t>.12.096</w:t>
      </w:r>
    </w:p>
    <w:p>
      <w:pPr>
        <w:spacing w:line="262" w:lineRule="auto"/>
        <w:rPr>
          <w:rFonts w:ascii="Arial"/>
          <w:sz w:val="21"/>
        </w:rPr>
      </w:pPr>
      <w:r/>
    </w:p>
    <w:p>
      <w:pPr>
        <w:pStyle w:val="BodyText"/>
        <w:ind w:left="1014"/>
        <w:spacing w:before="75" w:line="186" w:lineRule="auto"/>
        <w:rPr>
          <w:sz w:val="26"/>
          <w:szCs w:val="26"/>
        </w:rPr>
      </w:pPr>
      <w:r>
        <w:rPr>
          <w:sz w:val="26"/>
          <w:szCs w:val="26"/>
          <w:b/>
          <w:bCs/>
          <w:color w:val="231F20"/>
        </w:rPr>
        <w:t>Intervention</w:t>
      </w:r>
      <w:r>
        <w:rPr>
          <w:sz w:val="26"/>
          <w:szCs w:val="26"/>
          <w:b/>
          <w:bCs/>
          <w:color w:val="231F20"/>
          <w:spacing w:val="2"/>
        </w:rPr>
        <w:t xml:space="preserve"> </w:t>
      </w:r>
      <w:r>
        <w:rPr>
          <w:sz w:val="26"/>
          <w:szCs w:val="26"/>
          <w:b/>
          <w:bCs/>
          <w:color w:val="231F20"/>
        </w:rPr>
        <w:t>Effect</w:t>
      </w:r>
      <w:r>
        <w:rPr>
          <w:sz w:val="26"/>
          <w:szCs w:val="26"/>
          <w:b/>
          <w:bCs/>
          <w:color w:val="231F20"/>
          <w:spacing w:val="2"/>
        </w:rPr>
        <w:t xml:space="preserve"> </w:t>
      </w:r>
      <w:r>
        <w:rPr>
          <w:sz w:val="26"/>
          <w:szCs w:val="26"/>
          <w:b/>
          <w:bCs/>
          <w:color w:val="231F20"/>
        </w:rPr>
        <w:t>of</w:t>
      </w:r>
      <w:r>
        <w:rPr>
          <w:sz w:val="26"/>
          <w:szCs w:val="26"/>
          <w:b/>
          <w:bCs/>
          <w:color w:val="231F20"/>
          <w:spacing w:val="-10"/>
        </w:rPr>
        <w:t xml:space="preserve"> </w:t>
      </w:r>
      <w:r>
        <w:rPr>
          <w:sz w:val="26"/>
          <w:szCs w:val="26"/>
          <w:b/>
          <w:bCs/>
          <w:color w:val="231F20"/>
        </w:rPr>
        <w:t>Root</w:t>
      </w:r>
      <w:r>
        <w:rPr>
          <w:sz w:val="26"/>
          <w:szCs w:val="26"/>
          <w:b/>
          <w:bCs/>
          <w:color w:val="231F20"/>
          <w:spacing w:val="2"/>
        </w:rPr>
        <w:t xml:space="preserve"> </w:t>
      </w:r>
      <w:r>
        <w:rPr>
          <w:sz w:val="26"/>
          <w:szCs w:val="26"/>
          <w:b/>
          <w:bCs/>
          <w:color w:val="231F20"/>
        </w:rPr>
        <w:t>Cause</w:t>
      </w:r>
      <w:r>
        <w:rPr>
          <w:sz w:val="26"/>
          <w:szCs w:val="26"/>
          <w:b/>
          <w:bCs/>
          <w:color w:val="231F20"/>
          <w:spacing w:val="-12"/>
        </w:rPr>
        <w:t xml:space="preserve"> </w:t>
      </w:r>
      <w:r>
        <w:rPr>
          <w:sz w:val="26"/>
          <w:szCs w:val="26"/>
          <w:b/>
          <w:bCs/>
          <w:color w:val="231F20"/>
        </w:rPr>
        <w:t>Analysis</w:t>
      </w:r>
      <w:r>
        <w:rPr>
          <w:sz w:val="26"/>
          <w:szCs w:val="26"/>
          <w:b/>
          <w:bCs/>
          <w:color w:val="231F20"/>
          <w:spacing w:val="2"/>
        </w:rPr>
        <w:t xml:space="preserve"> </w:t>
      </w:r>
      <w:r>
        <w:rPr>
          <w:sz w:val="26"/>
          <w:szCs w:val="26"/>
          <w:b/>
          <w:bCs/>
          <w:color w:val="231F20"/>
        </w:rPr>
        <w:t>Nursing</w:t>
      </w:r>
      <w:r>
        <w:rPr>
          <w:sz w:val="26"/>
          <w:szCs w:val="26"/>
          <w:b/>
          <w:bCs/>
          <w:color w:val="231F20"/>
          <w:spacing w:val="2"/>
        </w:rPr>
        <w:t xml:space="preserve"> </w:t>
      </w:r>
      <w:r>
        <w:rPr>
          <w:sz w:val="26"/>
          <w:szCs w:val="26"/>
          <w:b/>
          <w:bCs/>
          <w:color w:val="231F20"/>
        </w:rPr>
        <w:t>on</w:t>
      </w:r>
      <w:r>
        <w:rPr>
          <w:sz w:val="26"/>
          <w:szCs w:val="26"/>
          <w:b/>
          <w:bCs/>
          <w:color w:val="231F20"/>
          <w:spacing w:val="2"/>
        </w:rPr>
        <w:t xml:space="preserve"> </w:t>
      </w:r>
      <w:r>
        <w:rPr>
          <w:sz w:val="26"/>
          <w:szCs w:val="26"/>
          <w:b/>
          <w:bCs/>
          <w:color w:val="231F20"/>
        </w:rPr>
        <w:t>the</w:t>
      </w:r>
      <w:r>
        <w:rPr>
          <w:sz w:val="26"/>
          <w:szCs w:val="26"/>
          <w:b/>
          <w:bCs/>
          <w:color w:val="231F20"/>
          <w:spacing w:val="2"/>
        </w:rPr>
        <w:t xml:space="preserve"> </w:t>
      </w:r>
      <w:r>
        <w:rPr>
          <w:sz w:val="26"/>
          <w:szCs w:val="26"/>
          <w:b/>
          <w:bCs/>
          <w:color w:val="231F20"/>
        </w:rPr>
        <w:t>Use</w:t>
      </w:r>
      <w:r>
        <w:rPr>
          <w:sz w:val="26"/>
          <w:szCs w:val="26"/>
          <w:b/>
          <w:bCs/>
          <w:color w:val="231F20"/>
          <w:spacing w:val="2"/>
        </w:rPr>
        <w:t xml:space="preserve"> </w:t>
      </w:r>
      <w:r>
        <w:rPr>
          <w:sz w:val="26"/>
          <w:szCs w:val="26"/>
          <w:b/>
          <w:bCs/>
          <w:color w:val="231F20"/>
        </w:rPr>
        <w:t>of</w:t>
      </w:r>
      <w:r>
        <w:rPr>
          <w:sz w:val="26"/>
          <w:szCs w:val="26"/>
          <w:b/>
          <w:bCs/>
          <w:color w:val="231F20"/>
          <w:spacing w:val="-31"/>
        </w:rPr>
        <w:t xml:space="preserve"> </w:t>
      </w:r>
      <w:r>
        <w:rPr>
          <w:sz w:val="26"/>
          <w:szCs w:val="26"/>
          <w:b/>
          <w:bCs/>
          <w:color w:val="231F20"/>
        </w:rPr>
        <w:t>Antibiotics</w:t>
      </w:r>
      <w:r>
        <w:rPr>
          <w:sz w:val="26"/>
          <w:szCs w:val="26"/>
          <w:b/>
          <w:bCs/>
          <w:color w:val="231F20"/>
          <w:spacing w:val="5"/>
        </w:rPr>
        <w:t xml:space="preserve"> </w:t>
      </w:r>
      <w:r>
        <w:rPr>
          <w:sz w:val="26"/>
          <w:szCs w:val="26"/>
          <w:b/>
          <w:bCs/>
          <w:color w:val="231F20"/>
        </w:rPr>
        <w:t>to</w:t>
      </w:r>
    </w:p>
    <w:p>
      <w:pPr>
        <w:pStyle w:val="BodyText"/>
        <w:ind w:left="8729"/>
        <w:spacing w:before="69" w:line="61" w:lineRule="exact"/>
        <w:rPr/>
      </w:pPr>
      <w:r>
        <w:rPr>
          <w:color w:val="231F20"/>
          <w:position w:val="-6"/>
        </w:rPr>
        <w:t>*</w:t>
      </w:r>
    </w:p>
    <w:p>
      <w:pPr>
        <w:pStyle w:val="BodyText"/>
        <w:ind w:left="1970"/>
        <w:spacing w:line="185" w:lineRule="auto"/>
        <w:rPr>
          <w:sz w:val="26"/>
          <w:szCs w:val="26"/>
        </w:rPr>
      </w:pPr>
      <w:r>
        <w:rPr>
          <w:sz w:val="26"/>
          <w:szCs w:val="26"/>
          <w:b/>
          <w:bCs/>
          <w:color w:val="231F20"/>
        </w:rPr>
        <w:t>Prevent Postoperative Infection in Patients wi</w:t>
      </w:r>
      <w:r>
        <w:rPr>
          <w:sz w:val="26"/>
          <w:szCs w:val="26"/>
          <w:b/>
          <w:bCs/>
          <w:color w:val="231F20"/>
          <w:spacing w:val="-1"/>
        </w:rPr>
        <w:t>th</w:t>
      </w:r>
      <w:r>
        <w:rPr>
          <w:sz w:val="26"/>
          <w:szCs w:val="26"/>
          <w:b/>
          <w:bCs/>
          <w:color w:val="231F20"/>
          <w:spacing w:val="-13"/>
        </w:rPr>
        <w:t xml:space="preserve"> </w:t>
      </w:r>
      <w:r>
        <w:rPr>
          <w:sz w:val="26"/>
          <w:szCs w:val="26"/>
          <w:b/>
          <w:bCs/>
          <w:color w:val="231F20"/>
          <w:spacing w:val="-1"/>
        </w:rPr>
        <w:t>Appendicitis</w:t>
      </w:r>
    </w:p>
    <w:p>
      <w:pPr>
        <w:pStyle w:val="BodyText"/>
        <w:ind w:left="3456"/>
        <w:spacing w:before="243" w:line="228" w:lineRule="auto"/>
        <w:rPr>
          <w:sz w:val="9"/>
          <w:szCs w:val="9"/>
        </w:rPr>
      </w:pPr>
      <w:r>
        <w:rPr>
          <w:sz w:val="16"/>
          <w:szCs w:val="16"/>
          <w:color w:val="231F20"/>
        </w:rPr>
        <w:t>LUO Xiaoying</w:t>
      </w:r>
      <w:r>
        <w:rPr>
          <w:sz w:val="9"/>
          <w:szCs w:val="9"/>
          <w:color w:val="231F20"/>
          <w:position w:val="7"/>
        </w:rPr>
        <w:t>1</w:t>
      </w:r>
      <w:r>
        <w:rPr>
          <w:sz w:val="16"/>
          <w:szCs w:val="16"/>
          <w:color w:val="231F20"/>
        </w:rPr>
        <w:t>, LIN Qingli</w:t>
      </w:r>
      <w:r>
        <w:rPr>
          <w:sz w:val="9"/>
          <w:szCs w:val="9"/>
          <w:color w:val="231F20"/>
          <w:position w:val="7"/>
        </w:rPr>
        <w:t>2</w:t>
      </w:r>
      <w:r>
        <w:rPr>
          <w:sz w:val="16"/>
          <w:szCs w:val="16"/>
          <w:color w:val="231F20"/>
        </w:rPr>
        <w:t>, XIE Meizhen</w:t>
      </w:r>
      <w:r>
        <w:rPr>
          <w:sz w:val="9"/>
          <w:szCs w:val="9"/>
          <w:color w:val="231F20"/>
          <w:position w:val="7"/>
        </w:rPr>
        <w:t>1</w:t>
      </w:r>
      <w:r>
        <w:rPr>
          <w:sz w:val="16"/>
          <w:szCs w:val="16"/>
          <w:color w:val="231F20"/>
        </w:rPr>
        <w:t>, LIU Xijiang</w:t>
      </w:r>
      <w:r>
        <w:rPr>
          <w:sz w:val="9"/>
          <w:szCs w:val="9"/>
          <w:color w:val="231F20"/>
          <w:position w:val="7"/>
        </w:rPr>
        <w:t>3**</w:t>
      </w:r>
    </w:p>
    <w:p>
      <w:pPr>
        <w:pStyle w:val="BodyText"/>
        <w:ind w:left="820"/>
        <w:spacing w:before="181" w:line="214" w:lineRule="auto"/>
        <w:rPr>
          <w:sz w:val="16"/>
          <w:szCs w:val="16"/>
        </w:rPr>
      </w:pPr>
      <w:r>
        <w:rPr>
          <w:rFonts w:ascii="SimSun" w:hAnsi="SimSun" w:eastAsia="SimSun" w:cs="SimSun"/>
          <w:sz w:val="16"/>
          <w:szCs w:val="16"/>
          <w:color w:val="231F20"/>
        </w:rPr>
        <w:t>（</w:t>
      </w:r>
      <w:r>
        <w:rPr>
          <w:rFonts w:ascii="SimSun" w:hAnsi="SimSun" w:eastAsia="SimSun" w:cs="SimSun"/>
          <w:sz w:val="16"/>
          <w:szCs w:val="16"/>
          <w:color w:val="231F20"/>
          <w:spacing w:val="-41"/>
        </w:rPr>
        <w:t xml:space="preserve"> </w:t>
      </w:r>
      <w:r>
        <w:rPr>
          <w:sz w:val="16"/>
          <w:szCs w:val="16"/>
          <w:color w:val="231F20"/>
        </w:rPr>
        <w:t>1.Department of</w:t>
      </w:r>
      <w:r>
        <w:rPr>
          <w:sz w:val="16"/>
          <w:szCs w:val="16"/>
          <w:color w:val="231F20"/>
          <w:spacing w:val="-10"/>
        </w:rPr>
        <w:t xml:space="preserve"> </w:t>
      </w:r>
      <w:r>
        <w:rPr>
          <w:sz w:val="16"/>
          <w:szCs w:val="16"/>
          <w:color w:val="231F20"/>
        </w:rPr>
        <w:t>General medicine, 2.Department of</w:t>
      </w:r>
      <w:r>
        <w:rPr>
          <w:sz w:val="16"/>
          <w:szCs w:val="16"/>
          <w:color w:val="231F20"/>
          <w:spacing w:val="-11"/>
        </w:rPr>
        <w:t xml:space="preserve"> </w:t>
      </w:r>
      <w:r>
        <w:rPr>
          <w:sz w:val="16"/>
          <w:szCs w:val="16"/>
          <w:color w:val="231F20"/>
        </w:rPr>
        <w:t>Comprehensive surgery, 3. D</w:t>
      </w:r>
      <w:r>
        <w:rPr>
          <w:sz w:val="16"/>
          <w:szCs w:val="16"/>
          <w:color w:val="231F20"/>
          <w:spacing w:val="-1"/>
        </w:rPr>
        <w:t>epartment</w:t>
      </w:r>
      <w:r>
        <w:rPr>
          <w:sz w:val="16"/>
          <w:szCs w:val="16"/>
          <w:color w:val="231F20"/>
          <w:spacing w:val="5"/>
        </w:rPr>
        <w:t xml:space="preserve"> </w:t>
      </w:r>
      <w:r>
        <w:rPr>
          <w:sz w:val="16"/>
          <w:szCs w:val="16"/>
          <w:color w:val="231F20"/>
          <w:spacing w:val="-1"/>
        </w:rPr>
        <w:t>of</w:t>
      </w:r>
      <w:r>
        <w:rPr>
          <w:sz w:val="16"/>
          <w:szCs w:val="16"/>
          <w:color w:val="231F20"/>
          <w:spacing w:val="-24"/>
        </w:rPr>
        <w:t xml:space="preserve"> </w:t>
      </w:r>
      <w:r>
        <w:rPr>
          <w:sz w:val="16"/>
          <w:szCs w:val="16"/>
          <w:color w:val="231F20"/>
          <w:spacing w:val="-1"/>
        </w:rPr>
        <w:t>Anesthesiology, Yongchun County</w:t>
      </w:r>
      <w:r>
        <w:rPr>
          <w:sz w:val="16"/>
          <w:szCs w:val="16"/>
          <w:color w:val="231F20"/>
          <w:spacing w:val="3"/>
        </w:rPr>
        <w:t xml:space="preserve"> </w:t>
      </w:r>
      <w:r>
        <w:rPr>
          <w:sz w:val="16"/>
          <w:szCs w:val="16"/>
          <w:color w:val="231F20"/>
          <w:spacing w:val="-1"/>
        </w:rPr>
        <w:t>Hospital,</w:t>
      </w:r>
    </w:p>
    <w:p>
      <w:pPr>
        <w:pStyle w:val="BodyText"/>
        <w:ind w:left="4240"/>
        <w:spacing w:before="55" w:line="214" w:lineRule="auto"/>
        <w:rPr>
          <w:rFonts w:ascii="SimSun" w:hAnsi="SimSun" w:eastAsia="SimSun" w:cs="SimSun"/>
          <w:sz w:val="16"/>
          <w:szCs w:val="16"/>
        </w:rPr>
      </w:pPr>
      <w:r>
        <w:rPr>
          <w:sz w:val="16"/>
          <w:szCs w:val="16"/>
          <w:color w:val="231F20"/>
        </w:rPr>
        <w:t>Quanzhou 362621, Fujian, China</w:t>
      </w:r>
      <w:r>
        <w:rPr>
          <w:rFonts w:ascii="SimSun" w:hAnsi="SimSun" w:eastAsia="SimSun" w:cs="SimSun"/>
          <w:sz w:val="16"/>
          <w:szCs w:val="16"/>
          <w:color w:val="231F20"/>
        </w:rPr>
        <w:t>）</w:t>
      </w:r>
    </w:p>
    <w:p>
      <w:pPr>
        <w:pStyle w:val="BodyText"/>
        <w:ind w:left="588" w:right="78" w:firstLine="15"/>
        <w:spacing w:before="251" w:line="274" w:lineRule="auto"/>
        <w:jc w:val="both"/>
        <w:rPr/>
      </w:pPr>
      <w:r>
        <w:rPr>
          <w:b/>
          <w:bCs/>
          <w:color w:val="231F20"/>
        </w:rPr>
        <w:t>[Abstract]  Objective: </w:t>
      </w:r>
      <w:r>
        <w:rPr>
          <w:color w:val="231F20"/>
        </w:rPr>
        <w:t>To explore the eﬀect of</w:t>
      </w:r>
      <w:r>
        <w:rPr>
          <w:color w:val="231F20"/>
          <w:spacing w:val="-15"/>
        </w:rPr>
        <w:t xml:space="preserve"> </w:t>
      </w:r>
      <w:r>
        <w:rPr>
          <w:color w:val="231F20"/>
        </w:rPr>
        <w:t>root cause</w:t>
      </w:r>
      <w:r>
        <w:rPr>
          <w:color w:val="231F20"/>
          <w:spacing w:val="5"/>
        </w:rPr>
        <w:t xml:space="preserve"> </w:t>
      </w:r>
      <w:r>
        <w:rPr>
          <w:color w:val="231F20"/>
        </w:rPr>
        <w:t>analysis nursing</w:t>
      </w:r>
      <w:r>
        <w:rPr>
          <w:color w:val="231F20"/>
          <w:spacing w:val="4"/>
        </w:rPr>
        <w:t xml:space="preserve"> </w:t>
      </w:r>
      <w:r>
        <w:rPr>
          <w:color w:val="231F20"/>
        </w:rPr>
        <w:t>intervention</w:t>
      </w:r>
      <w:r>
        <w:rPr>
          <w:color w:val="231F20"/>
          <w:spacing w:val="5"/>
        </w:rPr>
        <w:t xml:space="preserve"> </w:t>
      </w:r>
      <w:r>
        <w:rPr>
          <w:color w:val="231F20"/>
        </w:rPr>
        <w:t>during routine </w:t>
      </w:r>
      <w:r>
        <w:rPr>
          <w:color w:val="231F20"/>
          <w:spacing w:val="-1"/>
        </w:rPr>
        <w:t>prevention</w:t>
      </w:r>
      <w:r>
        <w:rPr>
          <w:color w:val="231F20"/>
          <w:spacing w:val="5"/>
        </w:rPr>
        <w:t xml:space="preserve"> </w:t>
      </w:r>
      <w:r>
        <w:rPr>
          <w:color w:val="231F20"/>
          <w:spacing w:val="-1"/>
        </w:rPr>
        <w:t>of</w:t>
      </w:r>
      <w:r>
        <w:rPr>
          <w:color w:val="231F20"/>
          <w:spacing w:val="-11"/>
        </w:rPr>
        <w:t xml:space="preserve"> </w:t>
      </w:r>
      <w:r>
        <w:rPr>
          <w:color w:val="231F20"/>
          <w:spacing w:val="-1"/>
        </w:rPr>
        <w:t>infection</w:t>
      </w:r>
      <w:r>
        <w:rPr>
          <w:color w:val="231F20"/>
          <w:spacing w:val="4"/>
        </w:rPr>
        <w:t xml:space="preserve"> </w:t>
      </w:r>
      <w:r>
        <w:rPr>
          <w:color w:val="231F20"/>
          <w:spacing w:val="-1"/>
        </w:rPr>
        <w:t>in patients with</w:t>
      </w:r>
      <w:r>
        <w:rPr>
          <w:color w:val="231F20"/>
          <w:spacing w:val="5"/>
        </w:rPr>
        <w:t xml:space="preserve"> </w:t>
      </w:r>
      <w:r>
        <w:rPr>
          <w:color w:val="231F20"/>
          <w:spacing w:val="-1"/>
        </w:rPr>
        <w:t>appendicitis</w:t>
      </w:r>
      <w:r>
        <w:rPr>
          <w:color w:val="231F20"/>
          <w:spacing w:val="5"/>
        </w:rPr>
        <w:t xml:space="preserve"> </w:t>
      </w:r>
      <w:r>
        <w:rPr>
          <w:color w:val="231F20"/>
          <w:spacing w:val="-1"/>
        </w:rPr>
        <w:t>after</w:t>
      </w:r>
      <w:r>
        <w:rPr>
          <w:color w:val="231F20"/>
        </w:rPr>
        <w:t xml:space="preserve"> </w:t>
      </w:r>
      <w:r>
        <w:rPr>
          <w:color w:val="231F20"/>
        </w:rPr>
        <w:t>operation.</w:t>
      </w:r>
      <w:r>
        <w:rPr>
          <w:color w:val="231F20"/>
          <w:spacing w:val="10"/>
          <w:w w:val="101"/>
        </w:rPr>
        <w:t xml:space="preserve"> </w:t>
      </w:r>
      <w:r>
        <w:rPr>
          <w:b/>
          <w:bCs/>
          <w:color w:val="231F20"/>
        </w:rPr>
        <w:t>Methods:</w:t>
      </w:r>
      <w:r>
        <w:rPr>
          <w:b/>
          <w:bCs/>
          <w:color w:val="231F20"/>
          <w:spacing w:val="10"/>
          <w:w w:val="101"/>
        </w:rPr>
        <w:t xml:space="preserve"> </w:t>
      </w:r>
      <w:r>
        <w:rPr>
          <w:color w:val="231F20"/>
        </w:rPr>
        <w:t>From</w:t>
      </w:r>
      <w:r>
        <w:rPr>
          <w:color w:val="231F20"/>
          <w:spacing w:val="11"/>
        </w:rPr>
        <w:t xml:space="preserve"> </w:t>
      </w:r>
      <w:r>
        <w:rPr>
          <w:color w:val="231F20"/>
        </w:rPr>
        <w:t>January</w:t>
      </w:r>
      <w:r>
        <w:rPr>
          <w:color w:val="231F20"/>
          <w:spacing w:val="11"/>
        </w:rPr>
        <w:t xml:space="preserve"> </w:t>
      </w:r>
      <w:r>
        <w:rPr>
          <w:color w:val="231F20"/>
        </w:rPr>
        <w:t>2019</w:t>
      </w:r>
      <w:r>
        <w:rPr>
          <w:color w:val="231F20"/>
          <w:spacing w:val="9"/>
        </w:rPr>
        <w:t xml:space="preserve"> </w:t>
      </w:r>
      <w:r>
        <w:rPr>
          <w:color w:val="231F20"/>
        </w:rPr>
        <w:t>to</w:t>
      </w:r>
      <w:r>
        <w:rPr>
          <w:color w:val="231F20"/>
          <w:spacing w:val="11"/>
        </w:rPr>
        <w:t xml:space="preserve"> </w:t>
      </w:r>
      <w:r>
        <w:rPr>
          <w:color w:val="231F20"/>
        </w:rPr>
        <w:t>June</w:t>
      </w:r>
      <w:r>
        <w:rPr>
          <w:color w:val="231F20"/>
          <w:spacing w:val="11"/>
        </w:rPr>
        <w:t xml:space="preserve"> </w:t>
      </w:r>
      <w:r>
        <w:rPr>
          <w:color w:val="231F20"/>
        </w:rPr>
        <w:t>2024,</w:t>
      </w:r>
      <w:r>
        <w:rPr>
          <w:color w:val="231F20"/>
          <w:spacing w:val="15"/>
        </w:rPr>
        <w:t xml:space="preserve"> </w:t>
      </w:r>
      <w:r>
        <w:rPr>
          <w:color w:val="231F20"/>
        </w:rPr>
        <w:t>50 patients with</w:t>
      </w:r>
      <w:r>
        <w:rPr>
          <w:color w:val="231F20"/>
          <w:spacing w:val="13"/>
          <w:w w:val="101"/>
        </w:rPr>
        <w:t xml:space="preserve"> </w:t>
      </w:r>
      <w:r>
        <w:rPr>
          <w:color w:val="231F20"/>
        </w:rPr>
        <w:t>appendicitis treated</w:t>
      </w:r>
      <w:r>
        <w:rPr>
          <w:color w:val="231F20"/>
          <w:spacing w:val="11"/>
          <w:w w:val="102"/>
        </w:rPr>
        <w:t xml:space="preserve"> </w:t>
      </w:r>
      <w:r>
        <w:rPr>
          <w:color w:val="231F20"/>
        </w:rPr>
        <w:t>in</w:t>
      </w:r>
      <w:r>
        <w:rPr>
          <w:color w:val="231F20"/>
          <w:spacing w:val="12"/>
          <w:w w:val="102"/>
        </w:rPr>
        <w:t xml:space="preserve"> </w:t>
      </w:r>
      <w:r>
        <w:rPr>
          <w:color w:val="231F20"/>
        </w:rPr>
        <w:t>our hospital</w:t>
      </w:r>
      <w:r>
        <w:rPr>
          <w:color w:val="231F20"/>
          <w:spacing w:val="8"/>
        </w:rPr>
        <w:t xml:space="preserve"> </w:t>
      </w:r>
      <w:r>
        <w:rPr>
          <w:color w:val="231F20"/>
        </w:rPr>
        <w:t>were</w:t>
      </w:r>
      <w:r>
        <w:rPr>
          <w:color w:val="231F20"/>
          <w:spacing w:val="16"/>
        </w:rPr>
        <w:t xml:space="preserve"> </w:t>
      </w:r>
      <w:r>
        <w:rPr>
          <w:color w:val="231F20"/>
        </w:rPr>
        <w:t>selected</w:t>
      </w:r>
      <w:r>
        <w:rPr>
          <w:color w:val="231F20"/>
          <w:spacing w:val="12"/>
          <w:w w:val="102"/>
        </w:rPr>
        <w:t xml:space="preserve"> </w:t>
      </w:r>
      <w:r>
        <w:rPr>
          <w:color w:val="231F20"/>
        </w:rPr>
        <w:t>as</w:t>
      </w:r>
      <w:r>
        <w:rPr>
          <w:color w:val="231F20"/>
          <w:spacing w:val="9"/>
        </w:rPr>
        <w:t xml:space="preserve"> </w:t>
      </w:r>
      <w:r>
        <w:rPr>
          <w:color w:val="231F20"/>
        </w:rPr>
        <w:t>t</w:t>
      </w:r>
      <w:r>
        <w:rPr>
          <w:color w:val="231F20"/>
          <w:spacing w:val="-1"/>
        </w:rPr>
        <w:t>he</w:t>
      </w:r>
      <w:r>
        <w:rPr>
          <w:color w:val="231F20"/>
          <w:spacing w:val="9"/>
        </w:rPr>
        <w:t xml:space="preserve"> </w:t>
      </w:r>
      <w:r>
        <w:rPr>
          <w:color w:val="231F20"/>
          <w:spacing w:val="-1"/>
        </w:rPr>
        <w:t>research</w:t>
      </w:r>
      <w:r>
        <w:rPr>
          <w:color w:val="231F20"/>
          <w:spacing w:val="12"/>
          <w:w w:val="102"/>
        </w:rPr>
        <w:t xml:space="preserve"> </w:t>
      </w:r>
      <w:r>
        <w:rPr>
          <w:color w:val="231F20"/>
          <w:spacing w:val="-1"/>
        </w:rPr>
        <w:t>objects. All</w:t>
      </w:r>
      <w:r>
        <w:rPr>
          <w:color w:val="231F20"/>
          <w:spacing w:val="13"/>
        </w:rPr>
        <w:t xml:space="preserve"> </w:t>
      </w:r>
      <w:r>
        <w:rPr>
          <w:color w:val="231F20"/>
          <w:spacing w:val="-1"/>
        </w:rPr>
        <w:t>of them</w:t>
      </w:r>
      <w:r>
        <w:rPr>
          <w:color w:val="231F20"/>
        </w:rPr>
        <w:t xml:space="preserve"> </w:t>
      </w:r>
      <w:r>
        <w:rPr>
          <w:color w:val="231F20"/>
        </w:rPr>
        <w:t>successfully completed laparoscopic appendectomy and received anti-infective treatment after operation.</w:t>
      </w:r>
      <w:r>
        <w:rPr>
          <w:color w:val="231F20"/>
          <w:spacing w:val="-7"/>
        </w:rPr>
        <w:t xml:space="preserve"> </w:t>
      </w:r>
      <w:r>
        <w:rPr>
          <w:color w:val="231F20"/>
        </w:rPr>
        <w:t>Ac</w:t>
      </w:r>
      <w:r>
        <w:rPr>
          <w:color w:val="231F20"/>
          <w:spacing w:val="-1"/>
        </w:rPr>
        <w:t>cording</w:t>
      </w:r>
      <w:r>
        <w:rPr>
          <w:color w:val="231F20"/>
          <w:spacing w:val="1"/>
        </w:rPr>
        <w:t xml:space="preserve"> </w:t>
      </w:r>
      <w:r>
        <w:rPr>
          <w:color w:val="231F20"/>
          <w:spacing w:val="-1"/>
        </w:rPr>
        <w:t>to</w:t>
      </w:r>
      <w:r>
        <w:rPr>
          <w:color w:val="231F20"/>
          <w:spacing w:val="1"/>
        </w:rPr>
        <w:t xml:space="preserve"> </w:t>
      </w:r>
      <w:r>
        <w:rPr>
          <w:color w:val="231F20"/>
          <w:spacing w:val="-1"/>
        </w:rPr>
        <w:t>the</w:t>
      </w:r>
      <w:r>
        <w:rPr>
          <w:color w:val="231F20"/>
          <w:spacing w:val="5"/>
        </w:rPr>
        <w:t xml:space="preserve"> </w:t>
      </w:r>
      <w:r>
        <w:rPr>
          <w:color w:val="231F20"/>
          <w:spacing w:val="-1"/>
        </w:rPr>
        <w:t>grouping</w:t>
      </w:r>
      <w:r>
        <w:rPr>
          <w:color w:val="231F20"/>
          <w:spacing w:val="1"/>
        </w:rPr>
        <w:t xml:space="preserve"> </w:t>
      </w:r>
      <w:r>
        <w:rPr>
          <w:color w:val="231F20"/>
          <w:spacing w:val="-1"/>
        </w:rPr>
        <w:t>time,</w:t>
      </w:r>
      <w:r>
        <w:rPr>
          <w:color w:val="231F20"/>
          <w:spacing w:val="1"/>
        </w:rPr>
        <w:t xml:space="preserve"> </w:t>
      </w:r>
      <w:r>
        <w:rPr>
          <w:color w:val="231F20"/>
          <w:spacing w:val="-1"/>
        </w:rPr>
        <w:t>the</w:t>
      </w:r>
      <w:r>
        <w:rPr>
          <w:color w:val="231F20"/>
          <w:spacing w:val="5"/>
        </w:rPr>
        <w:t xml:space="preserve"> </w:t>
      </w:r>
      <w:r>
        <w:rPr>
          <w:color w:val="231F20"/>
          <w:spacing w:val="-1"/>
        </w:rPr>
        <w:t>control</w:t>
      </w:r>
      <w:r>
        <w:rPr>
          <w:color w:val="231F20"/>
          <w:spacing w:val="4"/>
        </w:rPr>
        <w:t xml:space="preserve"> </w:t>
      </w:r>
      <w:r>
        <w:rPr>
          <w:color w:val="231F20"/>
          <w:spacing w:val="-1"/>
        </w:rPr>
        <w:t>group</w:t>
      </w:r>
      <w:r>
        <w:rPr>
          <w:color w:val="231F20"/>
          <w:spacing w:val="1"/>
        </w:rPr>
        <w:t xml:space="preserve"> </w:t>
      </w:r>
      <w:r>
        <w:rPr>
          <w:color w:val="231F20"/>
          <w:spacing w:val="-1"/>
        </w:rPr>
        <w:t>was</w:t>
      </w:r>
      <w:r>
        <w:rPr>
          <w:color w:val="231F20"/>
        </w:rPr>
        <w:t xml:space="preserve"> </w:t>
      </w:r>
      <w:r>
        <w:rPr>
          <w:color w:val="231F20"/>
        </w:rPr>
        <w:t>given routine nursing, and the observation group received root cause analysis nursing</w:t>
      </w:r>
      <w:r>
        <w:rPr>
          <w:color w:val="231F20"/>
          <w:spacing w:val="5"/>
        </w:rPr>
        <w:t xml:space="preserve"> </w:t>
      </w:r>
      <w:r>
        <w:rPr>
          <w:color w:val="231F20"/>
        </w:rPr>
        <w:t>intervention. The</w:t>
      </w:r>
      <w:r>
        <w:rPr>
          <w:color w:val="231F20"/>
          <w:spacing w:val="5"/>
        </w:rPr>
        <w:t xml:space="preserve"> </w:t>
      </w:r>
      <w:r>
        <w:rPr>
          <w:color w:val="231F20"/>
        </w:rPr>
        <w:t>changes</w:t>
      </w:r>
      <w:r>
        <w:rPr>
          <w:color w:val="231F20"/>
          <w:spacing w:val="5"/>
        </w:rPr>
        <w:t xml:space="preserve"> </w:t>
      </w:r>
      <w:r>
        <w:rPr>
          <w:color w:val="231F20"/>
        </w:rPr>
        <w:t>of</w:t>
      </w:r>
      <w:r>
        <w:rPr>
          <w:color w:val="231F20"/>
          <w:spacing w:val="-11"/>
        </w:rPr>
        <w:t xml:space="preserve"> </w:t>
      </w:r>
      <w:r>
        <w:rPr>
          <w:color w:val="231F20"/>
        </w:rPr>
        <w:t>inﬂammatory</w:t>
      </w:r>
      <w:r>
        <w:rPr>
          <w:color w:val="231F20"/>
          <w:spacing w:val="6"/>
        </w:rPr>
        <w:t xml:space="preserve"> </w:t>
      </w:r>
      <w:r>
        <w:rPr>
          <w:color w:val="231F20"/>
        </w:rPr>
        <w:t>fa</w:t>
      </w:r>
      <w:r>
        <w:rPr>
          <w:color w:val="231F20"/>
          <w:spacing w:val="-1"/>
        </w:rPr>
        <w:t>ctor</w:t>
      </w:r>
      <w:r>
        <w:rPr>
          <w:color w:val="231F20"/>
          <w:spacing w:val="3"/>
        </w:rPr>
        <w:t xml:space="preserve"> </w:t>
      </w:r>
      <w:r>
        <w:rPr>
          <w:color w:val="231F20"/>
          <w:spacing w:val="-1"/>
        </w:rPr>
        <w:t>levels</w:t>
      </w:r>
      <w:r>
        <w:rPr>
          <w:color w:val="231F20"/>
          <w:spacing w:val="6"/>
        </w:rPr>
        <w:t xml:space="preserve"> </w:t>
      </w:r>
      <w:r>
        <w:rPr>
          <w:color w:val="231F20"/>
          <w:spacing w:val="-1"/>
        </w:rPr>
        <w:t>and the</w:t>
      </w:r>
      <w:r>
        <w:rPr>
          <w:color w:val="231F20"/>
          <w:spacing w:val="4"/>
        </w:rPr>
        <w:t xml:space="preserve"> </w:t>
      </w:r>
      <w:r>
        <w:rPr>
          <w:color w:val="231F20"/>
          <w:spacing w:val="-1"/>
        </w:rPr>
        <w:t>incidence</w:t>
      </w:r>
      <w:r>
        <w:rPr>
          <w:color w:val="231F20"/>
        </w:rPr>
        <w:t xml:space="preserve"> </w:t>
      </w:r>
      <w:r>
        <w:rPr>
          <w:color w:val="231F20"/>
        </w:rPr>
        <w:t>of postoperative</w:t>
      </w:r>
      <w:r>
        <w:rPr>
          <w:color w:val="231F20"/>
          <w:spacing w:val="17"/>
          <w:w w:val="102"/>
        </w:rPr>
        <w:t xml:space="preserve"> </w:t>
      </w:r>
      <w:r>
        <w:rPr>
          <w:color w:val="231F20"/>
        </w:rPr>
        <w:t>infection</w:t>
      </w:r>
      <w:r>
        <w:rPr>
          <w:color w:val="231F20"/>
          <w:spacing w:val="13"/>
          <w:w w:val="101"/>
        </w:rPr>
        <w:t xml:space="preserve"> </w:t>
      </w:r>
      <w:r>
        <w:rPr>
          <w:color w:val="231F20"/>
        </w:rPr>
        <w:t>were</w:t>
      </w:r>
      <w:r>
        <w:rPr>
          <w:color w:val="231F20"/>
          <w:spacing w:val="18"/>
        </w:rPr>
        <w:t xml:space="preserve"> </w:t>
      </w:r>
      <w:r>
        <w:rPr>
          <w:color w:val="231F20"/>
        </w:rPr>
        <w:t>compared</w:t>
      </w:r>
      <w:r>
        <w:rPr>
          <w:color w:val="231F20"/>
          <w:spacing w:val="12"/>
          <w:w w:val="101"/>
        </w:rPr>
        <w:t xml:space="preserve"> </w:t>
      </w:r>
      <w:r>
        <w:rPr>
          <w:color w:val="231F20"/>
        </w:rPr>
        <w:t>between</w:t>
      </w:r>
      <w:r>
        <w:rPr>
          <w:color w:val="231F20"/>
          <w:spacing w:val="14"/>
        </w:rPr>
        <w:t xml:space="preserve"> </w:t>
      </w:r>
      <w:r>
        <w:rPr>
          <w:color w:val="231F20"/>
        </w:rPr>
        <w:t>the</w:t>
      </w:r>
      <w:r>
        <w:rPr>
          <w:color w:val="231F20"/>
          <w:spacing w:val="14"/>
          <w:w w:val="101"/>
        </w:rPr>
        <w:t xml:space="preserve"> </w:t>
      </w:r>
      <w:r>
        <w:rPr>
          <w:color w:val="231F20"/>
        </w:rPr>
        <w:t>two</w:t>
      </w:r>
      <w:r>
        <w:rPr>
          <w:color w:val="231F20"/>
          <w:spacing w:val="17"/>
          <w:w w:val="101"/>
        </w:rPr>
        <w:t xml:space="preserve"> </w:t>
      </w:r>
      <w:r>
        <w:rPr>
          <w:color w:val="231F20"/>
        </w:rPr>
        <w:t>groups.</w:t>
      </w:r>
      <w:r>
        <w:rPr>
          <w:color w:val="231F20"/>
          <w:spacing w:val="15"/>
          <w:w w:val="101"/>
        </w:rPr>
        <w:t xml:space="preserve"> </w:t>
      </w:r>
      <w:r>
        <w:rPr>
          <w:b/>
          <w:bCs/>
          <w:color w:val="231F20"/>
        </w:rPr>
        <w:t>Results:</w:t>
      </w:r>
      <w:r>
        <w:rPr>
          <w:b/>
          <w:bCs/>
          <w:color w:val="231F20"/>
          <w:spacing w:val="14"/>
        </w:rPr>
        <w:t xml:space="preserve"> </w:t>
      </w:r>
      <w:r>
        <w:rPr>
          <w:color w:val="231F20"/>
        </w:rPr>
        <w:t>After</w:t>
      </w:r>
      <w:r>
        <w:rPr>
          <w:color w:val="231F20"/>
          <w:spacing w:val="16"/>
          <w:w w:val="101"/>
        </w:rPr>
        <w:t xml:space="preserve"> </w:t>
      </w:r>
      <w:r>
        <w:rPr>
          <w:color w:val="231F20"/>
        </w:rPr>
        <w:t>intervention,</w:t>
      </w:r>
      <w:r>
        <w:rPr>
          <w:color w:val="231F20"/>
          <w:spacing w:val="14"/>
        </w:rPr>
        <w:t xml:space="preserve"> </w:t>
      </w:r>
      <w:r>
        <w:rPr>
          <w:color w:val="231F20"/>
        </w:rPr>
        <w:t>the</w:t>
      </w:r>
      <w:r>
        <w:rPr>
          <w:color w:val="231F20"/>
          <w:spacing w:val="17"/>
          <w:w w:val="101"/>
        </w:rPr>
        <w:t xml:space="preserve"> </w:t>
      </w:r>
      <w:r>
        <w:rPr>
          <w:color w:val="231F20"/>
        </w:rPr>
        <w:t>levels</w:t>
      </w:r>
      <w:r>
        <w:rPr>
          <w:color w:val="231F20"/>
          <w:spacing w:val="18"/>
        </w:rPr>
        <w:t xml:space="preserve"> </w:t>
      </w:r>
      <w:r>
        <w:rPr>
          <w:color w:val="231F20"/>
        </w:rPr>
        <w:t>of interleukin-6</w:t>
      </w:r>
      <w:r>
        <w:rPr>
          <w:color w:val="231F20"/>
          <w:spacing w:val="18"/>
          <w:w w:val="102"/>
        </w:rPr>
        <w:t xml:space="preserve"> </w:t>
      </w:r>
      <w:r>
        <w:rPr>
          <w:color w:val="231F20"/>
        </w:rPr>
        <w:t>(IL-6),</w:t>
      </w:r>
      <w:r>
        <w:rPr>
          <w:color w:val="231F20"/>
          <w:spacing w:val="18"/>
        </w:rPr>
        <w:t xml:space="preserve"> </w:t>
      </w:r>
      <w:r>
        <w:rPr>
          <w:color w:val="231F20"/>
        </w:rPr>
        <w:t>C-reactive</w:t>
      </w:r>
      <w:r>
        <w:rPr>
          <w:color w:val="231F20"/>
          <w:spacing w:val="12"/>
          <w:w w:val="102"/>
        </w:rPr>
        <w:t xml:space="preserve"> </w:t>
      </w:r>
      <w:r>
        <w:rPr>
          <w:color w:val="231F20"/>
        </w:rPr>
        <w:t>pr</w:t>
      </w:r>
      <w:r>
        <w:rPr>
          <w:color w:val="231F20"/>
          <w:spacing w:val="-1"/>
        </w:rPr>
        <w:t>otein</w:t>
      </w:r>
      <w:r>
        <w:rPr>
          <w:color w:val="231F20"/>
          <w:spacing w:val="18"/>
          <w:w w:val="102"/>
        </w:rPr>
        <w:t xml:space="preserve"> </w:t>
      </w:r>
      <w:r>
        <w:rPr>
          <w:color w:val="231F20"/>
          <w:spacing w:val="-1"/>
        </w:rPr>
        <w:t>(CRP),</w:t>
      </w:r>
      <w:r>
        <w:rPr>
          <w:color w:val="231F20"/>
        </w:rPr>
        <w:t xml:space="preserve"> </w:t>
      </w:r>
      <w:r>
        <w:rPr>
          <w:color w:val="231F20"/>
        </w:rPr>
        <w:t>tumor necrosis</w:t>
      </w:r>
      <w:r>
        <w:rPr>
          <w:color w:val="231F20"/>
          <w:spacing w:val="15"/>
        </w:rPr>
        <w:t xml:space="preserve"> </w:t>
      </w:r>
      <w:r>
        <w:rPr>
          <w:color w:val="231F20"/>
        </w:rPr>
        <w:t>factor-α</w:t>
      </w:r>
      <w:r>
        <w:rPr>
          <w:color w:val="231F20"/>
          <w:spacing w:val="14"/>
          <w:w w:val="101"/>
        </w:rPr>
        <w:t xml:space="preserve"> </w:t>
      </w:r>
      <w:r>
        <w:rPr>
          <w:color w:val="231F20"/>
        </w:rPr>
        <w:t>(TNF-α)</w:t>
      </w:r>
      <w:r>
        <w:rPr>
          <w:color w:val="231F20"/>
          <w:spacing w:val="14"/>
        </w:rPr>
        <w:t xml:space="preserve"> </w:t>
      </w:r>
      <w:r>
        <w:rPr>
          <w:color w:val="231F20"/>
        </w:rPr>
        <w:t>and</w:t>
      </w:r>
      <w:r>
        <w:rPr>
          <w:color w:val="231F20"/>
          <w:spacing w:val="9"/>
          <w:w w:val="102"/>
        </w:rPr>
        <w:t xml:space="preserve"> </w:t>
      </w:r>
      <w:r>
        <w:rPr>
          <w:color w:val="231F20"/>
        </w:rPr>
        <w:t>the</w:t>
      </w:r>
      <w:r>
        <w:rPr>
          <w:color w:val="231F20"/>
          <w:spacing w:val="9"/>
          <w:w w:val="102"/>
        </w:rPr>
        <w:t xml:space="preserve"> </w:t>
      </w:r>
      <w:r>
        <w:rPr>
          <w:color w:val="231F20"/>
        </w:rPr>
        <w:t>total</w:t>
      </w:r>
      <w:r>
        <w:rPr>
          <w:color w:val="231F20"/>
          <w:spacing w:val="12"/>
          <w:w w:val="102"/>
        </w:rPr>
        <w:t xml:space="preserve"> </w:t>
      </w:r>
      <w:r>
        <w:rPr>
          <w:color w:val="231F20"/>
        </w:rPr>
        <w:t>incidence</w:t>
      </w:r>
      <w:r>
        <w:rPr>
          <w:color w:val="231F20"/>
          <w:spacing w:val="13"/>
          <w:w w:val="101"/>
        </w:rPr>
        <w:t xml:space="preserve"> </w:t>
      </w:r>
      <w:r>
        <w:rPr>
          <w:color w:val="231F20"/>
        </w:rPr>
        <w:t>of infection</w:t>
      </w:r>
      <w:r>
        <w:rPr>
          <w:color w:val="231F20"/>
          <w:spacing w:val="12"/>
          <w:w w:val="102"/>
        </w:rPr>
        <w:t xml:space="preserve"> </w:t>
      </w:r>
      <w:r>
        <w:rPr>
          <w:color w:val="231F20"/>
        </w:rPr>
        <w:t>in</w:t>
      </w:r>
      <w:r>
        <w:rPr>
          <w:color w:val="231F20"/>
          <w:spacing w:val="13"/>
          <w:w w:val="101"/>
        </w:rPr>
        <w:t xml:space="preserve"> </w:t>
      </w:r>
      <w:r>
        <w:rPr>
          <w:color w:val="231F20"/>
        </w:rPr>
        <w:t>observation</w:t>
      </w:r>
      <w:r>
        <w:rPr>
          <w:color w:val="231F20"/>
          <w:spacing w:val="13"/>
        </w:rPr>
        <w:t xml:space="preserve"> </w:t>
      </w:r>
      <w:r>
        <w:rPr>
          <w:color w:val="231F20"/>
        </w:rPr>
        <w:t>group</w:t>
      </w:r>
      <w:r>
        <w:rPr>
          <w:color w:val="231F20"/>
          <w:spacing w:val="9"/>
          <w:w w:val="101"/>
        </w:rPr>
        <w:t xml:space="preserve"> </w:t>
      </w:r>
      <w:r>
        <w:rPr>
          <w:color w:val="231F20"/>
          <w:spacing w:val="-1"/>
        </w:rPr>
        <w:t>were</w:t>
      </w:r>
      <w:r>
        <w:rPr>
          <w:color w:val="231F20"/>
          <w:spacing w:val="12"/>
          <w:w w:val="102"/>
        </w:rPr>
        <w:t xml:space="preserve"> </w:t>
      </w:r>
      <w:r>
        <w:rPr>
          <w:color w:val="231F20"/>
          <w:spacing w:val="-1"/>
        </w:rPr>
        <w:t>lower than</w:t>
      </w:r>
      <w:r>
        <w:rPr>
          <w:color w:val="231F20"/>
          <w:spacing w:val="10"/>
        </w:rPr>
        <w:t xml:space="preserve"> </w:t>
      </w:r>
      <w:r>
        <w:rPr>
          <w:color w:val="231F20"/>
          <w:spacing w:val="-1"/>
        </w:rPr>
        <w:t>those</w:t>
      </w:r>
      <w:r>
        <w:rPr>
          <w:color w:val="231F20"/>
          <w:spacing w:val="12"/>
          <w:w w:val="102"/>
        </w:rPr>
        <w:t xml:space="preserve"> </w:t>
      </w:r>
      <w:r>
        <w:rPr>
          <w:color w:val="231F20"/>
          <w:spacing w:val="-1"/>
        </w:rPr>
        <w:t>in</w:t>
      </w:r>
      <w:r>
        <w:rPr>
          <w:color w:val="231F20"/>
          <w:spacing w:val="13"/>
          <w:w w:val="101"/>
        </w:rPr>
        <w:t xml:space="preserve"> </w:t>
      </w:r>
      <w:r>
        <w:rPr>
          <w:color w:val="231F20"/>
          <w:spacing w:val="-1"/>
        </w:rPr>
        <w:t>control</w:t>
      </w:r>
      <w:r>
        <w:rPr>
          <w:color w:val="231F20"/>
          <w:spacing w:val="13"/>
        </w:rPr>
        <w:t xml:space="preserve"> </w:t>
      </w:r>
      <w:r>
        <w:rPr>
          <w:color w:val="231F20"/>
          <w:spacing w:val="-1"/>
        </w:rPr>
        <w:t>group</w:t>
      </w:r>
      <w:r>
        <w:rPr>
          <w:color w:val="231F20"/>
          <w:spacing w:val="14"/>
          <w:w w:val="101"/>
        </w:rPr>
        <w:t xml:space="preserve"> </w:t>
      </w:r>
      <w:r>
        <w:rPr>
          <w:color w:val="231F20"/>
          <w:spacing w:val="-1"/>
        </w:rPr>
        <w:t>(</w:t>
      </w:r>
      <w:r>
        <w:rPr>
          <w:i/>
          <w:iCs/>
          <w:color w:val="231F20"/>
          <w:spacing w:val="-1"/>
        </w:rPr>
        <w:t>P&lt;</w:t>
      </w:r>
      <w:r>
        <w:rPr>
          <w:color w:val="231F20"/>
          <w:spacing w:val="-1"/>
        </w:rPr>
        <w:t>0.05).</w:t>
      </w:r>
      <w:r>
        <w:rPr>
          <w:color w:val="231F20"/>
          <w:spacing w:val="14"/>
          <w:w w:val="101"/>
        </w:rPr>
        <w:t xml:space="preserve"> </w:t>
      </w:r>
      <w:r>
        <w:rPr>
          <w:b/>
          <w:bCs/>
          <w:color w:val="231F20"/>
          <w:spacing w:val="-1"/>
        </w:rPr>
        <w:t>Conclusion:</w:t>
      </w:r>
      <w:r>
        <w:rPr>
          <w:b/>
          <w:bCs/>
          <w:color w:val="231F20"/>
          <w:spacing w:val="11"/>
        </w:rPr>
        <w:t xml:space="preserve"> </w:t>
      </w:r>
      <w:r>
        <w:rPr>
          <w:color w:val="231F20"/>
          <w:spacing w:val="-1"/>
        </w:rPr>
        <w:t>For</w:t>
      </w:r>
      <w:r>
        <w:rPr>
          <w:color w:val="231F20"/>
        </w:rPr>
        <w:t xml:space="preserve"> </w:t>
      </w:r>
      <w:r>
        <w:rPr>
          <w:color w:val="231F20"/>
        </w:rPr>
        <w:t>patients</w:t>
      </w:r>
      <w:r>
        <w:rPr>
          <w:color w:val="231F20"/>
          <w:spacing w:val="16"/>
        </w:rPr>
        <w:t xml:space="preserve"> </w:t>
      </w:r>
      <w:r>
        <w:rPr>
          <w:color w:val="231F20"/>
        </w:rPr>
        <w:t>with</w:t>
      </w:r>
      <w:r>
        <w:rPr>
          <w:color w:val="231F20"/>
          <w:spacing w:val="19"/>
        </w:rPr>
        <w:t xml:space="preserve"> </w:t>
      </w:r>
      <w:r>
        <w:rPr>
          <w:color w:val="231F20"/>
        </w:rPr>
        <w:t>appendicitis</w:t>
      </w:r>
      <w:r>
        <w:rPr>
          <w:color w:val="231F20"/>
          <w:spacing w:val="3"/>
        </w:rPr>
        <w:t>,</w:t>
      </w:r>
      <w:r>
        <w:rPr>
          <w:color w:val="231F20"/>
          <w:spacing w:val="18"/>
        </w:rPr>
        <w:t xml:space="preserve"> </w:t>
      </w:r>
      <w:r>
        <w:rPr>
          <w:color w:val="231F20"/>
        </w:rPr>
        <w:t>it</w:t>
      </w:r>
      <w:r>
        <w:rPr>
          <w:color w:val="231F20"/>
          <w:spacing w:val="17"/>
          <w:w w:val="102"/>
        </w:rPr>
        <w:t xml:space="preserve"> </w:t>
      </w:r>
      <w:r>
        <w:rPr>
          <w:color w:val="231F20"/>
        </w:rPr>
        <w:t>is</w:t>
      </w:r>
      <w:r>
        <w:rPr>
          <w:color w:val="231F20"/>
          <w:spacing w:val="19"/>
          <w:w w:val="101"/>
        </w:rPr>
        <w:t xml:space="preserve"> </w:t>
      </w:r>
      <w:r>
        <w:rPr>
          <w:color w:val="231F20"/>
        </w:rPr>
        <w:t>feasible</w:t>
      </w:r>
      <w:r>
        <w:rPr>
          <w:color w:val="231F20"/>
          <w:spacing w:val="15"/>
          <w:w w:val="101"/>
        </w:rPr>
        <w:t xml:space="preserve"> </w:t>
      </w:r>
      <w:r>
        <w:rPr>
          <w:color w:val="231F20"/>
        </w:rPr>
        <w:t>to</w:t>
      </w:r>
      <w:r>
        <w:rPr>
          <w:color w:val="231F20"/>
          <w:spacing w:val="19"/>
        </w:rPr>
        <w:t xml:space="preserve"> </w:t>
      </w:r>
      <w:r>
        <w:rPr>
          <w:color w:val="231F20"/>
        </w:rPr>
        <w:t>adopt</w:t>
      </w:r>
      <w:r>
        <w:rPr>
          <w:color w:val="231F20"/>
          <w:spacing w:val="14"/>
          <w:w w:val="102"/>
        </w:rPr>
        <w:t xml:space="preserve"> </w:t>
      </w:r>
      <w:r>
        <w:rPr>
          <w:color w:val="231F20"/>
        </w:rPr>
        <w:t>the</w:t>
      </w:r>
      <w:r>
        <w:rPr>
          <w:color w:val="231F20"/>
          <w:spacing w:val="14"/>
          <w:w w:val="101"/>
        </w:rPr>
        <w:t xml:space="preserve"> </w:t>
      </w:r>
      <w:r>
        <w:rPr>
          <w:color w:val="231F20"/>
        </w:rPr>
        <w:t>nursing</w:t>
      </w:r>
      <w:r>
        <w:rPr>
          <w:color w:val="231F20"/>
          <w:spacing w:val="15"/>
        </w:rPr>
        <w:t xml:space="preserve"> </w:t>
      </w:r>
      <w:r>
        <w:rPr>
          <w:color w:val="231F20"/>
        </w:rPr>
        <w:t>method</w:t>
      </w:r>
      <w:r>
        <w:rPr>
          <w:color w:val="231F20"/>
          <w:spacing w:val="18"/>
          <w:w w:val="101"/>
        </w:rPr>
        <w:t xml:space="preserve"> </w:t>
      </w:r>
      <w:r>
        <w:rPr>
          <w:color w:val="231F20"/>
        </w:rPr>
        <w:t>of</w:t>
      </w:r>
      <w:r>
        <w:rPr>
          <w:color w:val="231F20"/>
          <w:spacing w:val="3"/>
        </w:rPr>
        <w:t xml:space="preserve"> </w:t>
      </w:r>
      <w:r>
        <w:rPr>
          <w:color w:val="231F20"/>
        </w:rPr>
        <w:t>root</w:t>
      </w:r>
      <w:r>
        <w:rPr>
          <w:color w:val="231F20"/>
          <w:spacing w:val="18"/>
          <w:w w:val="102"/>
        </w:rPr>
        <w:t xml:space="preserve"> </w:t>
      </w:r>
      <w:r>
        <w:rPr>
          <w:color w:val="231F20"/>
        </w:rPr>
        <w:t>cause</w:t>
      </w:r>
      <w:r>
        <w:rPr>
          <w:color w:val="231F20"/>
          <w:spacing w:val="19"/>
        </w:rPr>
        <w:t xml:space="preserve"> </w:t>
      </w:r>
      <w:r>
        <w:rPr>
          <w:color w:val="231F20"/>
        </w:rPr>
        <w:t>analysis</w:t>
      </w:r>
      <w:r>
        <w:rPr>
          <w:color w:val="231F20"/>
          <w:spacing w:val="18"/>
          <w:w w:val="101"/>
        </w:rPr>
        <w:t xml:space="preserve"> </w:t>
      </w:r>
      <w:r>
        <w:rPr>
          <w:color w:val="231F20"/>
        </w:rPr>
        <w:t>during</w:t>
      </w:r>
      <w:r>
        <w:rPr>
          <w:color w:val="231F20"/>
          <w:spacing w:val="13"/>
          <w:w w:val="101"/>
        </w:rPr>
        <w:t xml:space="preserve"> </w:t>
      </w:r>
      <w:r>
        <w:rPr>
          <w:color w:val="231F20"/>
        </w:rPr>
        <w:t>postoperative</w:t>
      </w:r>
      <w:r>
        <w:rPr>
          <w:color w:val="231F20"/>
          <w:spacing w:val="19"/>
        </w:rPr>
        <w:t xml:space="preserve"> </w:t>
      </w:r>
      <w:r>
        <w:rPr>
          <w:color w:val="231F20"/>
        </w:rPr>
        <w:t>antibiotic</w:t>
      </w:r>
      <w:r>
        <w:rPr>
          <w:color w:val="231F20"/>
          <w:spacing w:val="15"/>
        </w:rPr>
        <w:t xml:space="preserve"> </w:t>
      </w:r>
      <w:r>
        <w:rPr>
          <w:color w:val="231F20"/>
        </w:rPr>
        <w:t>treatment</w:t>
      </w:r>
      <w:r>
        <w:rPr>
          <w:color w:val="231F20"/>
          <w:spacing w:val="3"/>
        </w:rPr>
        <w:t>,</w:t>
      </w:r>
      <w:r>
        <w:rPr>
          <w:color w:val="231F20"/>
          <w:spacing w:val="14"/>
          <w:w w:val="102"/>
        </w:rPr>
        <w:t xml:space="preserve"> </w:t>
      </w:r>
      <w:r>
        <w:rPr>
          <w:color w:val="231F20"/>
        </w:rPr>
        <w:t>which</w:t>
      </w:r>
      <w:r>
        <w:rPr>
          <w:color w:val="231F20"/>
          <w:spacing w:val="18"/>
          <w:w w:val="101"/>
        </w:rPr>
        <w:t xml:space="preserve"> </w:t>
      </w:r>
      <w:r>
        <w:rPr>
          <w:color w:val="231F20"/>
        </w:rPr>
        <w:t>can</w:t>
      </w:r>
      <w:r>
        <w:rPr>
          <w:color w:val="231F20"/>
          <w:spacing w:val="19"/>
          <w:w w:val="101"/>
        </w:rPr>
        <w:t xml:space="preserve"> </w:t>
      </w:r>
      <w:r>
        <w:rPr>
          <w:color w:val="231F20"/>
        </w:rPr>
        <w:t>e</w:t>
      </w:r>
      <w:r>
        <w:rPr>
          <w:color w:val="231F20"/>
          <w:spacing w:val="3"/>
        </w:rPr>
        <w:t>ﬀ</w:t>
      </w:r>
      <w:r>
        <w:rPr>
          <w:color w:val="231F20"/>
        </w:rPr>
        <w:t>ectively </w:t>
      </w:r>
      <w:r>
        <w:rPr>
          <w:color w:val="231F20"/>
        </w:rPr>
        <w:t>inhibit the level of</w:t>
      </w:r>
      <w:r>
        <w:rPr>
          <w:color w:val="231F20"/>
          <w:spacing w:val="1"/>
        </w:rPr>
        <w:t xml:space="preserve"> </w:t>
      </w:r>
      <w:r>
        <w:rPr>
          <w:color w:val="231F20"/>
        </w:rPr>
        <w:t>inﬂammatory factors in the body, thus reducing the risk of</w:t>
      </w:r>
      <w:r>
        <w:rPr>
          <w:color w:val="231F20"/>
          <w:spacing w:val="-16"/>
        </w:rPr>
        <w:t xml:space="preserve"> </w:t>
      </w:r>
      <w:r>
        <w:rPr>
          <w:color w:val="231F20"/>
        </w:rPr>
        <w:t>postoperative</w:t>
      </w:r>
      <w:r>
        <w:rPr>
          <w:color w:val="231F20"/>
          <w:spacing w:val="4"/>
        </w:rPr>
        <w:t xml:space="preserve"> </w:t>
      </w:r>
      <w:r>
        <w:rPr>
          <w:color w:val="231F20"/>
        </w:rPr>
        <w:t>infection.</w:t>
      </w:r>
    </w:p>
    <w:p>
      <w:pPr>
        <w:pStyle w:val="BodyText"/>
        <w:ind w:left="604"/>
        <w:spacing w:before="23" w:line="190" w:lineRule="auto"/>
        <w:rPr/>
      </w:pPr>
      <w:r>
        <w:rPr>
          <w:b/>
          <w:bCs/>
          <w:color w:val="231F20"/>
        </w:rPr>
        <w:t>[Key words]  </w:t>
      </w:r>
      <w:r>
        <w:rPr>
          <w:color w:val="231F20"/>
        </w:rPr>
        <w:t>Appendicitis; Root cause analysis; Cefuroxime sodium; Metroni</w:t>
      </w:r>
      <w:r>
        <w:rPr>
          <w:color w:val="231F20"/>
          <w:spacing w:val="-1"/>
        </w:rPr>
        <w:t>dazole;</w:t>
      </w:r>
      <w:r>
        <w:rPr>
          <w:color w:val="231F20"/>
          <w:spacing w:val="-7"/>
        </w:rPr>
        <w:t xml:space="preserve"> </w:t>
      </w:r>
      <w:r>
        <w:rPr>
          <w:color w:val="231F20"/>
          <w:spacing w:val="-1"/>
        </w:rPr>
        <w:t>Antibiotics</w:t>
      </w:r>
    </w:p>
    <w:p>
      <w:pPr>
        <w:spacing w:before="147"/>
        <w:rPr/>
      </w:pPr>
      <w:r/>
    </w:p>
    <w:p>
      <w:pPr>
        <w:sectPr>
          <w:headerReference w:type="default" r:id="rId1"/>
          <w:pgSz w:w="11906" w:h="16158"/>
          <w:pgMar w:top="1294" w:right="1223" w:bottom="0" w:left="432" w:header="933" w:footer="0" w:gutter="0"/>
          <w:cols w:equalWidth="0" w:num="1">
            <w:col w:w="10251" w:space="0"/>
          </w:cols>
        </w:sectPr>
        <w:rPr/>
      </w:pPr>
    </w:p>
    <w:p>
      <w:pPr>
        <w:pStyle w:val="BodyText"/>
        <w:ind w:left="590" w:right="223" w:firstLine="325"/>
        <w:spacing w:before="19" w:line="206" w:lineRule="auto"/>
        <w:jc w:val="both"/>
        <w:rPr>
          <w:rFonts w:ascii="Microsoft YaHei" w:hAnsi="Microsoft YaHei" w:eastAsia="Microsoft YaHei" w:cs="Microsoft YaHei"/>
        </w:rPr>
      </w:pPr>
      <w:r>
        <w:pict>
          <v:shape id="_x0000_s10" style="position:absolute;margin-left:29.7071pt;margin-top:230.4pt;mso-position-vertical-relative:text;mso-position-horizontal-relative:text;width:89.75pt;height:0.6pt;z-index:251658240;" filled="false" strokecolor="#231F20" strokeweight="0.57pt" coordsize="1795,12" coordorigin="0,0" path="m0,5l1794,5e">
            <v:stroke joinstyle="miter" miterlimit="4"/>
          </v:shape>
        </w:pict>
      </w:r>
      <w:r>
        <w:rPr>
          <w:rFonts w:ascii="Microsoft YaHei" w:hAnsi="Microsoft YaHei" w:eastAsia="Microsoft YaHei" w:cs="Microsoft YaHei"/>
          <w:color w:val="231F20"/>
          <w:spacing w:val="6"/>
        </w:rPr>
        <w:t>阑尾炎是普外科中常见的急腹症，其发病率在各类急腹症中位</w:t>
      </w:r>
      <w:r>
        <w:rPr>
          <w:rFonts w:ascii="Microsoft YaHei" w:hAnsi="Microsoft YaHei" w:eastAsia="Microsoft YaHei" w:cs="Microsoft YaHei"/>
          <w:color w:val="231F20"/>
          <w:spacing w:val="8"/>
        </w:rPr>
        <w:t xml:space="preserve">  </w:t>
      </w:r>
      <w:r>
        <w:rPr>
          <w:rFonts w:ascii="Microsoft YaHei" w:hAnsi="Microsoft YaHei" w:eastAsia="Microsoft YaHei" w:cs="Microsoft YaHei"/>
          <w:color w:val="231F20"/>
          <w:spacing w:val="3"/>
        </w:rPr>
        <w:t>居榜首 </w:t>
      </w:r>
      <w:r>
        <w:rPr>
          <w:sz w:val="8"/>
          <w:szCs w:val="8"/>
          <w:color w:val="231F20"/>
          <w:spacing w:val="3"/>
          <w:position w:val="7"/>
        </w:rPr>
        <w:t>[1]</w:t>
      </w:r>
      <w:r>
        <w:rPr>
          <w:sz w:val="8"/>
          <w:szCs w:val="8"/>
          <w:color w:val="231F20"/>
          <w:spacing w:val="2"/>
          <w:position w:val="7"/>
        </w:rPr>
        <w:t xml:space="preserve"> </w:t>
      </w:r>
      <w:r>
        <w:rPr>
          <w:rFonts w:ascii="Microsoft YaHei" w:hAnsi="Microsoft YaHei" w:eastAsia="Microsoft YaHei" w:cs="Microsoft YaHei"/>
          <w:color w:val="231F20"/>
          <w:spacing w:val="3"/>
        </w:rPr>
        <w:t>。该病起病急骤，病情进展迅速，若未及时接受有效治疗，</w:t>
      </w:r>
      <w:r>
        <w:rPr>
          <w:rFonts w:ascii="Microsoft YaHei" w:hAnsi="Microsoft YaHei" w:eastAsia="Microsoft YaHei" w:cs="Microsoft YaHei"/>
          <w:color w:val="231F20"/>
        </w:rPr>
        <w:t xml:space="preserve"> </w:t>
      </w:r>
      <w:r>
        <w:rPr>
          <w:rFonts w:ascii="Microsoft YaHei" w:hAnsi="Microsoft YaHei" w:eastAsia="Microsoft YaHei" w:cs="Microsoft YaHei"/>
          <w:color w:val="231F20"/>
          <w:spacing w:val="5"/>
        </w:rPr>
        <w:t>可演变为坏疽性、穿孔性或化脓性阑尾炎 </w:t>
      </w:r>
      <w:r>
        <w:rPr>
          <w:sz w:val="8"/>
          <w:szCs w:val="8"/>
          <w:color w:val="231F20"/>
          <w:spacing w:val="5"/>
          <w:position w:val="7"/>
        </w:rPr>
        <w:t>[2] </w:t>
      </w:r>
      <w:r>
        <w:rPr>
          <w:rFonts w:ascii="Microsoft YaHei" w:hAnsi="Microsoft YaHei" w:eastAsia="Microsoft YaHei" w:cs="Microsoft YaHei"/>
          <w:color w:val="231F20"/>
          <w:spacing w:val="5"/>
        </w:rPr>
        <w:t>，甚至感染性休克。目</w:t>
      </w:r>
      <w:r>
        <w:rPr>
          <w:rFonts w:ascii="Microsoft YaHei" w:hAnsi="Microsoft YaHei" w:eastAsia="Microsoft YaHei" w:cs="Microsoft YaHei"/>
          <w:color w:val="231F20"/>
          <w:spacing w:val="4"/>
        </w:rPr>
        <w:t xml:space="preserve">   </w:t>
      </w:r>
      <w:r>
        <w:rPr>
          <w:rFonts w:ascii="Microsoft YaHei" w:hAnsi="Microsoft YaHei" w:eastAsia="Microsoft YaHei" w:cs="Microsoft YaHei"/>
          <w:color w:val="231F20"/>
          <w:spacing w:val="7"/>
        </w:rPr>
        <w:t>前，外科手术是急性阑尾炎的首选治疗方案，随着医疗技术持续进</w:t>
      </w:r>
      <w:r>
        <w:rPr>
          <w:rFonts w:ascii="Microsoft YaHei" w:hAnsi="Microsoft YaHei" w:eastAsia="Microsoft YaHei" w:cs="Microsoft YaHei"/>
          <w:color w:val="231F20"/>
        </w:rPr>
        <w:t xml:space="preserve">  </w:t>
      </w:r>
      <w:r>
        <w:rPr>
          <w:rFonts w:ascii="Microsoft YaHei" w:hAnsi="Microsoft YaHei" w:eastAsia="Microsoft YaHei" w:cs="Microsoft YaHei"/>
          <w:color w:val="231F20"/>
          <w:spacing w:val="7"/>
        </w:rPr>
        <w:t>步，腹腔镜在普外科应用中越来越普遍，此种手术方式创伤小、疼</w:t>
      </w:r>
      <w:r>
        <w:rPr>
          <w:rFonts w:ascii="Microsoft YaHei" w:hAnsi="Microsoft YaHei" w:eastAsia="Microsoft YaHei" w:cs="Microsoft YaHei"/>
          <w:color w:val="231F20"/>
          <w:spacing w:val="1"/>
        </w:rPr>
        <w:t xml:space="preserve">  </w:t>
      </w:r>
      <w:r>
        <w:rPr>
          <w:rFonts w:ascii="Microsoft YaHei" w:hAnsi="Microsoft YaHei" w:eastAsia="Microsoft YaHei" w:cs="Microsoft YaHei"/>
          <w:color w:val="231F20"/>
          <w:spacing w:val="1"/>
        </w:rPr>
        <w:t>痛轻、恢复快，能够减少对患者身体的损害 </w:t>
      </w:r>
      <w:r>
        <w:rPr>
          <w:sz w:val="8"/>
          <w:szCs w:val="8"/>
          <w:color w:val="231F20"/>
          <w:spacing w:val="1"/>
          <w:position w:val="7"/>
        </w:rPr>
        <w:t>[3] </w:t>
      </w:r>
      <w:r>
        <w:rPr>
          <w:rFonts w:ascii="Microsoft YaHei" w:hAnsi="Microsoft YaHei" w:eastAsia="Microsoft YaHei" w:cs="Microsoft YaHei"/>
          <w:color w:val="231F20"/>
          <w:spacing w:val="1"/>
        </w:rPr>
        <w:t>。然而，阑尾切除过程</w:t>
      </w:r>
      <w:r>
        <w:rPr>
          <w:rFonts w:ascii="Microsoft YaHei" w:hAnsi="Microsoft YaHei" w:eastAsia="Microsoft YaHei" w:cs="Microsoft YaHei"/>
          <w:color w:val="231F20"/>
          <w:spacing w:val="6"/>
        </w:rPr>
        <w:t xml:space="preserve">  </w:t>
      </w:r>
      <w:r>
        <w:rPr>
          <w:rFonts w:ascii="Microsoft YaHei" w:hAnsi="Microsoft YaHei" w:eastAsia="Microsoft YaHei" w:cs="Microsoft YaHei"/>
          <w:color w:val="231F20"/>
          <w:spacing w:val="7"/>
        </w:rPr>
        <w:t>中，不可避免地对周围脏器造成一定的牵拉和刺激，尤</w:t>
      </w:r>
      <w:r>
        <w:rPr>
          <w:rFonts w:ascii="Microsoft YaHei" w:hAnsi="Microsoft YaHei" w:eastAsia="Microsoft YaHei" w:cs="Microsoft YaHei"/>
          <w:color w:val="231F20"/>
          <w:spacing w:val="6"/>
        </w:rPr>
        <w:t>其是急性阑</w:t>
      </w:r>
      <w:r>
        <w:rPr>
          <w:rFonts w:ascii="Microsoft YaHei" w:hAnsi="Microsoft YaHei" w:eastAsia="Microsoft YaHei" w:cs="Microsoft YaHei"/>
          <w:color w:val="231F20"/>
        </w:rPr>
        <w:t xml:space="preserve">  </w:t>
      </w:r>
      <w:r>
        <w:rPr>
          <w:rFonts w:ascii="Microsoft YaHei" w:hAnsi="Microsoft YaHei" w:eastAsia="Microsoft YaHei" w:cs="Microsoft YaHei"/>
          <w:color w:val="231F20"/>
          <w:spacing w:val="7"/>
        </w:rPr>
        <w:t>尾炎伴有脓肿、穿孔或坏疽时，术后感染风险更大。而术后感染不</w:t>
      </w:r>
      <w:r>
        <w:rPr>
          <w:rFonts w:ascii="Microsoft YaHei" w:hAnsi="Microsoft YaHei" w:eastAsia="Microsoft YaHei" w:cs="Microsoft YaHei"/>
          <w:color w:val="231F20"/>
        </w:rPr>
        <w:t xml:space="preserve">  </w:t>
      </w:r>
      <w:r>
        <w:rPr>
          <w:rFonts w:ascii="Microsoft YaHei" w:hAnsi="Microsoft YaHei" w:eastAsia="Microsoft YaHei" w:cs="Microsoft YaHei"/>
          <w:color w:val="231F20"/>
          <w:spacing w:val="7"/>
        </w:rPr>
        <w:t>仅会影响患者病情恢复，还对患者的身心健康造成进一步伤害，并</w:t>
      </w:r>
      <w:r>
        <w:rPr>
          <w:rFonts w:ascii="Microsoft YaHei" w:hAnsi="Microsoft YaHei" w:eastAsia="Microsoft YaHei" w:cs="Microsoft YaHei"/>
          <w:color w:val="231F20"/>
          <w:spacing w:val="1"/>
        </w:rPr>
        <w:t xml:space="preserve">  </w:t>
      </w:r>
      <w:r>
        <w:rPr>
          <w:rFonts w:ascii="Microsoft YaHei" w:hAnsi="Microsoft YaHei" w:eastAsia="Microsoft YaHei" w:cs="Microsoft YaHei"/>
          <w:color w:val="231F20"/>
          <w:spacing w:val="1"/>
        </w:rPr>
        <w:t>显著增加家庭的经济负担 </w:t>
      </w:r>
      <w:r>
        <w:rPr>
          <w:sz w:val="8"/>
          <w:szCs w:val="8"/>
          <w:color w:val="231F20"/>
          <w:spacing w:val="1"/>
          <w:position w:val="7"/>
        </w:rPr>
        <w:t>[4] </w:t>
      </w:r>
      <w:r>
        <w:rPr>
          <w:rFonts w:ascii="Microsoft YaHei" w:hAnsi="Microsoft YaHei" w:eastAsia="Microsoft YaHei" w:cs="Microsoft YaHei"/>
          <w:color w:val="231F20"/>
          <w:spacing w:val="1"/>
        </w:rPr>
        <w:t>。因此，阑尾炎患者提供术后抗感染治疗</w:t>
      </w:r>
      <w:r>
        <w:rPr>
          <w:rFonts w:ascii="Microsoft YaHei" w:hAnsi="Microsoft YaHei" w:eastAsia="Microsoft YaHei" w:cs="Microsoft YaHei"/>
          <w:color w:val="231F20"/>
          <w:spacing w:val="6"/>
        </w:rPr>
        <w:t xml:space="preserve">  </w:t>
      </w:r>
      <w:r>
        <w:rPr>
          <w:rFonts w:ascii="Microsoft YaHei" w:hAnsi="Microsoft YaHei" w:eastAsia="Microsoft YaHei" w:cs="Microsoft YaHei"/>
          <w:color w:val="231F20"/>
          <w:spacing w:val="7"/>
        </w:rPr>
        <w:t>至关重要，同时护理是治疗中的重要组成部分，对于促进其康复具</w:t>
      </w:r>
      <w:r>
        <w:rPr>
          <w:rFonts w:ascii="Microsoft YaHei" w:hAnsi="Microsoft YaHei" w:eastAsia="Microsoft YaHei" w:cs="Microsoft YaHei"/>
          <w:color w:val="231F20"/>
          <w:spacing w:val="2"/>
        </w:rPr>
        <w:t xml:space="preserve">  </w:t>
      </w:r>
      <w:r>
        <w:rPr>
          <w:rFonts w:ascii="Microsoft YaHei" w:hAnsi="Microsoft YaHei" w:eastAsia="Microsoft YaHei" w:cs="Microsoft YaHei"/>
          <w:color w:val="231F20"/>
          <w:spacing w:val="7"/>
        </w:rPr>
        <w:t>有极其重要的意义。根因分析法作为一种追溯性护理不良事件的分</w:t>
      </w:r>
      <w:r>
        <w:rPr>
          <w:rFonts w:ascii="Microsoft YaHei" w:hAnsi="Microsoft YaHei" w:eastAsia="Microsoft YaHei" w:cs="Microsoft YaHei"/>
          <w:color w:val="231F20"/>
          <w:spacing w:val="4"/>
        </w:rPr>
        <w:t xml:space="preserve">  </w:t>
      </w:r>
      <w:r>
        <w:rPr>
          <w:rFonts w:ascii="Microsoft YaHei" w:hAnsi="Microsoft YaHei" w:eastAsia="Microsoft YaHei" w:cs="Microsoft YaHei"/>
          <w:color w:val="231F20"/>
          <w:spacing w:val="1"/>
        </w:rPr>
        <w:t>析工具，已被临床广泛应用于护理不良事件管理中</w:t>
      </w:r>
      <w:r>
        <w:rPr>
          <w:rFonts w:ascii="Microsoft YaHei" w:hAnsi="Microsoft YaHei" w:eastAsia="Microsoft YaHei" w:cs="Microsoft YaHei"/>
          <w:color w:val="231F20"/>
          <w:spacing w:val="15"/>
          <w:w w:val="101"/>
        </w:rPr>
        <w:t xml:space="preserve"> </w:t>
      </w:r>
      <w:r>
        <w:rPr>
          <w:sz w:val="8"/>
          <w:szCs w:val="8"/>
          <w:color w:val="231F20"/>
          <w:spacing w:val="1"/>
          <w:position w:val="7"/>
        </w:rPr>
        <w:t>[5] </w:t>
      </w:r>
      <w:r>
        <w:rPr>
          <w:rFonts w:ascii="Microsoft YaHei" w:hAnsi="Microsoft YaHei" w:eastAsia="Microsoft YaHei" w:cs="Microsoft YaHei"/>
          <w:color w:val="231F20"/>
          <w:spacing w:val="1"/>
        </w:rPr>
        <w:t>。通过根因分析</w:t>
      </w:r>
      <w:r>
        <w:rPr>
          <w:rFonts w:ascii="Microsoft YaHei" w:hAnsi="Microsoft YaHei" w:eastAsia="Microsoft YaHei" w:cs="Microsoft YaHei"/>
          <w:color w:val="231F20"/>
        </w:rPr>
        <w:t xml:space="preserve">  </w:t>
      </w:r>
      <w:r>
        <w:rPr>
          <w:rFonts w:ascii="Microsoft YaHei" w:hAnsi="Microsoft YaHei" w:eastAsia="Microsoft YaHei" w:cs="Microsoft YaHei"/>
          <w:color w:val="231F20"/>
          <w:spacing w:val="7"/>
        </w:rPr>
        <w:t>法，医护人员能够系统地回顾和分析患者发生不良事件的原因，从</w:t>
      </w:r>
      <w:r>
        <w:rPr>
          <w:rFonts w:ascii="Microsoft YaHei" w:hAnsi="Microsoft YaHei" w:eastAsia="Microsoft YaHei" w:cs="Microsoft YaHei"/>
          <w:color w:val="231F20"/>
          <w:spacing w:val="2"/>
        </w:rPr>
        <w:t xml:space="preserve">  </w:t>
      </w:r>
      <w:r>
        <w:rPr>
          <w:rFonts w:ascii="Microsoft YaHei" w:hAnsi="Microsoft YaHei" w:eastAsia="Microsoft YaHei" w:cs="Microsoft YaHei"/>
          <w:color w:val="231F20"/>
          <w:spacing w:val="7"/>
        </w:rPr>
        <w:t>而识别出潜在的护理缺陷和风险因素。这种方法强调</w:t>
      </w:r>
      <w:r>
        <w:rPr>
          <w:rFonts w:ascii="Microsoft YaHei" w:hAnsi="Microsoft YaHei" w:eastAsia="Microsoft YaHei" w:cs="Microsoft YaHei"/>
          <w:color w:val="231F20"/>
          <w:spacing w:val="6"/>
        </w:rPr>
        <w:t>从源头查找问</w:t>
      </w:r>
      <w:r>
        <w:rPr>
          <w:rFonts w:ascii="Microsoft YaHei" w:hAnsi="Microsoft YaHei" w:eastAsia="Microsoft YaHei" w:cs="Microsoft YaHei"/>
          <w:color w:val="231F20"/>
        </w:rPr>
        <w:t xml:space="preserve">  </w:t>
      </w:r>
      <w:r>
        <w:rPr>
          <w:rFonts w:ascii="Microsoft YaHei" w:hAnsi="Microsoft YaHei" w:eastAsia="Microsoft YaHei" w:cs="Microsoft YaHei"/>
          <w:color w:val="231F20"/>
          <w:spacing w:val="7"/>
        </w:rPr>
        <w:t>题的根源，有助于制定针对性的改进措施，以减少类似不良</w:t>
      </w:r>
      <w:r>
        <w:rPr>
          <w:rFonts w:ascii="Microsoft YaHei" w:hAnsi="Microsoft YaHei" w:eastAsia="Microsoft YaHei" w:cs="Microsoft YaHei"/>
          <w:color w:val="231F20"/>
          <w:spacing w:val="6"/>
        </w:rPr>
        <w:t>事件的</w:t>
      </w:r>
      <w:r>
        <w:rPr>
          <w:rFonts w:ascii="Microsoft YaHei" w:hAnsi="Microsoft YaHei" w:eastAsia="Microsoft YaHei" w:cs="Microsoft YaHei"/>
          <w:color w:val="231F20"/>
        </w:rPr>
        <w:t xml:space="preserve">  </w:t>
      </w:r>
      <w:r>
        <w:rPr>
          <w:rFonts w:ascii="Microsoft YaHei" w:hAnsi="Microsoft YaHei" w:eastAsia="Microsoft YaHei" w:cs="Microsoft YaHei"/>
          <w:color w:val="231F20"/>
          <w:spacing w:val="5"/>
        </w:rPr>
        <w:t>发生。崔莉萍及其团队 </w:t>
      </w:r>
      <w:r>
        <w:rPr>
          <w:sz w:val="8"/>
          <w:szCs w:val="8"/>
          <w:color w:val="231F20"/>
          <w:spacing w:val="5"/>
          <w:position w:val="7"/>
        </w:rPr>
        <w:t>[6]  </w:t>
      </w:r>
      <w:r>
        <w:rPr>
          <w:rFonts w:ascii="Microsoft YaHei" w:hAnsi="Microsoft YaHei" w:eastAsia="Microsoft YaHei" w:cs="Microsoft YaHei"/>
          <w:color w:val="231F20"/>
          <w:spacing w:val="5"/>
        </w:rPr>
        <w:t>将该护理模式应用于永久性心脏起搏器植</w:t>
      </w:r>
      <w:r>
        <w:rPr>
          <w:rFonts w:ascii="Microsoft YaHei" w:hAnsi="Microsoft YaHei" w:eastAsia="Microsoft YaHei" w:cs="Microsoft YaHei"/>
          <w:color w:val="231F20"/>
          <w:spacing w:val="6"/>
        </w:rPr>
        <w:t xml:space="preserve">  </w:t>
      </w:r>
      <w:r>
        <w:rPr>
          <w:rFonts w:ascii="Microsoft YaHei" w:hAnsi="Microsoft YaHei" w:eastAsia="Microsoft YaHei" w:cs="Microsoft YaHei"/>
          <w:color w:val="231F20"/>
          <w:spacing w:val="2"/>
        </w:rPr>
        <w:t>入术前患者的跌倒 </w:t>
      </w:r>
      <w:r>
        <w:rPr>
          <w:color w:val="231F20"/>
          <w:spacing w:val="2"/>
        </w:rPr>
        <w:t>/ </w:t>
      </w:r>
      <w:r>
        <w:rPr>
          <w:rFonts w:ascii="Microsoft YaHei" w:hAnsi="Microsoft YaHei" w:eastAsia="Microsoft YaHei" w:cs="Microsoft YaHei"/>
          <w:color w:val="231F20"/>
          <w:spacing w:val="2"/>
        </w:rPr>
        <w:t>坠床管理中，发现采用根因分析法有助于确保患</w:t>
      </w:r>
      <w:r>
        <w:rPr>
          <w:rFonts w:ascii="Microsoft YaHei" w:hAnsi="Microsoft YaHei" w:eastAsia="Microsoft YaHei" w:cs="Microsoft YaHei"/>
          <w:color w:val="231F20"/>
          <w:spacing w:val="4"/>
        </w:rPr>
        <w:t xml:space="preserve">  </w:t>
      </w:r>
      <w:r>
        <w:rPr>
          <w:rFonts w:ascii="Microsoft YaHei" w:hAnsi="Microsoft YaHei" w:eastAsia="Microsoft YaHei" w:cs="Microsoft YaHei"/>
          <w:color w:val="231F20"/>
          <w:spacing w:val="2"/>
        </w:rPr>
        <w:t>者安全，并能有效减少跌倒 </w:t>
      </w:r>
      <w:r>
        <w:rPr>
          <w:color w:val="231F20"/>
          <w:spacing w:val="2"/>
        </w:rPr>
        <w:t>/ </w:t>
      </w:r>
      <w:r>
        <w:rPr>
          <w:rFonts w:ascii="Microsoft YaHei" w:hAnsi="Microsoft YaHei" w:eastAsia="Microsoft YaHei" w:cs="Microsoft YaHei"/>
          <w:color w:val="231F20"/>
          <w:spacing w:val="2"/>
        </w:rPr>
        <w:t>坠床不良事件的发生。对此，本研究旨</w:t>
      </w:r>
      <w:r>
        <w:rPr>
          <w:rFonts w:ascii="Microsoft YaHei" w:hAnsi="Microsoft YaHei" w:eastAsia="Microsoft YaHei" w:cs="Microsoft YaHei"/>
          <w:color w:val="231F20"/>
          <w:spacing w:val="4"/>
        </w:rPr>
        <w:t xml:space="preserve">  </w:t>
      </w:r>
      <w:r>
        <w:rPr>
          <w:rFonts w:ascii="Microsoft YaHei" w:hAnsi="Microsoft YaHei" w:eastAsia="Microsoft YaHei" w:cs="Microsoft YaHei"/>
          <w:color w:val="231F20"/>
          <w:spacing w:val="7"/>
        </w:rPr>
        <w:t>在探讨根因分析法在预防阑尾炎患者术后感染方面的效果，现报道</w:t>
      </w:r>
    </w:p>
    <w:p>
      <w:pPr>
        <w:spacing w:line="14" w:lineRule="auto"/>
        <w:rPr>
          <w:rFonts w:ascii="Arial"/>
          <w:sz w:val="2"/>
        </w:rPr>
      </w:pPr>
      <w:r>
        <w:rPr>
          <w:rFonts w:ascii="Arial" w:hAnsi="Arial" w:eastAsia="Arial" w:cs="Arial"/>
          <w:sz w:val="2"/>
          <w:szCs w:val="2"/>
        </w:rPr>
        <w:br w:type="column"/>
      </w:r>
    </w:p>
    <w:p>
      <w:pPr>
        <w:ind w:left="85"/>
        <w:spacing w:before="30" w:line="178" w:lineRule="auto"/>
        <w:rPr>
          <w:rFonts w:ascii="Microsoft YaHei" w:hAnsi="Microsoft YaHei" w:eastAsia="Microsoft YaHei" w:cs="Microsoft YaHei"/>
          <w:sz w:val="15"/>
          <w:szCs w:val="15"/>
        </w:rPr>
      </w:pPr>
      <w:r>
        <w:rPr>
          <w:rFonts w:ascii="Microsoft YaHei" w:hAnsi="Microsoft YaHei" w:eastAsia="Microsoft YaHei" w:cs="Microsoft YaHei"/>
          <w:sz w:val="15"/>
          <w:szCs w:val="15"/>
          <w:color w:val="231F20"/>
          <w:spacing w:val="-5"/>
        </w:rPr>
        <w:t>如下。</w:t>
      </w:r>
    </w:p>
    <w:p>
      <w:pPr>
        <w:pStyle w:val="BodyText"/>
        <w:ind w:left="93"/>
        <w:spacing w:before="160" w:line="241" w:lineRule="auto"/>
        <w:outlineLvl w:val="0"/>
        <w:rPr>
          <w:rFonts w:ascii="SimHei" w:hAnsi="SimHei" w:eastAsia="SimHei" w:cs="SimHei"/>
          <w:sz w:val="18"/>
          <w:szCs w:val="18"/>
        </w:rPr>
      </w:pPr>
      <w:r>
        <w:rPr>
          <w:sz w:val="18"/>
          <w:szCs w:val="18"/>
          <w:b/>
          <w:bCs/>
          <w:color w:val="231F20"/>
          <w:spacing w:val="-4"/>
        </w:rPr>
        <w:t>1</w:t>
      </w:r>
      <w:r>
        <w:rPr>
          <w:sz w:val="18"/>
          <w:szCs w:val="18"/>
          <w:b/>
          <w:bCs/>
          <w:color w:val="231F20"/>
          <w:spacing w:val="3"/>
        </w:rPr>
        <w:t xml:space="preserve">    </w:t>
      </w:r>
      <w:r>
        <w:rPr>
          <w:rFonts w:ascii="SimHei" w:hAnsi="SimHei" w:eastAsia="SimHei" w:cs="SimHei"/>
          <w:sz w:val="18"/>
          <w:szCs w:val="18"/>
          <w:color w:val="231F20"/>
          <w:spacing w:val="-4"/>
        </w:rPr>
        <w:t>资料与方法</w:t>
      </w:r>
    </w:p>
    <w:p>
      <w:pPr>
        <w:pStyle w:val="BodyText"/>
        <w:ind w:left="91"/>
        <w:spacing w:before="71" w:line="241" w:lineRule="auto"/>
        <w:rPr>
          <w:rFonts w:ascii="SimHei" w:hAnsi="SimHei" w:eastAsia="SimHei" w:cs="SimHei"/>
        </w:rPr>
      </w:pPr>
      <w:r>
        <w:rPr>
          <w:b/>
          <w:bCs/>
          <w:color w:val="231F20"/>
          <w:spacing w:val="-3"/>
        </w:rPr>
        <w:t>1.1</w:t>
      </w:r>
      <w:r>
        <w:rPr>
          <w:b/>
          <w:bCs/>
          <w:color w:val="231F20"/>
          <w:spacing w:val="2"/>
        </w:rPr>
        <w:t xml:space="preserve">    </w:t>
      </w:r>
      <w:r>
        <w:rPr>
          <w:rFonts w:ascii="SimHei" w:hAnsi="SimHei" w:eastAsia="SimHei" w:cs="SimHei"/>
          <w:color w:val="231F20"/>
          <w:spacing w:val="-3"/>
        </w:rPr>
        <w:t>一般资料</w:t>
      </w:r>
    </w:p>
    <w:p>
      <w:pPr>
        <w:pStyle w:val="BodyText"/>
        <w:ind w:left="83" w:firstLine="311"/>
        <w:spacing w:before="33" w:line="204" w:lineRule="auto"/>
        <w:jc w:val="both"/>
        <w:rPr>
          <w:rFonts w:ascii="Microsoft YaHei" w:hAnsi="Microsoft YaHei" w:eastAsia="Microsoft YaHei" w:cs="Microsoft YaHei"/>
        </w:rPr>
      </w:pPr>
      <w:r>
        <w:rPr>
          <w:rFonts w:ascii="Microsoft YaHei" w:hAnsi="Microsoft YaHei" w:eastAsia="Microsoft YaHei" w:cs="Microsoft YaHei"/>
          <w:color w:val="231F20"/>
          <w:spacing w:val="3"/>
        </w:rPr>
        <w:t>选取我院在 </w:t>
      </w:r>
      <w:r>
        <w:rPr>
          <w:color w:val="231F20"/>
          <w:spacing w:val="3"/>
        </w:rPr>
        <w:t>2019 </w:t>
      </w:r>
      <w:r>
        <w:rPr>
          <w:rFonts w:ascii="Microsoft YaHei" w:hAnsi="Microsoft YaHei" w:eastAsia="Microsoft YaHei" w:cs="Microsoft YaHei"/>
          <w:color w:val="231F20"/>
          <w:spacing w:val="3"/>
        </w:rPr>
        <w:t>年</w:t>
      </w:r>
      <w:r>
        <w:rPr>
          <w:rFonts w:ascii="Microsoft YaHei" w:hAnsi="Microsoft YaHei" w:eastAsia="Microsoft YaHei" w:cs="Microsoft YaHei"/>
          <w:color w:val="231F20"/>
          <w:spacing w:val="13"/>
          <w:w w:val="101"/>
        </w:rPr>
        <w:t xml:space="preserve"> </w:t>
      </w:r>
      <w:r>
        <w:rPr>
          <w:color w:val="231F20"/>
          <w:spacing w:val="3"/>
        </w:rPr>
        <w:t>1 </w:t>
      </w:r>
      <w:r>
        <w:rPr>
          <w:rFonts w:ascii="Microsoft YaHei" w:hAnsi="Microsoft YaHei" w:eastAsia="Microsoft YaHei" w:cs="Microsoft YaHei"/>
          <w:color w:val="231F20"/>
          <w:spacing w:val="3"/>
        </w:rPr>
        <w:t>月—</w:t>
      </w:r>
      <w:r>
        <w:rPr>
          <w:color w:val="231F20"/>
          <w:spacing w:val="3"/>
        </w:rPr>
        <w:t>2024 </w:t>
      </w:r>
      <w:r>
        <w:rPr>
          <w:rFonts w:ascii="Microsoft YaHei" w:hAnsi="Microsoft YaHei" w:eastAsia="Microsoft YaHei" w:cs="Microsoft YaHei"/>
          <w:color w:val="231F20"/>
          <w:spacing w:val="3"/>
        </w:rPr>
        <w:t>年 </w:t>
      </w:r>
      <w:r>
        <w:rPr>
          <w:color w:val="231F20"/>
          <w:spacing w:val="3"/>
        </w:rPr>
        <w:t>6 </w:t>
      </w:r>
      <w:r>
        <w:rPr>
          <w:rFonts w:ascii="Microsoft YaHei" w:hAnsi="Microsoft YaHei" w:eastAsia="Microsoft YaHei" w:cs="Microsoft YaHei"/>
          <w:color w:val="231F20"/>
          <w:spacing w:val="3"/>
        </w:rPr>
        <w:t>月收治的 </w:t>
      </w:r>
      <w:r>
        <w:rPr>
          <w:color w:val="231F20"/>
          <w:spacing w:val="2"/>
        </w:rPr>
        <w:t>50 </w:t>
      </w:r>
      <w:r>
        <w:rPr>
          <w:rFonts w:ascii="Microsoft YaHei" w:hAnsi="Microsoft YaHei" w:eastAsia="Microsoft YaHei" w:cs="Microsoft YaHei"/>
          <w:color w:val="231F20"/>
          <w:spacing w:val="2"/>
        </w:rPr>
        <w:t>例阑尾炎术后</w:t>
      </w:r>
      <w:r>
        <w:rPr>
          <w:rFonts w:ascii="Microsoft YaHei" w:hAnsi="Microsoft YaHei" w:eastAsia="Microsoft YaHei" w:cs="Microsoft YaHei"/>
          <w:color w:val="231F20"/>
        </w:rPr>
        <w:t xml:space="preserve">   </w:t>
      </w:r>
      <w:r>
        <w:rPr>
          <w:rFonts w:ascii="Microsoft YaHei" w:hAnsi="Microsoft YaHei" w:eastAsia="Microsoft YaHei" w:cs="Microsoft YaHei"/>
          <w:color w:val="231F20"/>
          <w:spacing w:val="2"/>
        </w:rPr>
        <w:t>患者为研究对象，依据入组时间先后进行分组。对照组 </w:t>
      </w:r>
      <w:r>
        <w:rPr>
          <w:color w:val="231F20"/>
          <w:spacing w:val="2"/>
        </w:rPr>
        <w:t>25 </w:t>
      </w:r>
      <w:r>
        <w:rPr>
          <w:rFonts w:ascii="Microsoft YaHei" w:hAnsi="Microsoft YaHei" w:eastAsia="Microsoft YaHei" w:cs="Microsoft YaHei"/>
          <w:color w:val="231F20"/>
          <w:spacing w:val="2"/>
        </w:rPr>
        <w:t>例，男 </w:t>
      </w:r>
      <w:r>
        <w:rPr>
          <w:color w:val="231F20"/>
          <w:spacing w:val="2"/>
        </w:rPr>
        <w:t>13</w:t>
      </w:r>
      <w:r>
        <w:rPr>
          <w:color w:val="231F20"/>
          <w:spacing w:val="5"/>
        </w:rPr>
        <w:t xml:space="preserve">   </w:t>
      </w:r>
      <w:r>
        <w:rPr>
          <w:rFonts w:ascii="Microsoft YaHei" w:hAnsi="Microsoft YaHei" w:eastAsia="Microsoft YaHei" w:cs="Microsoft YaHei"/>
          <w:color w:val="231F20"/>
        </w:rPr>
        <w:t>例、女</w:t>
      </w:r>
      <w:r>
        <w:rPr>
          <w:rFonts w:ascii="Microsoft YaHei" w:hAnsi="Microsoft YaHei" w:eastAsia="Microsoft YaHei" w:cs="Microsoft YaHei"/>
          <w:color w:val="231F20"/>
          <w:spacing w:val="18"/>
          <w:w w:val="101"/>
        </w:rPr>
        <w:t xml:space="preserve"> </w:t>
      </w:r>
      <w:r>
        <w:rPr>
          <w:color w:val="231F20"/>
        </w:rPr>
        <w:t>12 </w:t>
      </w:r>
      <w:r>
        <w:rPr>
          <w:rFonts w:ascii="Microsoft YaHei" w:hAnsi="Microsoft YaHei" w:eastAsia="Microsoft YaHei" w:cs="Microsoft YaHei"/>
          <w:color w:val="231F20"/>
        </w:rPr>
        <w:t>例 ；年龄</w:t>
      </w:r>
      <w:r>
        <w:rPr>
          <w:rFonts w:ascii="Microsoft YaHei" w:hAnsi="Microsoft YaHei" w:eastAsia="Microsoft YaHei" w:cs="Microsoft YaHei"/>
          <w:color w:val="231F20"/>
          <w:spacing w:val="13"/>
          <w:w w:val="101"/>
        </w:rPr>
        <w:t xml:space="preserve"> </w:t>
      </w:r>
      <w:r>
        <w:rPr>
          <w:color w:val="231F20"/>
        </w:rPr>
        <w:t>18~70 </w:t>
      </w:r>
      <w:r>
        <w:rPr>
          <w:rFonts w:ascii="Microsoft YaHei" w:hAnsi="Microsoft YaHei" w:eastAsia="Microsoft YaHei" w:cs="Microsoft YaHei"/>
          <w:color w:val="231F20"/>
        </w:rPr>
        <w:t>岁，平均年龄（</w:t>
      </w:r>
      <w:r>
        <w:rPr>
          <w:rFonts w:ascii="Microsoft YaHei" w:hAnsi="Microsoft YaHei" w:eastAsia="Microsoft YaHei" w:cs="Microsoft YaHei"/>
          <w:color w:val="231F20"/>
          <w:spacing w:val="-11"/>
        </w:rPr>
        <w:t xml:space="preserve"> </w:t>
      </w:r>
      <w:r>
        <w:rPr>
          <w:color w:val="231F20"/>
        </w:rPr>
        <w:t>32.71 </w:t>
      </w:r>
      <w:r>
        <w:rPr>
          <w:rFonts w:ascii="Microsoft YaHei" w:hAnsi="Microsoft YaHei" w:eastAsia="Microsoft YaHei" w:cs="Microsoft YaHei"/>
          <w:color w:val="231F20"/>
        </w:rPr>
        <w:t>±</w:t>
      </w:r>
      <w:r>
        <w:rPr>
          <w:color w:val="231F20"/>
        </w:rPr>
        <w:t>9.52</w:t>
      </w:r>
      <w:r>
        <w:rPr>
          <w:rFonts w:ascii="Microsoft YaHei" w:hAnsi="Microsoft YaHei" w:eastAsia="Microsoft YaHei" w:cs="Microsoft YaHei"/>
          <w:color w:val="231F20"/>
        </w:rPr>
        <w:t>）岁。观察组   </w:t>
      </w:r>
      <w:r>
        <w:rPr>
          <w:color w:val="231F20"/>
          <w:spacing w:val="-2"/>
        </w:rPr>
        <w:t>25 </w:t>
      </w:r>
      <w:r>
        <w:rPr>
          <w:rFonts w:ascii="Microsoft YaHei" w:hAnsi="Microsoft YaHei" w:eastAsia="Microsoft YaHei" w:cs="Microsoft YaHei"/>
          <w:color w:val="231F20"/>
          <w:spacing w:val="-2"/>
        </w:rPr>
        <w:t>例，男</w:t>
      </w:r>
      <w:r>
        <w:rPr>
          <w:rFonts w:ascii="Microsoft YaHei" w:hAnsi="Microsoft YaHei" w:eastAsia="Microsoft YaHei" w:cs="Microsoft YaHei"/>
          <w:color w:val="231F20"/>
          <w:spacing w:val="12"/>
        </w:rPr>
        <w:t xml:space="preserve"> </w:t>
      </w:r>
      <w:r>
        <w:rPr>
          <w:color w:val="231F20"/>
          <w:spacing w:val="-2"/>
        </w:rPr>
        <w:t>11 </w:t>
      </w:r>
      <w:r>
        <w:rPr>
          <w:rFonts w:ascii="Microsoft YaHei" w:hAnsi="Microsoft YaHei" w:eastAsia="Microsoft YaHei" w:cs="Microsoft YaHei"/>
          <w:color w:val="231F20"/>
          <w:spacing w:val="-2"/>
        </w:rPr>
        <w:t>例、女</w:t>
      </w:r>
      <w:r>
        <w:rPr>
          <w:rFonts w:ascii="Microsoft YaHei" w:hAnsi="Microsoft YaHei" w:eastAsia="Microsoft YaHei" w:cs="Microsoft YaHei"/>
          <w:color w:val="231F20"/>
          <w:spacing w:val="11"/>
          <w:w w:val="101"/>
        </w:rPr>
        <w:t xml:space="preserve"> </w:t>
      </w:r>
      <w:r>
        <w:rPr>
          <w:color w:val="231F20"/>
          <w:spacing w:val="-2"/>
        </w:rPr>
        <w:t>14 </w:t>
      </w:r>
      <w:r>
        <w:rPr>
          <w:rFonts w:ascii="Microsoft YaHei" w:hAnsi="Microsoft YaHei" w:eastAsia="Microsoft YaHei" w:cs="Microsoft YaHei"/>
          <w:color w:val="231F20"/>
          <w:spacing w:val="-2"/>
        </w:rPr>
        <w:t>例，年龄 </w:t>
      </w:r>
      <w:r>
        <w:rPr>
          <w:color w:val="231F20"/>
          <w:spacing w:val="-2"/>
        </w:rPr>
        <w:t>20~72 </w:t>
      </w:r>
      <w:r>
        <w:rPr>
          <w:rFonts w:ascii="Microsoft YaHei" w:hAnsi="Microsoft YaHei" w:eastAsia="Microsoft YaHei" w:cs="Microsoft YaHei"/>
          <w:color w:val="231F20"/>
          <w:spacing w:val="-2"/>
        </w:rPr>
        <w:t>岁，平均年龄（</w:t>
      </w:r>
      <w:r>
        <w:rPr>
          <w:rFonts w:ascii="Microsoft YaHei" w:hAnsi="Microsoft YaHei" w:eastAsia="Microsoft YaHei" w:cs="Microsoft YaHei"/>
          <w:color w:val="231F20"/>
          <w:spacing w:val="-11"/>
        </w:rPr>
        <w:t xml:space="preserve"> </w:t>
      </w:r>
      <w:r>
        <w:rPr>
          <w:color w:val="231F20"/>
          <w:spacing w:val="-2"/>
        </w:rPr>
        <w:t>31.68 </w:t>
      </w:r>
      <w:r>
        <w:rPr>
          <w:rFonts w:ascii="Microsoft YaHei" w:hAnsi="Microsoft YaHei" w:eastAsia="Microsoft YaHei" w:cs="Microsoft YaHei"/>
          <w:color w:val="231F20"/>
          <w:spacing w:val="-3"/>
        </w:rPr>
        <w:t>±</w:t>
      </w:r>
      <w:r>
        <w:rPr>
          <w:rFonts w:ascii="Microsoft YaHei" w:hAnsi="Microsoft YaHei" w:eastAsia="Microsoft YaHei" w:cs="Microsoft YaHei"/>
          <w:color w:val="231F20"/>
          <w:spacing w:val="-27"/>
        </w:rPr>
        <w:t xml:space="preserve"> </w:t>
      </w:r>
      <w:r>
        <w:rPr>
          <w:color w:val="231F20"/>
          <w:spacing w:val="-3"/>
        </w:rPr>
        <w:t>10.02</w:t>
      </w:r>
      <w:r>
        <w:rPr>
          <w:color w:val="231F20"/>
          <w:spacing w:val="-10"/>
        </w:rPr>
        <w:t xml:space="preserve"> </w:t>
      </w:r>
      <w:r>
        <w:rPr>
          <w:rFonts w:ascii="Microsoft YaHei" w:hAnsi="Microsoft YaHei" w:eastAsia="Microsoft YaHei" w:cs="Microsoft YaHei"/>
          <w:color w:val="231F20"/>
          <w:spacing w:val="-3"/>
        </w:rPr>
        <w:t>）</w:t>
      </w:r>
      <w:r>
        <w:rPr>
          <w:rFonts w:ascii="Microsoft YaHei" w:hAnsi="Microsoft YaHei" w:eastAsia="Microsoft YaHei" w:cs="Microsoft YaHei"/>
          <w:color w:val="231F20"/>
        </w:rPr>
        <w:t xml:space="preserve"> </w:t>
      </w:r>
      <w:r>
        <w:rPr>
          <w:rFonts w:ascii="Microsoft YaHei" w:hAnsi="Microsoft YaHei" w:eastAsia="Microsoft YaHei" w:cs="Microsoft YaHei"/>
          <w:color w:val="231F20"/>
          <w:spacing w:val="1"/>
        </w:rPr>
        <w:t>岁。两组一般资料比较，差异无统计学意义（</w:t>
      </w:r>
      <w:r>
        <w:rPr>
          <w:i/>
          <w:iCs/>
          <w:color w:val="231F20"/>
          <w:spacing w:val="1"/>
        </w:rPr>
        <w:t>P&gt;</w:t>
      </w:r>
      <w:r>
        <w:rPr>
          <w:color w:val="231F20"/>
          <w:spacing w:val="1"/>
        </w:rPr>
        <w:t>0.05</w:t>
      </w:r>
      <w:r>
        <w:rPr>
          <w:rFonts w:ascii="Microsoft YaHei" w:hAnsi="Microsoft YaHei" w:eastAsia="Microsoft YaHei" w:cs="Microsoft YaHei"/>
          <w:color w:val="231F20"/>
          <w:spacing w:val="-35"/>
        </w:rPr>
        <w:t>），</w:t>
      </w:r>
      <w:r>
        <w:rPr>
          <w:rFonts w:ascii="Microsoft YaHei" w:hAnsi="Microsoft YaHei" w:eastAsia="Microsoft YaHei" w:cs="Microsoft YaHei"/>
          <w:color w:val="231F20"/>
          <w:spacing w:val="1"/>
        </w:rPr>
        <w:t>具有可比性。</w:t>
      </w:r>
      <w:r>
        <w:rPr>
          <w:rFonts w:ascii="Microsoft YaHei" w:hAnsi="Microsoft YaHei" w:eastAsia="Microsoft YaHei" w:cs="Microsoft YaHei"/>
          <w:color w:val="231F20"/>
        </w:rPr>
        <w:t xml:space="preserve"> </w:t>
      </w:r>
      <w:r>
        <w:rPr>
          <w:rFonts w:ascii="Microsoft YaHei" w:hAnsi="Microsoft YaHei" w:eastAsia="Microsoft YaHei" w:cs="Microsoft YaHei"/>
          <w:color w:val="231F20"/>
          <w:spacing w:val="2"/>
        </w:rPr>
        <w:t>本研究已获得本院医院伦理委员会的批准并开具证明材料，</w:t>
      </w:r>
      <w:r>
        <w:rPr>
          <w:rFonts w:ascii="Microsoft YaHei" w:hAnsi="Microsoft YaHei" w:eastAsia="Microsoft YaHei" w:cs="Microsoft YaHei"/>
          <w:color w:val="231F20"/>
          <w:spacing w:val="1"/>
        </w:rPr>
        <w:t>患者及其</w:t>
      </w:r>
      <w:r>
        <w:rPr>
          <w:rFonts w:ascii="Microsoft YaHei" w:hAnsi="Microsoft YaHei" w:eastAsia="Microsoft YaHei" w:cs="Microsoft YaHei"/>
          <w:color w:val="231F20"/>
        </w:rPr>
        <w:t xml:space="preserve">   </w:t>
      </w:r>
      <w:r>
        <w:rPr>
          <w:rFonts w:ascii="Microsoft YaHei" w:hAnsi="Microsoft YaHei" w:eastAsia="Microsoft YaHei" w:cs="Microsoft YaHei"/>
          <w:color w:val="231F20"/>
          <w:spacing w:val="-1"/>
        </w:rPr>
        <w:t>家属均对本研究知情，并予以配合，且签订相关同意书。</w:t>
      </w:r>
    </w:p>
    <w:p>
      <w:pPr>
        <w:pStyle w:val="BodyText"/>
        <w:ind w:left="91"/>
        <w:spacing w:before="1" w:line="242" w:lineRule="auto"/>
        <w:rPr>
          <w:rFonts w:ascii="SimHei" w:hAnsi="SimHei" w:eastAsia="SimHei" w:cs="SimHei"/>
        </w:rPr>
      </w:pPr>
      <w:r>
        <w:rPr>
          <w:b/>
          <w:bCs/>
          <w:color w:val="231F20"/>
          <w:spacing w:val="-3"/>
        </w:rPr>
        <w:t>1.2</w:t>
      </w:r>
      <w:r>
        <w:rPr>
          <w:b/>
          <w:bCs/>
          <w:color w:val="231F20"/>
          <w:spacing w:val="3"/>
        </w:rPr>
        <w:t xml:space="preserve">    </w:t>
      </w:r>
      <w:r>
        <w:rPr>
          <w:rFonts w:ascii="SimHei" w:hAnsi="SimHei" w:eastAsia="SimHei" w:cs="SimHei"/>
          <w:color w:val="231F20"/>
          <w:spacing w:val="-3"/>
        </w:rPr>
        <w:t>纳入标准</w:t>
      </w:r>
    </w:p>
    <w:p>
      <w:pPr>
        <w:pStyle w:val="BodyText"/>
        <w:ind w:right="30" w:firstLine="311"/>
        <w:spacing w:before="26" w:line="204" w:lineRule="auto"/>
        <w:rPr>
          <w:rFonts w:ascii="Microsoft YaHei" w:hAnsi="Microsoft YaHei" w:eastAsia="Microsoft YaHei" w:cs="Microsoft YaHei"/>
        </w:rPr>
      </w:pPr>
      <w:r>
        <w:rPr>
          <w:rFonts w:ascii="Microsoft YaHei" w:hAnsi="Microsoft YaHei" w:eastAsia="Microsoft YaHei" w:cs="Microsoft YaHei"/>
          <w:color w:val="231F20"/>
          <w:spacing w:val="-1"/>
        </w:rPr>
        <w:t>（ </w:t>
      </w:r>
      <w:r>
        <w:rPr>
          <w:color w:val="231F20"/>
          <w:spacing w:val="-1"/>
        </w:rPr>
        <w:t>1</w:t>
      </w:r>
      <w:r>
        <w:rPr>
          <w:color w:val="231F20"/>
          <w:spacing w:val="-4"/>
        </w:rPr>
        <w:t xml:space="preserve"> </w:t>
      </w:r>
      <w:r>
        <w:rPr>
          <w:rFonts w:ascii="Microsoft YaHei" w:hAnsi="Microsoft YaHei" w:eastAsia="Microsoft YaHei" w:cs="Microsoft YaHei"/>
          <w:color w:val="231F20"/>
          <w:spacing w:val="-1"/>
        </w:rPr>
        <w:t>）符合《外科学》诊断标准，且经临床检查及手术病理学证实</w:t>
      </w:r>
      <w:r>
        <w:rPr>
          <w:rFonts w:ascii="Microsoft YaHei" w:hAnsi="Microsoft YaHei" w:eastAsia="Microsoft YaHei" w:cs="Microsoft YaHei"/>
          <w:color w:val="231F20"/>
        </w:rPr>
        <w:t xml:space="preserve">  </w:t>
      </w:r>
      <w:r>
        <w:rPr>
          <w:rFonts w:ascii="Microsoft YaHei" w:hAnsi="Microsoft YaHei" w:eastAsia="Microsoft YaHei" w:cs="Microsoft YaHei"/>
          <w:color w:val="231F20"/>
        </w:rPr>
        <w:t>为急性阑尾炎</w:t>
      </w:r>
      <w:r>
        <w:rPr>
          <w:rFonts w:ascii="Microsoft YaHei" w:hAnsi="Microsoft YaHei" w:eastAsia="Microsoft YaHei" w:cs="Microsoft YaHei"/>
          <w:color w:val="231F20"/>
          <w:spacing w:val="-18"/>
        </w:rPr>
        <w:t xml:space="preserve"> </w:t>
      </w:r>
      <w:r>
        <w:rPr>
          <w:rFonts w:ascii="Microsoft YaHei" w:hAnsi="Microsoft YaHei" w:eastAsia="Microsoft YaHei" w:cs="Microsoft YaHei"/>
          <w:color w:val="231F20"/>
          <w:spacing w:val="-24"/>
          <w:w w:val="66"/>
        </w:rPr>
        <w:t>；（</w:t>
      </w:r>
      <w:r>
        <w:rPr>
          <w:rFonts w:ascii="Microsoft YaHei" w:hAnsi="Microsoft YaHei" w:eastAsia="Microsoft YaHei" w:cs="Microsoft YaHei"/>
          <w:color w:val="231F20"/>
          <w:spacing w:val="-14"/>
        </w:rPr>
        <w:t xml:space="preserve"> </w:t>
      </w:r>
      <w:r>
        <w:rPr>
          <w:color w:val="231F20"/>
        </w:rPr>
        <w:t>2</w:t>
      </w:r>
      <w:r>
        <w:rPr>
          <w:color w:val="231F20"/>
          <w:spacing w:val="-10"/>
        </w:rPr>
        <w:t xml:space="preserve"> </w:t>
      </w:r>
      <w:r>
        <w:rPr>
          <w:rFonts w:ascii="Microsoft YaHei" w:hAnsi="Microsoft YaHei" w:eastAsia="Microsoft YaHei" w:cs="Microsoft YaHei"/>
          <w:color w:val="231F20"/>
        </w:rPr>
        <w:t>）均接受腹腔镜阑尾切除术治疗，且手术过程顺利</w:t>
      </w:r>
      <w:r>
        <w:rPr>
          <w:rFonts w:ascii="Microsoft YaHei" w:hAnsi="Microsoft YaHei" w:eastAsia="Microsoft YaHei" w:cs="Microsoft YaHei"/>
          <w:color w:val="231F20"/>
          <w:spacing w:val="-9"/>
        </w:rPr>
        <w:t xml:space="preserve"> </w:t>
      </w:r>
      <w:r>
        <w:rPr>
          <w:rFonts w:ascii="Microsoft YaHei" w:hAnsi="Microsoft YaHei" w:eastAsia="Microsoft YaHei" w:cs="Microsoft YaHei"/>
          <w:color w:val="231F20"/>
        </w:rPr>
        <w:t>； </w:t>
      </w:r>
      <w:r>
        <w:rPr>
          <w:rFonts w:ascii="Microsoft YaHei" w:hAnsi="Microsoft YaHei" w:eastAsia="Microsoft YaHei" w:cs="Microsoft YaHei"/>
          <w:color w:val="231F20"/>
          <w:spacing w:val="-3"/>
        </w:rPr>
        <w:t>（</w:t>
      </w:r>
      <w:r>
        <w:rPr>
          <w:rFonts w:ascii="Microsoft YaHei" w:hAnsi="Microsoft YaHei" w:eastAsia="Microsoft YaHei" w:cs="Microsoft YaHei"/>
          <w:color w:val="231F20"/>
          <w:spacing w:val="-2"/>
        </w:rPr>
        <w:t xml:space="preserve"> </w:t>
      </w:r>
      <w:r>
        <w:rPr>
          <w:color w:val="231F20"/>
          <w:spacing w:val="-3"/>
        </w:rPr>
        <w:t>3</w:t>
      </w:r>
      <w:r>
        <w:rPr>
          <w:rFonts w:ascii="Microsoft YaHei" w:hAnsi="Microsoft YaHei" w:eastAsia="Microsoft YaHei" w:cs="Microsoft YaHei"/>
          <w:color w:val="231F20"/>
          <w:spacing w:val="-3"/>
        </w:rPr>
        <w:t>）神志清楚、意识清醒认知能力佳。</w:t>
      </w:r>
    </w:p>
    <w:p>
      <w:pPr>
        <w:pStyle w:val="BodyText"/>
        <w:ind w:left="91"/>
        <w:spacing w:before="1" w:line="241" w:lineRule="auto"/>
        <w:rPr>
          <w:rFonts w:ascii="SimHei" w:hAnsi="SimHei" w:eastAsia="SimHei" w:cs="SimHei"/>
        </w:rPr>
      </w:pPr>
      <w:r>
        <w:rPr>
          <w:b/>
          <w:bCs/>
          <w:color w:val="231F20"/>
          <w:spacing w:val="-3"/>
        </w:rPr>
        <w:t>1.3</w:t>
      </w:r>
      <w:r>
        <w:rPr>
          <w:b/>
          <w:bCs/>
          <w:color w:val="231F20"/>
          <w:spacing w:val="3"/>
        </w:rPr>
        <w:t xml:space="preserve">    </w:t>
      </w:r>
      <w:r>
        <w:rPr>
          <w:rFonts w:ascii="SimHei" w:hAnsi="SimHei" w:eastAsia="SimHei" w:cs="SimHei"/>
          <w:color w:val="231F20"/>
          <w:spacing w:val="-3"/>
        </w:rPr>
        <w:t>排除标准</w:t>
      </w:r>
    </w:p>
    <w:p>
      <w:pPr>
        <w:pStyle w:val="BodyText"/>
        <w:ind w:left="83" w:right="84" w:firstLine="228"/>
        <w:spacing w:before="29" w:line="205" w:lineRule="auto"/>
        <w:jc w:val="both"/>
        <w:rPr>
          <w:rFonts w:ascii="Microsoft YaHei" w:hAnsi="Microsoft YaHei" w:eastAsia="Microsoft YaHei" w:cs="Microsoft YaHei"/>
        </w:rPr>
      </w:pPr>
      <w:r>
        <w:rPr>
          <w:rFonts w:ascii="Microsoft YaHei" w:hAnsi="Microsoft YaHei" w:eastAsia="Microsoft YaHei" w:cs="Microsoft YaHei"/>
          <w:color w:val="231F20"/>
          <w:spacing w:val="-1"/>
        </w:rPr>
        <w:t>（ </w:t>
      </w:r>
      <w:r>
        <w:rPr>
          <w:color w:val="231F20"/>
          <w:spacing w:val="-1"/>
        </w:rPr>
        <w:t>1</w:t>
      </w:r>
      <w:r>
        <w:rPr>
          <w:color w:val="231F20"/>
          <w:spacing w:val="-10"/>
        </w:rPr>
        <w:t xml:space="preserve"> </w:t>
      </w:r>
      <w:r>
        <w:rPr>
          <w:rFonts w:ascii="Microsoft YaHei" w:hAnsi="Microsoft YaHei" w:eastAsia="Microsoft YaHei" w:cs="Microsoft YaHei"/>
          <w:color w:val="231F20"/>
          <w:spacing w:val="-1"/>
        </w:rPr>
        <w:t>）对本研究使用的药物或药物成分过敏 </w:t>
      </w:r>
      <w:r>
        <w:rPr>
          <w:rFonts w:ascii="Microsoft YaHei" w:hAnsi="Microsoft YaHei" w:eastAsia="Microsoft YaHei" w:cs="Microsoft YaHei"/>
          <w:color w:val="231F20"/>
          <w:spacing w:val="-25"/>
          <w:w w:val="70"/>
        </w:rPr>
        <w:t>；（</w:t>
      </w:r>
      <w:r>
        <w:rPr>
          <w:rFonts w:ascii="Microsoft YaHei" w:hAnsi="Microsoft YaHei" w:eastAsia="Microsoft YaHei" w:cs="Microsoft YaHei"/>
          <w:color w:val="231F20"/>
          <w:spacing w:val="-13"/>
        </w:rPr>
        <w:t xml:space="preserve"> </w:t>
      </w:r>
      <w:r>
        <w:rPr>
          <w:color w:val="231F20"/>
          <w:spacing w:val="-1"/>
        </w:rPr>
        <w:t>2</w:t>
      </w:r>
      <w:r>
        <w:rPr>
          <w:rFonts w:ascii="Microsoft YaHei" w:hAnsi="Microsoft YaHei" w:eastAsia="Microsoft YaHei" w:cs="Microsoft YaHei"/>
          <w:color w:val="231F20"/>
          <w:spacing w:val="-1"/>
        </w:rPr>
        <w:t>）合并心、脑、肺</w:t>
      </w:r>
      <w:r>
        <w:rPr>
          <w:rFonts w:ascii="Microsoft YaHei" w:hAnsi="Microsoft YaHei" w:eastAsia="Microsoft YaHei" w:cs="Microsoft YaHei"/>
          <w:color w:val="231F20"/>
        </w:rPr>
        <w:t xml:space="preserve"> </w:t>
      </w:r>
      <w:r>
        <w:rPr>
          <w:rFonts w:ascii="Microsoft YaHei" w:hAnsi="Microsoft YaHei" w:eastAsia="Microsoft YaHei" w:cs="Microsoft YaHei"/>
          <w:color w:val="231F20"/>
          <w:spacing w:val="1"/>
        </w:rPr>
        <w:t>等重要脏器功能障碍及其他腹部急症 </w:t>
      </w:r>
      <w:r>
        <w:rPr>
          <w:rFonts w:ascii="Microsoft YaHei" w:hAnsi="Microsoft YaHei" w:eastAsia="Microsoft YaHei" w:cs="Microsoft YaHei"/>
          <w:color w:val="231F20"/>
          <w:spacing w:val="-26"/>
          <w:w w:val="73"/>
        </w:rPr>
        <w:t>；（</w:t>
      </w:r>
      <w:r>
        <w:rPr>
          <w:rFonts w:ascii="Microsoft YaHei" w:hAnsi="Microsoft YaHei" w:eastAsia="Microsoft YaHei" w:cs="Microsoft YaHei"/>
          <w:color w:val="231F20"/>
          <w:spacing w:val="-8"/>
        </w:rPr>
        <w:t xml:space="preserve"> </w:t>
      </w:r>
      <w:r>
        <w:rPr>
          <w:color w:val="231F20"/>
          <w:spacing w:val="1"/>
        </w:rPr>
        <w:t>3</w:t>
      </w:r>
      <w:r>
        <w:rPr>
          <w:rFonts w:ascii="Microsoft YaHei" w:hAnsi="Microsoft YaHei" w:eastAsia="Microsoft YaHei" w:cs="Microsoft YaHei"/>
          <w:color w:val="231F20"/>
          <w:spacing w:val="1"/>
        </w:rPr>
        <w:t>）合并血液系统及传染性疾</w:t>
      </w:r>
      <w:r>
        <w:rPr>
          <w:rFonts w:ascii="Microsoft YaHei" w:hAnsi="Microsoft YaHei" w:eastAsia="Microsoft YaHei" w:cs="Microsoft YaHei"/>
          <w:color w:val="231F20"/>
        </w:rPr>
        <w:t xml:space="preserve"> </w:t>
      </w:r>
      <w:r>
        <w:rPr>
          <w:rFonts w:ascii="Microsoft YaHei" w:hAnsi="Microsoft YaHei" w:eastAsia="Microsoft YaHei" w:cs="Microsoft YaHei"/>
          <w:color w:val="231F20"/>
        </w:rPr>
        <w:t>病 </w:t>
      </w:r>
      <w:r>
        <w:rPr>
          <w:rFonts w:ascii="Microsoft YaHei" w:hAnsi="Microsoft YaHei" w:eastAsia="Microsoft YaHei" w:cs="Microsoft YaHei"/>
          <w:color w:val="231F20"/>
          <w:spacing w:val="-25"/>
          <w:w w:val="70"/>
        </w:rPr>
        <w:t>；（</w:t>
      </w:r>
      <w:r>
        <w:rPr>
          <w:rFonts w:ascii="Microsoft YaHei" w:hAnsi="Microsoft YaHei" w:eastAsia="Microsoft YaHei" w:cs="Microsoft YaHei"/>
          <w:color w:val="231F20"/>
          <w:spacing w:val="-12"/>
        </w:rPr>
        <w:t xml:space="preserve"> </w:t>
      </w:r>
      <w:r>
        <w:rPr>
          <w:color w:val="231F20"/>
        </w:rPr>
        <w:t>4</w:t>
      </w:r>
      <w:r>
        <w:rPr>
          <w:color w:val="231F20"/>
          <w:spacing w:val="-10"/>
        </w:rPr>
        <w:t xml:space="preserve"> </w:t>
      </w:r>
      <w:r>
        <w:rPr>
          <w:rFonts w:ascii="Microsoft YaHei" w:hAnsi="Microsoft YaHei" w:eastAsia="Microsoft YaHei" w:cs="Microsoft YaHei"/>
          <w:color w:val="231F20"/>
        </w:rPr>
        <w:t>）精神障碍、沟通障碍、免疫功能障碍等 </w:t>
      </w:r>
      <w:r>
        <w:rPr>
          <w:rFonts w:ascii="Microsoft YaHei" w:hAnsi="Microsoft YaHei" w:eastAsia="Microsoft YaHei" w:cs="Microsoft YaHei"/>
          <w:color w:val="231F20"/>
          <w:spacing w:val="-25"/>
          <w:w w:val="70"/>
        </w:rPr>
        <w:t>；（</w:t>
      </w:r>
      <w:r>
        <w:rPr>
          <w:rFonts w:ascii="Microsoft YaHei" w:hAnsi="Microsoft YaHei" w:eastAsia="Microsoft YaHei" w:cs="Microsoft YaHei"/>
          <w:color w:val="231F20"/>
          <w:spacing w:val="-9"/>
        </w:rPr>
        <w:t xml:space="preserve"> </w:t>
      </w:r>
      <w:r>
        <w:rPr>
          <w:color w:val="231F20"/>
        </w:rPr>
        <w:t>5</w:t>
      </w:r>
      <w:r>
        <w:rPr>
          <w:rFonts w:ascii="Microsoft YaHei" w:hAnsi="Microsoft YaHei" w:eastAsia="Microsoft YaHei" w:cs="Microsoft YaHei"/>
          <w:color w:val="231F20"/>
        </w:rPr>
        <w:t>）妊娠期及哺乳 </w:t>
      </w:r>
      <w:r>
        <w:rPr>
          <w:rFonts w:ascii="Microsoft YaHei" w:hAnsi="Microsoft YaHei" w:eastAsia="Microsoft YaHei" w:cs="Microsoft YaHei"/>
          <w:color w:val="231F20"/>
          <w:spacing w:val="-2"/>
        </w:rPr>
        <w:t>期女性，或存在肝肾等脏器功能不全者。</w:t>
      </w:r>
    </w:p>
    <w:p>
      <w:pPr>
        <w:spacing w:line="205" w:lineRule="auto"/>
        <w:sectPr>
          <w:type w:val="continuous"/>
          <w:pgSz w:w="11906" w:h="16158"/>
          <w:pgMar w:top="1294" w:right="1223" w:bottom="0" w:left="432" w:header="933" w:footer="0" w:gutter="0"/>
          <w:cols w:equalWidth="0" w:num="2">
            <w:col w:w="5425" w:space="100"/>
            <w:col w:w="4726" w:space="0"/>
          </w:cols>
        </w:sectPr>
        <w:rPr>
          <w:rFonts w:ascii="Microsoft YaHei" w:hAnsi="Microsoft YaHei" w:eastAsia="Microsoft YaHei" w:cs="Microsoft YaHei"/>
        </w:rPr>
      </w:pPr>
    </w:p>
    <w:p>
      <w:pPr>
        <w:spacing w:line="387" w:lineRule="auto"/>
        <w:rPr>
          <w:rFonts w:ascii="Arial"/>
          <w:sz w:val="21"/>
        </w:rPr>
      </w:pPr>
      <w:r/>
    </w:p>
    <w:p>
      <w:pPr>
        <w:pStyle w:val="BodyText"/>
        <w:ind w:left="594"/>
        <w:spacing w:before="49" w:line="242" w:lineRule="auto"/>
        <w:rPr>
          <w:rFonts w:ascii="SimSun" w:hAnsi="SimSun" w:eastAsia="SimSun" w:cs="SimSun"/>
        </w:rPr>
      </w:pPr>
      <w:r>
        <w:rPr>
          <w:sz w:val="8"/>
          <w:szCs w:val="8"/>
          <w:color w:val="231F20"/>
          <w:position w:val="7"/>
        </w:rPr>
        <w:t>*  </w:t>
      </w:r>
      <w:r>
        <w:rPr>
          <w:rFonts w:ascii="SimSun" w:hAnsi="SimSun" w:eastAsia="SimSun" w:cs="SimSun"/>
          <w:color w:val="231F20"/>
        </w:rPr>
        <w:t>基金项目：</w:t>
      </w:r>
      <w:r>
        <w:rPr>
          <w:color w:val="231F20"/>
        </w:rPr>
        <w:t>2020 </w:t>
      </w:r>
      <w:r>
        <w:rPr>
          <w:rFonts w:ascii="SimSun" w:hAnsi="SimSun" w:eastAsia="SimSun" w:cs="SimSun"/>
          <w:color w:val="231F20"/>
        </w:rPr>
        <w:t>年福建省永春县医疗卫生领域科技计划项目（重点</w:t>
      </w:r>
      <w:r>
        <w:rPr>
          <w:rFonts w:ascii="SimSun" w:hAnsi="SimSun" w:eastAsia="SimSun" w:cs="SimSun"/>
          <w:color w:val="231F20"/>
          <w:spacing w:val="-1"/>
        </w:rPr>
        <w:t>项目</w:t>
      </w:r>
      <w:r>
        <w:rPr>
          <w:rFonts w:ascii="SimSun" w:hAnsi="SimSun" w:eastAsia="SimSun" w:cs="SimSun"/>
          <w:color w:val="231F20"/>
        </w:rPr>
        <w:t>）（</w:t>
      </w:r>
      <w:r>
        <w:rPr>
          <w:rFonts w:ascii="SimSun" w:hAnsi="SimSun" w:eastAsia="SimSun" w:cs="SimSun"/>
          <w:color w:val="231F20"/>
          <w:spacing w:val="-1"/>
        </w:rPr>
        <w:t>编号：</w:t>
      </w:r>
      <w:r>
        <w:rPr>
          <w:color w:val="231F20"/>
          <w:spacing w:val="-1"/>
        </w:rPr>
        <w:t>2024YK08</w:t>
      </w:r>
      <w:r>
        <w:rPr>
          <w:rFonts w:ascii="SimSun" w:hAnsi="SimSun" w:eastAsia="SimSun" w:cs="SimSun"/>
          <w:color w:val="231F20"/>
          <w:spacing w:val="-1"/>
        </w:rPr>
        <w:t>）。</w:t>
      </w:r>
    </w:p>
    <w:p>
      <w:pPr>
        <w:pStyle w:val="BodyText"/>
        <w:ind w:left="593"/>
        <w:spacing w:before="46" w:line="235" w:lineRule="auto"/>
        <w:rPr>
          <w:rFonts w:ascii="SimSun" w:hAnsi="SimSun" w:eastAsia="SimSun" w:cs="SimSun"/>
        </w:rPr>
      </w:pPr>
      <w:r>
        <w:rPr>
          <w:rFonts w:ascii="SimSun" w:hAnsi="SimSun" w:eastAsia="SimSun" w:cs="SimSun"/>
          <w:color w:val="231F20"/>
          <w:spacing w:val="-1"/>
        </w:rPr>
        <w:t>作者简介：罗小英（</w:t>
      </w:r>
      <w:r>
        <w:rPr>
          <w:rFonts w:ascii="SimSun" w:hAnsi="SimSun" w:eastAsia="SimSun" w:cs="SimSun"/>
          <w:color w:val="231F20"/>
          <w:spacing w:val="-38"/>
        </w:rPr>
        <w:t xml:space="preserve"> </w:t>
      </w:r>
      <w:r>
        <w:rPr>
          <w:color w:val="231F20"/>
          <w:spacing w:val="-1"/>
        </w:rPr>
        <w:t>1980.11</w:t>
      </w:r>
      <w:r>
        <w:rPr>
          <w:rFonts w:ascii="SimSun" w:hAnsi="SimSun" w:eastAsia="SimSun" w:cs="SimSun"/>
          <w:color w:val="231F20"/>
          <w:spacing w:val="-1"/>
        </w:rPr>
        <w:t>—），女，汉族，福建永春人，本科，主</w:t>
      </w:r>
      <w:r>
        <w:rPr>
          <w:rFonts w:ascii="SimSun" w:hAnsi="SimSun" w:eastAsia="SimSun" w:cs="SimSun"/>
          <w:color w:val="231F20"/>
          <w:spacing w:val="-2"/>
        </w:rPr>
        <w:t>管护师；主要研究方向：外科护理。</w:t>
      </w:r>
    </w:p>
    <w:p>
      <w:pPr>
        <w:pStyle w:val="BodyText"/>
        <w:ind w:left="594"/>
        <w:spacing w:before="40" w:line="242" w:lineRule="auto"/>
        <w:rPr>
          <w:rFonts w:ascii="SimSun" w:hAnsi="SimSun" w:eastAsia="SimSun" w:cs="SimSun"/>
        </w:rPr>
      </w:pPr>
      <w:r>
        <w:rPr>
          <w:sz w:val="8"/>
          <w:szCs w:val="8"/>
          <w:color w:val="231F20"/>
          <w:spacing w:val="-1"/>
          <w:position w:val="7"/>
        </w:rPr>
        <w:t>**  </w:t>
      </w:r>
      <w:r>
        <w:rPr>
          <w:rFonts w:ascii="SimSun" w:hAnsi="SimSun" w:eastAsia="SimSun" w:cs="SimSun"/>
          <w:color w:val="231F20"/>
          <w:spacing w:val="-1"/>
        </w:rPr>
        <w:t>通信作者；刘西将（</w:t>
      </w:r>
      <w:r>
        <w:rPr>
          <w:rFonts w:ascii="SimSun" w:hAnsi="SimSun" w:eastAsia="SimSun" w:cs="SimSun"/>
          <w:color w:val="231F20"/>
          <w:spacing w:val="-38"/>
        </w:rPr>
        <w:t xml:space="preserve"> </w:t>
      </w:r>
      <w:r>
        <w:rPr>
          <w:color w:val="231F20"/>
          <w:spacing w:val="-1"/>
        </w:rPr>
        <w:t>1979.09</w:t>
      </w:r>
      <w:r>
        <w:rPr>
          <w:rFonts w:ascii="SimSun" w:hAnsi="SimSun" w:eastAsia="SimSun" w:cs="SimSun"/>
          <w:color w:val="231F20"/>
          <w:spacing w:val="-1"/>
        </w:rPr>
        <w:t>—），男，汉族，福建永春人，本科，副主任医师；主要研究方向</w:t>
      </w:r>
      <w:r>
        <w:rPr>
          <w:rFonts w:ascii="SimSun" w:hAnsi="SimSun" w:eastAsia="SimSun" w:cs="SimSun"/>
          <w:color w:val="231F20"/>
          <w:spacing w:val="-2"/>
        </w:rPr>
        <w:t>：麻醉。</w:t>
      </w:r>
    </w:p>
    <w:p>
      <w:pPr>
        <w:pStyle w:val="BodyText"/>
        <w:ind w:left="588"/>
        <w:spacing w:before="44" w:line="223" w:lineRule="auto"/>
        <w:rPr>
          <w:sz w:val="24"/>
          <w:szCs w:val="24"/>
        </w:rPr>
      </w:pPr>
      <w:r>
        <w:rPr>
          <w:sz w:val="24"/>
          <w:szCs w:val="24"/>
          <w:color w:val="231F20"/>
          <w:spacing w:val="12"/>
        </w:rPr>
        <w:t>-</w:t>
      </w:r>
      <w:r>
        <w:rPr>
          <w:sz w:val="24"/>
          <w:szCs w:val="24"/>
          <w:color w:val="231F20"/>
          <w:spacing w:val="46"/>
        </w:rPr>
        <w:t xml:space="preserve"> </w:t>
      </w:r>
      <w:r>
        <w:rPr>
          <w:rFonts w:ascii="Microsoft YaHei" w:hAnsi="Microsoft YaHei" w:eastAsia="Microsoft YaHei" w:cs="Microsoft YaHei"/>
          <w:sz w:val="24"/>
          <w:szCs w:val="24"/>
          <w:color w:val="231F20"/>
          <w:spacing w:val="12"/>
        </w:rPr>
        <w:t>2384</w:t>
      </w:r>
      <w:r>
        <w:rPr>
          <w:rFonts w:ascii="Microsoft YaHei" w:hAnsi="Microsoft YaHei" w:eastAsia="Microsoft YaHei" w:cs="Microsoft YaHei"/>
          <w:sz w:val="24"/>
          <w:szCs w:val="24"/>
          <w:color w:val="231F20"/>
          <w:spacing w:val="27"/>
        </w:rPr>
        <w:t xml:space="preserve"> </w:t>
      </w:r>
      <w:r>
        <w:rPr>
          <w:sz w:val="24"/>
          <w:szCs w:val="24"/>
          <w:color w:val="231F20"/>
          <w:spacing w:val="12"/>
        </w:rPr>
        <w:t>-</w:t>
      </w:r>
    </w:p>
    <w:p>
      <w:pPr>
        <w:spacing w:before="67" w:line="240" w:lineRule="exact"/>
        <w:rPr>
          <w:rFonts w:ascii="Arial" w:hAnsi="Arial" w:eastAsia="Arial" w:cs="Arial"/>
          <w:sz w:val="23"/>
          <w:szCs w:val="23"/>
        </w:rPr>
      </w:pPr>
      <w:r>
        <w:pict>
          <v:shape id="_x0000_s12" style="position:absolute;margin-left:46.4pt;margin-top:13.3489pt;mso-position-vertical-relative:text;mso-position-horizontal-relative:text;width:0pt;height:0pt;z-index:251659264;" fillcolor="#999999" filled="true" stroked="false" coordsize="0,0" coordorigin="0,0" path="m,c0,0,0,0,0,0e"/>
        </w:pict>
      </w:r>
      <w:r>
        <w:rPr>
          <w:rFonts w:ascii="Microsoft YaHei" w:hAnsi="Microsoft YaHei" w:eastAsia="Microsoft YaHei" w:cs="Microsoft YaHei"/>
          <w:sz w:val="23"/>
          <w:szCs w:val="23"/>
          <w:color w:val="999999"/>
          <w:spacing w:val="4"/>
        </w:rPr>
        <w:t>中国知网</w:t>
      </w:r>
      <w:r>
        <w:rPr>
          <w:rFonts w:ascii="Microsoft YaHei" w:hAnsi="Microsoft YaHei" w:eastAsia="Microsoft YaHei" w:cs="Microsoft YaHei"/>
          <w:sz w:val="23"/>
          <w:szCs w:val="23"/>
          <w:color w:val="999999"/>
          <w:spacing w:val="4"/>
        </w:rPr>
        <w:t xml:space="preserve">     </w:t>
      </w:r>
      <w:r>
        <w:rPr>
          <w:rFonts w:ascii="Arial" w:hAnsi="Arial" w:eastAsia="Arial" w:cs="Arial"/>
          <w:sz w:val="23"/>
          <w:szCs w:val="23"/>
          <w:color w:val="999999"/>
        </w:rPr>
        <w:t>https</w:t>
      </w:r>
      <w:r>
        <w:rPr>
          <w:rFonts w:ascii="Arial" w:hAnsi="Arial" w:eastAsia="Arial" w:cs="Arial"/>
          <w:sz w:val="23"/>
          <w:szCs w:val="23"/>
          <w:color w:val="999999"/>
          <w:spacing w:val="4"/>
        </w:rPr>
        <w:t xml:space="preserve"> </w:t>
      </w:r>
      <w:r>
        <w:rPr>
          <w:rFonts w:ascii="Arial" w:hAnsi="Arial" w:eastAsia="Arial" w:cs="Arial"/>
          <w:sz w:val="23"/>
          <w:szCs w:val="23"/>
          <w:color w:val="999999"/>
          <w:spacing w:val="4"/>
        </w:rPr>
        <w:t>:</w:t>
      </w:r>
      <w:r>
        <w:rPr>
          <w:rFonts w:ascii="Arial" w:hAnsi="Arial" w:eastAsia="Arial" w:cs="Arial"/>
          <w:sz w:val="23"/>
          <w:szCs w:val="23"/>
          <w:color w:val="999999"/>
          <w:spacing w:val="4"/>
        </w:rPr>
        <w:t xml:space="preserve"> </w:t>
      </w:r>
      <w:r>
        <w:rPr>
          <w:rFonts w:ascii="Arial" w:hAnsi="Arial" w:eastAsia="Arial" w:cs="Arial"/>
          <w:sz w:val="23"/>
          <w:szCs w:val="23"/>
          <w:color w:val="999999"/>
          <w:spacing w:val="4"/>
        </w:rPr>
        <w:t>//w</w:t>
      </w:r>
      <w:r>
        <w:rPr>
          <w:rFonts w:ascii="Arial" w:hAnsi="Arial" w:eastAsia="Arial" w:cs="Arial"/>
          <w:sz w:val="23"/>
          <w:szCs w:val="23"/>
          <w:color w:val="999999"/>
          <w:spacing w:val="4"/>
        </w:rPr>
        <w:t xml:space="preserve">  </w:t>
      </w:r>
      <w:r>
        <w:rPr>
          <w:rFonts w:ascii="Arial" w:hAnsi="Arial" w:eastAsia="Arial" w:cs="Arial"/>
          <w:sz w:val="23"/>
          <w:szCs w:val="23"/>
          <w:color w:val="999999"/>
          <w:spacing w:val="4"/>
        </w:rPr>
        <w:t>,</w:t>
      </w:r>
      <w:r>
        <w:rPr>
          <w:rFonts w:ascii="Arial" w:hAnsi="Arial" w:eastAsia="Arial" w:cs="Arial"/>
          <w:sz w:val="23"/>
          <w:szCs w:val="23"/>
          <w:color w:val="999999"/>
          <w:spacing w:val="43"/>
        </w:rPr>
        <w:t xml:space="preserve"> </w:t>
      </w:r>
      <w:r>
        <w:rPr>
          <w:rFonts w:ascii="Arial" w:hAnsi="Arial" w:eastAsia="Arial" w:cs="Arial"/>
          <w:sz w:val="23"/>
          <w:szCs w:val="23"/>
          <w:color w:val="999999"/>
        </w:rPr>
        <w:t>cxnk</w:t>
      </w:r>
      <w:r>
        <w:rPr>
          <w:rFonts w:ascii="Arial" w:hAnsi="Arial" w:eastAsia="Arial" w:cs="Arial"/>
          <w:sz w:val="23"/>
          <w:szCs w:val="23"/>
          <w:color w:val="999999"/>
          <w:spacing w:val="4"/>
        </w:rPr>
        <w:t>:i.</w:t>
      </w:r>
      <w:r>
        <w:rPr>
          <w:rFonts w:ascii="Arial" w:hAnsi="Arial" w:eastAsia="Arial" w:cs="Arial"/>
          <w:sz w:val="23"/>
          <w:szCs w:val="23"/>
          <w:color w:val="999999"/>
          <w:spacing w:val="4"/>
        </w:rPr>
        <w:t xml:space="preserve"> </w:t>
      </w:r>
      <w:r>
        <w:rPr>
          <w:rFonts w:ascii="Arial" w:hAnsi="Arial" w:eastAsia="Arial" w:cs="Arial"/>
          <w:sz w:val="23"/>
          <w:szCs w:val="23"/>
          <w:color w:val="999999"/>
        </w:rPr>
        <w:t>net</w:t>
      </w:r>
    </w:p>
    <w:p>
      <w:pPr>
        <w:spacing w:line="240" w:lineRule="exact"/>
        <w:sectPr>
          <w:type w:val="continuous"/>
          <w:pgSz w:w="11906" w:h="16158"/>
          <w:pgMar w:top="1294" w:right="1223" w:bottom="0" w:left="432" w:header="933" w:footer="0" w:gutter="0"/>
          <w:cols w:equalWidth="0" w:num="1">
            <w:col w:w="10251" w:space="0"/>
          </w:cols>
        </w:sectPr>
        <w:rPr>
          <w:rFonts w:ascii="Arial" w:hAnsi="Arial" w:eastAsia="Arial" w:cs="Arial"/>
          <w:sz w:val="23"/>
          <w:szCs w:val="23"/>
        </w:rPr>
      </w:pPr>
    </w:p>
    <w:p>
      <w:pPr>
        <w:spacing w:line="188" w:lineRule="exact"/>
        <w:rPr/>
      </w:pPr>
      <w:r/>
    </w:p>
    <w:p>
      <w:pPr>
        <w:spacing w:line="188" w:lineRule="exact"/>
        <w:sectPr>
          <w:headerReference w:type="default" r:id="rId3"/>
          <w:footerReference w:type="default" r:id="rId4"/>
          <w:pgSz w:w="11906" w:h="16158"/>
          <w:pgMar w:top="1294" w:right="961" w:bottom="600" w:left="432" w:header="920" w:footer="360" w:gutter="0"/>
          <w:cols w:equalWidth="0" w:num="1">
            <w:col w:w="10513" w:space="0"/>
          </w:cols>
        </w:sectPr>
        <w:rPr/>
      </w:pPr>
    </w:p>
    <w:p>
      <w:pPr>
        <w:pStyle w:val="BodyText"/>
        <w:ind w:left="881"/>
        <w:spacing w:before="41" w:line="241" w:lineRule="auto"/>
        <w:outlineLvl w:val="1"/>
        <w:rPr>
          <w:rFonts w:ascii="SimHei" w:hAnsi="SimHei" w:eastAsia="SimHei" w:cs="SimHei"/>
        </w:rPr>
      </w:pPr>
      <w:r>
        <w:rPr>
          <w:b/>
          <w:bCs/>
          <w:color w:val="231F20"/>
          <w:spacing w:val="-3"/>
        </w:rPr>
        <w:t>1.4</w:t>
      </w:r>
      <w:r>
        <w:rPr>
          <w:b/>
          <w:bCs/>
          <w:color w:val="231F20"/>
          <w:spacing w:val="1"/>
        </w:rPr>
        <w:t xml:space="preserve">    </w:t>
      </w:r>
      <w:r>
        <w:rPr>
          <w:rFonts w:ascii="SimHei" w:hAnsi="SimHei" w:eastAsia="SimHei" w:cs="SimHei"/>
          <w:color w:val="231F20"/>
          <w:spacing w:val="-3"/>
        </w:rPr>
        <w:t>方法</w:t>
      </w:r>
    </w:p>
    <w:p>
      <w:pPr>
        <w:pStyle w:val="BodyText"/>
        <w:ind w:left="873" w:right="223" w:firstLine="314"/>
        <w:spacing w:before="34" w:line="205" w:lineRule="auto"/>
        <w:jc w:val="both"/>
        <w:rPr>
          <w:rFonts w:ascii="Microsoft YaHei" w:hAnsi="Microsoft YaHei" w:eastAsia="Microsoft YaHei" w:cs="Microsoft YaHei"/>
        </w:rPr>
      </w:pPr>
      <w:r>
        <w:rPr>
          <w:rFonts w:ascii="Microsoft YaHei" w:hAnsi="Microsoft YaHei" w:eastAsia="Microsoft YaHei" w:cs="Microsoft YaHei"/>
          <w:color w:val="231F20"/>
          <w:spacing w:val="7"/>
        </w:rPr>
        <w:t>两组患者术后均接受注射用头孢呋辛钠（武汉久安药业有限公</w:t>
      </w:r>
      <w:r>
        <w:rPr>
          <w:rFonts w:ascii="Microsoft YaHei" w:hAnsi="Microsoft YaHei" w:eastAsia="Microsoft YaHei" w:cs="Microsoft YaHei"/>
          <w:color w:val="231F20"/>
          <w:spacing w:val="2"/>
        </w:rPr>
        <w:t xml:space="preserve">  </w:t>
      </w:r>
      <w:r>
        <w:rPr>
          <w:rFonts w:ascii="Microsoft YaHei" w:hAnsi="Microsoft YaHei" w:eastAsia="Microsoft YaHei" w:cs="Microsoft YaHei"/>
          <w:color w:val="231F20"/>
          <w:spacing w:val="1"/>
        </w:rPr>
        <w:t>司，</w:t>
      </w:r>
      <w:r>
        <w:rPr>
          <w:rFonts w:ascii="Microsoft YaHei" w:hAnsi="Microsoft YaHei" w:eastAsia="Microsoft YaHei" w:cs="Microsoft YaHei"/>
          <w:color w:val="231F20"/>
          <w:spacing w:val="-9"/>
        </w:rPr>
        <w:t xml:space="preserve"> </w:t>
      </w:r>
      <w:r>
        <w:rPr>
          <w:rFonts w:ascii="Microsoft YaHei" w:hAnsi="Microsoft YaHei" w:eastAsia="Microsoft YaHei" w:cs="Microsoft YaHei"/>
          <w:color w:val="231F20"/>
          <w:spacing w:val="1"/>
        </w:rPr>
        <w:t>国药准字 </w:t>
      </w:r>
      <w:r>
        <w:rPr>
          <w:color w:val="231F20"/>
          <w:spacing w:val="1"/>
        </w:rPr>
        <w:t>H20063877</w:t>
      </w:r>
      <w:r>
        <w:rPr>
          <w:rFonts w:ascii="Microsoft YaHei" w:hAnsi="Microsoft YaHei" w:eastAsia="Microsoft YaHei" w:cs="Microsoft YaHei"/>
          <w:color w:val="231F20"/>
          <w:spacing w:val="1"/>
        </w:rPr>
        <w:t>）静脉滴注治疗，剂量为每次 </w:t>
      </w:r>
      <w:r>
        <w:rPr>
          <w:color w:val="231F20"/>
          <w:spacing w:val="1"/>
        </w:rPr>
        <w:t>0.25~0.75</w:t>
      </w:r>
      <w:r>
        <w:rPr>
          <w:color w:val="231F20"/>
          <w:spacing w:val="17"/>
        </w:rPr>
        <w:t xml:space="preserve"> </w:t>
      </w:r>
      <w:r>
        <w:rPr>
          <w:color w:val="231F20"/>
          <w:spacing w:val="1"/>
        </w:rPr>
        <w:t>g</w:t>
      </w:r>
      <w:r>
        <w:rPr>
          <w:rFonts w:ascii="Microsoft YaHei" w:hAnsi="Microsoft YaHei" w:eastAsia="Microsoft YaHei" w:cs="Microsoft YaHei"/>
          <w:color w:val="231F20"/>
          <w:spacing w:val="1"/>
        </w:rPr>
        <w:t>，</w:t>
      </w:r>
      <w:r>
        <w:rPr>
          <w:rFonts w:ascii="Microsoft YaHei" w:hAnsi="Microsoft YaHei" w:eastAsia="Microsoft YaHei" w:cs="Microsoft YaHei"/>
          <w:color w:val="231F20"/>
        </w:rPr>
        <w:t xml:space="preserve"> </w:t>
      </w:r>
      <w:r>
        <w:rPr>
          <w:color w:val="231F20"/>
          <w:spacing w:val="6"/>
        </w:rPr>
        <w:t>3 </w:t>
      </w:r>
      <w:r>
        <w:rPr>
          <w:rFonts w:ascii="Microsoft YaHei" w:hAnsi="Microsoft YaHei" w:eastAsia="Microsoft YaHei" w:cs="Microsoft YaHei"/>
          <w:color w:val="231F20"/>
          <w:spacing w:val="6"/>
        </w:rPr>
        <w:t>次 </w:t>
      </w:r>
      <w:r>
        <w:rPr>
          <w:color w:val="231F20"/>
          <w:spacing w:val="6"/>
        </w:rPr>
        <w:t>/d </w:t>
      </w:r>
      <w:r>
        <w:rPr>
          <w:rFonts w:ascii="Microsoft YaHei" w:hAnsi="Microsoft YaHei" w:eastAsia="Microsoft YaHei" w:cs="Microsoft YaHei"/>
          <w:color w:val="231F20"/>
          <w:spacing w:val="6"/>
        </w:rPr>
        <w:t>；甲硝唑葡萄糖注射液（江苏振国药业有限公司</w:t>
      </w:r>
      <w:r>
        <w:rPr>
          <w:rFonts w:ascii="Microsoft YaHei" w:hAnsi="Microsoft YaHei" w:eastAsia="Microsoft YaHei" w:cs="Microsoft YaHei"/>
          <w:color w:val="231F20"/>
          <w:spacing w:val="5"/>
        </w:rPr>
        <w:t>，国药准字</w:t>
      </w:r>
      <w:r>
        <w:rPr>
          <w:rFonts w:ascii="Microsoft YaHei" w:hAnsi="Microsoft YaHei" w:eastAsia="Microsoft YaHei" w:cs="Microsoft YaHei"/>
          <w:color w:val="231F20"/>
        </w:rPr>
        <w:t xml:space="preserve">  </w:t>
      </w:r>
      <w:r>
        <w:rPr>
          <w:color w:val="231F20"/>
        </w:rPr>
        <w:t>H32020657</w:t>
      </w:r>
      <w:r>
        <w:rPr>
          <w:rFonts w:ascii="Microsoft YaHei" w:hAnsi="Microsoft YaHei" w:eastAsia="Microsoft YaHei" w:cs="Microsoft YaHei"/>
          <w:color w:val="231F20"/>
          <w:spacing w:val="-31"/>
        </w:rPr>
        <w:t>），</w:t>
      </w:r>
      <w:r>
        <w:rPr>
          <w:rFonts w:ascii="Microsoft YaHei" w:hAnsi="Microsoft YaHei" w:eastAsia="Microsoft YaHei" w:cs="Microsoft YaHei"/>
          <w:color w:val="231F20"/>
        </w:rPr>
        <w:t>首次剂量根据体重计算，每公斤</w:t>
      </w:r>
      <w:r>
        <w:rPr>
          <w:rFonts w:ascii="Microsoft YaHei" w:hAnsi="Microsoft YaHei" w:eastAsia="Microsoft YaHei" w:cs="Microsoft YaHei"/>
          <w:color w:val="231F20"/>
          <w:spacing w:val="21"/>
        </w:rPr>
        <w:t xml:space="preserve"> </w:t>
      </w:r>
      <w:r>
        <w:rPr>
          <w:color w:val="231F20"/>
        </w:rPr>
        <w:t>15</w:t>
      </w:r>
      <w:r>
        <w:rPr>
          <w:color w:val="231F20"/>
          <w:spacing w:val="13"/>
          <w:w w:val="102"/>
        </w:rPr>
        <w:t xml:space="preserve"> </w:t>
      </w:r>
      <w:r>
        <w:rPr>
          <w:color w:val="231F20"/>
        </w:rPr>
        <w:t>mg</w:t>
      </w:r>
      <w:r>
        <w:rPr>
          <w:rFonts w:ascii="Microsoft YaHei" w:hAnsi="Microsoft YaHei" w:eastAsia="Microsoft YaHei" w:cs="Microsoft YaHei"/>
          <w:color w:val="231F20"/>
        </w:rPr>
        <w:t>，维持剂量为每  </w:t>
      </w:r>
      <w:r>
        <w:rPr>
          <w:rFonts w:ascii="Microsoft YaHei" w:hAnsi="Microsoft YaHei" w:eastAsia="Microsoft YaHei" w:cs="Microsoft YaHei"/>
          <w:color w:val="231F20"/>
          <w:spacing w:val="1"/>
        </w:rPr>
        <w:t>公斤 </w:t>
      </w:r>
      <w:r>
        <w:rPr>
          <w:color w:val="231F20"/>
          <w:spacing w:val="1"/>
        </w:rPr>
        <w:t>7.5</w:t>
      </w:r>
      <w:r>
        <w:rPr>
          <w:color w:val="231F20"/>
          <w:spacing w:val="14"/>
        </w:rPr>
        <w:t xml:space="preserve"> </w:t>
      </w:r>
      <w:r>
        <w:rPr>
          <w:color w:val="231F20"/>
        </w:rPr>
        <w:t>mg</w:t>
      </w:r>
      <w:r>
        <w:rPr>
          <w:rFonts w:ascii="Microsoft YaHei" w:hAnsi="Microsoft YaHei" w:eastAsia="Microsoft YaHei" w:cs="Microsoft YaHei"/>
          <w:color w:val="231F20"/>
          <w:spacing w:val="1"/>
        </w:rPr>
        <w:t>，每 </w:t>
      </w:r>
      <w:r>
        <w:rPr>
          <w:color w:val="231F20"/>
          <w:spacing w:val="1"/>
        </w:rPr>
        <w:t>6~8</w:t>
      </w:r>
      <w:r>
        <w:rPr>
          <w:color w:val="231F20"/>
          <w:spacing w:val="13"/>
          <w:w w:val="101"/>
        </w:rPr>
        <w:t xml:space="preserve"> </w:t>
      </w:r>
      <w:r>
        <w:rPr>
          <w:color w:val="231F20"/>
          <w:spacing w:val="1"/>
        </w:rPr>
        <w:t>h </w:t>
      </w:r>
      <w:r>
        <w:rPr>
          <w:rFonts w:ascii="Microsoft YaHei" w:hAnsi="Microsoft YaHei" w:eastAsia="Microsoft YaHei" w:cs="Microsoft YaHei"/>
          <w:color w:val="231F20"/>
          <w:spacing w:val="1"/>
        </w:rPr>
        <w:t>进行</w:t>
      </w:r>
      <w:r>
        <w:rPr>
          <w:rFonts w:ascii="Microsoft YaHei" w:hAnsi="Microsoft YaHei" w:eastAsia="Microsoft YaHei" w:cs="Microsoft YaHei"/>
          <w:color w:val="231F20"/>
          <w:spacing w:val="11"/>
          <w:w w:val="101"/>
        </w:rPr>
        <w:t xml:space="preserve"> </w:t>
      </w:r>
      <w:r>
        <w:rPr>
          <w:color w:val="231F20"/>
          <w:spacing w:val="1"/>
        </w:rPr>
        <w:t>1 </w:t>
      </w:r>
      <w:r>
        <w:rPr>
          <w:rFonts w:ascii="Microsoft YaHei" w:hAnsi="Microsoft YaHei" w:eastAsia="Microsoft YaHei" w:cs="Microsoft YaHei"/>
          <w:color w:val="231F20"/>
          <w:spacing w:val="1"/>
        </w:rPr>
        <w:t>次静脉滴注。</w:t>
      </w:r>
      <w:r>
        <w:rPr>
          <w:rFonts w:ascii="Microsoft YaHei" w:hAnsi="Microsoft YaHei" w:eastAsia="Microsoft YaHei" w:cs="Microsoft YaHei"/>
          <w:color w:val="231F20"/>
        </w:rPr>
        <w:t>对照组患者除了上述常规  </w:t>
      </w:r>
      <w:r>
        <w:rPr>
          <w:rFonts w:ascii="Microsoft YaHei" w:hAnsi="Microsoft YaHei" w:eastAsia="Microsoft YaHei" w:cs="Microsoft YaHei"/>
          <w:color w:val="231F20"/>
          <w:spacing w:val="2"/>
        </w:rPr>
        <w:t>治疗外，还予以实施常规护理，包括观察生命体征、</w:t>
      </w:r>
      <w:r>
        <w:rPr>
          <w:rFonts w:ascii="Microsoft YaHei" w:hAnsi="Microsoft YaHei" w:eastAsia="Microsoft YaHei" w:cs="Microsoft YaHei"/>
          <w:color w:val="231F20"/>
          <w:spacing w:val="1"/>
        </w:rPr>
        <w:t>强调相关的注意</w:t>
      </w:r>
      <w:r>
        <w:rPr>
          <w:rFonts w:ascii="Microsoft YaHei" w:hAnsi="Microsoft YaHei" w:eastAsia="Microsoft YaHei" w:cs="Microsoft YaHei"/>
          <w:color w:val="231F20"/>
        </w:rPr>
        <w:t xml:space="preserve">  </w:t>
      </w:r>
      <w:r>
        <w:rPr>
          <w:rFonts w:ascii="Microsoft YaHei" w:hAnsi="Microsoft YaHei" w:eastAsia="Microsoft YaHei" w:cs="Microsoft YaHei"/>
          <w:color w:val="231F20"/>
          <w:spacing w:val="-2"/>
        </w:rPr>
        <w:t>事项、提供饮食指导等。</w:t>
      </w:r>
    </w:p>
    <w:p>
      <w:pPr>
        <w:pStyle w:val="BodyText"/>
        <w:ind w:left="874" w:right="223" w:firstLine="315"/>
        <w:spacing w:before="14" w:line="204" w:lineRule="auto"/>
        <w:jc w:val="both"/>
        <w:rPr>
          <w:rFonts w:ascii="Microsoft YaHei" w:hAnsi="Microsoft YaHei" w:eastAsia="Microsoft YaHei" w:cs="Microsoft YaHei"/>
        </w:rPr>
      </w:pPr>
      <w:r>
        <w:rPr>
          <w:rFonts w:ascii="Microsoft YaHei" w:hAnsi="Microsoft YaHei" w:eastAsia="Microsoft YaHei" w:cs="Microsoft YaHei"/>
          <w:color w:val="231F20"/>
          <w:spacing w:val="-7"/>
        </w:rPr>
        <w:t>观察组则采用根因分析法进行护理。（ </w:t>
      </w:r>
      <w:r>
        <w:rPr>
          <w:color w:val="231F20"/>
          <w:spacing w:val="-7"/>
        </w:rPr>
        <w:t>1</w:t>
      </w:r>
      <w:r>
        <w:rPr>
          <w:color w:val="231F20"/>
          <w:spacing w:val="3"/>
        </w:rPr>
        <w:t xml:space="preserve"> </w:t>
      </w:r>
      <w:r>
        <w:rPr>
          <w:rFonts w:ascii="Microsoft YaHei" w:hAnsi="Microsoft YaHei" w:eastAsia="Microsoft YaHei" w:cs="Microsoft YaHei"/>
          <w:color w:val="231F20"/>
          <w:spacing w:val="-7"/>
        </w:rPr>
        <w:t>）成立一个根因分析小组，</w:t>
      </w:r>
      <w:r>
        <w:rPr>
          <w:rFonts w:ascii="Microsoft YaHei" w:hAnsi="Microsoft YaHei" w:eastAsia="Microsoft YaHei" w:cs="Microsoft YaHei"/>
          <w:color w:val="231F20"/>
        </w:rPr>
        <w:t xml:space="preserve"> </w:t>
      </w:r>
      <w:r>
        <w:rPr>
          <w:rFonts w:ascii="Microsoft YaHei" w:hAnsi="Microsoft YaHei" w:eastAsia="Microsoft YaHei" w:cs="Microsoft YaHei"/>
          <w:color w:val="231F20"/>
          <w:spacing w:val="2"/>
        </w:rPr>
        <w:t>成员包括参与手术的医护人员、病房责任护士</w:t>
      </w:r>
      <w:r>
        <w:rPr>
          <w:rFonts w:ascii="Microsoft YaHei" w:hAnsi="Microsoft YaHei" w:eastAsia="Microsoft YaHei" w:cs="Microsoft YaHei"/>
          <w:color w:val="231F20"/>
          <w:spacing w:val="1"/>
        </w:rPr>
        <w:t>、护理组长等，对所有</w:t>
      </w:r>
      <w:r>
        <w:rPr>
          <w:rFonts w:ascii="Microsoft YaHei" w:hAnsi="Microsoft YaHei" w:eastAsia="Microsoft YaHei" w:cs="Microsoft YaHei"/>
          <w:color w:val="231F20"/>
        </w:rPr>
        <w:t xml:space="preserve">  </w:t>
      </w:r>
      <w:r>
        <w:rPr>
          <w:rFonts w:ascii="Microsoft YaHei" w:hAnsi="Microsoft YaHei" w:eastAsia="Microsoft YaHei" w:cs="Microsoft YaHei"/>
          <w:color w:val="231F20"/>
          <w:spacing w:val="2"/>
        </w:rPr>
        <w:t>成员进行根因分析法理论知识、阑尾炎术后感染评价标</w:t>
      </w:r>
      <w:r>
        <w:rPr>
          <w:rFonts w:ascii="Microsoft YaHei" w:hAnsi="Microsoft YaHei" w:eastAsia="Microsoft YaHei" w:cs="Microsoft YaHei"/>
          <w:color w:val="231F20"/>
          <w:spacing w:val="1"/>
        </w:rPr>
        <w:t>准及记录描述</w:t>
      </w:r>
      <w:r>
        <w:rPr>
          <w:rFonts w:ascii="Microsoft YaHei" w:hAnsi="Microsoft YaHei" w:eastAsia="Microsoft YaHei" w:cs="Microsoft YaHei"/>
          <w:color w:val="231F20"/>
        </w:rPr>
        <w:t xml:space="preserve">  </w:t>
      </w:r>
      <w:r>
        <w:rPr>
          <w:rFonts w:ascii="Microsoft YaHei" w:hAnsi="Microsoft YaHei" w:eastAsia="Microsoft YaHei" w:cs="Microsoft YaHei"/>
          <w:color w:val="231F20"/>
          <w:spacing w:val="-1"/>
        </w:rPr>
        <w:t>方法的培训。（</w:t>
      </w:r>
      <w:r>
        <w:rPr>
          <w:color w:val="231F20"/>
          <w:spacing w:val="-1"/>
        </w:rPr>
        <w:t>2</w:t>
      </w:r>
      <w:r>
        <w:rPr>
          <w:rFonts w:ascii="Microsoft YaHei" w:hAnsi="Microsoft YaHei" w:eastAsia="Microsoft YaHei" w:cs="Microsoft YaHei"/>
          <w:color w:val="231F20"/>
          <w:spacing w:val="-1"/>
        </w:rPr>
        <w:t>）收集既往同类型疾病、同类型手术但出现术后感染</w:t>
      </w:r>
      <w:r>
        <w:rPr>
          <w:rFonts w:ascii="Microsoft YaHei" w:hAnsi="Microsoft YaHei" w:eastAsia="Microsoft YaHei" w:cs="Microsoft YaHei"/>
          <w:color w:val="231F20"/>
          <w:spacing w:val="4"/>
        </w:rPr>
        <w:t xml:space="preserve">  </w:t>
      </w:r>
      <w:r>
        <w:rPr>
          <w:rFonts w:ascii="Microsoft YaHei" w:hAnsi="Microsoft YaHei" w:eastAsia="Microsoft YaHei" w:cs="Microsoft YaHei"/>
          <w:color w:val="231F20"/>
          <w:spacing w:val="3"/>
        </w:rPr>
        <w:t>的患者资料，如病历、手术记录、术后护理记录、药物使用记录等，</w:t>
      </w:r>
      <w:r>
        <w:rPr>
          <w:rFonts w:ascii="Microsoft YaHei" w:hAnsi="Microsoft YaHei" w:eastAsia="Microsoft YaHei" w:cs="Microsoft YaHei"/>
          <w:color w:val="231F20"/>
          <w:spacing w:val="18"/>
          <w:w w:val="102"/>
        </w:rPr>
        <w:t xml:space="preserve"> </w:t>
      </w:r>
      <w:r>
        <w:rPr>
          <w:rFonts w:ascii="Microsoft YaHei" w:hAnsi="Microsoft YaHei" w:eastAsia="Microsoft YaHei" w:cs="Microsoft YaHei"/>
          <w:color w:val="231F20"/>
          <w:spacing w:val="2"/>
        </w:rPr>
        <w:t>还原感染事件发生过程，包括感染发生的时间、地点、涉及</w:t>
      </w:r>
      <w:r>
        <w:rPr>
          <w:rFonts w:ascii="Microsoft YaHei" w:hAnsi="Microsoft YaHei" w:eastAsia="Microsoft YaHei" w:cs="Microsoft YaHei"/>
          <w:color w:val="231F20"/>
          <w:spacing w:val="1"/>
        </w:rPr>
        <w:t>人员和具</w:t>
      </w:r>
      <w:r>
        <w:rPr>
          <w:rFonts w:ascii="Microsoft YaHei" w:hAnsi="Microsoft YaHei" w:eastAsia="Microsoft YaHei" w:cs="Microsoft YaHei"/>
          <w:color w:val="231F20"/>
        </w:rPr>
        <w:t xml:space="preserve">  </w:t>
      </w:r>
      <w:r>
        <w:rPr>
          <w:rFonts w:ascii="Microsoft YaHei" w:hAnsi="Microsoft YaHei" w:eastAsia="Microsoft YaHei" w:cs="Microsoft YaHei"/>
          <w:color w:val="231F20"/>
          <w:spacing w:val="-1"/>
        </w:rPr>
        <w:t>体操作等。（</w:t>
      </w:r>
      <w:r>
        <w:rPr>
          <w:color w:val="231F20"/>
          <w:spacing w:val="-1"/>
        </w:rPr>
        <w:t>3</w:t>
      </w:r>
      <w:r>
        <w:rPr>
          <w:rFonts w:ascii="Microsoft YaHei" w:hAnsi="Microsoft YaHei" w:eastAsia="Microsoft YaHei" w:cs="Microsoft YaHei"/>
          <w:color w:val="231F20"/>
          <w:spacing w:val="-1"/>
        </w:rPr>
        <w:t>）进行原因分析，探究导致患者感染的直接原因，例如</w:t>
      </w:r>
      <w:r>
        <w:rPr>
          <w:rFonts w:ascii="Microsoft YaHei" w:hAnsi="Microsoft YaHei" w:eastAsia="Microsoft YaHei" w:cs="Microsoft YaHei"/>
          <w:color w:val="231F20"/>
          <w:spacing w:val="3"/>
        </w:rPr>
        <w:t xml:space="preserve">  </w:t>
      </w:r>
      <w:r>
        <w:rPr>
          <w:rFonts w:ascii="Microsoft YaHei" w:hAnsi="Microsoft YaHei" w:eastAsia="Microsoft YaHei" w:cs="Microsoft YaHei"/>
          <w:color w:val="231F20"/>
        </w:rPr>
        <w:t>手术切口污染、抗生素使用不当等 ；并在此基础上，进一步探讨与感</w:t>
      </w:r>
      <w:r>
        <w:rPr>
          <w:rFonts w:ascii="Microsoft YaHei" w:hAnsi="Microsoft YaHei" w:eastAsia="Microsoft YaHei" w:cs="Microsoft YaHei"/>
          <w:color w:val="231F20"/>
          <w:spacing w:val="7"/>
        </w:rPr>
        <w:t xml:space="preserve">  </w:t>
      </w:r>
      <w:r>
        <w:rPr>
          <w:rFonts w:ascii="Microsoft YaHei" w:hAnsi="Microsoft YaHei" w:eastAsia="Microsoft YaHei" w:cs="Microsoft YaHei"/>
          <w:color w:val="231F20"/>
          <w:spacing w:val="2"/>
        </w:rPr>
        <w:t>染相关的系统或流程问题，例如术后护理规范、抗菌药物使</w:t>
      </w:r>
      <w:r>
        <w:rPr>
          <w:rFonts w:ascii="Microsoft YaHei" w:hAnsi="Microsoft YaHei" w:eastAsia="Microsoft YaHei" w:cs="Microsoft YaHei"/>
          <w:color w:val="231F20"/>
          <w:spacing w:val="1"/>
        </w:rPr>
        <w:t>用指南是</w:t>
      </w:r>
      <w:r>
        <w:rPr>
          <w:rFonts w:ascii="Microsoft YaHei" w:hAnsi="Microsoft YaHei" w:eastAsia="Microsoft YaHei" w:cs="Microsoft YaHei"/>
          <w:color w:val="231F20"/>
        </w:rPr>
        <w:t xml:space="preserve">  </w:t>
      </w:r>
      <w:r>
        <w:rPr>
          <w:rFonts w:ascii="Microsoft YaHei" w:hAnsi="Microsoft YaHei" w:eastAsia="Microsoft YaHei" w:cs="Microsoft YaHei"/>
          <w:color w:val="231F20"/>
          <w:spacing w:val="-1"/>
        </w:rPr>
        <w:t>否存在缺陷等。（</w:t>
      </w:r>
      <w:r>
        <w:rPr>
          <w:color w:val="231F20"/>
          <w:spacing w:val="-1"/>
        </w:rPr>
        <w:t>4</w:t>
      </w:r>
      <w:r>
        <w:rPr>
          <w:rFonts w:ascii="Microsoft YaHei" w:hAnsi="Microsoft YaHei" w:eastAsia="Microsoft YaHei" w:cs="Microsoft YaHei"/>
          <w:color w:val="231F20"/>
          <w:spacing w:val="-1"/>
        </w:rPr>
        <w:t>）根据分析结果，制订并执行改进计划，明确责任</w:t>
      </w:r>
      <w:r>
        <w:rPr>
          <w:rFonts w:ascii="Microsoft YaHei" w:hAnsi="Microsoft YaHei" w:eastAsia="Microsoft YaHei" w:cs="Microsoft YaHei"/>
          <w:color w:val="231F20"/>
          <w:spacing w:val="4"/>
        </w:rPr>
        <w:t xml:space="preserve">  </w:t>
      </w:r>
      <w:r>
        <w:rPr>
          <w:rFonts w:ascii="Microsoft YaHei" w:hAnsi="Microsoft YaHei" w:eastAsia="Microsoft YaHei" w:cs="Microsoft YaHei"/>
          <w:color w:val="231F20"/>
          <w:spacing w:val="2"/>
        </w:rPr>
        <w:t>人和执行时间。例如加强术后护理规范的执行、严格遵</w:t>
      </w:r>
      <w:r>
        <w:rPr>
          <w:rFonts w:ascii="Microsoft YaHei" w:hAnsi="Microsoft YaHei" w:eastAsia="Microsoft YaHei" w:cs="Microsoft YaHei"/>
          <w:color w:val="231F20"/>
          <w:spacing w:val="1"/>
        </w:rPr>
        <w:t>守抗菌药物应</w:t>
      </w:r>
      <w:r>
        <w:rPr>
          <w:rFonts w:ascii="Microsoft YaHei" w:hAnsi="Microsoft YaHei" w:eastAsia="Microsoft YaHei" w:cs="Microsoft YaHei"/>
          <w:color w:val="231F20"/>
        </w:rPr>
        <w:t xml:space="preserve">  </w:t>
      </w:r>
      <w:r>
        <w:rPr>
          <w:rFonts w:ascii="Microsoft YaHei" w:hAnsi="Microsoft YaHei" w:eastAsia="Microsoft YaHei" w:cs="Microsoft YaHei"/>
          <w:color w:val="231F20"/>
        </w:rPr>
        <w:t>用医嘱等 ；同时，跟踪和评估改进计划的执行情况，确保措施得到有</w:t>
      </w:r>
      <w:r>
        <w:rPr>
          <w:rFonts w:ascii="Microsoft YaHei" w:hAnsi="Microsoft YaHei" w:eastAsia="Microsoft YaHei" w:cs="Microsoft YaHei"/>
          <w:color w:val="231F20"/>
          <w:spacing w:val="2"/>
        </w:rPr>
        <w:t xml:space="preserve">  </w:t>
      </w:r>
      <w:r>
        <w:rPr>
          <w:rFonts w:ascii="Microsoft YaHei" w:hAnsi="Microsoft YaHei" w:eastAsia="Microsoft YaHei" w:cs="Microsoft YaHei"/>
          <w:color w:val="231F20"/>
          <w:spacing w:val="1"/>
        </w:rPr>
        <w:t>效落实。每班检查评估伤口恢复情况，责任护士密切监控患者的切口</w:t>
      </w:r>
      <w:r>
        <w:rPr>
          <w:rFonts w:ascii="Microsoft YaHei" w:hAnsi="Microsoft YaHei" w:eastAsia="Microsoft YaHei" w:cs="Microsoft YaHei"/>
          <w:color w:val="231F20"/>
          <w:spacing w:val="2"/>
        </w:rPr>
        <w:t xml:space="preserve">   </w:t>
      </w:r>
      <w:r>
        <w:rPr>
          <w:rFonts w:ascii="Microsoft YaHei" w:hAnsi="Microsoft YaHei" w:eastAsia="Microsoft YaHei" w:cs="Microsoft YaHei"/>
          <w:color w:val="231F20"/>
        </w:rPr>
        <w:t>状况，定期进行皮肤清洁，更换无菌敷料 ；遵医嘱给予合适的抗菌药</w:t>
      </w:r>
      <w:r>
        <w:rPr>
          <w:rFonts w:ascii="Microsoft YaHei" w:hAnsi="Microsoft YaHei" w:eastAsia="Microsoft YaHei" w:cs="Microsoft YaHei"/>
          <w:color w:val="231F20"/>
          <w:spacing w:val="7"/>
        </w:rPr>
        <w:t xml:space="preserve">  </w:t>
      </w:r>
      <w:r>
        <w:rPr>
          <w:rFonts w:ascii="Microsoft YaHei" w:hAnsi="Microsoft YaHei" w:eastAsia="Microsoft YaHei" w:cs="Microsoft YaHei"/>
          <w:color w:val="231F20"/>
          <w:spacing w:val="-6"/>
        </w:rPr>
        <w:t>物治疗，并向患者宣教遵医嘱用药的重要性，严格遵守用药时间。此外，</w:t>
      </w:r>
      <w:r>
        <w:rPr>
          <w:rFonts w:ascii="Microsoft YaHei" w:hAnsi="Microsoft YaHei" w:eastAsia="Microsoft YaHei" w:cs="Microsoft YaHei"/>
          <w:color w:val="231F20"/>
        </w:rPr>
        <w:t xml:space="preserve"> </w:t>
      </w:r>
      <w:r>
        <w:rPr>
          <w:rFonts w:ascii="Microsoft YaHei" w:hAnsi="Microsoft YaHei" w:eastAsia="Microsoft YaHei" w:cs="Microsoft YaHei"/>
          <w:color w:val="231F20"/>
          <w:spacing w:val="2"/>
        </w:rPr>
        <w:t>护士指导患者如何正确咳嗽，并每天两次拍打背部，以减少呼吸道分</w:t>
      </w:r>
      <w:r>
        <w:rPr>
          <w:rFonts w:ascii="Microsoft YaHei" w:hAnsi="Microsoft YaHei" w:eastAsia="Microsoft YaHei" w:cs="Microsoft YaHei"/>
          <w:color w:val="231F20"/>
        </w:rPr>
        <w:t xml:space="preserve">  </w:t>
      </w:r>
      <w:r>
        <w:rPr>
          <w:rFonts w:ascii="Microsoft YaHei" w:hAnsi="Microsoft YaHei" w:eastAsia="Microsoft YaHei" w:cs="Microsoft YaHei"/>
          <w:color w:val="231F20"/>
          <w:spacing w:val="2"/>
        </w:rPr>
        <w:t>泌物滞留，预防肺部感染。在患者不适感有所缓</w:t>
      </w:r>
      <w:r>
        <w:rPr>
          <w:rFonts w:ascii="Microsoft YaHei" w:hAnsi="Microsoft YaHei" w:eastAsia="Microsoft YaHei" w:cs="Microsoft YaHei"/>
          <w:color w:val="231F20"/>
          <w:spacing w:val="1"/>
        </w:rPr>
        <w:t>解后，引导患者尽早</w:t>
      </w:r>
      <w:r>
        <w:rPr>
          <w:rFonts w:ascii="Microsoft YaHei" w:hAnsi="Microsoft YaHei" w:eastAsia="Microsoft YaHei" w:cs="Microsoft YaHei"/>
          <w:color w:val="231F20"/>
        </w:rPr>
        <w:t xml:space="preserve">  </w:t>
      </w:r>
      <w:r>
        <w:rPr>
          <w:rFonts w:ascii="Microsoft YaHei" w:hAnsi="Microsoft YaHei" w:eastAsia="Microsoft YaHei" w:cs="Microsoft YaHei"/>
          <w:color w:val="231F20"/>
          <w:spacing w:val="-1"/>
        </w:rPr>
        <w:t>下床活动，以促进胃肠道功能的快速恢复。</w:t>
      </w:r>
    </w:p>
    <w:p>
      <w:pPr>
        <w:pStyle w:val="BodyText"/>
        <w:ind w:left="881"/>
        <w:spacing w:before="1" w:line="241" w:lineRule="auto"/>
        <w:rPr>
          <w:rFonts w:ascii="SimHei" w:hAnsi="SimHei" w:eastAsia="SimHei" w:cs="SimHei"/>
        </w:rPr>
      </w:pPr>
      <w:r>
        <w:rPr>
          <w:b/>
          <w:bCs/>
          <w:color w:val="231F20"/>
          <w:spacing w:val="-1"/>
        </w:rPr>
        <w:t>1.5    </w:t>
      </w:r>
      <w:r>
        <w:rPr>
          <w:rFonts w:ascii="SimHei" w:hAnsi="SimHei" w:eastAsia="SimHei" w:cs="SimHei"/>
          <w:color w:val="231F20"/>
          <w:spacing w:val="-1"/>
        </w:rPr>
        <w:t>观察指标</w:t>
      </w:r>
    </w:p>
    <w:p>
      <w:pPr>
        <w:pStyle w:val="BodyText"/>
        <w:ind w:left="874" w:right="211" w:firstLine="227"/>
        <w:spacing w:before="29" w:line="204" w:lineRule="auto"/>
        <w:jc w:val="both"/>
        <w:rPr>
          <w:rFonts w:ascii="Microsoft YaHei" w:hAnsi="Microsoft YaHei" w:eastAsia="Microsoft YaHei" w:cs="Microsoft YaHei"/>
        </w:rPr>
      </w:pPr>
      <w:r>
        <w:rPr>
          <w:rFonts w:ascii="Microsoft YaHei" w:hAnsi="Microsoft YaHei" w:eastAsia="Microsoft YaHei" w:cs="Microsoft YaHei"/>
          <w:color w:val="231F20"/>
          <w:spacing w:val="-2"/>
        </w:rPr>
        <w:t>（ </w:t>
      </w:r>
      <w:r>
        <w:rPr>
          <w:color w:val="231F20"/>
          <w:spacing w:val="-2"/>
        </w:rPr>
        <w:t>1</w:t>
      </w:r>
      <w:r>
        <w:rPr>
          <w:color w:val="231F20"/>
          <w:spacing w:val="-10"/>
        </w:rPr>
        <w:t xml:space="preserve"> </w:t>
      </w:r>
      <w:r>
        <w:rPr>
          <w:rFonts w:ascii="Microsoft YaHei" w:hAnsi="Microsoft YaHei" w:eastAsia="Microsoft YaHei" w:cs="Microsoft YaHei"/>
          <w:color w:val="231F20"/>
          <w:spacing w:val="-2"/>
        </w:rPr>
        <w:t>）炎性因子 ：抽取患者清晨空腹静脉血，比较两组患者</w:t>
      </w:r>
      <w:r>
        <w:rPr>
          <w:rFonts w:ascii="Microsoft YaHei" w:hAnsi="Microsoft YaHei" w:eastAsia="Microsoft YaHei" w:cs="Microsoft YaHei"/>
          <w:color w:val="231F20"/>
          <w:spacing w:val="-3"/>
        </w:rPr>
        <w:t>干预前</w:t>
      </w:r>
      <w:r>
        <w:rPr>
          <w:rFonts w:ascii="Microsoft YaHei" w:hAnsi="Microsoft YaHei" w:eastAsia="Microsoft YaHei" w:cs="Microsoft YaHei"/>
          <w:color w:val="231F20"/>
        </w:rPr>
        <w:t xml:space="preserve">  </w:t>
      </w:r>
      <w:r>
        <w:rPr>
          <w:rFonts w:ascii="Microsoft YaHei" w:hAnsi="Microsoft YaHei" w:eastAsia="Microsoft YaHei" w:cs="Microsoft YaHei"/>
          <w:color w:val="231F20"/>
          <w:spacing w:val="-11"/>
        </w:rPr>
        <w:t>后白细胞介素 </w:t>
      </w:r>
      <w:r>
        <w:rPr>
          <w:color w:val="231F20"/>
          <w:spacing w:val="-11"/>
        </w:rPr>
        <w:t>-6</w:t>
      </w:r>
      <w:r>
        <w:rPr>
          <w:rFonts w:ascii="Microsoft YaHei" w:hAnsi="Microsoft YaHei" w:eastAsia="Microsoft YaHei" w:cs="Microsoft YaHei"/>
          <w:color w:val="231F20"/>
          <w:spacing w:val="-11"/>
        </w:rPr>
        <w:t>（</w:t>
      </w:r>
      <w:r>
        <w:rPr>
          <w:rFonts w:ascii="Microsoft YaHei" w:hAnsi="Microsoft YaHei" w:eastAsia="Microsoft YaHei" w:cs="Microsoft YaHei"/>
          <w:color w:val="231F20"/>
          <w:spacing w:val="-13"/>
        </w:rPr>
        <w:t xml:space="preserve"> </w:t>
      </w:r>
      <w:r>
        <w:rPr>
          <w:color w:val="231F20"/>
          <w:spacing w:val="-11"/>
        </w:rPr>
        <w:t>IL-6</w:t>
      </w:r>
      <w:r>
        <w:rPr>
          <w:color w:val="231F20"/>
          <w:spacing w:val="-10"/>
        </w:rPr>
        <w:t xml:space="preserve"> </w:t>
      </w:r>
      <w:r>
        <w:rPr>
          <w:rFonts w:ascii="Microsoft YaHei" w:hAnsi="Microsoft YaHei" w:eastAsia="Microsoft YaHei" w:cs="Microsoft YaHei"/>
          <w:color w:val="231F20"/>
          <w:spacing w:val="-11"/>
        </w:rPr>
        <w:t>）、</w:t>
      </w:r>
      <w:r>
        <w:rPr>
          <w:color w:val="231F20"/>
          <w:spacing w:val="-11"/>
        </w:rPr>
        <w:t>C- </w:t>
      </w:r>
      <w:r>
        <w:rPr>
          <w:rFonts w:ascii="Microsoft YaHei" w:hAnsi="Microsoft YaHei" w:eastAsia="Microsoft YaHei" w:cs="Microsoft YaHei"/>
          <w:color w:val="231F20"/>
          <w:spacing w:val="-11"/>
        </w:rPr>
        <w:t>反应蛋白</w:t>
      </w:r>
      <w:r>
        <w:rPr>
          <w:rFonts w:ascii="Microsoft YaHei" w:hAnsi="Microsoft YaHei" w:eastAsia="Microsoft YaHei" w:cs="Microsoft YaHei"/>
          <w:color w:val="231F20"/>
          <w:spacing w:val="-12"/>
        </w:rPr>
        <w:t>（</w:t>
      </w:r>
      <w:r>
        <w:rPr>
          <w:color w:val="231F20"/>
          <w:spacing w:val="-12"/>
        </w:rPr>
        <w:t>CRP</w:t>
      </w:r>
      <w:r>
        <w:rPr>
          <w:rFonts w:ascii="Microsoft YaHei" w:hAnsi="Microsoft YaHei" w:eastAsia="Microsoft YaHei" w:cs="Microsoft YaHei"/>
          <w:color w:val="231F20"/>
          <w:spacing w:val="-12"/>
        </w:rPr>
        <w:t>）、肿瘤坏死因子 </w:t>
      </w:r>
      <w:r>
        <w:rPr>
          <w:color w:val="231F20"/>
          <w:spacing w:val="-12"/>
        </w:rPr>
        <w:t>-α</w:t>
      </w:r>
      <w:r>
        <w:rPr>
          <w:rFonts w:ascii="Microsoft YaHei" w:hAnsi="Microsoft YaHei" w:eastAsia="Microsoft YaHei" w:cs="Microsoft YaHei"/>
          <w:color w:val="231F20"/>
          <w:spacing w:val="-12"/>
        </w:rPr>
        <w:t>（ </w:t>
      </w:r>
      <w:r>
        <w:rPr>
          <w:color w:val="231F20"/>
          <w:spacing w:val="-12"/>
        </w:rPr>
        <w:t>TNF-α</w:t>
      </w:r>
      <w:r>
        <w:rPr>
          <w:rFonts w:ascii="Microsoft YaHei" w:hAnsi="Microsoft YaHei" w:eastAsia="Microsoft YaHei" w:cs="Microsoft YaHei"/>
          <w:color w:val="231F20"/>
          <w:spacing w:val="-12"/>
        </w:rPr>
        <w:t>)</w:t>
      </w:r>
      <w:r>
        <w:rPr>
          <w:rFonts w:ascii="Microsoft YaHei" w:hAnsi="Microsoft YaHei" w:eastAsia="Microsoft YaHei" w:cs="Microsoft YaHei"/>
          <w:color w:val="231F20"/>
        </w:rPr>
        <w:t xml:space="preserve">  </w:t>
      </w:r>
      <w:r>
        <w:rPr>
          <w:rFonts w:ascii="Microsoft YaHei" w:hAnsi="Microsoft YaHei" w:eastAsia="Microsoft YaHei" w:cs="Microsoft YaHei"/>
          <w:color w:val="231F20"/>
          <w:spacing w:val="-4"/>
        </w:rPr>
        <w:t>水平。（</w:t>
      </w:r>
      <w:r>
        <w:rPr>
          <w:color w:val="231F20"/>
          <w:spacing w:val="-4"/>
        </w:rPr>
        <w:t>2</w:t>
      </w:r>
      <w:r>
        <w:rPr>
          <w:rFonts w:ascii="Microsoft YaHei" w:hAnsi="Microsoft YaHei" w:eastAsia="Microsoft YaHei" w:cs="Microsoft YaHei"/>
          <w:color w:val="231F20"/>
          <w:spacing w:val="-4"/>
        </w:rPr>
        <w:t>）术后感染率</w:t>
      </w:r>
      <w:r>
        <w:rPr>
          <w:rFonts w:ascii="Microsoft YaHei" w:hAnsi="Microsoft YaHei" w:eastAsia="Microsoft YaHei" w:cs="Microsoft YaHei"/>
          <w:color w:val="231F20"/>
          <w:spacing w:val="-11"/>
        </w:rPr>
        <w:t xml:space="preserve"> </w:t>
      </w:r>
      <w:r>
        <w:rPr>
          <w:rFonts w:ascii="Microsoft YaHei" w:hAnsi="Microsoft YaHei" w:eastAsia="Microsoft YaHei" w:cs="Microsoft YaHei"/>
          <w:color w:val="231F20"/>
          <w:spacing w:val="-4"/>
        </w:rPr>
        <w:t>：统计两组患者术后出现</w:t>
      </w:r>
      <w:r>
        <w:rPr>
          <w:rFonts w:ascii="Microsoft YaHei" w:hAnsi="Microsoft YaHei" w:eastAsia="Microsoft YaHei" w:cs="Microsoft YaHei"/>
          <w:color w:val="231F20"/>
          <w:spacing w:val="-5"/>
        </w:rPr>
        <w:t>腹腔感染、肺部感染、</w:t>
      </w:r>
      <w:r>
        <w:rPr>
          <w:rFonts w:ascii="Microsoft YaHei" w:hAnsi="Microsoft YaHei" w:eastAsia="Microsoft YaHei" w:cs="Microsoft YaHei"/>
          <w:color w:val="231F20"/>
        </w:rPr>
        <w:t xml:space="preserve"> </w:t>
      </w:r>
      <w:r>
        <w:rPr>
          <w:rFonts w:ascii="Microsoft YaHei" w:hAnsi="Microsoft YaHei" w:eastAsia="Microsoft YaHei" w:cs="Microsoft YaHei"/>
          <w:color w:val="231F20"/>
          <w:spacing w:val="-2"/>
        </w:rPr>
        <w:t>切口感染、泌尿系统感染等感染率。</w:t>
      </w:r>
    </w:p>
    <w:p>
      <w:pPr>
        <w:pStyle w:val="BodyText"/>
        <w:ind w:left="881"/>
        <w:spacing w:line="207" w:lineRule="auto"/>
        <w:rPr>
          <w:rFonts w:ascii="SimHei" w:hAnsi="SimHei" w:eastAsia="SimHei" w:cs="SimHei"/>
        </w:rPr>
      </w:pPr>
      <w:r>
        <w:pict>
          <v:shape id="_x0000_s16" style="position:absolute;margin-left:235.438pt;margin-top:0.104816pt;mso-position-vertical-relative:text;mso-position-horizontal-relative:text;width:5.05pt;height:14.1pt;z-index:251660288;" filled="false" stroked="false" type="#_x0000_t202">
            <v:fill on="false"/>
            <v:stroke on="false"/>
            <v:path/>
            <v:imagedata o:title=""/>
            <o:lock v:ext="edit" aspectratio="false"/>
            <v:textbox inset="0mm,0mm,0mm,0mm">
              <w:txbxContent>
                <w:p>
                  <w:pPr>
                    <w:ind w:left="20"/>
                    <w:spacing w:before="19"/>
                    <w:tabs>
                      <w:tab w:val="left" w:pos="80"/>
                    </w:tabs>
                    <w:rPr>
                      <w:rFonts w:ascii="Arial"/>
                      <w:sz w:val="21"/>
                    </w:rPr>
                  </w:pPr>
                  <w:r>
                    <w:rPr>
                      <w:rFonts w:ascii="Arial" w:hAnsi="Arial" w:eastAsia="Arial" w:cs="Arial"/>
                      <w:sz w:val="21"/>
                      <w:szCs w:val="21"/>
                      <w:u w:val="single" w:color="231F20"/>
                    </w:rPr>
                    <w:tab/>
                  </w:r>
                </w:p>
              </w:txbxContent>
            </v:textbox>
          </v:shape>
        </w:pict>
      </w:r>
      <w:r>
        <w:rPr>
          <w:b/>
          <w:bCs/>
          <w:color w:val="231F20"/>
          <w:spacing w:val="-1"/>
        </w:rPr>
        <w:t>1.6    </w:t>
      </w:r>
      <w:r>
        <w:rPr>
          <w:rFonts w:ascii="SimHei" w:hAnsi="SimHei" w:eastAsia="SimHei" w:cs="SimHei"/>
          <w:color w:val="231F20"/>
          <w:spacing w:val="-1"/>
        </w:rPr>
        <w:t>统计学方法</w:t>
      </w:r>
    </w:p>
    <w:p>
      <w:pPr>
        <w:pStyle w:val="BodyText"/>
        <w:ind w:left="873" w:right="223" w:firstLine="313"/>
        <w:spacing w:before="60" w:line="205" w:lineRule="auto"/>
        <w:jc w:val="both"/>
        <w:rPr>
          <w:rFonts w:ascii="Microsoft YaHei" w:hAnsi="Microsoft YaHei" w:eastAsia="Microsoft YaHei" w:cs="Microsoft YaHei"/>
        </w:rPr>
      </w:pPr>
      <w:r>
        <w:rPr>
          <w:rFonts w:ascii="Microsoft YaHei" w:hAnsi="Microsoft YaHei" w:eastAsia="Microsoft YaHei" w:cs="Microsoft YaHei"/>
          <w:color w:val="231F20"/>
          <w:spacing w:val="-6"/>
        </w:rPr>
        <w:t>采用</w:t>
      </w:r>
      <w:r>
        <w:rPr>
          <w:rFonts w:ascii="Microsoft YaHei" w:hAnsi="Microsoft YaHei" w:eastAsia="Microsoft YaHei" w:cs="Microsoft YaHei"/>
          <w:color w:val="231F20"/>
          <w:spacing w:val="-12"/>
        </w:rPr>
        <w:t xml:space="preserve"> </w:t>
      </w:r>
      <w:r>
        <w:rPr>
          <w:color w:val="231F20"/>
          <w:spacing w:val="-6"/>
        </w:rPr>
        <w:t>SPSS 26.0</w:t>
      </w:r>
      <w:r>
        <w:rPr>
          <w:color w:val="231F20"/>
          <w:spacing w:val="-11"/>
        </w:rPr>
        <w:t xml:space="preserve"> </w:t>
      </w:r>
      <w:r>
        <w:rPr>
          <w:rFonts w:ascii="Microsoft YaHei" w:hAnsi="Microsoft YaHei" w:eastAsia="Microsoft YaHei" w:cs="Microsoft YaHei"/>
          <w:color w:val="231F20"/>
          <w:spacing w:val="-6"/>
        </w:rPr>
        <w:t>统计学软件进行数</w:t>
      </w:r>
      <w:r>
        <w:rPr>
          <w:rFonts w:ascii="Microsoft YaHei" w:hAnsi="Microsoft YaHei" w:eastAsia="Microsoft YaHei" w:cs="Microsoft YaHei"/>
          <w:color w:val="231F20"/>
          <w:spacing w:val="-7"/>
        </w:rPr>
        <w:t>据分析。计量资料以（</w:t>
      </w:r>
      <w:r>
        <w:rPr>
          <w:i/>
          <w:iCs/>
          <w:color w:val="231F20"/>
          <w:spacing w:val="-7"/>
        </w:rPr>
        <w:t>x</w:t>
      </w:r>
      <w:r>
        <w:rPr>
          <w:rFonts w:ascii="Microsoft YaHei" w:hAnsi="Microsoft YaHei" w:eastAsia="Microsoft YaHei" w:cs="Microsoft YaHei"/>
          <w:color w:val="231F20"/>
          <w:spacing w:val="-7"/>
        </w:rPr>
        <w:t>±</w:t>
      </w:r>
      <w:r>
        <w:rPr>
          <w:i/>
          <w:iCs/>
          <w:color w:val="231F20"/>
          <w:spacing w:val="-7"/>
        </w:rPr>
        <w:t>s</w:t>
      </w:r>
      <w:r>
        <w:rPr>
          <w:rFonts w:ascii="Microsoft YaHei" w:hAnsi="Microsoft YaHei" w:eastAsia="Microsoft YaHei" w:cs="Microsoft YaHei"/>
          <w:color w:val="231F20"/>
          <w:spacing w:val="-7"/>
        </w:rPr>
        <w:t>）表示，</w:t>
      </w:r>
      <w:r>
        <w:rPr>
          <w:rFonts w:ascii="Microsoft YaHei" w:hAnsi="Microsoft YaHei" w:eastAsia="Microsoft YaHei" w:cs="Microsoft YaHei"/>
          <w:color w:val="231F20"/>
        </w:rPr>
        <w:t xml:space="preserve"> </w:t>
      </w:r>
      <w:r>
        <w:rPr>
          <w:rFonts w:ascii="Microsoft YaHei" w:hAnsi="Microsoft YaHei" w:eastAsia="Microsoft YaHei" w:cs="Microsoft YaHei"/>
          <w:color w:val="231F20"/>
          <w:spacing w:val="-1"/>
        </w:rPr>
        <w:t>采用 </w:t>
      </w:r>
      <w:r>
        <w:rPr>
          <w:i/>
          <w:iCs/>
          <w:color w:val="231F20"/>
          <w:spacing w:val="-1"/>
        </w:rPr>
        <w:t>t </w:t>
      </w:r>
      <w:r>
        <w:rPr>
          <w:rFonts w:ascii="Microsoft YaHei" w:hAnsi="Microsoft YaHei" w:eastAsia="Microsoft YaHei" w:cs="Microsoft YaHei"/>
          <w:color w:val="231F20"/>
          <w:spacing w:val="-1"/>
        </w:rPr>
        <w:t>检验 ；计数资料以 </w:t>
      </w:r>
      <w:r>
        <w:rPr>
          <w:color w:val="231F20"/>
          <w:spacing w:val="-1"/>
        </w:rPr>
        <w:t>[</w:t>
      </w:r>
      <w:r>
        <w:rPr>
          <w:i/>
          <w:iCs/>
          <w:color w:val="231F20"/>
          <w:spacing w:val="-1"/>
        </w:rPr>
        <w:t>n</w:t>
      </w:r>
      <w:r>
        <w:rPr>
          <w:rFonts w:ascii="Microsoft YaHei" w:hAnsi="Microsoft YaHei" w:eastAsia="Microsoft YaHei" w:cs="Microsoft YaHei"/>
          <w:color w:val="231F20"/>
          <w:spacing w:val="-1"/>
        </w:rPr>
        <w:t>（</w:t>
      </w:r>
      <w:r>
        <w:rPr>
          <w:rFonts w:ascii="Microsoft YaHei" w:hAnsi="Microsoft YaHei" w:eastAsia="Microsoft YaHei" w:cs="Microsoft YaHei"/>
          <w:color w:val="231F20"/>
          <w:spacing w:val="-12"/>
        </w:rPr>
        <w:t xml:space="preserve"> </w:t>
      </w:r>
      <w:r>
        <w:rPr>
          <w:color w:val="231F20"/>
          <w:spacing w:val="-1"/>
        </w:rPr>
        <w:t>%</w:t>
      </w:r>
      <w:r>
        <w:rPr>
          <w:color w:val="231F20"/>
          <w:spacing w:val="-10"/>
        </w:rPr>
        <w:t xml:space="preserve"> </w:t>
      </w:r>
      <w:r>
        <w:rPr>
          <w:rFonts w:ascii="Microsoft YaHei" w:hAnsi="Microsoft YaHei" w:eastAsia="Microsoft YaHei" w:cs="Microsoft YaHei"/>
          <w:color w:val="231F20"/>
          <w:spacing w:val="-1"/>
        </w:rPr>
        <w:t>）</w:t>
      </w:r>
      <w:r>
        <w:rPr>
          <w:color w:val="231F20"/>
          <w:spacing w:val="-2"/>
        </w:rPr>
        <w:t>] </w:t>
      </w:r>
      <w:r>
        <w:rPr>
          <w:rFonts w:ascii="Microsoft YaHei" w:hAnsi="Microsoft YaHei" w:eastAsia="Microsoft YaHei" w:cs="Microsoft YaHei"/>
          <w:color w:val="231F20"/>
          <w:spacing w:val="-2"/>
        </w:rPr>
        <w:t>表示，采用</w:t>
      </w:r>
      <w:r>
        <w:rPr>
          <w:rFonts w:ascii="Microsoft YaHei" w:hAnsi="Microsoft YaHei" w:eastAsia="Microsoft YaHei" w:cs="Microsoft YaHei"/>
          <w:color w:val="231F20"/>
          <w:spacing w:val="-9"/>
        </w:rPr>
        <w:t xml:space="preserve"> </w:t>
      </w:r>
      <w:r>
        <w:rPr>
          <w:i/>
          <w:iCs/>
          <w:color w:val="231F20"/>
          <w:spacing w:val="-2"/>
        </w:rPr>
        <w:t>χ</w:t>
      </w:r>
      <w:r>
        <w:rPr>
          <w:sz w:val="8"/>
          <w:szCs w:val="8"/>
          <w:color w:val="231F20"/>
          <w:spacing w:val="-2"/>
          <w:position w:val="7"/>
        </w:rPr>
        <w:t>2  </w:t>
      </w:r>
      <w:r>
        <w:rPr>
          <w:rFonts w:ascii="Microsoft YaHei" w:hAnsi="Microsoft YaHei" w:eastAsia="Microsoft YaHei" w:cs="Microsoft YaHei"/>
          <w:color w:val="231F20"/>
          <w:spacing w:val="-2"/>
        </w:rPr>
        <w:t>检验。以 </w:t>
      </w:r>
      <w:r>
        <w:rPr>
          <w:i/>
          <w:iCs/>
          <w:color w:val="231F20"/>
          <w:spacing w:val="-2"/>
        </w:rPr>
        <w:t>P&lt;</w:t>
      </w:r>
      <w:r>
        <w:rPr>
          <w:color w:val="231F20"/>
          <w:spacing w:val="-2"/>
        </w:rPr>
        <w:t>0.05 </w:t>
      </w:r>
      <w:r>
        <w:rPr>
          <w:rFonts w:ascii="Microsoft YaHei" w:hAnsi="Microsoft YaHei" w:eastAsia="Microsoft YaHei" w:cs="Microsoft YaHei"/>
          <w:color w:val="231F20"/>
          <w:spacing w:val="-2"/>
        </w:rPr>
        <w:t>表</w:t>
      </w:r>
      <w:r>
        <w:rPr>
          <w:rFonts w:ascii="Microsoft YaHei" w:hAnsi="Microsoft YaHei" w:eastAsia="Microsoft YaHei" w:cs="Microsoft YaHei"/>
          <w:color w:val="231F20"/>
        </w:rPr>
        <w:t xml:space="preserve">  </w:t>
      </w:r>
      <w:r>
        <w:rPr>
          <w:rFonts w:ascii="Microsoft YaHei" w:hAnsi="Microsoft YaHei" w:eastAsia="Microsoft YaHei" w:cs="Microsoft YaHei"/>
          <w:color w:val="231F20"/>
          <w:spacing w:val="-2"/>
        </w:rPr>
        <w:t>示差异有统计学意义。</w:t>
      </w:r>
    </w:p>
    <w:p>
      <w:pPr>
        <w:pStyle w:val="BodyText"/>
        <w:ind w:left="876"/>
        <w:spacing w:before="131" w:line="240" w:lineRule="exact"/>
        <w:outlineLvl w:val="0"/>
        <w:rPr>
          <w:rFonts w:ascii="SimHei" w:hAnsi="SimHei" w:eastAsia="SimHei" w:cs="SimHei"/>
          <w:sz w:val="18"/>
          <w:szCs w:val="18"/>
        </w:rPr>
      </w:pPr>
      <w:r>
        <w:rPr>
          <w:sz w:val="18"/>
          <w:szCs w:val="18"/>
          <w:b/>
          <w:bCs/>
          <w:color w:val="231F20"/>
          <w:spacing w:val="-4"/>
          <w:position w:val="1"/>
        </w:rPr>
        <w:t>2</w:t>
      </w:r>
      <w:r>
        <w:rPr>
          <w:sz w:val="18"/>
          <w:szCs w:val="18"/>
          <w:b/>
          <w:bCs/>
          <w:color w:val="231F20"/>
          <w:spacing w:val="3"/>
          <w:position w:val="1"/>
        </w:rPr>
        <w:t xml:space="preserve">    </w:t>
      </w:r>
      <w:r>
        <w:rPr>
          <w:rFonts w:ascii="SimHei" w:hAnsi="SimHei" w:eastAsia="SimHei" w:cs="SimHei"/>
          <w:sz w:val="18"/>
          <w:szCs w:val="18"/>
          <w:color w:val="231F20"/>
          <w:spacing w:val="-4"/>
          <w:position w:val="1"/>
        </w:rPr>
        <w:t>结果</w:t>
      </w:r>
    </w:p>
    <w:p>
      <w:pPr>
        <w:pStyle w:val="BodyText"/>
        <w:ind w:left="875"/>
        <w:spacing w:before="66" w:line="242" w:lineRule="auto"/>
        <w:rPr>
          <w:rFonts w:ascii="SimHei" w:hAnsi="SimHei" w:eastAsia="SimHei" w:cs="SimHei"/>
        </w:rPr>
      </w:pPr>
      <w:r>
        <w:rPr>
          <w:b/>
          <w:bCs/>
          <w:color w:val="231F20"/>
          <w:spacing w:val="-1"/>
        </w:rPr>
        <w:t>2.1    </w:t>
      </w:r>
      <w:r>
        <w:rPr>
          <w:rFonts w:ascii="SimHei" w:hAnsi="SimHei" w:eastAsia="SimHei" w:cs="SimHei"/>
          <w:color w:val="231F20"/>
          <w:spacing w:val="-1"/>
        </w:rPr>
        <w:t>两组炎性因子水平比较</w:t>
      </w:r>
    </w:p>
    <w:p>
      <w:pPr>
        <w:pStyle w:val="BodyText"/>
        <w:ind w:left="1190"/>
        <w:spacing w:before="32" w:line="176" w:lineRule="auto"/>
        <w:rPr>
          <w:rFonts w:ascii="Microsoft YaHei" w:hAnsi="Microsoft YaHei" w:eastAsia="Microsoft YaHei" w:cs="Microsoft YaHei"/>
        </w:rPr>
      </w:pPr>
      <w:r>
        <w:rPr>
          <w:rFonts w:ascii="Microsoft YaHei" w:hAnsi="Microsoft YaHei" w:eastAsia="Microsoft YaHei" w:cs="Microsoft YaHei"/>
          <w:color w:val="231F20"/>
          <w:spacing w:val="-5"/>
        </w:rPr>
        <w:t>干预后，观察组 </w:t>
      </w:r>
      <w:r>
        <w:rPr>
          <w:color w:val="231F20"/>
          <w:spacing w:val="-5"/>
        </w:rPr>
        <w:t>IL-6</w:t>
      </w:r>
      <w:r>
        <w:rPr>
          <w:rFonts w:ascii="Microsoft YaHei" w:hAnsi="Microsoft YaHei" w:eastAsia="Microsoft YaHei" w:cs="Microsoft YaHei"/>
          <w:color w:val="231F20"/>
          <w:spacing w:val="-5"/>
        </w:rPr>
        <w:t>、</w:t>
      </w:r>
      <w:r>
        <w:rPr>
          <w:color w:val="231F20"/>
          <w:spacing w:val="-5"/>
        </w:rPr>
        <w:t>CRP</w:t>
      </w:r>
      <w:r>
        <w:rPr>
          <w:rFonts w:ascii="Microsoft YaHei" w:hAnsi="Microsoft YaHei" w:eastAsia="Microsoft YaHei" w:cs="Microsoft YaHei"/>
          <w:color w:val="231F20"/>
          <w:spacing w:val="-5"/>
        </w:rPr>
        <w:t>、</w:t>
      </w:r>
      <w:r>
        <w:rPr>
          <w:color w:val="231F20"/>
          <w:spacing w:val="-5"/>
        </w:rPr>
        <w:t>TNF-α </w:t>
      </w:r>
      <w:r>
        <w:rPr>
          <w:rFonts w:ascii="Microsoft YaHei" w:hAnsi="Microsoft YaHei" w:eastAsia="Microsoft YaHei" w:cs="Microsoft YaHei"/>
          <w:color w:val="231F20"/>
          <w:spacing w:val="-5"/>
        </w:rPr>
        <w:t>低于对照组（</w:t>
      </w:r>
      <w:r>
        <w:rPr>
          <w:i/>
          <w:iCs/>
          <w:color w:val="231F20"/>
          <w:spacing w:val="-5"/>
        </w:rPr>
        <w:t>P&lt;</w:t>
      </w:r>
      <w:r>
        <w:rPr>
          <w:color w:val="231F20"/>
          <w:spacing w:val="-5"/>
        </w:rPr>
        <w:t>0.05</w:t>
      </w:r>
      <w:r>
        <w:rPr>
          <w:rFonts w:ascii="Microsoft YaHei" w:hAnsi="Microsoft YaHei" w:eastAsia="Microsoft YaHei" w:cs="Microsoft YaHei"/>
          <w:color w:val="231F20"/>
          <w:spacing w:val="-29"/>
          <w:w w:val="81"/>
        </w:rPr>
        <w:t>），</w:t>
      </w:r>
      <w:r>
        <w:rPr>
          <w:rFonts w:ascii="Microsoft YaHei" w:hAnsi="Microsoft YaHei" w:eastAsia="Microsoft YaHei" w:cs="Microsoft YaHei"/>
          <w:color w:val="231F20"/>
          <w:spacing w:val="-5"/>
        </w:rPr>
        <w:t>见表</w:t>
      </w:r>
      <w:r>
        <w:rPr>
          <w:rFonts w:ascii="Microsoft YaHei" w:hAnsi="Microsoft YaHei" w:eastAsia="Microsoft YaHei" w:cs="Microsoft YaHei"/>
          <w:color w:val="231F20"/>
          <w:spacing w:val="11"/>
        </w:rPr>
        <w:t xml:space="preserve"> </w:t>
      </w:r>
      <w:r>
        <w:rPr>
          <w:color w:val="231F20"/>
          <w:spacing w:val="-5"/>
        </w:rPr>
        <w:t>1</w:t>
      </w:r>
      <w:r>
        <w:rPr>
          <w:rFonts w:ascii="Microsoft YaHei" w:hAnsi="Microsoft YaHei" w:eastAsia="Microsoft YaHei" w:cs="Microsoft YaHei"/>
          <w:color w:val="231F20"/>
          <w:spacing w:val="-5"/>
        </w:rPr>
        <w:t>。</w:t>
      </w:r>
    </w:p>
    <w:p>
      <w:pPr>
        <w:ind w:left="3914"/>
        <w:spacing w:before="121" w:line="13" w:lineRule="exact"/>
        <w:rPr/>
      </w:pPr>
      <w:r>
        <w:rPr/>
        <w:drawing>
          <wp:inline distT="0" distB="0" distL="0" distR="0">
            <wp:extent cx="44450" cy="8470"/>
            <wp:effectExtent l="0" t="0" r="0" b="0"/>
            <wp:docPr id="2" name="IM 2"/>
            <wp:cNvGraphicFramePr/>
            <a:graphic>
              <a:graphicData uri="http://schemas.openxmlformats.org/drawingml/2006/picture">
                <pic:pic>
                  <pic:nvPicPr>
                    <pic:cNvPr id="2" name="IM 2"/>
                    <pic:cNvPicPr/>
                  </pic:nvPicPr>
                  <pic:blipFill>
                    <a:blip r:embed="rId5"/>
                    <a:stretch>
                      <a:fillRect/>
                    </a:stretch>
                  </pic:blipFill>
                  <pic:spPr>
                    <a:xfrm rot="0">
                      <a:off x="0" y="0"/>
                      <a:ext cx="44450" cy="8470"/>
                    </a:xfrm>
                    <a:prstGeom prst="rect">
                      <a:avLst/>
                    </a:prstGeom>
                  </pic:spPr>
                </pic:pic>
              </a:graphicData>
            </a:graphic>
          </wp:inline>
        </w:drawing>
      </w:r>
    </w:p>
    <w:p>
      <w:pPr>
        <w:pStyle w:val="BodyText"/>
        <w:ind w:left="1993"/>
        <w:spacing w:before="2" w:line="242" w:lineRule="auto"/>
        <w:outlineLvl w:val="2"/>
        <w:rPr>
          <w:rFonts w:ascii="SimHei" w:hAnsi="SimHei" w:eastAsia="SimHei" w:cs="SimHei"/>
          <w:sz w:val="14"/>
          <w:szCs w:val="14"/>
        </w:rPr>
      </w:pPr>
      <w:r>
        <w:rPr>
          <w:rFonts w:ascii="SimHei" w:hAnsi="SimHei" w:eastAsia="SimHei" w:cs="SimHei"/>
          <w:sz w:val="14"/>
          <w:szCs w:val="14"/>
          <w:color w:val="231F20"/>
          <w:spacing w:val="-3"/>
        </w:rPr>
        <w:t>表</w:t>
      </w:r>
      <w:r>
        <w:rPr>
          <w:rFonts w:ascii="SimHei" w:hAnsi="SimHei" w:eastAsia="SimHei" w:cs="SimHei"/>
          <w:sz w:val="14"/>
          <w:szCs w:val="14"/>
          <w:color w:val="231F20"/>
          <w:spacing w:val="-9"/>
        </w:rPr>
        <w:t xml:space="preserve"> </w:t>
      </w:r>
      <w:r>
        <w:rPr>
          <w:sz w:val="14"/>
          <w:szCs w:val="14"/>
          <w:b/>
          <w:bCs/>
          <w:color w:val="231F20"/>
          <w:spacing w:val="-3"/>
        </w:rPr>
        <w:t>1    </w:t>
      </w:r>
      <w:r>
        <w:rPr>
          <w:rFonts w:ascii="SimHei" w:hAnsi="SimHei" w:eastAsia="SimHei" w:cs="SimHei"/>
          <w:sz w:val="14"/>
          <w:szCs w:val="14"/>
          <w:color w:val="231F20"/>
          <w:spacing w:val="-3"/>
        </w:rPr>
        <w:t>两组炎性因子水平比较（</w:t>
      </w:r>
      <w:r>
        <w:rPr>
          <w:sz w:val="14"/>
          <w:szCs w:val="14"/>
          <w:b/>
          <w:bCs/>
          <w:i/>
          <w:iCs/>
          <w:color w:val="231F20"/>
          <w:spacing w:val="-3"/>
        </w:rPr>
        <w:t>x </w:t>
      </w:r>
      <w:r>
        <w:rPr>
          <w:rFonts w:ascii="SimHei" w:hAnsi="SimHei" w:eastAsia="SimHei" w:cs="SimHei"/>
          <w:sz w:val="14"/>
          <w:szCs w:val="14"/>
          <w:color w:val="231F20"/>
          <w:spacing w:val="-3"/>
        </w:rPr>
        <w:t>±</w:t>
      </w:r>
      <w:r>
        <w:rPr>
          <w:sz w:val="14"/>
          <w:szCs w:val="14"/>
          <w:b/>
          <w:bCs/>
          <w:i/>
          <w:iCs/>
          <w:color w:val="231F20"/>
          <w:spacing w:val="-3"/>
        </w:rPr>
        <w:t>s </w:t>
      </w:r>
      <w:r>
        <w:rPr>
          <w:rFonts w:ascii="SimHei" w:hAnsi="SimHei" w:eastAsia="SimHei" w:cs="SimHei"/>
          <w:sz w:val="14"/>
          <w:szCs w:val="14"/>
          <w:color w:val="231F20"/>
          <w:spacing w:val="-3"/>
        </w:rPr>
        <w:t>）</w:t>
      </w:r>
    </w:p>
    <w:p>
      <w:pPr>
        <w:spacing w:line="19" w:lineRule="exact"/>
        <w:rPr/>
      </w:pPr>
      <w:r/>
    </w:p>
    <w:tbl>
      <w:tblPr>
        <w:tblStyle w:val="TableNormal"/>
        <w:tblW w:w="4563" w:type="dxa"/>
        <w:tblInd w:w="871" w:type="dxa"/>
        <w:tblLayout w:type="fixed"/>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Pr>
      <w:tblGrid>
        <w:gridCol w:w="435"/>
        <w:gridCol w:w="217"/>
        <w:gridCol w:w="621"/>
        <w:gridCol w:w="626"/>
        <w:gridCol w:w="707"/>
        <w:gridCol w:w="625"/>
        <w:gridCol w:w="708"/>
        <w:gridCol w:w="624"/>
      </w:tblGrid>
      <w:tr>
        <w:trPr>
          <w:trHeight w:val="182" w:hRule="atLeast"/>
        </w:trPr>
        <w:tc>
          <w:tcPr>
            <w:tcW w:w="435" w:type="dxa"/>
            <w:vAlign w:val="top"/>
            <w:vMerge w:val="restart"/>
            <w:tcBorders>
              <w:bottom w:val="nil"/>
              <w:top w:val="single" w:color="231F20" w:sz="4" w:space="0"/>
            </w:tcBorders>
          </w:tcPr>
          <w:p>
            <w:pPr>
              <w:ind w:left="98"/>
              <w:spacing w:before="123" w:line="221" w:lineRule="auto"/>
              <w:rPr>
                <w:rFonts w:ascii="SimSun" w:hAnsi="SimSun" w:eastAsia="SimSun" w:cs="SimSun"/>
                <w:sz w:val="12"/>
                <w:szCs w:val="12"/>
              </w:rPr>
            </w:pPr>
            <w:r>
              <w:rPr>
                <w:rFonts w:ascii="SimSun" w:hAnsi="SimSun" w:eastAsia="SimSun" w:cs="SimSun"/>
                <w:sz w:val="12"/>
                <w:szCs w:val="12"/>
                <w:color w:val="231F20"/>
                <w:spacing w:val="-2"/>
              </w:rPr>
              <w:t>组别</w:t>
            </w:r>
          </w:p>
        </w:tc>
        <w:tc>
          <w:tcPr>
            <w:tcW w:w="217" w:type="dxa"/>
            <w:vAlign w:val="top"/>
            <w:vMerge w:val="restart"/>
            <w:tcBorders>
              <w:bottom w:val="nil"/>
              <w:top w:val="single" w:color="231F20" w:sz="4" w:space="0"/>
            </w:tcBorders>
          </w:tcPr>
          <w:p>
            <w:pPr>
              <w:pStyle w:val="TableText"/>
              <w:ind w:left="75"/>
              <w:spacing w:before="169" w:line="79" w:lineRule="exact"/>
              <w:rPr/>
            </w:pPr>
            <w:r>
              <w:rPr>
                <w:i/>
                <w:iCs/>
                <w:color w:val="231F20"/>
                <w:position w:val="-1"/>
              </w:rPr>
              <w:t>n</w:t>
            </w:r>
          </w:p>
        </w:tc>
        <w:tc>
          <w:tcPr>
            <w:tcW w:w="1247" w:type="dxa"/>
            <w:vAlign w:val="top"/>
            <w:gridSpan w:val="2"/>
            <w:tcBorders>
              <w:bottom w:val="single" w:color="231F20" w:sz="2" w:space="0"/>
              <w:top w:val="single" w:color="231F20" w:sz="4" w:space="0"/>
            </w:tcBorders>
          </w:tcPr>
          <w:p>
            <w:pPr>
              <w:pStyle w:val="TableText"/>
              <w:ind w:left="260"/>
              <w:spacing w:before="29" w:line="212" w:lineRule="auto"/>
              <w:rPr>
                <w:rFonts w:ascii="SimSun" w:hAnsi="SimSun" w:eastAsia="SimSun" w:cs="SimSun"/>
              </w:rPr>
            </w:pPr>
            <w:r>
              <w:rPr>
                <w:color w:val="231F20"/>
                <w:spacing w:val="-1"/>
              </w:rPr>
              <w:t>IL-6</w:t>
            </w:r>
            <w:r>
              <w:rPr>
                <w:rFonts w:ascii="SimSun" w:hAnsi="SimSun" w:eastAsia="SimSun" w:cs="SimSun"/>
                <w:color w:val="231F20"/>
                <w:spacing w:val="-1"/>
              </w:rPr>
              <w:t>（</w:t>
            </w:r>
            <w:r>
              <w:rPr>
                <w:color w:val="231F20"/>
                <w:spacing w:val="-1"/>
              </w:rPr>
              <w:t>pg/ml</w:t>
            </w:r>
            <w:r>
              <w:rPr>
                <w:rFonts w:ascii="SimSun" w:hAnsi="SimSun" w:eastAsia="SimSun" w:cs="SimSun"/>
                <w:color w:val="231F20"/>
                <w:spacing w:val="-1"/>
              </w:rPr>
              <w:t>）</w:t>
            </w:r>
          </w:p>
        </w:tc>
        <w:tc>
          <w:tcPr>
            <w:tcW w:w="1332" w:type="dxa"/>
            <w:vAlign w:val="top"/>
            <w:gridSpan w:val="2"/>
            <w:tcBorders>
              <w:bottom w:val="single" w:color="231F20" w:sz="2" w:space="0"/>
              <w:top w:val="single" w:color="231F20" w:sz="4" w:space="0"/>
            </w:tcBorders>
          </w:tcPr>
          <w:p>
            <w:pPr>
              <w:pStyle w:val="TableText"/>
              <w:ind w:left="323"/>
              <w:spacing w:before="29" w:line="212" w:lineRule="auto"/>
              <w:rPr>
                <w:rFonts w:ascii="SimSun" w:hAnsi="SimSun" w:eastAsia="SimSun" w:cs="SimSun"/>
              </w:rPr>
            </w:pPr>
            <w:r>
              <w:rPr>
                <w:color w:val="231F20"/>
                <w:spacing w:val="-1"/>
              </w:rPr>
              <w:t>CRP</w:t>
            </w:r>
            <w:r>
              <w:rPr>
                <w:rFonts w:ascii="SimSun" w:hAnsi="SimSun" w:eastAsia="SimSun" w:cs="SimSun"/>
                <w:color w:val="231F20"/>
                <w:spacing w:val="-1"/>
              </w:rPr>
              <w:t>（</w:t>
            </w:r>
            <w:r>
              <w:rPr>
                <w:color w:val="231F20"/>
                <w:spacing w:val="-1"/>
              </w:rPr>
              <w:t>mg/ml</w:t>
            </w:r>
            <w:r>
              <w:rPr>
                <w:rFonts w:ascii="SimSun" w:hAnsi="SimSun" w:eastAsia="SimSun" w:cs="SimSun"/>
                <w:color w:val="231F20"/>
                <w:spacing w:val="-1"/>
              </w:rPr>
              <w:t>）</w:t>
            </w:r>
          </w:p>
        </w:tc>
        <w:tc>
          <w:tcPr>
            <w:tcW w:w="1332" w:type="dxa"/>
            <w:vAlign w:val="top"/>
            <w:gridSpan w:val="2"/>
            <w:tcBorders>
              <w:bottom w:val="single" w:color="231F20" w:sz="2" w:space="0"/>
              <w:top w:val="single" w:color="231F20" w:sz="4" w:space="0"/>
            </w:tcBorders>
          </w:tcPr>
          <w:p>
            <w:pPr>
              <w:pStyle w:val="TableText"/>
              <w:ind w:left="287"/>
              <w:spacing w:before="29" w:line="212" w:lineRule="auto"/>
              <w:rPr>
                <w:rFonts w:ascii="SimSun" w:hAnsi="SimSun" w:eastAsia="SimSun" w:cs="SimSun"/>
              </w:rPr>
            </w:pPr>
            <w:r>
              <w:rPr>
                <w:color w:val="231F20"/>
                <w:spacing w:val="-1"/>
              </w:rPr>
              <w:t>TNF-α</w:t>
            </w:r>
            <w:r>
              <w:rPr>
                <w:rFonts w:ascii="SimSun" w:hAnsi="SimSun" w:eastAsia="SimSun" w:cs="SimSun"/>
                <w:color w:val="231F20"/>
                <w:spacing w:val="-1"/>
              </w:rPr>
              <w:t>（</w:t>
            </w:r>
            <w:r>
              <w:rPr>
                <w:color w:val="231F20"/>
                <w:spacing w:val="-1"/>
              </w:rPr>
              <w:t>pg/ml</w:t>
            </w:r>
            <w:r>
              <w:rPr>
                <w:rFonts w:ascii="SimSun" w:hAnsi="SimSun" w:eastAsia="SimSun" w:cs="SimSun"/>
                <w:color w:val="231F20"/>
                <w:spacing w:val="-1"/>
              </w:rPr>
              <w:t>）</w:t>
            </w:r>
          </w:p>
        </w:tc>
      </w:tr>
      <w:tr>
        <w:trPr>
          <w:trHeight w:val="182" w:hRule="atLeast"/>
        </w:trPr>
        <w:tc>
          <w:tcPr>
            <w:tcW w:w="435" w:type="dxa"/>
            <w:vAlign w:val="top"/>
            <w:vMerge w:val="continue"/>
            <w:tcBorders>
              <w:bottom w:val="single" w:color="231F20" w:sz="2" w:space="0"/>
              <w:top w:val="nil"/>
            </w:tcBorders>
          </w:tcPr>
          <w:p>
            <w:pPr>
              <w:rPr>
                <w:rFonts w:ascii="Arial"/>
                <w:sz w:val="21"/>
              </w:rPr>
            </w:pPr>
            <w:r/>
          </w:p>
        </w:tc>
        <w:tc>
          <w:tcPr>
            <w:tcW w:w="217" w:type="dxa"/>
            <w:vAlign w:val="top"/>
            <w:vMerge w:val="continue"/>
            <w:tcBorders>
              <w:bottom w:val="single" w:color="231F20" w:sz="2" w:space="0"/>
              <w:top w:val="nil"/>
            </w:tcBorders>
          </w:tcPr>
          <w:p>
            <w:pPr>
              <w:rPr>
                <w:rFonts w:ascii="Arial"/>
                <w:sz w:val="21"/>
              </w:rPr>
            </w:pPr>
            <w:r/>
          </w:p>
        </w:tc>
        <w:tc>
          <w:tcPr>
            <w:tcW w:w="621" w:type="dxa"/>
            <w:vAlign w:val="top"/>
            <w:tcBorders>
              <w:bottom w:val="single" w:color="231F20" w:sz="2" w:space="0"/>
              <w:top w:val="single" w:color="231F20" w:sz="2" w:space="0"/>
            </w:tcBorders>
          </w:tcPr>
          <w:p>
            <w:pPr>
              <w:ind w:left="135"/>
              <w:spacing w:before="30" w:line="218" w:lineRule="auto"/>
              <w:rPr>
                <w:rFonts w:ascii="SimSun" w:hAnsi="SimSun" w:eastAsia="SimSun" w:cs="SimSun"/>
                <w:sz w:val="12"/>
                <w:szCs w:val="12"/>
              </w:rPr>
            </w:pPr>
            <w:r>
              <w:rPr>
                <w:rFonts w:ascii="SimSun" w:hAnsi="SimSun" w:eastAsia="SimSun" w:cs="SimSun"/>
                <w:sz w:val="12"/>
                <w:szCs w:val="12"/>
                <w:color w:val="231F20"/>
                <w:spacing w:val="-1"/>
              </w:rPr>
              <w:t>干预前</w:t>
            </w:r>
          </w:p>
        </w:tc>
        <w:tc>
          <w:tcPr>
            <w:tcW w:w="626" w:type="dxa"/>
            <w:vAlign w:val="top"/>
            <w:tcBorders>
              <w:bottom w:val="single" w:color="231F20" w:sz="2" w:space="0"/>
              <w:top w:val="single" w:color="231F20" w:sz="2" w:space="0"/>
            </w:tcBorders>
          </w:tcPr>
          <w:p>
            <w:pPr>
              <w:ind w:left="138"/>
              <w:spacing w:before="30" w:line="218" w:lineRule="auto"/>
              <w:rPr>
                <w:rFonts w:ascii="SimSun" w:hAnsi="SimSun" w:eastAsia="SimSun" w:cs="SimSun"/>
                <w:sz w:val="12"/>
                <w:szCs w:val="12"/>
              </w:rPr>
            </w:pPr>
            <w:r>
              <w:rPr>
                <w:rFonts w:ascii="SimSun" w:hAnsi="SimSun" w:eastAsia="SimSun" w:cs="SimSun"/>
                <w:sz w:val="12"/>
                <w:szCs w:val="12"/>
                <w:color w:val="231F20"/>
                <w:spacing w:val="-1"/>
              </w:rPr>
              <w:t>干预后</w:t>
            </w:r>
          </w:p>
        </w:tc>
        <w:tc>
          <w:tcPr>
            <w:tcW w:w="707" w:type="dxa"/>
            <w:vAlign w:val="top"/>
            <w:tcBorders>
              <w:bottom w:val="single" w:color="231F20" w:sz="2" w:space="0"/>
              <w:top w:val="single" w:color="231F20" w:sz="2" w:space="0"/>
            </w:tcBorders>
          </w:tcPr>
          <w:p>
            <w:pPr>
              <w:ind w:left="221"/>
              <w:spacing w:before="30" w:line="218" w:lineRule="auto"/>
              <w:rPr>
                <w:rFonts w:ascii="SimSun" w:hAnsi="SimSun" w:eastAsia="SimSun" w:cs="SimSun"/>
                <w:sz w:val="12"/>
                <w:szCs w:val="12"/>
              </w:rPr>
            </w:pPr>
            <w:r>
              <w:rPr>
                <w:rFonts w:ascii="SimSun" w:hAnsi="SimSun" w:eastAsia="SimSun" w:cs="SimSun"/>
                <w:sz w:val="12"/>
                <w:szCs w:val="12"/>
                <w:color w:val="231F20"/>
                <w:spacing w:val="-1"/>
              </w:rPr>
              <w:t>干预前</w:t>
            </w:r>
          </w:p>
        </w:tc>
        <w:tc>
          <w:tcPr>
            <w:tcW w:w="625" w:type="dxa"/>
            <w:vAlign w:val="top"/>
            <w:tcBorders>
              <w:bottom w:val="single" w:color="231F20" w:sz="2" w:space="0"/>
              <w:top w:val="single" w:color="231F20" w:sz="2" w:space="0"/>
            </w:tcBorders>
          </w:tcPr>
          <w:p>
            <w:pPr>
              <w:ind w:left="137"/>
              <w:spacing w:before="30" w:line="218" w:lineRule="auto"/>
              <w:rPr>
                <w:rFonts w:ascii="SimSun" w:hAnsi="SimSun" w:eastAsia="SimSun" w:cs="SimSun"/>
                <w:sz w:val="12"/>
                <w:szCs w:val="12"/>
              </w:rPr>
            </w:pPr>
            <w:r>
              <w:rPr>
                <w:rFonts w:ascii="SimSun" w:hAnsi="SimSun" w:eastAsia="SimSun" w:cs="SimSun"/>
                <w:sz w:val="12"/>
                <w:szCs w:val="12"/>
                <w:color w:val="231F20"/>
                <w:spacing w:val="-1"/>
              </w:rPr>
              <w:t>干预后</w:t>
            </w:r>
          </w:p>
        </w:tc>
        <w:tc>
          <w:tcPr>
            <w:tcW w:w="708" w:type="dxa"/>
            <w:vAlign w:val="top"/>
            <w:tcBorders>
              <w:bottom w:val="single" w:color="231F20" w:sz="2" w:space="0"/>
              <w:top w:val="single" w:color="231F20" w:sz="2" w:space="0"/>
            </w:tcBorders>
          </w:tcPr>
          <w:p>
            <w:pPr>
              <w:ind w:left="221"/>
              <w:spacing w:before="30" w:line="218" w:lineRule="auto"/>
              <w:rPr>
                <w:rFonts w:ascii="SimSun" w:hAnsi="SimSun" w:eastAsia="SimSun" w:cs="SimSun"/>
                <w:sz w:val="12"/>
                <w:szCs w:val="12"/>
              </w:rPr>
            </w:pPr>
            <w:r>
              <w:rPr>
                <w:rFonts w:ascii="SimSun" w:hAnsi="SimSun" w:eastAsia="SimSun" w:cs="SimSun"/>
                <w:sz w:val="12"/>
                <w:szCs w:val="12"/>
                <w:color w:val="231F20"/>
                <w:spacing w:val="-1"/>
              </w:rPr>
              <w:t>干预前</w:t>
            </w:r>
          </w:p>
        </w:tc>
        <w:tc>
          <w:tcPr>
            <w:tcW w:w="624" w:type="dxa"/>
            <w:vAlign w:val="top"/>
            <w:tcBorders>
              <w:bottom w:val="single" w:color="231F20" w:sz="2" w:space="0"/>
              <w:top w:val="single" w:color="231F20" w:sz="2" w:space="0"/>
            </w:tcBorders>
          </w:tcPr>
          <w:p>
            <w:pPr>
              <w:ind w:left="137"/>
              <w:spacing w:before="30" w:line="218" w:lineRule="auto"/>
              <w:rPr>
                <w:rFonts w:ascii="SimSun" w:hAnsi="SimSun" w:eastAsia="SimSun" w:cs="SimSun"/>
                <w:sz w:val="12"/>
                <w:szCs w:val="12"/>
              </w:rPr>
            </w:pPr>
            <w:r>
              <w:rPr>
                <w:rFonts w:ascii="SimSun" w:hAnsi="SimSun" w:eastAsia="SimSun" w:cs="SimSun"/>
                <w:sz w:val="12"/>
                <w:szCs w:val="12"/>
                <w:color w:val="231F20"/>
                <w:spacing w:val="-1"/>
              </w:rPr>
              <w:t>干预后</w:t>
            </w:r>
          </w:p>
        </w:tc>
      </w:tr>
      <w:tr>
        <w:trPr>
          <w:trHeight w:val="360" w:hRule="atLeast"/>
        </w:trPr>
        <w:tc>
          <w:tcPr>
            <w:tcW w:w="435" w:type="dxa"/>
            <w:vAlign w:val="top"/>
            <w:tcBorders>
              <w:top w:val="single" w:color="231F20" w:sz="2" w:space="0"/>
            </w:tcBorders>
          </w:tcPr>
          <w:p>
            <w:pPr>
              <w:ind w:left="37"/>
              <w:spacing w:before="121" w:line="220" w:lineRule="auto"/>
              <w:rPr>
                <w:rFonts w:ascii="SimSun" w:hAnsi="SimSun" w:eastAsia="SimSun" w:cs="SimSun"/>
                <w:sz w:val="12"/>
                <w:szCs w:val="12"/>
              </w:rPr>
            </w:pPr>
            <w:r>
              <w:rPr>
                <w:rFonts w:ascii="SimSun" w:hAnsi="SimSun" w:eastAsia="SimSun" w:cs="SimSun"/>
                <w:sz w:val="12"/>
                <w:szCs w:val="12"/>
                <w:color w:val="231F20"/>
                <w:spacing w:val="-2"/>
              </w:rPr>
              <w:t>观察组</w:t>
            </w:r>
          </w:p>
        </w:tc>
        <w:tc>
          <w:tcPr>
            <w:tcW w:w="217" w:type="dxa"/>
            <w:vAlign w:val="top"/>
            <w:tcBorders>
              <w:top w:val="single" w:color="231F20" w:sz="2" w:space="0"/>
            </w:tcBorders>
          </w:tcPr>
          <w:p>
            <w:pPr>
              <w:pStyle w:val="TableText"/>
              <w:ind w:left="46"/>
              <w:spacing w:before="143" w:line="186" w:lineRule="auto"/>
              <w:rPr/>
            </w:pPr>
            <w:r>
              <w:rPr>
                <w:color w:val="231F20"/>
                <w:spacing w:val="-1"/>
              </w:rPr>
              <w:t>25</w:t>
            </w:r>
          </w:p>
        </w:tc>
        <w:tc>
          <w:tcPr>
            <w:tcW w:w="621" w:type="dxa"/>
            <w:vAlign w:val="top"/>
            <w:tcBorders>
              <w:top w:val="single" w:color="231F20" w:sz="2" w:space="0"/>
            </w:tcBorders>
          </w:tcPr>
          <w:p>
            <w:pPr>
              <w:pStyle w:val="TableText"/>
              <w:ind w:left="101"/>
              <w:spacing w:before="31" w:line="236" w:lineRule="auto"/>
              <w:rPr>
                <w:rFonts w:ascii="SimSun" w:hAnsi="SimSun" w:eastAsia="SimSun" w:cs="SimSun"/>
              </w:rPr>
            </w:pPr>
            <w:r>
              <w:rPr>
                <w:color w:val="231F20"/>
                <w:spacing w:val="-3"/>
              </w:rPr>
              <w:t>156.27</w:t>
            </w:r>
            <w:r>
              <w:rPr>
                <w:rFonts w:ascii="SimSun" w:hAnsi="SimSun" w:eastAsia="SimSun" w:cs="SimSun"/>
                <w:color w:val="231F20"/>
                <w:spacing w:val="-3"/>
              </w:rPr>
              <w:t>±</w:t>
            </w:r>
          </w:p>
          <w:p>
            <w:pPr>
              <w:pStyle w:val="TableText"/>
              <w:ind w:left="179"/>
              <w:spacing w:before="48" w:line="186" w:lineRule="auto"/>
              <w:rPr/>
            </w:pPr>
            <w:r>
              <w:rPr>
                <w:color w:val="231F20"/>
                <w:spacing w:val="-1"/>
              </w:rPr>
              <w:t>25.16</w:t>
            </w:r>
          </w:p>
        </w:tc>
        <w:tc>
          <w:tcPr>
            <w:tcW w:w="626" w:type="dxa"/>
            <w:vAlign w:val="top"/>
            <w:tcBorders>
              <w:top w:val="single" w:color="231F20" w:sz="2" w:space="0"/>
            </w:tcBorders>
          </w:tcPr>
          <w:p>
            <w:pPr>
              <w:pStyle w:val="TableText"/>
              <w:ind w:left="126"/>
              <w:spacing w:before="31" w:line="236" w:lineRule="auto"/>
              <w:rPr>
                <w:rFonts w:ascii="SimSun" w:hAnsi="SimSun" w:eastAsia="SimSun" w:cs="SimSun"/>
              </w:rPr>
            </w:pPr>
            <w:r>
              <w:rPr>
                <w:color w:val="231F20"/>
                <w:spacing w:val="-2"/>
              </w:rPr>
              <w:t>82.69</w:t>
            </w:r>
            <w:r>
              <w:rPr>
                <w:rFonts w:ascii="SimSun" w:hAnsi="SimSun" w:eastAsia="SimSun" w:cs="SimSun"/>
                <w:color w:val="231F20"/>
                <w:spacing w:val="-2"/>
              </w:rPr>
              <w:t>±</w:t>
            </w:r>
          </w:p>
          <w:p>
            <w:pPr>
              <w:pStyle w:val="TableText"/>
              <w:ind w:left="195"/>
              <w:spacing w:before="48" w:line="186" w:lineRule="auto"/>
              <w:rPr/>
            </w:pPr>
            <w:r>
              <w:rPr>
                <w:color w:val="231F20"/>
                <w:spacing w:val="-4"/>
              </w:rPr>
              <w:t>11.85</w:t>
            </w:r>
          </w:p>
        </w:tc>
        <w:tc>
          <w:tcPr>
            <w:tcW w:w="707" w:type="dxa"/>
            <w:vAlign w:val="top"/>
            <w:tcBorders>
              <w:top w:val="single" w:color="231F20" w:sz="2" w:space="0"/>
            </w:tcBorders>
          </w:tcPr>
          <w:p>
            <w:pPr>
              <w:pStyle w:val="TableText"/>
              <w:ind w:left="204"/>
              <w:spacing w:before="31" w:line="236" w:lineRule="auto"/>
              <w:rPr>
                <w:rFonts w:ascii="SimSun" w:hAnsi="SimSun" w:eastAsia="SimSun" w:cs="SimSun"/>
              </w:rPr>
            </w:pPr>
            <w:r>
              <w:rPr>
                <w:color w:val="231F20"/>
                <w:spacing w:val="-1"/>
              </w:rPr>
              <w:t>23.28</w:t>
            </w:r>
            <w:r>
              <w:rPr>
                <w:rFonts w:ascii="SimSun" w:hAnsi="SimSun" w:eastAsia="SimSun" w:cs="SimSun"/>
                <w:color w:val="231F20"/>
                <w:spacing w:val="-1"/>
              </w:rPr>
              <w:t>±</w:t>
            </w:r>
          </w:p>
          <w:p>
            <w:pPr>
              <w:pStyle w:val="TableText"/>
              <w:ind w:left="298"/>
              <w:spacing w:before="48" w:line="186" w:lineRule="auto"/>
              <w:rPr/>
            </w:pPr>
            <w:r>
              <w:rPr>
                <w:color w:val="231F20"/>
                <w:spacing w:val="-2"/>
              </w:rPr>
              <w:t>5.29</w:t>
            </w:r>
          </w:p>
        </w:tc>
        <w:tc>
          <w:tcPr>
            <w:tcW w:w="625" w:type="dxa"/>
            <w:vAlign w:val="top"/>
            <w:tcBorders>
              <w:top w:val="single" w:color="231F20" w:sz="2" w:space="0"/>
            </w:tcBorders>
          </w:tcPr>
          <w:p>
            <w:pPr>
              <w:pStyle w:val="TableText"/>
              <w:ind w:left="156"/>
              <w:spacing w:before="31" w:line="236" w:lineRule="auto"/>
              <w:rPr>
                <w:rFonts w:ascii="SimSun" w:hAnsi="SimSun" w:eastAsia="SimSun" w:cs="SimSun"/>
              </w:rPr>
            </w:pPr>
            <w:r>
              <w:rPr>
                <w:color w:val="231F20"/>
                <w:spacing w:val="-2"/>
              </w:rPr>
              <w:t>8.82</w:t>
            </w:r>
            <w:r>
              <w:rPr>
                <w:rFonts w:ascii="SimSun" w:hAnsi="SimSun" w:eastAsia="SimSun" w:cs="SimSun"/>
                <w:color w:val="231F20"/>
                <w:spacing w:val="-2"/>
              </w:rPr>
              <w:t>±</w:t>
            </w:r>
          </w:p>
          <w:p>
            <w:pPr>
              <w:pStyle w:val="TableText"/>
              <w:ind w:left="223"/>
              <w:spacing w:before="48" w:line="186" w:lineRule="auto"/>
              <w:rPr/>
            </w:pPr>
            <w:r>
              <w:rPr>
                <w:color w:val="231F20"/>
                <w:spacing w:val="-3"/>
              </w:rPr>
              <w:t>1.75</w:t>
            </w:r>
          </w:p>
        </w:tc>
        <w:tc>
          <w:tcPr>
            <w:tcW w:w="708" w:type="dxa"/>
            <w:vAlign w:val="top"/>
            <w:tcBorders>
              <w:top w:val="single" w:color="231F20" w:sz="2" w:space="0"/>
            </w:tcBorders>
          </w:tcPr>
          <w:p>
            <w:pPr>
              <w:pStyle w:val="TableText"/>
              <w:ind w:left="177"/>
              <w:spacing w:before="31" w:line="236" w:lineRule="auto"/>
              <w:rPr>
                <w:rFonts w:ascii="SimSun" w:hAnsi="SimSun" w:eastAsia="SimSun" w:cs="SimSun"/>
              </w:rPr>
            </w:pPr>
            <w:r>
              <w:rPr>
                <w:color w:val="231F20"/>
                <w:spacing w:val="-1"/>
              </w:rPr>
              <w:t>314.16</w:t>
            </w:r>
            <w:r>
              <w:rPr>
                <w:rFonts w:ascii="SimSun" w:hAnsi="SimSun" w:eastAsia="SimSun" w:cs="SimSun"/>
                <w:color w:val="231F20"/>
                <w:spacing w:val="-1"/>
              </w:rPr>
              <w:t>±</w:t>
            </w:r>
          </w:p>
          <w:p>
            <w:pPr>
              <w:pStyle w:val="TableText"/>
              <w:ind w:left="265"/>
              <w:spacing w:before="48" w:line="186" w:lineRule="auto"/>
              <w:rPr/>
            </w:pPr>
            <w:r>
              <w:rPr>
                <w:color w:val="231F20"/>
                <w:spacing w:val="-1"/>
              </w:rPr>
              <w:t>25.52</w:t>
            </w:r>
          </w:p>
        </w:tc>
        <w:tc>
          <w:tcPr>
            <w:tcW w:w="624" w:type="dxa"/>
            <w:vAlign w:val="top"/>
            <w:tcBorders>
              <w:top w:val="single" w:color="231F20" w:sz="2" w:space="0"/>
            </w:tcBorders>
          </w:tcPr>
          <w:p>
            <w:pPr>
              <w:pStyle w:val="TableText"/>
              <w:ind w:left="123"/>
              <w:spacing w:before="31" w:line="236" w:lineRule="auto"/>
              <w:rPr>
                <w:rFonts w:ascii="SimSun" w:hAnsi="SimSun" w:eastAsia="SimSun" w:cs="SimSun"/>
              </w:rPr>
            </w:pPr>
            <w:r>
              <w:rPr>
                <w:color w:val="231F20"/>
                <w:spacing w:val="-1"/>
              </w:rPr>
              <w:t>94.24</w:t>
            </w:r>
            <w:r>
              <w:rPr>
                <w:rFonts w:ascii="SimSun" w:hAnsi="SimSun" w:eastAsia="SimSun" w:cs="SimSun"/>
                <w:color w:val="231F20"/>
                <w:spacing w:val="-1"/>
              </w:rPr>
              <w:t>±</w:t>
            </w:r>
          </w:p>
          <w:p>
            <w:pPr>
              <w:pStyle w:val="TableText"/>
              <w:ind w:left="194"/>
              <w:spacing w:before="48" w:line="186" w:lineRule="auto"/>
              <w:rPr/>
            </w:pPr>
            <w:r>
              <w:rPr>
                <w:color w:val="231F20"/>
                <w:spacing w:val="-4"/>
              </w:rPr>
              <w:t>11.62</w:t>
            </w:r>
          </w:p>
        </w:tc>
      </w:tr>
      <w:tr>
        <w:trPr>
          <w:trHeight w:val="360" w:hRule="atLeast"/>
        </w:trPr>
        <w:tc>
          <w:tcPr>
            <w:tcW w:w="435" w:type="dxa"/>
            <w:vAlign w:val="top"/>
          </w:tcPr>
          <w:p>
            <w:pPr>
              <w:ind w:left="37"/>
              <w:spacing w:before="129" w:line="222" w:lineRule="auto"/>
              <w:rPr>
                <w:rFonts w:ascii="SimSun" w:hAnsi="SimSun" w:eastAsia="SimSun" w:cs="SimSun"/>
                <w:sz w:val="12"/>
                <w:szCs w:val="12"/>
              </w:rPr>
            </w:pPr>
            <w:r>
              <w:rPr>
                <w:rFonts w:ascii="SimSun" w:hAnsi="SimSun" w:eastAsia="SimSun" w:cs="SimSun"/>
                <w:sz w:val="12"/>
                <w:szCs w:val="12"/>
                <w:color w:val="231F20"/>
                <w:spacing w:val="-1"/>
              </w:rPr>
              <w:t>对照组</w:t>
            </w:r>
          </w:p>
        </w:tc>
        <w:tc>
          <w:tcPr>
            <w:tcW w:w="217" w:type="dxa"/>
            <w:vAlign w:val="top"/>
          </w:tcPr>
          <w:p>
            <w:pPr>
              <w:pStyle w:val="TableText"/>
              <w:ind w:left="46"/>
              <w:spacing w:before="151" w:line="186" w:lineRule="auto"/>
              <w:rPr/>
            </w:pPr>
            <w:r>
              <w:rPr>
                <w:color w:val="231F20"/>
                <w:spacing w:val="-1"/>
              </w:rPr>
              <w:t>25</w:t>
            </w:r>
          </w:p>
        </w:tc>
        <w:tc>
          <w:tcPr>
            <w:tcW w:w="621" w:type="dxa"/>
            <w:vAlign w:val="top"/>
          </w:tcPr>
          <w:p>
            <w:pPr>
              <w:pStyle w:val="TableText"/>
              <w:ind w:left="101"/>
              <w:spacing w:before="39" w:line="236" w:lineRule="auto"/>
              <w:rPr>
                <w:rFonts w:ascii="SimSun" w:hAnsi="SimSun" w:eastAsia="SimSun" w:cs="SimSun"/>
              </w:rPr>
            </w:pPr>
            <w:r>
              <w:rPr>
                <w:color w:val="231F20"/>
                <w:spacing w:val="-3"/>
              </w:rPr>
              <w:t>158.21</w:t>
            </w:r>
            <w:r>
              <w:rPr>
                <w:rFonts w:ascii="SimSun" w:hAnsi="SimSun" w:eastAsia="SimSun" w:cs="SimSun"/>
                <w:color w:val="231F20"/>
                <w:spacing w:val="-3"/>
              </w:rPr>
              <w:t>±</w:t>
            </w:r>
          </w:p>
          <w:p>
            <w:pPr>
              <w:pStyle w:val="TableText"/>
              <w:ind w:left="179"/>
              <w:spacing w:before="48" w:line="186" w:lineRule="auto"/>
              <w:rPr/>
            </w:pPr>
            <w:r>
              <w:rPr>
                <w:color w:val="231F20"/>
                <w:spacing w:val="-1"/>
              </w:rPr>
              <w:t>24.20</w:t>
            </w:r>
          </w:p>
        </w:tc>
        <w:tc>
          <w:tcPr>
            <w:tcW w:w="626" w:type="dxa"/>
            <w:vAlign w:val="top"/>
          </w:tcPr>
          <w:p>
            <w:pPr>
              <w:pStyle w:val="TableText"/>
              <w:ind w:left="103"/>
              <w:spacing w:before="39" w:line="236" w:lineRule="auto"/>
              <w:rPr>
                <w:rFonts w:ascii="SimSun" w:hAnsi="SimSun" w:eastAsia="SimSun" w:cs="SimSun"/>
              </w:rPr>
            </w:pPr>
            <w:r>
              <w:rPr>
                <w:color w:val="231F20"/>
                <w:spacing w:val="-3"/>
              </w:rPr>
              <w:t>101.20</w:t>
            </w:r>
            <w:r>
              <w:rPr>
                <w:rFonts w:ascii="SimSun" w:hAnsi="SimSun" w:eastAsia="SimSun" w:cs="SimSun"/>
                <w:color w:val="231F20"/>
                <w:spacing w:val="-3"/>
              </w:rPr>
              <w:t>±</w:t>
            </w:r>
          </w:p>
          <w:p>
            <w:pPr>
              <w:pStyle w:val="TableText"/>
              <w:ind w:left="193"/>
              <w:spacing w:before="48" w:line="186" w:lineRule="auto"/>
              <w:rPr/>
            </w:pPr>
            <w:r>
              <w:rPr>
                <w:color w:val="231F20"/>
                <w:spacing w:val="-3"/>
              </w:rPr>
              <w:t>12.32</w:t>
            </w:r>
          </w:p>
        </w:tc>
        <w:tc>
          <w:tcPr>
            <w:tcW w:w="707" w:type="dxa"/>
            <w:vAlign w:val="top"/>
          </w:tcPr>
          <w:p>
            <w:pPr>
              <w:pStyle w:val="TableText"/>
              <w:ind w:left="205"/>
              <w:spacing w:before="39" w:line="236" w:lineRule="auto"/>
              <w:rPr>
                <w:rFonts w:ascii="SimSun" w:hAnsi="SimSun" w:eastAsia="SimSun" w:cs="SimSun"/>
              </w:rPr>
            </w:pPr>
            <w:r>
              <w:rPr>
                <w:color w:val="231F20"/>
                <w:spacing w:val="-1"/>
              </w:rPr>
              <w:t>22.67</w:t>
            </w:r>
            <w:r>
              <w:rPr>
                <w:rFonts w:ascii="SimSun" w:hAnsi="SimSun" w:eastAsia="SimSun" w:cs="SimSun"/>
                <w:color w:val="231F20"/>
                <w:spacing w:val="-1"/>
              </w:rPr>
              <w:t>±</w:t>
            </w:r>
          </w:p>
          <w:p>
            <w:pPr>
              <w:pStyle w:val="TableText"/>
              <w:ind w:left="298"/>
              <w:spacing w:before="48" w:line="186" w:lineRule="auto"/>
              <w:rPr/>
            </w:pPr>
            <w:r>
              <w:rPr>
                <w:color w:val="231F20"/>
                <w:spacing w:val="-2"/>
              </w:rPr>
              <w:t>5.47</w:t>
            </w:r>
          </w:p>
        </w:tc>
        <w:tc>
          <w:tcPr>
            <w:tcW w:w="625" w:type="dxa"/>
            <w:vAlign w:val="top"/>
          </w:tcPr>
          <w:p>
            <w:pPr>
              <w:pStyle w:val="TableText"/>
              <w:ind w:left="133"/>
              <w:spacing w:before="39" w:line="236" w:lineRule="auto"/>
              <w:rPr>
                <w:rFonts w:ascii="SimSun" w:hAnsi="SimSun" w:eastAsia="SimSun" w:cs="SimSun"/>
              </w:rPr>
            </w:pPr>
            <w:r>
              <w:rPr>
                <w:color w:val="231F20"/>
                <w:spacing w:val="-3"/>
              </w:rPr>
              <w:t>10.27</w:t>
            </w:r>
            <w:r>
              <w:rPr>
                <w:rFonts w:ascii="SimSun" w:hAnsi="SimSun" w:eastAsia="SimSun" w:cs="SimSun"/>
                <w:color w:val="231F20"/>
                <w:spacing w:val="-3"/>
              </w:rPr>
              <w:t>±</w:t>
            </w:r>
          </w:p>
          <w:p>
            <w:pPr>
              <w:pStyle w:val="TableText"/>
              <w:ind w:left="223"/>
              <w:spacing w:before="48" w:line="186" w:lineRule="auto"/>
              <w:rPr/>
            </w:pPr>
            <w:r>
              <w:rPr>
                <w:color w:val="231F20"/>
                <w:spacing w:val="-3"/>
              </w:rPr>
              <w:t>1.67</w:t>
            </w:r>
          </w:p>
        </w:tc>
        <w:tc>
          <w:tcPr>
            <w:tcW w:w="708" w:type="dxa"/>
            <w:vAlign w:val="top"/>
          </w:tcPr>
          <w:p>
            <w:pPr>
              <w:pStyle w:val="TableText"/>
              <w:ind w:left="177"/>
              <w:spacing w:before="39" w:line="236" w:lineRule="auto"/>
              <w:rPr>
                <w:rFonts w:ascii="SimSun" w:hAnsi="SimSun" w:eastAsia="SimSun" w:cs="SimSun"/>
              </w:rPr>
            </w:pPr>
            <w:r>
              <w:rPr>
                <w:color w:val="231F20"/>
                <w:spacing w:val="-1"/>
              </w:rPr>
              <w:t>315.22</w:t>
            </w:r>
            <w:r>
              <w:rPr>
                <w:rFonts w:ascii="SimSun" w:hAnsi="SimSun" w:eastAsia="SimSun" w:cs="SimSun"/>
                <w:color w:val="231F20"/>
                <w:spacing w:val="-1"/>
              </w:rPr>
              <w:t>±</w:t>
            </w:r>
          </w:p>
          <w:p>
            <w:pPr>
              <w:pStyle w:val="TableText"/>
              <w:ind w:left="265"/>
              <w:spacing w:before="48" w:line="186" w:lineRule="auto"/>
              <w:rPr/>
            </w:pPr>
            <w:r>
              <w:rPr>
                <w:color w:val="231F20"/>
                <w:spacing w:val="-1"/>
              </w:rPr>
              <w:t>26.07</w:t>
            </w:r>
          </w:p>
        </w:tc>
        <w:tc>
          <w:tcPr>
            <w:tcW w:w="624" w:type="dxa"/>
            <w:vAlign w:val="top"/>
          </w:tcPr>
          <w:p>
            <w:pPr>
              <w:pStyle w:val="TableText"/>
              <w:ind w:left="104"/>
              <w:spacing w:before="39" w:line="236" w:lineRule="auto"/>
              <w:rPr>
                <w:rFonts w:ascii="SimSun" w:hAnsi="SimSun" w:eastAsia="SimSun" w:cs="SimSun"/>
              </w:rPr>
            </w:pPr>
            <w:r>
              <w:rPr>
                <w:color w:val="231F20"/>
                <w:spacing w:val="-3"/>
              </w:rPr>
              <w:t>115.57</w:t>
            </w:r>
            <w:r>
              <w:rPr>
                <w:rFonts w:ascii="SimSun" w:hAnsi="SimSun" w:eastAsia="SimSun" w:cs="SimSun"/>
                <w:color w:val="231F20"/>
                <w:spacing w:val="-3"/>
              </w:rPr>
              <w:t>±</w:t>
            </w:r>
          </w:p>
          <w:p>
            <w:pPr>
              <w:pStyle w:val="TableText"/>
              <w:ind w:left="194"/>
              <w:spacing w:before="48" w:line="186" w:lineRule="auto"/>
              <w:rPr/>
            </w:pPr>
            <w:r>
              <w:rPr>
                <w:color w:val="231F20"/>
                <w:spacing w:val="-4"/>
              </w:rPr>
              <w:t>11.93</w:t>
            </w:r>
          </w:p>
        </w:tc>
      </w:tr>
      <w:tr>
        <w:trPr>
          <w:trHeight w:val="192" w:hRule="atLeast"/>
        </w:trPr>
        <w:tc>
          <w:tcPr>
            <w:tcW w:w="435" w:type="dxa"/>
            <w:vAlign w:val="top"/>
          </w:tcPr>
          <w:p>
            <w:pPr>
              <w:pStyle w:val="TableText"/>
              <w:ind w:left="126"/>
              <w:spacing w:before="47" w:line="207" w:lineRule="auto"/>
              <w:rPr>
                <w:rFonts w:ascii="SimSun" w:hAnsi="SimSun" w:eastAsia="SimSun" w:cs="SimSun"/>
              </w:rPr>
            </w:pPr>
            <w:r>
              <w:rPr>
                <w:i/>
                <w:iCs/>
                <w:color w:val="231F20"/>
                <w:spacing w:val="-2"/>
              </w:rPr>
              <w:t>t</w:t>
            </w:r>
            <w:r>
              <w:rPr>
                <w:i/>
                <w:iCs/>
                <w:color w:val="231F20"/>
                <w:spacing w:val="2"/>
              </w:rPr>
              <w:t xml:space="preserve"> </w:t>
            </w:r>
            <w:r>
              <w:rPr>
                <w:rFonts w:ascii="SimSun" w:hAnsi="SimSun" w:eastAsia="SimSun" w:cs="SimSun"/>
                <w:color w:val="231F20"/>
                <w:spacing w:val="-2"/>
              </w:rPr>
              <w:t>值</w:t>
            </w:r>
          </w:p>
        </w:tc>
        <w:tc>
          <w:tcPr>
            <w:tcW w:w="217" w:type="dxa"/>
            <w:vAlign w:val="top"/>
          </w:tcPr>
          <w:p>
            <w:pPr>
              <w:spacing w:line="182" w:lineRule="exact"/>
              <w:rPr>
                <w:rFonts w:ascii="Arial"/>
                <w:sz w:val="15"/>
              </w:rPr>
            </w:pPr>
            <w:r/>
          </w:p>
        </w:tc>
        <w:tc>
          <w:tcPr>
            <w:tcW w:w="621" w:type="dxa"/>
            <w:vAlign w:val="top"/>
          </w:tcPr>
          <w:p>
            <w:pPr>
              <w:pStyle w:val="TableText"/>
              <w:ind w:left="181"/>
              <w:spacing w:before="69" w:line="186" w:lineRule="auto"/>
              <w:rPr/>
            </w:pPr>
            <w:r>
              <w:rPr>
                <w:color w:val="231F20"/>
                <w:spacing w:val="-1"/>
              </w:rPr>
              <w:t>0.278</w:t>
            </w:r>
          </w:p>
        </w:tc>
        <w:tc>
          <w:tcPr>
            <w:tcW w:w="626" w:type="dxa"/>
            <w:vAlign w:val="top"/>
          </w:tcPr>
          <w:p>
            <w:pPr>
              <w:pStyle w:val="TableText"/>
              <w:ind w:left="185"/>
              <w:spacing w:before="69" w:line="186" w:lineRule="auto"/>
              <w:rPr/>
            </w:pPr>
            <w:r>
              <w:rPr>
                <w:color w:val="231F20"/>
                <w:spacing w:val="-1"/>
              </w:rPr>
              <w:t>5.414</w:t>
            </w:r>
          </w:p>
        </w:tc>
        <w:tc>
          <w:tcPr>
            <w:tcW w:w="707" w:type="dxa"/>
            <w:vAlign w:val="top"/>
          </w:tcPr>
          <w:p>
            <w:pPr>
              <w:pStyle w:val="TableText"/>
              <w:ind w:left="267"/>
              <w:spacing w:before="69" w:line="186" w:lineRule="auto"/>
              <w:rPr/>
            </w:pPr>
            <w:r>
              <w:rPr>
                <w:color w:val="231F20"/>
                <w:spacing w:val="-1"/>
              </w:rPr>
              <w:t>0.401</w:t>
            </w:r>
          </w:p>
        </w:tc>
        <w:tc>
          <w:tcPr>
            <w:tcW w:w="625" w:type="dxa"/>
            <w:vAlign w:val="top"/>
          </w:tcPr>
          <w:p>
            <w:pPr>
              <w:pStyle w:val="TableText"/>
              <w:ind w:left="181"/>
              <w:spacing w:before="69" w:line="186" w:lineRule="auto"/>
              <w:rPr/>
            </w:pPr>
            <w:r>
              <w:rPr>
                <w:color w:val="231F20"/>
                <w:spacing w:val="-1"/>
              </w:rPr>
              <w:t>2.997</w:t>
            </w:r>
          </w:p>
        </w:tc>
        <w:tc>
          <w:tcPr>
            <w:tcW w:w="708" w:type="dxa"/>
            <w:vAlign w:val="top"/>
          </w:tcPr>
          <w:p>
            <w:pPr>
              <w:pStyle w:val="TableText"/>
              <w:ind w:left="267"/>
              <w:spacing w:before="69" w:line="186" w:lineRule="auto"/>
              <w:rPr/>
            </w:pPr>
            <w:r>
              <w:rPr>
                <w:color w:val="231F20"/>
                <w:spacing w:val="-1"/>
              </w:rPr>
              <w:t>0.145</w:t>
            </w:r>
          </w:p>
        </w:tc>
        <w:tc>
          <w:tcPr>
            <w:tcW w:w="624" w:type="dxa"/>
            <w:vAlign w:val="top"/>
          </w:tcPr>
          <w:p>
            <w:pPr>
              <w:pStyle w:val="TableText"/>
              <w:ind w:left="183"/>
              <w:spacing w:before="69" w:line="186" w:lineRule="auto"/>
              <w:rPr/>
            </w:pPr>
            <w:r>
              <w:rPr>
                <w:color w:val="231F20"/>
                <w:spacing w:val="-1"/>
              </w:rPr>
              <w:t>6.404</w:t>
            </w:r>
          </w:p>
        </w:tc>
      </w:tr>
      <w:tr>
        <w:trPr>
          <w:trHeight w:val="192" w:hRule="atLeast"/>
        </w:trPr>
        <w:tc>
          <w:tcPr>
            <w:tcW w:w="435" w:type="dxa"/>
            <w:vAlign w:val="top"/>
            <w:tcBorders>
              <w:bottom w:val="single" w:color="231F20" w:sz="4" w:space="0"/>
            </w:tcBorders>
          </w:tcPr>
          <w:p>
            <w:pPr>
              <w:pStyle w:val="TableText"/>
              <w:ind w:left="98"/>
              <w:spacing w:before="43" w:line="213" w:lineRule="auto"/>
              <w:rPr>
                <w:rFonts w:ascii="SimSun" w:hAnsi="SimSun" w:eastAsia="SimSun" w:cs="SimSun"/>
              </w:rPr>
            </w:pPr>
            <w:r>
              <w:rPr>
                <w:i/>
                <w:iCs/>
                <w:color w:val="231F20"/>
                <w:spacing w:val="1"/>
              </w:rPr>
              <w:t>P</w:t>
            </w:r>
            <w:r>
              <w:rPr>
                <w:i/>
                <w:iCs/>
                <w:color w:val="231F20"/>
                <w:spacing w:val="4"/>
              </w:rPr>
              <w:t xml:space="preserve"> </w:t>
            </w:r>
            <w:r>
              <w:rPr>
                <w:rFonts w:ascii="SimSun" w:hAnsi="SimSun" w:eastAsia="SimSun" w:cs="SimSun"/>
                <w:color w:val="231F20"/>
                <w:spacing w:val="1"/>
              </w:rPr>
              <w:t>值</w:t>
            </w:r>
          </w:p>
        </w:tc>
        <w:tc>
          <w:tcPr>
            <w:tcW w:w="217" w:type="dxa"/>
            <w:vAlign w:val="top"/>
            <w:tcBorders>
              <w:bottom w:val="single" w:color="231F20" w:sz="4" w:space="0"/>
            </w:tcBorders>
          </w:tcPr>
          <w:p>
            <w:pPr>
              <w:spacing w:line="182" w:lineRule="exact"/>
              <w:rPr>
                <w:rFonts w:ascii="Arial"/>
                <w:sz w:val="15"/>
              </w:rPr>
            </w:pPr>
            <w:r/>
          </w:p>
        </w:tc>
        <w:tc>
          <w:tcPr>
            <w:tcW w:w="621" w:type="dxa"/>
            <w:vAlign w:val="top"/>
            <w:tcBorders>
              <w:bottom w:val="single" w:color="231F20" w:sz="4" w:space="0"/>
            </w:tcBorders>
          </w:tcPr>
          <w:p>
            <w:pPr>
              <w:pStyle w:val="TableText"/>
              <w:ind w:left="181"/>
              <w:spacing w:before="65" w:line="186" w:lineRule="auto"/>
              <w:rPr/>
            </w:pPr>
            <w:r>
              <w:rPr>
                <w:color w:val="231F20"/>
                <w:spacing w:val="-1"/>
              </w:rPr>
              <w:t>0.782</w:t>
            </w:r>
          </w:p>
        </w:tc>
        <w:tc>
          <w:tcPr>
            <w:tcW w:w="626" w:type="dxa"/>
            <w:vAlign w:val="top"/>
            <w:tcBorders>
              <w:bottom w:val="single" w:color="231F20" w:sz="4" w:space="0"/>
            </w:tcBorders>
          </w:tcPr>
          <w:p>
            <w:pPr>
              <w:pStyle w:val="TableText"/>
              <w:ind w:left="184"/>
              <w:spacing w:before="65" w:line="186" w:lineRule="auto"/>
              <w:rPr/>
            </w:pPr>
            <w:r>
              <w:rPr>
                <w:color w:val="231F20"/>
                <w:spacing w:val="-1"/>
              </w:rPr>
              <w:t>0.000</w:t>
            </w:r>
          </w:p>
        </w:tc>
        <w:tc>
          <w:tcPr>
            <w:tcW w:w="707" w:type="dxa"/>
            <w:vAlign w:val="top"/>
            <w:tcBorders>
              <w:bottom w:val="single" w:color="231F20" w:sz="4" w:space="0"/>
            </w:tcBorders>
          </w:tcPr>
          <w:p>
            <w:pPr>
              <w:pStyle w:val="TableText"/>
              <w:ind w:left="267"/>
              <w:spacing w:before="65" w:line="186" w:lineRule="auto"/>
              <w:rPr/>
            </w:pPr>
            <w:r>
              <w:rPr>
                <w:color w:val="231F20"/>
                <w:spacing w:val="-1"/>
              </w:rPr>
              <w:t>0.690</w:t>
            </w:r>
          </w:p>
        </w:tc>
        <w:tc>
          <w:tcPr>
            <w:tcW w:w="625" w:type="dxa"/>
            <w:vAlign w:val="top"/>
            <w:tcBorders>
              <w:bottom w:val="single" w:color="231F20" w:sz="4" w:space="0"/>
            </w:tcBorders>
          </w:tcPr>
          <w:p>
            <w:pPr>
              <w:pStyle w:val="TableText"/>
              <w:ind w:left="183"/>
              <w:spacing w:before="65" w:line="186" w:lineRule="auto"/>
              <w:rPr/>
            </w:pPr>
            <w:r>
              <w:rPr>
                <w:color w:val="231F20"/>
                <w:spacing w:val="-1"/>
              </w:rPr>
              <w:t>0.004</w:t>
            </w:r>
          </w:p>
        </w:tc>
        <w:tc>
          <w:tcPr>
            <w:tcW w:w="708" w:type="dxa"/>
            <w:vAlign w:val="top"/>
            <w:tcBorders>
              <w:bottom w:val="single" w:color="231F20" w:sz="4" w:space="0"/>
            </w:tcBorders>
          </w:tcPr>
          <w:p>
            <w:pPr>
              <w:pStyle w:val="TableText"/>
              <w:ind w:left="267"/>
              <w:spacing w:before="65" w:line="186" w:lineRule="auto"/>
              <w:rPr/>
            </w:pPr>
            <w:r>
              <w:rPr>
                <w:color w:val="231F20"/>
                <w:spacing w:val="-1"/>
              </w:rPr>
              <w:t>0.885</w:t>
            </w:r>
          </w:p>
        </w:tc>
        <w:tc>
          <w:tcPr>
            <w:tcW w:w="624" w:type="dxa"/>
            <w:vAlign w:val="top"/>
            <w:tcBorders>
              <w:bottom w:val="single" w:color="231F20" w:sz="4" w:space="0"/>
            </w:tcBorders>
          </w:tcPr>
          <w:p>
            <w:pPr>
              <w:pStyle w:val="TableText"/>
              <w:ind w:left="183"/>
              <w:spacing w:before="65" w:line="186" w:lineRule="auto"/>
              <w:rPr/>
            </w:pPr>
            <w:r>
              <w:rPr>
                <w:color w:val="231F20"/>
                <w:spacing w:val="-1"/>
              </w:rPr>
              <w:t>0.000</w:t>
            </w:r>
          </w:p>
        </w:tc>
      </w:tr>
    </w:tbl>
    <w:p>
      <w:pPr>
        <w:pStyle w:val="BodyText"/>
        <w:ind w:left="875"/>
        <w:spacing w:before="271" w:line="198" w:lineRule="exact"/>
        <w:rPr>
          <w:rFonts w:ascii="SimHei" w:hAnsi="SimHei" w:eastAsia="SimHei" w:cs="SimHei"/>
        </w:rPr>
      </w:pPr>
      <w:r>
        <w:rPr>
          <w:b/>
          <w:bCs/>
          <w:color w:val="231F20"/>
          <w:spacing w:val="-1"/>
        </w:rPr>
        <w:t>2.2    </w:t>
      </w:r>
      <w:r>
        <w:rPr>
          <w:rFonts w:ascii="SimHei" w:hAnsi="SimHei" w:eastAsia="SimHei" w:cs="SimHei"/>
          <w:color w:val="231F20"/>
          <w:spacing w:val="-1"/>
        </w:rPr>
        <w:t>两组术后感染率比较</w:t>
      </w:r>
    </w:p>
    <w:p>
      <w:pPr>
        <w:pStyle w:val="BodyText"/>
        <w:ind w:left="1189"/>
        <w:spacing w:before="30" w:line="176" w:lineRule="auto"/>
        <w:rPr>
          <w:rFonts w:ascii="Microsoft YaHei" w:hAnsi="Microsoft YaHei" w:eastAsia="Microsoft YaHei" w:cs="Microsoft YaHei"/>
        </w:rPr>
      </w:pPr>
      <w:r>
        <w:rPr>
          <w:rFonts w:ascii="Microsoft YaHei" w:hAnsi="Microsoft YaHei" w:eastAsia="Microsoft YaHei" w:cs="Microsoft YaHei"/>
          <w:color w:val="231F20"/>
          <w:spacing w:val="-1"/>
        </w:rPr>
        <w:t>观察组术后感染总发生率低于对照组（</w:t>
      </w:r>
      <w:r>
        <w:rPr>
          <w:i/>
          <w:iCs/>
          <w:color w:val="231F20"/>
          <w:spacing w:val="-1"/>
        </w:rPr>
        <w:t>P&lt;</w:t>
      </w:r>
      <w:r>
        <w:rPr>
          <w:color w:val="231F20"/>
          <w:spacing w:val="-1"/>
        </w:rPr>
        <w:t>0.05</w:t>
      </w:r>
      <w:r>
        <w:rPr>
          <w:rFonts w:ascii="Microsoft YaHei" w:hAnsi="Microsoft YaHei" w:eastAsia="Microsoft YaHei" w:cs="Microsoft YaHei"/>
          <w:color w:val="231F20"/>
          <w:spacing w:val="-31"/>
        </w:rPr>
        <w:t>），</w:t>
      </w:r>
      <w:r>
        <w:rPr>
          <w:rFonts w:ascii="Microsoft YaHei" w:hAnsi="Microsoft YaHei" w:eastAsia="Microsoft YaHei" w:cs="Microsoft YaHei"/>
          <w:color w:val="231F20"/>
          <w:spacing w:val="-1"/>
        </w:rPr>
        <w:t>见表 </w:t>
      </w:r>
      <w:r>
        <w:rPr>
          <w:color w:val="231F20"/>
          <w:spacing w:val="-1"/>
        </w:rPr>
        <w:t>2</w:t>
      </w:r>
      <w:r>
        <w:rPr>
          <w:rFonts w:ascii="Microsoft YaHei" w:hAnsi="Microsoft YaHei" w:eastAsia="Microsoft YaHei" w:cs="Microsoft YaHei"/>
          <w:color w:val="231F20"/>
          <w:spacing w:val="-1"/>
        </w:rPr>
        <w:t>。</w:t>
      </w:r>
    </w:p>
    <w:p>
      <w:pPr>
        <w:pStyle w:val="BodyText"/>
        <w:ind w:left="2023"/>
        <w:spacing w:before="137" w:line="228" w:lineRule="auto"/>
        <w:outlineLvl w:val="2"/>
        <w:rPr>
          <w:sz w:val="14"/>
          <w:szCs w:val="14"/>
        </w:rPr>
      </w:pPr>
      <w:r>
        <w:rPr>
          <w:rFonts w:ascii="SimHei" w:hAnsi="SimHei" w:eastAsia="SimHei" w:cs="SimHei"/>
          <w:sz w:val="14"/>
          <w:szCs w:val="14"/>
          <w:color w:val="231F20"/>
          <w:spacing w:val="-5"/>
        </w:rPr>
        <w:t>表</w:t>
      </w:r>
      <w:r>
        <w:rPr>
          <w:rFonts w:ascii="SimHei" w:hAnsi="SimHei" w:eastAsia="SimHei" w:cs="SimHei"/>
          <w:sz w:val="14"/>
          <w:szCs w:val="14"/>
          <w:color w:val="231F20"/>
          <w:spacing w:val="-20"/>
        </w:rPr>
        <w:t xml:space="preserve"> </w:t>
      </w:r>
      <w:r>
        <w:rPr>
          <w:sz w:val="14"/>
          <w:szCs w:val="14"/>
          <w:b/>
          <w:bCs/>
          <w:color w:val="231F20"/>
          <w:spacing w:val="-5"/>
        </w:rPr>
        <w:t>2    </w:t>
      </w:r>
      <w:r>
        <w:rPr>
          <w:rFonts w:ascii="SimHei" w:hAnsi="SimHei" w:eastAsia="SimHei" w:cs="SimHei"/>
          <w:sz w:val="14"/>
          <w:szCs w:val="14"/>
          <w:color w:val="231F20"/>
          <w:spacing w:val="-5"/>
        </w:rPr>
        <w:t>两组术后感染率比较</w:t>
      </w:r>
      <w:r>
        <w:rPr>
          <w:rFonts w:ascii="SimHei" w:hAnsi="SimHei" w:eastAsia="SimHei" w:cs="SimHei"/>
          <w:sz w:val="14"/>
          <w:szCs w:val="14"/>
          <w:color w:val="231F20"/>
          <w:spacing w:val="-20"/>
        </w:rPr>
        <w:t xml:space="preserve"> </w:t>
      </w:r>
      <w:r>
        <w:rPr>
          <w:sz w:val="14"/>
          <w:szCs w:val="14"/>
          <w:b/>
          <w:bCs/>
          <w:color w:val="231F20"/>
          <w:spacing w:val="-5"/>
        </w:rPr>
        <w:t>[</w:t>
      </w:r>
      <w:r>
        <w:rPr>
          <w:sz w:val="14"/>
          <w:szCs w:val="14"/>
          <w:b/>
          <w:bCs/>
          <w:i/>
          <w:iCs/>
          <w:color w:val="231F20"/>
          <w:spacing w:val="-5"/>
        </w:rPr>
        <w:t>n</w:t>
      </w:r>
      <w:r>
        <w:rPr>
          <w:rFonts w:ascii="SimHei" w:hAnsi="SimHei" w:eastAsia="SimHei" w:cs="SimHei"/>
          <w:sz w:val="14"/>
          <w:szCs w:val="14"/>
          <w:color w:val="231F20"/>
          <w:spacing w:val="-5"/>
        </w:rPr>
        <w:t>（</w:t>
      </w:r>
      <w:r>
        <w:rPr>
          <w:rFonts w:ascii="SimHei" w:hAnsi="SimHei" w:eastAsia="SimHei" w:cs="SimHei"/>
          <w:sz w:val="14"/>
          <w:szCs w:val="14"/>
          <w:color w:val="231F20"/>
          <w:spacing w:val="-27"/>
        </w:rPr>
        <w:t xml:space="preserve"> </w:t>
      </w:r>
      <w:r>
        <w:rPr>
          <w:sz w:val="14"/>
          <w:szCs w:val="14"/>
          <w:b/>
          <w:bCs/>
          <w:color w:val="231F20"/>
          <w:spacing w:val="-5"/>
        </w:rPr>
        <w:t>% </w:t>
      </w:r>
      <w:r>
        <w:rPr>
          <w:rFonts w:ascii="SimHei" w:hAnsi="SimHei" w:eastAsia="SimHei" w:cs="SimHei"/>
          <w:sz w:val="14"/>
          <w:szCs w:val="14"/>
          <w:color w:val="231F20"/>
          <w:spacing w:val="-5"/>
        </w:rPr>
        <w:t>）</w:t>
      </w:r>
      <w:r>
        <w:rPr>
          <w:sz w:val="14"/>
          <w:szCs w:val="14"/>
          <w:b/>
          <w:bCs/>
          <w:color w:val="231F20"/>
          <w:spacing w:val="-5"/>
        </w:rPr>
        <w:t>]</w:t>
      </w:r>
    </w:p>
    <w:p>
      <w:pPr>
        <w:spacing w:line="29" w:lineRule="exact"/>
        <w:rPr/>
      </w:pPr>
      <w:r/>
    </w:p>
    <w:tbl>
      <w:tblPr>
        <w:tblStyle w:val="TableNormal"/>
        <w:tblW w:w="4563" w:type="dxa"/>
        <w:tblInd w:w="871" w:type="dxa"/>
        <w:tblLayout w:type="fixed"/>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Pr>
      <w:tblGrid>
        <w:gridCol w:w="491"/>
        <w:gridCol w:w="296"/>
        <w:gridCol w:w="712"/>
        <w:gridCol w:w="717"/>
        <w:gridCol w:w="728"/>
        <w:gridCol w:w="891"/>
        <w:gridCol w:w="728"/>
      </w:tblGrid>
      <w:tr>
        <w:trPr>
          <w:trHeight w:val="187" w:hRule="atLeast"/>
        </w:trPr>
        <w:tc>
          <w:tcPr>
            <w:tcW w:w="491" w:type="dxa"/>
            <w:vAlign w:val="top"/>
            <w:tcBorders>
              <w:bottom w:val="single" w:color="231F20" w:sz="2" w:space="0"/>
              <w:top w:val="single" w:color="231F20" w:sz="2" w:space="0"/>
            </w:tcBorders>
          </w:tcPr>
          <w:p>
            <w:pPr>
              <w:ind w:left="127"/>
              <w:spacing w:before="34" w:line="220" w:lineRule="auto"/>
              <w:rPr>
                <w:rFonts w:ascii="SimSun" w:hAnsi="SimSun" w:eastAsia="SimSun" w:cs="SimSun"/>
                <w:sz w:val="12"/>
                <w:szCs w:val="12"/>
              </w:rPr>
            </w:pPr>
            <w:r>
              <w:rPr>
                <w:rFonts w:ascii="SimSun" w:hAnsi="SimSun" w:eastAsia="SimSun" w:cs="SimSun"/>
                <w:sz w:val="12"/>
                <w:szCs w:val="12"/>
                <w:color w:val="231F20"/>
                <w:spacing w:val="-2"/>
              </w:rPr>
              <w:t>组别</w:t>
            </w:r>
          </w:p>
        </w:tc>
        <w:tc>
          <w:tcPr>
            <w:tcW w:w="296" w:type="dxa"/>
            <w:vAlign w:val="top"/>
            <w:tcBorders>
              <w:bottom w:val="single" w:color="231F20" w:sz="2" w:space="0"/>
              <w:top w:val="single" w:color="231F20" w:sz="2" w:space="0"/>
            </w:tcBorders>
          </w:tcPr>
          <w:p>
            <w:pPr>
              <w:pStyle w:val="TableText"/>
              <w:ind w:left="104"/>
              <w:spacing w:before="80" w:line="79" w:lineRule="exact"/>
              <w:rPr/>
            </w:pPr>
            <w:r>
              <w:rPr>
                <w:i/>
                <w:iCs/>
                <w:color w:val="231F20"/>
                <w:position w:val="-1"/>
              </w:rPr>
              <w:t>n</w:t>
            </w:r>
          </w:p>
        </w:tc>
        <w:tc>
          <w:tcPr>
            <w:tcW w:w="712" w:type="dxa"/>
            <w:vAlign w:val="top"/>
            <w:tcBorders>
              <w:bottom w:val="single" w:color="231F20" w:sz="2" w:space="0"/>
              <w:top w:val="single" w:color="231F20" w:sz="2" w:space="0"/>
            </w:tcBorders>
          </w:tcPr>
          <w:p>
            <w:pPr>
              <w:ind w:left="111"/>
              <w:spacing w:before="33" w:line="220" w:lineRule="auto"/>
              <w:rPr>
                <w:rFonts w:ascii="SimSun" w:hAnsi="SimSun" w:eastAsia="SimSun" w:cs="SimSun"/>
                <w:sz w:val="12"/>
                <w:szCs w:val="12"/>
              </w:rPr>
            </w:pPr>
            <w:r>
              <w:rPr>
                <w:rFonts w:ascii="SimSun" w:hAnsi="SimSun" w:eastAsia="SimSun" w:cs="SimSun"/>
                <w:sz w:val="12"/>
                <w:szCs w:val="12"/>
                <w:color w:val="231F20"/>
                <w:spacing w:val="-1"/>
              </w:rPr>
              <w:t>腹腔感染</w:t>
            </w:r>
          </w:p>
        </w:tc>
        <w:tc>
          <w:tcPr>
            <w:tcW w:w="717" w:type="dxa"/>
            <w:vAlign w:val="top"/>
            <w:tcBorders>
              <w:bottom w:val="single" w:color="231F20" w:sz="2" w:space="0"/>
              <w:top w:val="single" w:color="231F20" w:sz="2" w:space="0"/>
            </w:tcBorders>
          </w:tcPr>
          <w:p>
            <w:pPr>
              <w:ind w:left="135"/>
              <w:spacing w:before="33" w:line="220" w:lineRule="auto"/>
              <w:rPr>
                <w:rFonts w:ascii="SimSun" w:hAnsi="SimSun" w:eastAsia="SimSun" w:cs="SimSun"/>
                <w:sz w:val="12"/>
                <w:szCs w:val="12"/>
              </w:rPr>
            </w:pPr>
            <w:r>
              <w:rPr>
                <w:rFonts w:ascii="SimSun" w:hAnsi="SimSun" w:eastAsia="SimSun" w:cs="SimSun"/>
                <w:sz w:val="12"/>
                <w:szCs w:val="12"/>
                <w:color w:val="231F20"/>
                <w:spacing w:val="-1"/>
              </w:rPr>
              <w:t>肺部感染</w:t>
            </w:r>
          </w:p>
        </w:tc>
        <w:tc>
          <w:tcPr>
            <w:tcW w:w="728" w:type="dxa"/>
            <w:vAlign w:val="top"/>
            <w:tcBorders>
              <w:bottom w:val="single" w:color="231F20" w:sz="2" w:space="0"/>
              <w:top w:val="single" w:color="231F20" w:sz="2" w:space="0"/>
            </w:tcBorders>
          </w:tcPr>
          <w:p>
            <w:pPr>
              <w:ind w:left="156"/>
              <w:spacing w:before="34" w:line="220" w:lineRule="auto"/>
              <w:rPr>
                <w:rFonts w:ascii="SimSun" w:hAnsi="SimSun" w:eastAsia="SimSun" w:cs="SimSun"/>
                <w:sz w:val="12"/>
                <w:szCs w:val="12"/>
              </w:rPr>
            </w:pPr>
            <w:r>
              <w:rPr>
                <w:rFonts w:ascii="SimSun" w:hAnsi="SimSun" w:eastAsia="SimSun" w:cs="SimSun"/>
                <w:sz w:val="12"/>
                <w:szCs w:val="12"/>
                <w:color w:val="231F20"/>
                <w:spacing w:val="-1"/>
              </w:rPr>
              <w:t>切口感染</w:t>
            </w:r>
          </w:p>
        </w:tc>
        <w:tc>
          <w:tcPr>
            <w:tcW w:w="891" w:type="dxa"/>
            <w:vAlign w:val="top"/>
            <w:tcBorders>
              <w:bottom w:val="single" w:color="231F20" w:sz="2" w:space="0"/>
              <w:top w:val="single" w:color="231F20" w:sz="2" w:space="0"/>
            </w:tcBorders>
          </w:tcPr>
          <w:p>
            <w:pPr>
              <w:ind w:left="103"/>
              <w:spacing w:before="34" w:line="220" w:lineRule="auto"/>
              <w:rPr>
                <w:rFonts w:ascii="SimSun" w:hAnsi="SimSun" w:eastAsia="SimSun" w:cs="SimSun"/>
                <w:sz w:val="12"/>
                <w:szCs w:val="12"/>
              </w:rPr>
            </w:pPr>
            <w:r>
              <w:rPr>
                <w:rFonts w:ascii="SimSun" w:hAnsi="SimSun" w:eastAsia="SimSun" w:cs="SimSun"/>
                <w:sz w:val="12"/>
                <w:szCs w:val="12"/>
                <w:color w:val="231F20"/>
                <w:spacing w:val="-1"/>
              </w:rPr>
              <w:t>泌尿系统感染</w:t>
            </w:r>
          </w:p>
        </w:tc>
        <w:tc>
          <w:tcPr>
            <w:tcW w:w="728" w:type="dxa"/>
            <w:vAlign w:val="top"/>
            <w:tcBorders>
              <w:bottom w:val="single" w:color="231F20" w:sz="2" w:space="0"/>
              <w:top w:val="single" w:color="231F20" w:sz="2" w:space="0"/>
            </w:tcBorders>
          </w:tcPr>
          <w:p>
            <w:pPr>
              <w:ind w:left="126"/>
              <w:spacing w:before="33" w:line="220" w:lineRule="auto"/>
              <w:rPr>
                <w:rFonts w:ascii="SimSun" w:hAnsi="SimSun" w:eastAsia="SimSun" w:cs="SimSun"/>
                <w:sz w:val="12"/>
                <w:szCs w:val="12"/>
              </w:rPr>
            </w:pPr>
            <w:r>
              <w:rPr>
                <w:rFonts w:ascii="SimSun" w:hAnsi="SimSun" w:eastAsia="SimSun" w:cs="SimSun"/>
                <w:sz w:val="12"/>
                <w:szCs w:val="12"/>
                <w:color w:val="231F20"/>
                <w:spacing w:val="-2"/>
              </w:rPr>
              <w:t>总发生率</w:t>
            </w:r>
          </w:p>
        </w:tc>
      </w:tr>
      <w:tr>
        <w:trPr>
          <w:trHeight w:val="181" w:hRule="atLeast"/>
        </w:trPr>
        <w:tc>
          <w:tcPr>
            <w:tcW w:w="491" w:type="dxa"/>
            <w:vAlign w:val="top"/>
            <w:tcBorders>
              <w:top w:val="single" w:color="231F20" w:sz="2" w:space="0"/>
            </w:tcBorders>
          </w:tcPr>
          <w:p>
            <w:pPr>
              <w:ind w:left="65"/>
              <w:spacing w:before="29" w:line="217" w:lineRule="auto"/>
              <w:rPr>
                <w:rFonts w:ascii="SimSun" w:hAnsi="SimSun" w:eastAsia="SimSun" w:cs="SimSun"/>
                <w:sz w:val="12"/>
                <w:szCs w:val="12"/>
              </w:rPr>
            </w:pPr>
            <w:r>
              <w:rPr>
                <w:rFonts w:ascii="SimSun" w:hAnsi="SimSun" w:eastAsia="SimSun" w:cs="SimSun"/>
                <w:sz w:val="12"/>
                <w:szCs w:val="12"/>
                <w:color w:val="231F20"/>
                <w:spacing w:val="-2"/>
              </w:rPr>
              <w:t>观察组</w:t>
            </w:r>
          </w:p>
        </w:tc>
        <w:tc>
          <w:tcPr>
            <w:tcW w:w="296" w:type="dxa"/>
            <w:vAlign w:val="top"/>
            <w:tcBorders>
              <w:top w:val="single" w:color="231F20" w:sz="2" w:space="0"/>
            </w:tcBorders>
          </w:tcPr>
          <w:p>
            <w:pPr>
              <w:pStyle w:val="TableText"/>
              <w:ind w:left="75"/>
              <w:spacing w:before="51" w:line="186" w:lineRule="auto"/>
              <w:rPr/>
            </w:pPr>
            <w:r>
              <w:rPr>
                <w:color w:val="231F20"/>
                <w:spacing w:val="-1"/>
              </w:rPr>
              <w:t>25</w:t>
            </w:r>
          </w:p>
        </w:tc>
        <w:tc>
          <w:tcPr>
            <w:tcW w:w="712" w:type="dxa"/>
            <w:vAlign w:val="top"/>
            <w:tcBorders>
              <w:top w:val="single" w:color="231F20" w:sz="2" w:space="0"/>
            </w:tcBorders>
          </w:tcPr>
          <w:p>
            <w:pPr>
              <w:pStyle w:val="TableText"/>
              <w:ind w:left="321"/>
              <w:spacing w:before="51" w:line="186" w:lineRule="auto"/>
              <w:rPr/>
            </w:pPr>
            <w:r>
              <w:rPr>
                <w:color w:val="231F20"/>
              </w:rPr>
              <w:t>0</w:t>
            </w:r>
          </w:p>
        </w:tc>
        <w:tc>
          <w:tcPr>
            <w:tcW w:w="717" w:type="dxa"/>
            <w:vAlign w:val="top"/>
            <w:tcBorders>
              <w:top w:val="single" w:color="231F20" w:sz="2" w:space="0"/>
            </w:tcBorders>
          </w:tcPr>
          <w:p>
            <w:pPr>
              <w:pStyle w:val="TableText"/>
              <w:ind w:left="346"/>
              <w:spacing w:before="51" w:line="186" w:lineRule="auto"/>
              <w:rPr/>
            </w:pPr>
            <w:r>
              <w:rPr>
                <w:color w:val="231F20"/>
              </w:rPr>
              <w:t>0</w:t>
            </w:r>
          </w:p>
        </w:tc>
        <w:tc>
          <w:tcPr>
            <w:tcW w:w="728" w:type="dxa"/>
            <w:vAlign w:val="top"/>
            <w:tcBorders>
              <w:top w:val="single" w:color="231F20" w:sz="2" w:space="0"/>
            </w:tcBorders>
          </w:tcPr>
          <w:p>
            <w:pPr>
              <w:pStyle w:val="TableText"/>
              <w:ind w:left="366"/>
              <w:spacing w:before="51" w:line="186" w:lineRule="auto"/>
              <w:rPr/>
            </w:pPr>
            <w:r>
              <w:rPr>
                <w:color w:val="231F20"/>
              </w:rPr>
              <w:t>0</w:t>
            </w:r>
          </w:p>
        </w:tc>
        <w:tc>
          <w:tcPr>
            <w:tcW w:w="891" w:type="dxa"/>
            <w:vAlign w:val="top"/>
            <w:tcBorders>
              <w:top w:val="single" w:color="231F20" w:sz="2" w:space="0"/>
            </w:tcBorders>
          </w:tcPr>
          <w:p>
            <w:pPr>
              <w:pStyle w:val="TableText"/>
              <w:ind w:left="431"/>
              <w:spacing w:before="51" w:line="186" w:lineRule="auto"/>
              <w:rPr/>
            </w:pPr>
            <w:r>
              <w:rPr>
                <w:color w:val="231F20"/>
              </w:rPr>
              <w:t>0</w:t>
            </w:r>
          </w:p>
        </w:tc>
        <w:tc>
          <w:tcPr>
            <w:tcW w:w="728" w:type="dxa"/>
            <w:vAlign w:val="top"/>
            <w:tcBorders>
              <w:top w:val="single" w:color="231F20" w:sz="2" w:space="0"/>
            </w:tcBorders>
          </w:tcPr>
          <w:p>
            <w:pPr>
              <w:pStyle w:val="TableText"/>
              <w:ind w:left="334"/>
              <w:spacing w:before="51" w:line="186" w:lineRule="auto"/>
              <w:rPr/>
            </w:pPr>
            <w:r>
              <w:rPr>
                <w:color w:val="231F20"/>
              </w:rPr>
              <w:t>0</w:t>
            </w:r>
          </w:p>
        </w:tc>
      </w:tr>
      <w:tr>
        <w:trPr>
          <w:trHeight w:val="183" w:hRule="atLeast"/>
        </w:trPr>
        <w:tc>
          <w:tcPr>
            <w:tcW w:w="491" w:type="dxa"/>
            <w:vAlign w:val="top"/>
          </w:tcPr>
          <w:p>
            <w:pPr>
              <w:ind w:left="65"/>
              <w:spacing w:before="36" w:line="210" w:lineRule="auto"/>
              <w:rPr>
                <w:rFonts w:ascii="SimSun" w:hAnsi="SimSun" w:eastAsia="SimSun" w:cs="SimSun"/>
                <w:sz w:val="12"/>
                <w:szCs w:val="12"/>
              </w:rPr>
            </w:pPr>
            <w:r>
              <w:rPr>
                <w:rFonts w:ascii="SimSun" w:hAnsi="SimSun" w:eastAsia="SimSun" w:cs="SimSun"/>
                <w:sz w:val="12"/>
                <w:szCs w:val="12"/>
                <w:color w:val="231F20"/>
                <w:spacing w:val="-1"/>
              </w:rPr>
              <w:t>对照组</w:t>
            </w:r>
          </w:p>
        </w:tc>
        <w:tc>
          <w:tcPr>
            <w:tcW w:w="296" w:type="dxa"/>
            <w:vAlign w:val="top"/>
          </w:tcPr>
          <w:p>
            <w:pPr>
              <w:pStyle w:val="TableText"/>
              <w:ind w:left="75"/>
              <w:spacing w:before="58" w:line="186" w:lineRule="auto"/>
              <w:rPr/>
            </w:pPr>
            <w:r>
              <w:rPr>
                <w:color w:val="231F20"/>
                <w:spacing w:val="-1"/>
              </w:rPr>
              <w:t>25</w:t>
            </w:r>
          </w:p>
        </w:tc>
        <w:tc>
          <w:tcPr>
            <w:tcW w:w="712" w:type="dxa"/>
            <w:vAlign w:val="top"/>
          </w:tcPr>
          <w:p>
            <w:pPr>
              <w:pStyle w:val="TableText"/>
              <w:ind w:left="321"/>
              <w:spacing w:before="58" w:line="186" w:lineRule="auto"/>
              <w:rPr/>
            </w:pPr>
            <w:r>
              <w:rPr>
                <w:color w:val="231F20"/>
              </w:rPr>
              <w:t>0</w:t>
            </w:r>
          </w:p>
        </w:tc>
        <w:tc>
          <w:tcPr>
            <w:tcW w:w="717" w:type="dxa"/>
            <w:vAlign w:val="top"/>
          </w:tcPr>
          <w:p>
            <w:pPr>
              <w:pStyle w:val="TableText"/>
              <w:ind w:left="130"/>
              <w:spacing w:before="36" w:line="210" w:lineRule="auto"/>
              <w:rPr>
                <w:rFonts w:ascii="SimSun" w:hAnsi="SimSun" w:eastAsia="SimSun" w:cs="SimSun"/>
              </w:rPr>
            </w:pPr>
            <w:r>
              <w:rPr>
                <w:color w:val="231F20"/>
                <w:spacing w:val="-3"/>
              </w:rPr>
              <w:t>1</w:t>
            </w:r>
            <w:r>
              <w:rPr>
                <w:rFonts w:ascii="SimSun" w:hAnsi="SimSun" w:eastAsia="SimSun" w:cs="SimSun"/>
                <w:color w:val="231F20"/>
                <w:spacing w:val="-3"/>
              </w:rPr>
              <w:t>（</w:t>
            </w:r>
            <w:r>
              <w:rPr>
                <w:color w:val="231F20"/>
                <w:spacing w:val="-3"/>
              </w:rPr>
              <w:t>3.33</w:t>
            </w:r>
            <w:r>
              <w:rPr>
                <w:rFonts w:ascii="SimSun" w:hAnsi="SimSun" w:eastAsia="SimSun" w:cs="SimSun"/>
                <w:color w:val="231F20"/>
                <w:spacing w:val="-3"/>
              </w:rPr>
              <w:t>）</w:t>
            </w:r>
          </w:p>
        </w:tc>
        <w:tc>
          <w:tcPr>
            <w:tcW w:w="728" w:type="dxa"/>
            <w:vAlign w:val="top"/>
          </w:tcPr>
          <w:p>
            <w:pPr>
              <w:pStyle w:val="TableText"/>
              <w:ind w:left="111"/>
              <w:spacing w:before="36" w:line="210" w:lineRule="auto"/>
              <w:rPr>
                <w:rFonts w:ascii="SimSun" w:hAnsi="SimSun" w:eastAsia="SimSun" w:cs="SimSun"/>
              </w:rPr>
            </w:pPr>
            <w:r>
              <w:rPr>
                <w:color w:val="231F20"/>
                <w:spacing w:val="-1"/>
              </w:rPr>
              <w:t>3</w:t>
            </w:r>
            <w:r>
              <w:rPr>
                <w:rFonts w:ascii="SimSun" w:hAnsi="SimSun" w:eastAsia="SimSun" w:cs="SimSun"/>
                <w:color w:val="231F20"/>
                <w:spacing w:val="-1"/>
              </w:rPr>
              <w:t>（</w:t>
            </w:r>
            <w:r>
              <w:rPr>
                <w:color w:val="231F20"/>
                <w:spacing w:val="-1"/>
              </w:rPr>
              <w:t>10.00</w:t>
            </w:r>
            <w:r>
              <w:rPr>
                <w:rFonts w:ascii="SimSun" w:hAnsi="SimSun" w:eastAsia="SimSun" w:cs="SimSun"/>
                <w:color w:val="231F20"/>
                <w:spacing w:val="-1"/>
              </w:rPr>
              <w:t>）</w:t>
            </w:r>
          </w:p>
        </w:tc>
        <w:tc>
          <w:tcPr>
            <w:tcW w:w="891" w:type="dxa"/>
            <w:vAlign w:val="top"/>
          </w:tcPr>
          <w:p>
            <w:pPr>
              <w:pStyle w:val="TableText"/>
              <w:ind w:left="216"/>
              <w:spacing w:before="36" w:line="210" w:lineRule="auto"/>
              <w:rPr>
                <w:rFonts w:ascii="SimSun" w:hAnsi="SimSun" w:eastAsia="SimSun" w:cs="SimSun"/>
              </w:rPr>
            </w:pPr>
            <w:r>
              <w:rPr>
                <w:color w:val="231F20"/>
                <w:spacing w:val="-3"/>
              </w:rPr>
              <w:t>1</w:t>
            </w:r>
            <w:r>
              <w:rPr>
                <w:rFonts w:ascii="SimSun" w:hAnsi="SimSun" w:eastAsia="SimSun" w:cs="SimSun"/>
                <w:color w:val="231F20"/>
                <w:spacing w:val="-3"/>
              </w:rPr>
              <w:t>（</w:t>
            </w:r>
            <w:r>
              <w:rPr>
                <w:color w:val="231F20"/>
                <w:spacing w:val="-3"/>
              </w:rPr>
              <w:t>3.33</w:t>
            </w:r>
            <w:r>
              <w:rPr>
                <w:rFonts w:ascii="SimSun" w:hAnsi="SimSun" w:eastAsia="SimSun" w:cs="SimSun"/>
                <w:color w:val="231F20"/>
                <w:spacing w:val="-3"/>
              </w:rPr>
              <w:t>）</w:t>
            </w:r>
          </w:p>
        </w:tc>
        <w:tc>
          <w:tcPr>
            <w:tcW w:w="728" w:type="dxa"/>
            <w:vAlign w:val="top"/>
          </w:tcPr>
          <w:p>
            <w:pPr>
              <w:pStyle w:val="TableText"/>
              <w:ind w:left="81"/>
              <w:spacing w:before="36" w:line="210" w:lineRule="auto"/>
              <w:rPr>
                <w:rFonts w:ascii="SimSun" w:hAnsi="SimSun" w:eastAsia="SimSun" w:cs="SimSun"/>
              </w:rPr>
            </w:pPr>
            <w:r>
              <w:rPr>
                <w:color w:val="231F20"/>
                <w:spacing w:val="-1"/>
              </w:rPr>
              <w:t>5</w:t>
            </w:r>
            <w:r>
              <w:rPr>
                <w:rFonts w:ascii="SimSun" w:hAnsi="SimSun" w:eastAsia="SimSun" w:cs="SimSun"/>
                <w:color w:val="231F20"/>
                <w:spacing w:val="-1"/>
              </w:rPr>
              <w:t>（</w:t>
            </w:r>
            <w:r>
              <w:rPr>
                <w:color w:val="231F20"/>
                <w:spacing w:val="-1"/>
              </w:rPr>
              <w:t>20.00</w:t>
            </w:r>
            <w:r>
              <w:rPr>
                <w:rFonts w:ascii="SimSun" w:hAnsi="SimSun" w:eastAsia="SimSun" w:cs="SimSun"/>
                <w:color w:val="231F20"/>
                <w:spacing w:val="-1"/>
              </w:rPr>
              <w:t>）</w:t>
            </w:r>
          </w:p>
        </w:tc>
      </w:tr>
      <w:tr>
        <w:trPr>
          <w:trHeight w:val="195" w:hRule="atLeast"/>
        </w:trPr>
        <w:tc>
          <w:tcPr>
            <w:tcW w:w="491" w:type="dxa"/>
            <w:vAlign w:val="top"/>
          </w:tcPr>
          <w:p>
            <w:pPr>
              <w:pStyle w:val="TableText"/>
              <w:ind w:left="110"/>
              <w:spacing w:before="39" w:line="210" w:lineRule="auto"/>
              <w:rPr>
                <w:rFonts w:ascii="SimSun" w:hAnsi="SimSun" w:eastAsia="SimSun" w:cs="SimSun"/>
              </w:rPr>
            </w:pPr>
            <w:r>
              <w:rPr>
                <w:i/>
                <w:iCs/>
                <w:color w:val="231F20"/>
                <w:spacing w:val="5"/>
              </w:rPr>
              <w:t>χ</w:t>
            </w:r>
            <w:r>
              <w:rPr>
                <w:sz w:val="6"/>
                <w:szCs w:val="6"/>
                <w:color w:val="231F20"/>
                <w:spacing w:val="5"/>
                <w:position w:val="5"/>
              </w:rPr>
              <w:t>2</w:t>
            </w:r>
            <w:r>
              <w:rPr>
                <w:sz w:val="6"/>
                <w:szCs w:val="6"/>
                <w:color w:val="231F20"/>
                <w:spacing w:val="2"/>
                <w:position w:val="5"/>
              </w:rPr>
              <w:t xml:space="preserve">  </w:t>
            </w:r>
            <w:r>
              <w:rPr>
                <w:rFonts w:ascii="SimSun" w:hAnsi="SimSun" w:eastAsia="SimSun" w:cs="SimSun"/>
                <w:color w:val="231F20"/>
                <w:spacing w:val="5"/>
              </w:rPr>
              <w:t>值</w:t>
            </w:r>
          </w:p>
        </w:tc>
        <w:tc>
          <w:tcPr>
            <w:tcW w:w="296" w:type="dxa"/>
            <w:vAlign w:val="top"/>
          </w:tcPr>
          <w:p>
            <w:pPr>
              <w:spacing w:line="185" w:lineRule="exact"/>
              <w:rPr>
                <w:rFonts w:ascii="Arial"/>
                <w:sz w:val="16"/>
              </w:rPr>
            </w:pPr>
            <w:r/>
          </w:p>
        </w:tc>
        <w:tc>
          <w:tcPr>
            <w:tcW w:w="712" w:type="dxa"/>
            <w:vAlign w:val="top"/>
          </w:tcPr>
          <w:p>
            <w:pPr>
              <w:spacing w:line="185" w:lineRule="exact"/>
              <w:rPr>
                <w:rFonts w:ascii="Arial"/>
                <w:sz w:val="16"/>
              </w:rPr>
            </w:pPr>
            <w:r/>
          </w:p>
        </w:tc>
        <w:tc>
          <w:tcPr>
            <w:tcW w:w="717" w:type="dxa"/>
            <w:vAlign w:val="top"/>
          </w:tcPr>
          <w:p>
            <w:pPr>
              <w:spacing w:line="185" w:lineRule="exact"/>
              <w:rPr>
                <w:rFonts w:ascii="Arial"/>
                <w:sz w:val="16"/>
              </w:rPr>
            </w:pPr>
            <w:r/>
          </w:p>
        </w:tc>
        <w:tc>
          <w:tcPr>
            <w:tcW w:w="728" w:type="dxa"/>
            <w:vAlign w:val="top"/>
          </w:tcPr>
          <w:p>
            <w:pPr>
              <w:spacing w:line="185" w:lineRule="exact"/>
              <w:rPr>
                <w:rFonts w:ascii="Arial"/>
                <w:sz w:val="16"/>
              </w:rPr>
            </w:pPr>
            <w:r/>
          </w:p>
        </w:tc>
        <w:tc>
          <w:tcPr>
            <w:tcW w:w="891" w:type="dxa"/>
            <w:vAlign w:val="top"/>
          </w:tcPr>
          <w:p>
            <w:pPr>
              <w:spacing w:line="185" w:lineRule="exact"/>
              <w:rPr>
                <w:rFonts w:ascii="Arial"/>
                <w:sz w:val="16"/>
              </w:rPr>
            </w:pPr>
            <w:r/>
          </w:p>
        </w:tc>
        <w:tc>
          <w:tcPr>
            <w:tcW w:w="728" w:type="dxa"/>
            <w:vAlign w:val="top"/>
          </w:tcPr>
          <w:p>
            <w:pPr>
              <w:pStyle w:val="TableText"/>
              <w:ind w:left="227"/>
              <w:spacing w:before="63" w:line="186" w:lineRule="auto"/>
              <w:rPr/>
            </w:pPr>
            <w:r>
              <w:rPr>
                <w:color w:val="231F20"/>
                <w:spacing w:val="-1"/>
              </w:rPr>
              <w:t>4.348</w:t>
            </w:r>
          </w:p>
        </w:tc>
      </w:tr>
      <w:tr>
        <w:trPr>
          <w:trHeight w:val="187" w:hRule="atLeast"/>
        </w:trPr>
        <w:tc>
          <w:tcPr>
            <w:tcW w:w="491" w:type="dxa"/>
            <w:vAlign w:val="top"/>
            <w:tcBorders>
              <w:bottom w:val="single" w:color="231F20" w:sz="2" w:space="0"/>
            </w:tcBorders>
          </w:tcPr>
          <w:p>
            <w:pPr>
              <w:pStyle w:val="TableText"/>
              <w:ind w:left="126"/>
              <w:spacing w:before="33" w:line="220" w:lineRule="auto"/>
              <w:rPr>
                <w:rFonts w:ascii="SimSun" w:hAnsi="SimSun" w:eastAsia="SimSun" w:cs="SimSun"/>
              </w:rPr>
            </w:pPr>
            <w:r>
              <w:rPr>
                <w:i/>
                <w:iCs/>
                <w:color w:val="231F20"/>
                <w:spacing w:val="1"/>
              </w:rPr>
              <w:t>P</w:t>
            </w:r>
            <w:r>
              <w:rPr>
                <w:i/>
                <w:iCs/>
                <w:color w:val="231F20"/>
                <w:spacing w:val="4"/>
              </w:rPr>
              <w:t xml:space="preserve"> </w:t>
            </w:r>
            <w:r>
              <w:rPr>
                <w:rFonts w:ascii="SimSun" w:hAnsi="SimSun" w:eastAsia="SimSun" w:cs="SimSun"/>
                <w:color w:val="231F20"/>
                <w:spacing w:val="1"/>
              </w:rPr>
              <w:t>值</w:t>
            </w:r>
          </w:p>
        </w:tc>
        <w:tc>
          <w:tcPr>
            <w:tcW w:w="296" w:type="dxa"/>
            <w:vAlign w:val="top"/>
            <w:tcBorders>
              <w:bottom w:val="single" w:color="231F20" w:sz="2" w:space="0"/>
            </w:tcBorders>
          </w:tcPr>
          <w:p>
            <w:pPr>
              <w:spacing w:line="176" w:lineRule="exact"/>
              <w:rPr>
                <w:rFonts w:ascii="Arial"/>
                <w:sz w:val="15"/>
              </w:rPr>
            </w:pPr>
            <w:r/>
          </w:p>
        </w:tc>
        <w:tc>
          <w:tcPr>
            <w:tcW w:w="712" w:type="dxa"/>
            <w:vAlign w:val="top"/>
            <w:tcBorders>
              <w:bottom w:val="single" w:color="231F20" w:sz="2" w:space="0"/>
            </w:tcBorders>
          </w:tcPr>
          <w:p>
            <w:pPr>
              <w:spacing w:line="176" w:lineRule="exact"/>
              <w:rPr>
                <w:rFonts w:ascii="Arial"/>
                <w:sz w:val="15"/>
              </w:rPr>
            </w:pPr>
            <w:r/>
          </w:p>
        </w:tc>
        <w:tc>
          <w:tcPr>
            <w:tcW w:w="717" w:type="dxa"/>
            <w:vAlign w:val="top"/>
            <w:tcBorders>
              <w:bottom w:val="single" w:color="231F20" w:sz="2" w:space="0"/>
            </w:tcBorders>
          </w:tcPr>
          <w:p>
            <w:pPr>
              <w:spacing w:line="176" w:lineRule="exact"/>
              <w:rPr>
                <w:rFonts w:ascii="Arial"/>
                <w:sz w:val="15"/>
              </w:rPr>
            </w:pPr>
            <w:r/>
          </w:p>
        </w:tc>
        <w:tc>
          <w:tcPr>
            <w:tcW w:w="728" w:type="dxa"/>
            <w:vAlign w:val="top"/>
            <w:tcBorders>
              <w:bottom w:val="single" w:color="231F20" w:sz="2" w:space="0"/>
            </w:tcBorders>
          </w:tcPr>
          <w:p>
            <w:pPr>
              <w:spacing w:line="176" w:lineRule="exact"/>
              <w:rPr>
                <w:rFonts w:ascii="Arial"/>
                <w:sz w:val="15"/>
              </w:rPr>
            </w:pPr>
            <w:r/>
          </w:p>
        </w:tc>
        <w:tc>
          <w:tcPr>
            <w:tcW w:w="891" w:type="dxa"/>
            <w:vAlign w:val="top"/>
            <w:tcBorders>
              <w:bottom w:val="single" w:color="231F20" w:sz="2" w:space="0"/>
            </w:tcBorders>
          </w:tcPr>
          <w:p>
            <w:pPr>
              <w:spacing w:line="176" w:lineRule="exact"/>
              <w:rPr>
                <w:rFonts w:ascii="Arial"/>
                <w:sz w:val="15"/>
              </w:rPr>
            </w:pPr>
            <w:r/>
          </w:p>
        </w:tc>
        <w:tc>
          <w:tcPr>
            <w:tcW w:w="728" w:type="dxa"/>
            <w:vAlign w:val="top"/>
            <w:tcBorders>
              <w:bottom w:val="single" w:color="231F20" w:sz="2" w:space="0"/>
            </w:tcBorders>
          </w:tcPr>
          <w:p>
            <w:pPr>
              <w:pStyle w:val="TableText"/>
              <w:ind w:left="229"/>
              <w:spacing w:before="55" w:line="186" w:lineRule="auto"/>
              <w:rPr/>
            </w:pPr>
            <w:r>
              <w:rPr>
                <w:color w:val="231F20"/>
                <w:spacing w:val="-1"/>
              </w:rPr>
              <w:t>0.037</w:t>
            </w:r>
          </w:p>
        </w:tc>
      </w:tr>
    </w:tbl>
    <w:p>
      <w:pPr>
        <w:spacing w:line="14" w:lineRule="auto"/>
        <w:rPr>
          <w:rFonts w:ascii="Arial"/>
          <w:sz w:val="2"/>
        </w:rPr>
      </w:pPr>
      <w:r/>
    </w:p>
    <w:p>
      <w:pPr>
        <w:spacing w:line="14" w:lineRule="auto"/>
        <w:rPr>
          <w:rFonts w:ascii="Arial"/>
          <w:sz w:val="2"/>
        </w:rPr>
      </w:pPr>
      <w:r>
        <w:rPr>
          <w:rFonts w:ascii="Arial" w:hAnsi="Arial" w:eastAsia="Arial" w:cs="Arial"/>
          <w:sz w:val="2"/>
          <w:szCs w:val="2"/>
        </w:rPr>
        <w:br w:type="column"/>
      </w:r>
    </w:p>
    <w:p>
      <w:pPr>
        <w:pStyle w:val="BodyText"/>
        <w:ind w:left="84"/>
        <w:spacing w:before="39" w:line="238" w:lineRule="exact"/>
        <w:outlineLvl w:val="0"/>
        <w:rPr>
          <w:rFonts w:ascii="SimHei" w:hAnsi="SimHei" w:eastAsia="SimHei" w:cs="SimHei"/>
          <w:sz w:val="18"/>
          <w:szCs w:val="18"/>
        </w:rPr>
      </w:pPr>
      <w:r>
        <w:rPr>
          <w:sz w:val="18"/>
          <w:szCs w:val="18"/>
          <w:b/>
          <w:bCs/>
          <w:color w:val="231F20"/>
          <w:spacing w:val="-2"/>
          <w:position w:val="1"/>
        </w:rPr>
        <w:t>3</w:t>
      </w:r>
      <w:r>
        <w:rPr>
          <w:sz w:val="18"/>
          <w:szCs w:val="18"/>
          <w:b/>
          <w:bCs/>
          <w:color w:val="231F20"/>
          <w:spacing w:val="1"/>
          <w:position w:val="1"/>
        </w:rPr>
        <w:t xml:space="preserve">    </w:t>
      </w:r>
      <w:r>
        <w:rPr>
          <w:rFonts w:ascii="SimHei" w:hAnsi="SimHei" w:eastAsia="SimHei" w:cs="SimHei"/>
          <w:sz w:val="18"/>
          <w:szCs w:val="18"/>
          <w:color w:val="231F20"/>
          <w:spacing w:val="-2"/>
          <w:position w:val="1"/>
        </w:rPr>
        <w:t>讨论</w:t>
      </w:r>
    </w:p>
    <w:p>
      <w:pPr>
        <w:pStyle w:val="BodyText"/>
        <w:ind w:left="83"/>
        <w:spacing w:before="69" w:line="241" w:lineRule="auto"/>
        <w:rPr>
          <w:rFonts w:ascii="SimHei" w:hAnsi="SimHei" w:eastAsia="SimHei" w:cs="SimHei"/>
        </w:rPr>
      </w:pPr>
      <w:r>
        <w:rPr>
          <w:b/>
          <w:bCs/>
          <w:color w:val="231F20"/>
          <w:spacing w:val="-1"/>
        </w:rPr>
        <w:t>3.1    </w:t>
      </w:r>
      <w:r>
        <w:rPr>
          <w:rFonts w:ascii="SimHei" w:hAnsi="SimHei" w:eastAsia="SimHei" w:cs="SimHei"/>
          <w:color w:val="231F20"/>
          <w:spacing w:val="-1"/>
        </w:rPr>
        <w:t>可有效抑制机体释放的炎性因子</w:t>
      </w:r>
    </w:p>
    <w:p>
      <w:pPr>
        <w:pStyle w:val="BodyText"/>
        <w:ind w:right="2" w:firstLine="395"/>
        <w:spacing w:before="32" w:line="206" w:lineRule="auto"/>
        <w:jc w:val="both"/>
        <w:rPr>
          <w:rFonts w:ascii="Microsoft YaHei" w:hAnsi="Microsoft YaHei" w:eastAsia="Microsoft YaHei" w:cs="Microsoft YaHei"/>
        </w:rPr>
      </w:pPr>
      <w:r>
        <w:rPr>
          <w:rFonts w:ascii="Microsoft YaHei" w:hAnsi="Microsoft YaHei" w:eastAsia="Microsoft YaHei" w:cs="Microsoft YaHei"/>
          <w:color w:val="231F20"/>
          <w:spacing w:val="1"/>
        </w:rPr>
        <w:t>本研究结果表明，观察组干预后 </w:t>
      </w:r>
      <w:r>
        <w:rPr>
          <w:color w:val="231F20"/>
        </w:rPr>
        <w:t>IL</w:t>
      </w:r>
      <w:r>
        <w:rPr>
          <w:color w:val="231F20"/>
          <w:spacing w:val="1"/>
        </w:rPr>
        <w:t>-6</w:t>
      </w:r>
      <w:r>
        <w:rPr>
          <w:color w:val="231F20"/>
          <w:spacing w:val="-21"/>
        </w:rPr>
        <w:t xml:space="preserve"> </w:t>
      </w:r>
      <w:r>
        <w:rPr>
          <w:rFonts w:ascii="Microsoft YaHei" w:hAnsi="Microsoft YaHei" w:eastAsia="Microsoft YaHei" w:cs="Microsoft YaHei"/>
          <w:color w:val="231F20"/>
          <w:spacing w:val="1"/>
        </w:rPr>
        <w:t>、</w:t>
      </w:r>
      <w:r>
        <w:rPr>
          <w:color w:val="231F20"/>
        </w:rPr>
        <w:t>CRP</w:t>
      </w:r>
      <w:r>
        <w:rPr>
          <w:color w:val="231F20"/>
          <w:spacing w:val="-21"/>
        </w:rPr>
        <w:t xml:space="preserve"> </w:t>
      </w:r>
      <w:r>
        <w:rPr>
          <w:rFonts w:ascii="Microsoft YaHei" w:hAnsi="Microsoft YaHei" w:eastAsia="Microsoft YaHei" w:cs="Microsoft YaHei"/>
          <w:color w:val="231F20"/>
          <w:spacing w:val="1"/>
        </w:rPr>
        <w:t>、</w:t>
      </w:r>
      <w:r>
        <w:rPr>
          <w:color w:val="231F20"/>
        </w:rPr>
        <w:t>TNF</w:t>
      </w:r>
      <w:r>
        <w:rPr>
          <w:color w:val="231F20"/>
          <w:spacing w:val="1"/>
        </w:rPr>
        <w:t>-α</w:t>
      </w:r>
      <w:r>
        <w:rPr>
          <w:color w:val="231F20"/>
        </w:rPr>
        <w:t xml:space="preserve"> </w:t>
      </w:r>
      <w:r>
        <w:rPr>
          <w:rFonts w:ascii="Microsoft YaHei" w:hAnsi="Microsoft YaHei" w:eastAsia="Microsoft YaHei" w:cs="Microsoft YaHei"/>
          <w:color w:val="231F20"/>
        </w:rPr>
        <w:t>低于对照组  </w:t>
      </w:r>
      <w:r>
        <w:rPr>
          <w:rFonts w:ascii="Microsoft YaHei" w:hAnsi="Microsoft YaHei" w:eastAsia="Microsoft YaHei" w:cs="Microsoft YaHei"/>
          <w:color w:val="231F20"/>
          <w:spacing w:val="1"/>
        </w:rPr>
        <w:t>（</w:t>
      </w:r>
      <w:r>
        <w:rPr>
          <w:rFonts w:ascii="Microsoft YaHei" w:hAnsi="Microsoft YaHei" w:eastAsia="Microsoft YaHei" w:cs="Microsoft YaHei"/>
          <w:color w:val="231F20"/>
          <w:spacing w:val="-19"/>
        </w:rPr>
        <w:t xml:space="preserve"> </w:t>
      </w:r>
      <w:r>
        <w:rPr>
          <w:i/>
          <w:iCs/>
          <w:color w:val="231F20"/>
          <w:spacing w:val="1"/>
        </w:rPr>
        <w:t>P&lt;</w:t>
      </w:r>
      <w:r>
        <w:rPr>
          <w:color w:val="231F20"/>
          <w:spacing w:val="1"/>
        </w:rPr>
        <w:t>0.05</w:t>
      </w:r>
      <w:r>
        <w:rPr>
          <w:rFonts w:ascii="Microsoft YaHei" w:hAnsi="Microsoft YaHei" w:eastAsia="Microsoft YaHei" w:cs="Microsoft YaHei"/>
          <w:color w:val="231F20"/>
          <w:spacing w:val="-34"/>
        </w:rPr>
        <w:t>），</w:t>
      </w:r>
      <w:r>
        <w:rPr>
          <w:rFonts w:ascii="Microsoft YaHei" w:hAnsi="Microsoft YaHei" w:eastAsia="Microsoft YaHei" w:cs="Microsoft YaHei"/>
          <w:color w:val="231F20"/>
          <w:spacing w:val="1"/>
        </w:rPr>
        <w:t>这说明抗菌药物使用期间采用根因分析法的护理措施能有</w:t>
      </w:r>
      <w:r>
        <w:rPr>
          <w:rFonts w:ascii="Microsoft YaHei" w:hAnsi="Microsoft YaHei" w:eastAsia="Microsoft YaHei" w:cs="Microsoft YaHei"/>
          <w:color w:val="231F20"/>
        </w:rPr>
        <w:t xml:space="preserve">  </w:t>
      </w:r>
      <w:r>
        <w:rPr>
          <w:rFonts w:ascii="Microsoft YaHei" w:hAnsi="Microsoft YaHei" w:eastAsia="Microsoft YaHei" w:cs="Microsoft YaHei"/>
          <w:color w:val="231F20"/>
          <w:spacing w:val="7"/>
        </w:rPr>
        <w:t>效抑制阑尾炎患者术后炎症因子表达，并增强</w:t>
      </w:r>
      <w:r>
        <w:rPr>
          <w:rFonts w:ascii="Microsoft YaHei" w:hAnsi="Microsoft YaHei" w:eastAsia="Microsoft YaHei" w:cs="Microsoft YaHei"/>
          <w:color w:val="231F20"/>
          <w:spacing w:val="6"/>
        </w:rPr>
        <w:t>抗菌药物的抗炎效果。</w:t>
      </w:r>
      <w:r>
        <w:rPr>
          <w:rFonts w:ascii="Microsoft YaHei" w:hAnsi="Microsoft YaHei" w:eastAsia="Microsoft YaHei" w:cs="Microsoft YaHei"/>
          <w:color w:val="231F20"/>
        </w:rPr>
        <w:t xml:space="preserve"> </w:t>
      </w:r>
      <w:r>
        <w:rPr>
          <w:rFonts w:ascii="Microsoft YaHei" w:hAnsi="Microsoft YaHei" w:eastAsia="Microsoft YaHei" w:cs="Microsoft YaHei"/>
          <w:color w:val="231F20"/>
          <w:spacing w:val="3"/>
        </w:rPr>
        <w:t>分析原因</w:t>
      </w:r>
      <w:r>
        <w:rPr>
          <w:rFonts w:ascii="Microsoft YaHei" w:hAnsi="Microsoft YaHei" w:eastAsia="Microsoft YaHei" w:cs="Microsoft YaHei"/>
          <w:color w:val="231F20"/>
          <w:spacing w:val="9"/>
        </w:rPr>
        <w:t xml:space="preserve"> </w:t>
      </w:r>
      <w:r>
        <w:rPr>
          <w:rFonts w:ascii="Microsoft YaHei" w:hAnsi="Microsoft YaHei" w:eastAsia="Microsoft YaHei" w:cs="Microsoft YaHei"/>
          <w:color w:val="231F20"/>
          <w:spacing w:val="3"/>
        </w:rPr>
        <w:t>：根因分析法能深入剖析导致阑尾炎患者术后感染的根本原</w:t>
      </w:r>
      <w:r>
        <w:rPr>
          <w:rFonts w:ascii="Microsoft YaHei" w:hAnsi="Microsoft YaHei" w:eastAsia="Microsoft YaHei" w:cs="Microsoft YaHei"/>
          <w:color w:val="231F20"/>
        </w:rPr>
        <w:t xml:space="preserve">  </w:t>
      </w:r>
      <w:r>
        <w:rPr>
          <w:rFonts w:ascii="Microsoft YaHei" w:hAnsi="Microsoft YaHei" w:eastAsia="Microsoft YaHei" w:cs="Microsoft YaHei"/>
          <w:color w:val="231F20"/>
          <w:spacing w:val="4"/>
        </w:rPr>
        <w:t>因，并据此采取针对性的改进措施以优化治疗方案及护理方案，有助</w:t>
      </w:r>
      <w:r>
        <w:rPr>
          <w:rFonts w:ascii="Microsoft YaHei" w:hAnsi="Microsoft YaHei" w:eastAsia="Microsoft YaHei" w:cs="Microsoft YaHei"/>
          <w:color w:val="231F20"/>
          <w:spacing w:val="8"/>
        </w:rPr>
        <w:t xml:space="preserve">  </w:t>
      </w:r>
      <w:r>
        <w:rPr>
          <w:rFonts w:ascii="Microsoft YaHei" w:hAnsi="Microsoft YaHei" w:eastAsia="Microsoft YaHei" w:cs="Microsoft YaHei"/>
          <w:color w:val="231F20"/>
          <w:spacing w:val="7"/>
        </w:rPr>
        <w:t>于医护人员更精确地识别阑尾炎患者的感染风险</w:t>
      </w:r>
      <w:r>
        <w:rPr>
          <w:rFonts w:ascii="Microsoft YaHei" w:hAnsi="Microsoft YaHei" w:eastAsia="Microsoft YaHei" w:cs="Microsoft YaHei"/>
          <w:color w:val="231F20"/>
          <w:spacing w:val="6"/>
        </w:rPr>
        <w:t>及可能的感染途径，</w:t>
      </w:r>
      <w:r>
        <w:rPr>
          <w:rFonts w:ascii="Microsoft YaHei" w:hAnsi="Microsoft YaHei" w:eastAsia="Microsoft YaHei" w:cs="Microsoft YaHei"/>
          <w:color w:val="231F20"/>
        </w:rPr>
        <w:t xml:space="preserve"> </w:t>
      </w:r>
      <w:r>
        <w:rPr>
          <w:rFonts w:ascii="Microsoft YaHei" w:hAnsi="Microsoft YaHei" w:eastAsia="Microsoft YaHei" w:cs="Microsoft YaHei"/>
          <w:color w:val="231F20"/>
          <w:spacing w:val="-1"/>
        </w:rPr>
        <w:t>在提高规范性应用抗生素意识的前提下，  保证药物的合理应</w:t>
      </w:r>
      <w:r>
        <w:rPr>
          <w:rFonts w:ascii="Microsoft YaHei" w:hAnsi="Microsoft YaHei" w:eastAsia="Microsoft YaHei" w:cs="Microsoft YaHei"/>
          <w:color w:val="231F20"/>
          <w:spacing w:val="-2"/>
        </w:rPr>
        <w:t>用与观察。</w:t>
      </w:r>
      <w:r>
        <w:rPr>
          <w:rFonts w:ascii="Microsoft YaHei" w:hAnsi="Microsoft YaHei" w:eastAsia="Microsoft YaHei" w:cs="Microsoft YaHei"/>
          <w:color w:val="231F20"/>
        </w:rPr>
        <w:t xml:space="preserve"> </w:t>
      </w:r>
      <w:r>
        <w:rPr>
          <w:rFonts w:ascii="Microsoft YaHei" w:hAnsi="Microsoft YaHei" w:eastAsia="Microsoft YaHei" w:cs="Microsoft YaHei"/>
          <w:color w:val="231F20"/>
          <w:spacing w:val="4"/>
        </w:rPr>
        <w:t>在本次研究中所采用的药物头孢呋辛钠、甲硝唑均是临床常用的抗菌</w:t>
      </w:r>
      <w:r>
        <w:rPr>
          <w:rFonts w:ascii="Microsoft YaHei" w:hAnsi="Microsoft YaHei" w:eastAsia="Microsoft YaHei" w:cs="Microsoft YaHei"/>
          <w:color w:val="231F20"/>
          <w:spacing w:val="9"/>
        </w:rPr>
        <w:t xml:space="preserve">  </w:t>
      </w:r>
      <w:r>
        <w:rPr>
          <w:rFonts w:ascii="Microsoft YaHei" w:hAnsi="Microsoft YaHei" w:eastAsia="Microsoft YaHei" w:cs="Microsoft YaHei"/>
          <w:color w:val="231F20"/>
          <w:spacing w:val="5"/>
        </w:rPr>
        <w:t>药物，不仅能杀灭病原菌，还能抑制 </w:t>
      </w:r>
      <w:r>
        <w:rPr>
          <w:color w:val="231F20"/>
        </w:rPr>
        <w:t>IL</w:t>
      </w:r>
      <w:r>
        <w:rPr>
          <w:color w:val="231F20"/>
          <w:spacing w:val="5"/>
        </w:rPr>
        <w:t>-6</w:t>
      </w:r>
      <w:r>
        <w:rPr>
          <w:color w:val="231F20"/>
          <w:spacing w:val="-18"/>
        </w:rPr>
        <w:t xml:space="preserve"> </w:t>
      </w:r>
      <w:r>
        <w:rPr>
          <w:rFonts w:ascii="Microsoft YaHei" w:hAnsi="Microsoft YaHei" w:eastAsia="Microsoft YaHei" w:cs="Microsoft YaHei"/>
          <w:color w:val="231F20"/>
          <w:spacing w:val="5"/>
        </w:rPr>
        <w:t>、</w:t>
      </w:r>
      <w:r>
        <w:rPr>
          <w:color w:val="231F20"/>
        </w:rPr>
        <w:t>CRP</w:t>
      </w:r>
      <w:r>
        <w:rPr>
          <w:color w:val="231F20"/>
          <w:spacing w:val="5"/>
        </w:rPr>
        <w:t xml:space="preserve"> </w:t>
      </w:r>
      <w:r>
        <w:rPr>
          <w:rFonts w:ascii="Microsoft YaHei" w:hAnsi="Microsoft YaHei" w:eastAsia="Microsoft YaHei" w:cs="Microsoft YaHei"/>
          <w:color w:val="231F20"/>
          <w:spacing w:val="5"/>
        </w:rPr>
        <w:t>等炎症因子的产生，</w:t>
      </w:r>
      <w:r>
        <w:rPr>
          <w:rFonts w:ascii="Microsoft YaHei" w:hAnsi="Microsoft YaHei" w:eastAsia="Microsoft YaHei" w:cs="Microsoft YaHei"/>
          <w:color w:val="231F20"/>
        </w:rPr>
        <w:t xml:space="preserve"> </w:t>
      </w:r>
      <w:r>
        <w:rPr>
          <w:rFonts w:ascii="Microsoft YaHei" w:hAnsi="Microsoft YaHei" w:eastAsia="Microsoft YaHei" w:cs="Microsoft YaHei"/>
          <w:color w:val="231F20"/>
          <w:spacing w:val="5"/>
        </w:rPr>
        <w:t>从而减轻炎症反应，这两种药物的联合使用能</w:t>
      </w:r>
      <w:r>
        <w:rPr>
          <w:rFonts w:ascii="Microsoft YaHei" w:hAnsi="Microsoft YaHei" w:eastAsia="Microsoft YaHei" w:cs="Microsoft YaHei"/>
          <w:color w:val="231F20"/>
          <w:spacing w:val="4"/>
        </w:rPr>
        <w:t>够发挥协同作用，从而</w:t>
      </w:r>
      <w:r>
        <w:rPr>
          <w:rFonts w:ascii="Microsoft YaHei" w:hAnsi="Microsoft YaHei" w:eastAsia="Microsoft YaHei" w:cs="Microsoft YaHei"/>
          <w:color w:val="231F20"/>
        </w:rPr>
        <w:t xml:space="preserve">  </w:t>
      </w:r>
      <w:r>
        <w:rPr>
          <w:rFonts w:ascii="Microsoft YaHei" w:hAnsi="Microsoft YaHei" w:eastAsia="Microsoft YaHei" w:cs="Microsoft YaHei"/>
          <w:color w:val="231F20"/>
          <w:spacing w:val="2"/>
        </w:rPr>
        <w:t>更有效地控制阑尾炎患者的感染 </w:t>
      </w:r>
      <w:r>
        <w:rPr>
          <w:sz w:val="8"/>
          <w:szCs w:val="8"/>
          <w:color w:val="231F20"/>
          <w:spacing w:val="2"/>
          <w:position w:val="7"/>
        </w:rPr>
        <w:t>[7]</w:t>
      </w:r>
      <w:r>
        <w:rPr>
          <w:rFonts w:ascii="Microsoft YaHei" w:hAnsi="Microsoft YaHei" w:eastAsia="Microsoft YaHei" w:cs="Microsoft YaHei"/>
          <w:color w:val="231F20"/>
          <w:spacing w:val="2"/>
        </w:rPr>
        <w:t>。药物</w:t>
      </w:r>
      <w:r>
        <w:rPr>
          <w:rFonts w:ascii="Microsoft YaHei" w:hAnsi="Microsoft YaHei" w:eastAsia="Microsoft YaHei" w:cs="Microsoft YaHei"/>
          <w:color w:val="231F20"/>
          <w:spacing w:val="1"/>
        </w:rPr>
        <w:t>结合根因分析法的护理模式，</w:t>
      </w:r>
      <w:r>
        <w:rPr>
          <w:rFonts w:ascii="Microsoft YaHei" w:hAnsi="Microsoft YaHei" w:eastAsia="Microsoft YaHei" w:cs="Microsoft YaHei"/>
          <w:color w:val="231F20"/>
        </w:rPr>
        <w:t xml:space="preserve"> </w:t>
      </w:r>
      <w:r>
        <w:rPr>
          <w:rFonts w:ascii="Microsoft YaHei" w:hAnsi="Microsoft YaHei" w:eastAsia="Microsoft YaHei" w:cs="Microsoft YaHei"/>
          <w:color w:val="231F20"/>
          <w:spacing w:val="3"/>
        </w:rPr>
        <w:t>一方面能确保药物发挥最大疗效 ；另一方面能帮助医护人员加强感染  </w:t>
      </w:r>
      <w:r>
        <w:rPr>
          <w:rFonts w:ascii="Microsoft YaHei" w:hAnsi="Microsoft YaHei" w:eastAsia="Microsoft YaHei" w:cs="Microsoft YaHei"/>
          <w:color w:val="231F20"/>
          <w:spacing w:val="5"/>
        </w:rPr>
        <w:t>控制工作，完善术后护理流程，将引发感染的风险</w:t>
      </w:r>
      <w:r>
        <w:rPr>
          <w:rFonts w:ascii="Microsoft YaHei" w:hAnsi="Microsoft YaHei" w:eastAsia="Microsoft YaHei" w:cs="Microsoft YaHei"/>
          <w:color w:val="231F20"/>
          <w:spacing w:val="4"/>
        </w:rPr>
        <w:t>因子控制在可管理</w:t>
      </w:r>
      <w:r>
        <w:rPr>
          <w:rFonts w:ascii="Microsoft YaHei" w:hAnsi="Microsoft YaHei" w:eastAsia="Microsoft YaHei" w:cs="Microsoft YaHei"/>
          <w:color w:val="231F20"/>
        </w:rPr>
        <w:t xml:space="preserve">  </w:t>
      </w:r>
      <w:r>
        <w:rPr>
          <w:rFonts w:ascii="Microsoft YaHei" w:hAnsi="Microsoft YaHei" w:eastAsia="Microsoft YaHei" w:cs="Microsoft YaHei"/>
          <w:color w:val="231F20"/>
          <w:spacing w:val="3"/>
        </w:rPr>
        <w:t>的范围内，从而有利于机体炎症的控制。</w:t>
      </w:r>
    </w:p>
    <w:p>
      <w:pPr>
        <w:pStyle w:val="BodyText"/>
        <w:ind w:left="83"/>
        <w:spacing w:line="241" w:lineRule="auto"/>
        <w:outlineLvl w:val="1"/>
        <w:rPr>
          <w:rFonts w:ascii="SimHei" w:hAnsi="SimHei" w:eastAsia="SimHei" w:cs="SimHei"/>
        </w:rPr>
      </w:pPr>
      <w:r>
        <w:rPr>
          <w:b/>
          <w:bCs/>
          <w:color w:val="231F20"/>
          <w:spacing w:val="-1"/>
        </w:rPr>
        <w:t>3.2    </w:t>
      </w:r>
      <w:r>
        <w:rPr>
          <w:rFonts w:ascii="SimHei" w:hAnsi="SimHei" w:eastAsia="SimHei" w:cs="SimHei"/>
          <w:color w:val="231F20"/>
          <w:spacing w:val="-1"/>
        </w:rPr>
        <w:t>可降低患者感染风险</w:t>
      </w:r>
    </w:p>
    <w:p>
      <w:pPr>
        <w:pStyle w:val="BodyText"/>
        <w:ind w:left="83" w:firstLine="312"/>
        <w:spacing w:before="32" w:line="206" w:lineRule="auto"/>
        <w:jc w:val="both"/>
        <w:rPr>
          <w:rFonts w:ascii="Microsoft YaHei" w:hAnsi="Microsoft YaHei" w:eastAsia="Microsoft YaHei" w:cs="Microsoft YaHei"/>
        </w:rPr>
      </w:pPr>
      <w:r>
        <w:rPr>
          <w:rFonts w:ascii="Microsoft YaHei" w:hAnsi="Microsoft YaHei" w:eastAsia="Microsoft YaHei" w:cs="Microsoft YaHei"/>
          <w:color w:val="231F20"/>
          <w:spacing w:val="-3"/>
        </w:rPr>
        <w:t>本研究结果显示，观察组术后感染总发生率低于对照</w:t>
      </w:r>
      <w:r>
        <w:rPr>
          <w:rFonts w:ascii="Microsoft YaHei" w:hAnsi="Microsoft YaHei" w:eastAsia="Microsoft YaHei" w:cs="Microsoft YaHei"/>
          <w:color w:val="231F20"/>
          <w:spacing w:val="-4"/>
        </w:rPr>
        <w:t>组（</w:t>
      </w:r>
      <w:r>
        <w:rPr>
          <w:i/>
          <w:iCs/>
          <w:color w:val="231F20"/>
          <w:spacing w:val="-4"/>
        </w:rPr>
        <w:t>P&lt;</w:t>
      </w:r>
      <w:r>
        <w:rPr>
          <w:color w:val="231F20"/>
          <w:spacing w:val="-4"/>
        </w:rPr>
        <w:t>0.05</w:t>
      </w:r>
      <w:r>
        <w:rPr>
          <w:rFonts w:ascii="Microsoft YaHei" w:hAnsi="Microsoft YaHei" w:eastAsia="Microsoft YaHei" w:cs="Microsoft YaHei"/>
          <w:color w:val="231F20"/>
          <w:spacing w:val="-32"/>
          <w:w w:val="89"/>
        </w:rPr>
        <w:t>），</w:t>
      </w:r>
      <w:r>
        <w:rPr>
          <w:rFonts w:ascii="Microsoft YaHei" w:hAnsi="Microsoft YaHei" w:eastAsia="Microsoft YaHei" w:cs="Microsoft YaHei"/>
          <w:color w:val="231F20"/>
        </w:rPr>
        <w:t xml:space="preserve"> </w:t>
      </w:r>
      <w:r>
        <w:rPr>
          <w:rFonts w:ascii="Microsoft YaHei" w:hAnsi="Microsoft YaHei" w:eastAsia="Microsoft YaHei" w:cs="Microsoft YaHei"/>
          <w:color w:val="231F20"/>
          <w:spacing w:val="-3"/>
        </w:rPr>
        <w:t>表明采用根因分析法进行护理能够有效预防阑尾炎患者术后感染。分析</w:t>
      </w:r>
      <w:r>
        <w:rPr>
          <w:rFonts w:ascii="Microsoft YaHei" w:hAnsi="Microsoft YaHei" w:eastAsia="Microsoft YaHei" w:cs="Microsoft YaHei"/>
          <w:color w:val="231F20"/>
        </w:rPr>
        <w:t xml:space="preserve">  </w:t>
      </w:r>
      <w:r>
        <w:rPr>
          <w:rFonts w:ascii="Microsoft YaHei" w:hAnsi="Microsoft YaHei" w:eastAsia="Microsoft YaHei" w:cs="Microsoft YaHei"/>
          <w:color w:val="231F20"/>
          <w:spacing w:val="-4"/>
        </w:rPr>
        <w:t>其原因</w:t>
      </w:r>
      <w:r>
        <w:rPr>
          <w:rFonts w:ascii="Microsoft YaHei" w:hAnsi="Microsoft YaHei" w:eastAsia="Microsoft YaHei" w:cs="Microsoft YaHei"/>
          <w:color w:val="231F20"/>
          <w:spacing w:val="-12"/>
        </w:rPr>
        <w:t xml:space="preserve"> </w:t>
      </w:r>
      <w:r>
        <w:rPr>
          <w:rFonts w:ascii="Microsoft YaHei" w:hAnsi="Microsoft YaHei" w:eastAsia="Microsoft YaHei" w:cs="Microsoft YaHei"/>
          <w:color w:val="231F20"/>
          <w:spacing w:val="-4"/>
        </w:rPr>
        <w:t>：根因分析法的核心在于通过回溯性调查，广泛搜集各种主客观</w:t>
      </w:r>
      <w:r>
        <w:rPr>
          <w:rFonts w:ascii="Microsoft YaHei" w:hAnsi="Microsoft YaHei" w:eastAsia="Microsoft YaHei" w:cs="Microsoft YaHei"/>
          <w:color w:val="231F20"/>
        </w:rPr>
        <w:t xml:space="preserve">  </w:t>
      </w:r>
      <w:r>
        <w:rPr>
          <w:rFonts w:ascii="Microsoft YaHei" w:hAnsi="Microsoft YaHei" w:eastAsia="Microsoft YaHei" w:cs="Microsoft YaHei"/>
          <w:color w:val="231F20"/>
          <w:spacing w:val="-1"/>
        </w:rPr>
        <w:t>科学证据，区分近端与远端原因，以深入理解造成失误的过程和原因，</w:t>
      </w:r>
      <w:r>
        <w:rPr>
          <w:rFonts w:ascii="Microsoft YaHei" w:hAnsi="Microsoft YaHei" w:eastAsia="Microsoft YaHei" w:cs="Microsoft YaHei"/>
          <w:color w:val="231F20"/>
          <w:spacing w:val="1"/>
        </w:rPr>
        <w:t xml:space="preserve"> </w:t>
      </w:r>
      <w:r>
        <w:rPr>
          <w:rFonts w:ascii="Microsoft YaHei" w:hAnsi="Microsoft YaHei" w:eastAsia="Microsoft YaHei" w:cs="Microsoft YaHei"/>
          <w:color w:val="231F20"/>
          <w:spacing w:val="-3"/>
        </w:rPr>
        <w:t>并进行系统性检讨，提出改善策略以防止类似事件的再次发生 </w:t>
      </w:r>
      <w:r>
        <w:rPr>
          <w:sz w:val="8"/>
          <w:szCs w:val="8"/>
          <w:color w:val="231F20"/>
          <w:spacing w:val="-3"/>
          <w:position w:val="7"/>
        </w:rPr>
        <w:t>[8]</w:t>
      </w:r>
      <w:r>
        <w:rPr>
          <w:rFonts w:ascii="Microsoft YaHei" w:hAnsi="Microsoft YaHei" w:eastAsia="Microsoft YaHei" w:cs="Microsoft YaHei"/>
          <w:color w:val="231F20"/>
          <w:spacing w:val="-3"/>
        </w:rPr>
        <w:t>。在回</w:t>
      </w:r>
      <w:r>
        <w:rPr>
          <w:rFonts w:ascii="Microsoft YaHei" w:hAnsi="Microsoft YaHei" w:eastAsia="Microsoft YaHei" w:cs="Microsoft YaHei"/>
          <w:color w:val="231F20"/>
          <w:spacing w:val="3"/>
        </w:rPr>
        <w:t xml:space="preserve">   </w:t>
      </w:r>
      <w:r>
        <w:rPr>
          <w:rFonts w:ascii="Microsoft YaHei" w:hAnsi="Microsoft YaHei" w:eastAsia="Microsoft YaHei" w:cs="Microsoft YaHei"/>
          <w:color w:val="231F20"/>
          <w:spacing w:val="-3"/>
        </w:rPr>
        <w:t>溯原因的过程中，根因分析法能够识别术后护理中的不足</w:t>
      </w:r>
      <w:r>
        <w:rPr>
          <w:rFonts w:ascii="Microsoft YaHei" w:hAnsi="Microsoft YaHei" w:eastAsia="Microsoft YaHei" w:cs="Microsoft YaHei"/>
          <w:color w:val="231F20"/>
          <w:spacing w:val="-4"/>
        </w:rPr>
        <w:t>，并通过加强</w:t>
      </w:r>
      <w:r>
        <w:rPr>
          <w:rFonts w:ascii="Microsoft YaHei" w:hAnsi="Microsoft YaHei" w:eastAsia="Microsoft YaHei" w:cs="Microsoft YaHei"/>
          <w:color w:val="231F20"/>
        </w:rPr>
        <w:t xml:space="preserve">   </w:t>
      </w:r>
      <w:r>
        <w:rPr>
          <w:rFonts w:ascii="Microsoft YaHei" w:hAnsi="Microsoft YaHei" w:eastAsia="Microsoft YaHei" w:cs="Microsoft YaHei"/>
          <w:color w:val="231F20"/>
          <w:spacing w:val="-3"/>
        </w:rPr>
        <w:t>腹腔冲洗等措施，以减少腹腔内细菌的数量和毒力，降低术后患者出现</w:t>
      </w:r>
      <w:r>
        <w:rPr>
          <w:rFonts w:ascii="Microsoft YaHei" w:hAnsi="Microsoft YaHei" w:eastAsia="Microsoft YaHei" w:cs="Microsoft YaHei"/>
          <w:color w:val="231F20"/>
        </w:rPr>
        <w:t xml:space="preserve">  </w:t>
      </w:r>
      <w:r>
        <w:rPr>
          <w:rFonts w:ascii="Microsoft YaHei" w:hAnsi="Microsoft YaHei" w:eastAsia="Microsoft YaHei" w:cs="Microsoft YaHei"/>
          <w:color w:val="231F20"/>
          <w:spacing w:val="-1"/>
        </w:rPr>
        <w:t>腹腔感染的风险。此外，加强术后患者的呼吸管理、保持呼吸道通畅、</w:t>
      </w:r>
      <w:r>
        <w:rPr>
          <w:rFonts w:ascii="Microsoft YaHei" w:hAnsi="Microsoft YaHei" w:eastAsia="Microsoft YaHei" w:cs="Microsoft YaHei"/>
          <w:color w:val="231F20"/>
          <w:spacing w:val="1"/>
        </w:rPr>
        <w:t xml:space="preserve"> </w:t>
      </w:r>
      <w:r>
        <w:rPr>
          <w:rFonts w:ascii="Microsoft YaHei" w:hAnsi="Microsoft YaHei" w:eastAsia="Microsoft YaHei" w:cs="Microsoft YaHei"/>
          <w:color w:val="231F20"/>
          <w:spacing w:val="-3"/>
        </w:rPr>
        <w:t>减少误吸等措施，可以降低肺部感染的风险。同时，加强切口</w:t>
      </w:r>
      <w:r>
        <w:rPr>
          <w:rFonts w:ascii="Microsoft YaHei" w:hAnsi="Microsoft YaHei" w:eastAsia="Microsoft YaHei" w:cs="Microsoft YaHei"/>
          <w:color w:val="231F20"/>
          <w:spacing w:val="-4"/>
        </w:rPr>
        <w:t>清洁消毒</w:t>
      </w:r>
      <w:r>
        <w:rPr>
          <w:rFonts w:ascii="Microsoft YaHei" w:hAnsi="Microsoft YaHei" w:eastAsia="Microsoft YaHei" w:cs="Microsoft YaHei"/>
          <w:color w:val="231F20"/>
        </w:rPr>
        <w:t xml:space="preserve">  </w:t>
      </w:r>
      <w:r>
        <w:rPr>
          <w:rFonts w:ascii="Microsoft YaHei" w:hAnsi="Microsoft YaHei" w:eastAsia="Microsoft YaHei" w:cs="Microsoft YaHei"/>
          <w:color w:val="231F20"/>
          <w:spacing w:val="-6"/>
        </w:rPr>
        <w:t>等措施，可以降低切口感染的风险。此外，通过明确责任人和执行时间，</w:t>
      </w:r>
      <w:r>
        <w:rPr>
          <w:rFonts w:ascii="Microsoft YaHei" w:hAnsi="Microsoft YaHei" w:eastAsia="Microsoft YaHei" w:cs="Microsoft YaHei"/>
          <w:color w:val="231F20"/>
          <w:spacing w:val="12"/>
        </w:rPr>
        <w:t xml:space="preserve"> </w:t>
      </w:r>
      <w:r>
        <w:rPr>
          <w:rFonts w:ascii="Microsoft YaHei" w:hAnsi="Microsoft YaHei" w:eastAsia="Microsoft YaHei" w:cs="Microsoft YaHei"/>
          <w:color w:val="231F20"/>
          <w:spacing w:val="-3"/>
        </w:rPr>
        <w:t>护理人员的责任感和执行力得到提升，确保了各项护理措施的准确</w:t>
      </w:r>
      <w:r>
        <w:rPr>
          <w:rFonts w:ascii="Microsoft YaHei" w:hAnsi="Microsoft YaHei" w:eastAsia="Microsoft YaHei" w:cs="Microsoft YaHei"/>
          <w:color w:val="231F20"/>
          <w:spacing w:val="-4"/>
        </w:rPr>
        <w:t>及时</w:t>
      </w:r>
      <w:r>
        <w:rPr>
          <w:rFonts w:ascii="Microsoft YaHei" w:hAnsi="Microsoft YaHei" w:eastAsia="Microsoft YaHei" w:cs="Microsoft YaHei"/>
          <w:color w:val="231F20"/>
        </w:rPr>
        <w:t xml:space="preserve">  </w:t>
      </w:r>
      <w:r>
        <w:rPr>
          <w:rFonts w:ascii="Microsoft YaHei" w:hAnsi="Microsoft YaHei" w:eastAsia="Microsoft YaHei" w:cs="Microsoft YaHei"/>
          <w:color w:val="231F20"/>
          <w:spacing w:val="-3"/>
        </w:rPr>
        <w:t>执行。通过这些综合性的护理改进措施，观察组</w:t>
      </w:r>
      <w:r>
        <w:rPr>
          <w:rFonts w:ascii="Microsoft YaHei" w:hAnsi="Microsoft YaHei" w:eastAsia="Microsoft YaHei" w:cs="Microsoft YaHei"/>
          <w:color w:val="231F20"/>
          <w:spacing w:val="-4"/>
        </w:rPr>
        <w:t>患者在术后恢复过程中</w:t>
      </w:r>
      <w:r>
        <w:rPr>
          <w:rFonts w:ascii="Microsoft YaHei" w:hAnsi="Microsoft YaHei" w:eastAsia="Microsoft YaHei" w:cs="Microsoft YaHei"/>
          <w:color w:val="231F20"/>
        </w:rPr>
        <w:t xml:space="preserve">   </w:t>
      </w:r>
      <w:r>
        <w:rPr>
          <w:rFonts w:ascii="Microsoft YaHei" w:hAnsi="Microsoft YaHei" w:eastAsia="Microsoft YaHei" w:cs="Microsoft YaHei"/>
          <w:color w:val="231F20"/>
          <w:spacing w:val="-4"/>
        </w:rPr>
        <w:t>得到了更为细致和全面的照护，从而有效降低了感染的发生率。</w:t>
      </w:r>
    </w:p>
    <w:p>
      <w:pPr>
        <w:pStyle w:val="BodyText"/>
        <w:ind w:left="83"/>
        <w:spacing w:line="242" w:lineRule="auto"/>
        <w:outlineLvl w:val="1"/>
        <w:rPr>
          <w:rFonts w:ascii="SimHei" w:hAnsi="SimHei" w:eastAsia="SimHei" w:cs="SimHei"/>
        </w:rPr>
      </w:pPr>
      <w:r>
        <w:rPr>
          <w:b/>
          <w:bCs/>
          <w:color w:val="231F20"/>
          <w:spacing w:val="-2"/>
        </w:rPr>
        <w:t>3.3</w:t>
      </w:r>
      <w:r>
        <w:rPr>
          <w:b/>
          <w:bCs/>
          <w:color w:val="231F20"/>
          <w:spacing w:val="3"/>
        </w:rPr>
        <w:t xml:space="preserve">    </w:t>
      </w:r>
      <w:r>
        <w:rPr>
          <w:rFonts w:ascii="SimHei" w:hAnsi="SimHei" w:eastAsia="SimHei" w:cs="SimHei"/>
          <w:color w:val="231F20"/>
          <w:spacing w:val="-2"/>
        </w:rPr>
        <w:t>总结及不足</w:t>
      </w:r>
    </w:p>
    <w:p>
      <w:pPr>
        <w:ind w:left="83" w:right="3" w:firstLine="311"/>
        <w:spacing w:before="39" w:line="208" w:lineRule="auto"/>
        <w:jc w:val="both"/>
        <w:rPr>
          <w:rFonts w:ascii="Microsoft YaHei" w:hAnsi="Microsoft YaHei" w:eastAsia="Microsoft YaHei" w:cs="Microsoft YaHei"/>
          <w:sz w:val="15"/>
          <w:szCs w:val="15"/>
        </w:rPr>
      </w:pPr>
      <w:r>
        <w:rPr>
          <w:rFonts w:ascii="Microsoft YaHei" w:hAnsi="Microsoft YaHei" w:eastAsia="Microsoft YaHei" w:cs="Microsoft YaHei"/>
          <w:sz w:val="15"/>
          <w:szCs w:val="15"/>
          <w:color w:val="231F20"/>
          <w:spacing w:val="1"/>
        </w:rPr>
        <w:t>综上所述，在抗菌药物治疗期间，采用根因分析法的护理措施不</w:t>
      </w:r>
      <w:r>
        <w:rPr>
          <w:rFonts w:ascii="Microsoft YaHei" w:hAnsi="Microsoft YaHei" w:eastAsia="Microsoft YaHei" w:cs="Microsoft YaHei"/>
          <w:sz w:val="15"/>
          <w:szCs w:val="15"/>
          <w:color w:val="231F20"/>
          <w:spacing w:val="7"/>
        </w:rPr>
        <w:t xml:space="preserve">  </w:t>
      </w:r>
      <w:r>
        <w:rPr>
          <w:rFonts w:ascii="Microsoft YaHei" w:hAnsi="Microsoft YaHei" w:eastAsia="Microsoft YaHei" w:cs="Microsoft YaHei"/>
          <w:sz w:val="15"/>
          <w:szCs w:val="15"/>
          <w:color w:val="231F20"/>
          <w:spacing w:val="4"/>
        </w:rPr>
        <w:t>仅能够有效抑制阑尾炎患者炎症因子的表达，还能降低术后感</w:t>
      </w:r>
      <w:r>
        <w:rPr>
          <w:rFonts w:ascii="Microsoft YaHei" w:hAnsi="Microsoft YaHei" w:eastAsia="Microsoft YaHei" w:cs="Microsoft YaHei"/>
          <w:sz w:val="15"/>
          <w:szCs w:val="15"/>
          <w:color w:val="231F20"/>
          <w:spacing w:val="3"/>
        </w:rPr>
        <w:t>染率。</w:t>
      </w:r>
      <w:r>
        <w:rPr>
          <w:rFonts w:ascii="Microsoft YaHei" w:hAnsi="Microsoft YaHei" w:eastAsia="Microsoft YaHei" w:cs="Microsoft YaHei"/>
          <w:sz w:val="15"/>
          <w:szCs w:val="15"/>
          <w:color w:val="231F20"/>
        </w:rPr>
        <w:t xml:space="preserve"> </w:t>
      </w:r>
      <w:r>
        <w:rPr>
          <w:rFonts w:ascii="Microsoft YaHei" w:hAnsi="Microsoft YaHei" w:eastAsia="Microsoft YaHei" w:cs="Microsoft YaHei"/>
          <w:sz w:val="15"/>
          <w:szCs w:val="15"/>
          <w:color w:val="231F20"/>
          <w:spacing w:val="2"/>
        </w:rPr>
        <w:t>但是本研究仍有一定的局限性，首先，研究的样本</w:t>
      </w:r>
      <w:r>
        <w:rPr>
          <w:rFonts w:ascii="Microsoft YaHei" w:hAnsi="Microsoft YaHei" w:eastAsia="Microsoft YaHei" w:cs="Microsoft YaHei"/>
          <w:sz w:val="15"/>
          <w:szCs w:val="15"/>
          <w:color w:val="231F20"/>
          <w:spacing w:val="1"/>
        </w:rPr>
        <w:t>规模较小，这可能</w:t>
      </w:r>
      <w:r>
        <w:rPr>
          <w:rFonts w:ascii="Microsoft YaHei" w:hAnsi="Microsoft YaHei" w:eastAsia="Microsoft YaHei" w:cs="Microsoft YaHei"/>
          <w:sz w:val="15"/>
          <w:szCs w:val="15"/>
          <w:color w:val="231F20"/>
        </w:rPr>
        <w:t xml:space="preserve">  </w:t>
      </w:r>
      <w:r>
        <w:rPr>
          <w:rFonts w:ascii="Microsoft YaHei" w:hAnsi="Microsoft YaHei" w:eastAsia="Microsoft YaHei" w:cs="Microsoft YaHei"/>
          <w:sz w:val="15"/>
          <w:szCs w:val="15"/>
          <w:color w:val="231F20"/>
        </w:rPr>
        <w:t>限制了其代表性，影响其外部有效性 ；其次，样本来源仅限于一个医</w:t>
      </w:r>
      <w:r>
        <w:rPr>
          <w:rFonts w:ascii="Microsoft YaHei" w:hAnsi="Microsoft YaHei" w:eastAsia="Microsoft YaHei" w:cs="Microsoft YaHei"/>
          <w:sz w:val="15"/>
          <w:szCs w:val="15"/>
          <w:color w:val="231F20"/>
          <w:spacing w:val="7"/>
        </w:rPr>
        <w:t xml:space="preserve">  </w:t>
      </w:r>
      <w:r>
        <w:rPr>
          <w:rFonts w:ascii="Microsoft YaHei" w:hAnsi="Microsoft YaHei" w:eastAsia="Microsoft YaHei" w:cs="Microsoft YaHei"/>
          <w:sz w:val="15"/>
          <w:szCs w:val="15"/>
          <w:color w:val="231F20"/>
          <w:spacing w:val="2"/>
        </w:rPr>
        <w:t>疗机构，属于单中心研究，可能意味着不同医院的医疗环</w:t>
      </w:r>
      <w:r>
        <w:rPr>
          <w:rFonts w:ascii="Microsoft YaHei" w:hAnsi="Microsoft YaHei" w:eastAsia="Microsoft YaHei" w:cs="Microsoft YaHei"/>
          <w:sz w:val="15"/>
          <w:szCs w:val="15"/>
          <w:color w:val="231F20"/>
          <w:spacing w:val="1"/>
        </w:rPr>
        <w:t>境和护理水</w:t>
      </w:r>
      <w:r>
        <w:rPr>
          <w:rFonts w:ascii="Microsoft YaHei" w:hAnsi="Microsoft YaHei" w:eastAsia="Microsoft YaHei" w:cs="Microsoft YaHei"/>
          <w:sz w:val="15"/>
          <w:szCs w:val="15"/>
          <w:color w:val="231F20"/>
        </w:rPr>
        <w:t xml:space="preserve">  </w:t>
      </w:r>
      <w:r>
        <w:rPr>
          <w:rFonts w:ascii="Microsoft YaHei" w:hAnsi="Microsoft YaHei" w:eastAsia="Microsoft YaHei" w:cs="Microsoft YaHei"/>
          <w:sz w:val="15"/>
          <w:szCs w:val="15"/>
          <w:color w:val="231F20"/>
          <w:spacing w:val="2"/>
        </w:rPr>
        <w:t>平对研究结果有所影响。此外，研究过程中未能控制</w:t>
      </w:r>
      <w:r>
        <w:rPr>
          <w:rFonts w:ascii="Microsoft YaHei" w:hAnsi="Microsoft YaHei" w:eastAsia="Microsoft YaHei" w:cs="Microsoft YaHei"/>
          <w:sz w:val="15"/>
          <w:szCs w:val="15"/>
          <w:color w:val="231F20"/>
          <w:spacing w:val="1"/>
        </w:rPr>
        <w:t>所有可能影响炎</w:t>
      </w:r>
      <w:r>
        <w:rPr>
          <w:rFonts w:ascii="Microsoft YaHei" w:hAnsi="Microsoft YaHei" w:eastAsia="Microsoft YaHei" w:cs="Microsoft YaHei"/>
          <w:sz w:val="15"/>
          <w:szCs w:val="15"/>
          <w:color w:val="231F20"/>
        </w:rPr>
        <w:t xml:space="preserve">  </w:t>
      </w:r>
      <w:r>
        <w:rPr>
          <w:rFonts w:ascii="Microsoft YaHei" w:hAnsi="Microsoft YaHei" w:eastAsia="Microsoft YaHei" w:cs="Microsoft YaHei"/>
          <w:sz w:val="15"/>
          <w:szCs w:val="15"/>
          <w:color w:val="231F20"/>
          <w:spacing w:val="2"/>
        </w:rPr>
        <w:t>症因子水平和感染率的变量，例如患者年龄、性</w:t>
      </w:r>
      <w:r>
        <w:rPr>
          <w:rFonts w:ascii="Microsoft YaHei" w:hAnsi="Microsoft YaHei" w:eastAsia="Microsoft YaHei" w:cs="Microsoft YaHei"/>
          <w:sz w:val="15"/>
          <w:szCs w:val="15"/>
          <w:color w:val="231F20"/>
          <w:spacing w:val="1"/>
        </w:rPr>
        <w:t>别、基础疾病等。为</w:t>
      </w:r>
      <w:r>
        <w:rPr>
          <w:rFonts w:ascii="Microsoft YaHei" w:hAnsi="Microsoft YaHei" w:eastAsia="Microsoft YaHei" w:cs="Microsoft YaHei"/>
          <w:sz w:val="15"/>
          <w:szCs w:val="15"/>
          <w:color w:val="231F20"/>
        </w:rPr>
        <w:t xml:space="preserve">  </w:t>
      </w:r>
      <w:r>
        <w:rPr>
          <w:rFonts w:ascii="Microsoft YaHei" w:hAnsi="Microsoft YaHei" w:eastAsia="Microsoft YaHei" w:cs="Microsoft YaHei"/>
          <w:sz w:val="15"/>
          <w:szCs w:val="15"/>
          <w:color w:val="231F20"/>
          <w:spacing w:val="3"/>
        </w:rPr>
        <w:t>了增强研究结果的普遍性和可靠性，未来研究中应考虑扩大样本量，</w:t>
      </w:r>
      <w:r>
        <w:rPr>
          <w:rFonts w:ascii="Microsoft YaHei" w:hAnsi="Microsoft YaHei" w:eastAsia="Microsoft YaHei" w:cs="Microsoft YaHei"/>
          <w:sz w:val="15"/>
          <w:szCs w:val="15"/>
          <w:color w:val="231F20"/>
          <w:spacing w:val="18"/>
          <w:w w:val="101"/>
        </w:rPr>
        <w:t xml:space="preserve"> </w:t>
      </w:r>
      <w:r>
        <w:rPr>
          <w:rFonts w:ascii="Microsoft YaHei" w:hAnsi="Microsoft YaHei" w:eastAsia="Microsoft YaHei" w:cs="Microsoft YaHei"/>
          <w:sz w:val="15"/>
          <w:szCs w:val="15"/>
          <w:color w:val="231F20"/>
          <w:spacing w:val="2"/>
        </w:rPr>
        <w:t>并开展多中心合作。同时，建议进一步研究根因分析法在其他类型手</w:t>
      </w:r>
      <w:r>
        <w:rPr>
          <w:rFonts w:ascii="Microsoft YaHei" w:hAnsi="Microsoft YaHei" w:eastAsia="Microsoft YaHei" w:cs="Microsoft YaHei"/>
          <w:sz w:val="15"/>
          <w:szCs w:val="15"/>
          <w:color w:val="231F20"/>
          <w:spacing w:val="1"/>
        </w:rPr>
        <w:t xml:space="preserve">  </w:t>
      </w:r>
      <w:r>
        <w:rPr>
          <w:rFonts w:ascii="Microsoft YaHei" w:hAnsi="Microsoft YaHei" w:eastAsia="Microsoft YaHei" w:cs="Microsoft YaHei"/>
          <w:sz w:val="15"/>
          <w:szCs w:val="15"/>
          <w:color w:val="231F20"/>
          <w:spacing w:val="-1"/>
        </w:rPr>
        <w:t>术或疾病中的应用效果，以验证其广泛适用性。</w:t>
      </w:r>
    </w:p>
    <w:p>
      <w:pPr>
        <w:ind w:left="2088"/>
        <w:spacing w:before="189" w:line="242" w:lineRule="auto"/>
        <w:outlineLvl w:val="2"/>
        <w:rPr>
          <w:rFonts w:ascii="SimHei" w:hAnsi="SimHei" w:eastAsia="SimHei" w:cs="SimHei"/>
          <w:sz w:val="14"/>
          <w:szCs w:val="14"/>
        </w:rPr>
      </w:pPr>
      <w:r>
        <w:rPr>
          <w:rFonts w:ascii="SimHei" w:hAnsi="SimHei" w:eastAsia="SimHei" w:cs="SimHei"/>
          <w:sz w:val="14"/>
          <w:szCs w:val="14"/>
          <w:color w:val="231F20"/>
          <w:spacing w:val="-2"/>
        </w:rPr>
        <w:t>参考文献</w:t>
      </w:r>
    </w:p>
    <w:p>
      <w:pPr>
        <w:pStyle w:val="BodyText"/>
        <w:ind w:left="366" w:right="59" w:hanging="275"/>
        <w:spacing w:before="245" w:line="186" w:lineRule="auto"/>
        <w:rPr>
          <w:sz w:val="12"/>
          <w:szCs w:val="12"/>
        </w:rPr>
      </w:pPr>
      <w:r>
        <w:rPr>
          <w:sz w:val="12"/>
          <w:szCs w:val="12"/>
          <w:color w:val="231F20"/>
          <w:spacing w:val="3"/>
        </w:rPr>
        <w:t>[1]    </w:t>
      </w:r>
      <w:r>
        <w:rPr>
          <w:rFonts w:ascii="Microsoft YaHei" w:hAnsi="Microsoft YaHei" w:eastAsia="Microsoft YaHei" w:cs="Microsoft YaHei"/>
          <w:sz w:val="12"/>
          <w:szCs w:val="12"/>
          <w:color w:val="231F20"/>
          <w:spacing w:val="3"/>
        </w:rPr>
        <w:t>刘园园，努尔买买提，王亚勇，等 </w:t>
      </w:r>
      <w:r>
        <w:rPr>
          <w:sz w:val="12"/>
          <w:szCs w:val="12"/>
          <w:color w:val="231F20"/>
          <w:spacing w:val="3"/>
        </w:rPr>
        <w:t>.</w:t>
      </w:r>
      <w:r>
        <w:rPr>
          <w:sz w:val="12"/>
          <w:szCs w:val="12"/>
          <w:color w:val="231F20"/>
          <w:spacing w:val="4"/>
        </w:rPr>
        <w:t xml:space="preserve"> </w:t>
      </w:r>
      <w:r>
        <w:rPr>
          <w:rFonts w:ascii="Microsoft YaHei" w:hAnsi="Microsoft YaHei" w:eastAsia="Microsoft YaHei" w:cs="Microsoft YaHei"/>
          <w:sz w:val="12"/>
          <w:szCs w:val="12"/>
          <w:color w:val="231F20"/>
          <w:spacing w:val="3"/>
        </w:rPr>
        <w:t>不同病</w:t>
      </w:r>
      <w:r>
        <w:rPr>
          <w:rFonts w:ascii="Microsoft YaHei" w:hAnsi="Microsoft YaHei" w:eastAsia="Microsoft YaHei" w:cs="Microsoft YaHei"/>
          <w:sz w:val="12"/>
          <w:szCs w:val="12"/>
          <w:color w:val="231F20"/>
          <w:spacing w:val="2"/>
        </w:rPr>
        <w:t>理类型阑尾炎儿童患者的肠道菌群多</w:t>
      </w:r>
      <w:r>
        <w:rPr>
          <w:rFonts w:ascii="Microsoft YaHei" w:hAnsi="Microsoft YaHei" w:eastAsia="Microsoft YaHei" w:cs="Microsoft YaHei"/>
          <w:sz w:val="12"/>
          <w:szCs w:val="12"/>
          <w:color w:val="231F20"/>
        </w:rPr>
        <w:t xml:space="preserve"> </w:t>
      </w:r>
      <w:r>
        <w:rPr>
          <w:rFonts w:ascii="Microsoft YaHei" w:hAnsi="Microsoft YaHei" w:eastAsia="Microsoft YaHei" w:cs="Microsoft YaHei"/>
          <w:sz w:val="12"/>
          <w:szCs w:val="12"/>
          <w:color w:val="231F20"/>
          <w:spacing w:val="-2"/>
        </w:rPr>
        <w:t>样性分析 </w:t>
      </w:r>
      <w:r>
        <w:rPr>
          <w:sz w:val="12"/>
          <w:szCs w:val="12"/>
          <w:color w:val="231F20"/>
          <w:spacing w:val="-2"/>
        </w:rPr>
        <w:t>[J]. </w:t>
      </w:r>
      <w:r>
        <w:rPr>
          <w:rFonts w:ascii="Microsoft YaHei" w:hAnsi="Microsoft YaHei" w:eastAsia="Microsoft YaHei" w:cs="Microsoft YaHei"/>
          <w:sz w:val="12"/>
          <w:szCs w:val="12"/>
          <w:color w:val="231F20"/>
          <w:spacing w:val="-2"/>
        </w:rPr>
        <w:t>实用医学杂志，</w:t>
      </w:r>
      <w:r>
        <w:rPr>
          <w:sz w:val="12"/>
          <w:szCs w:val="12"/>
          <w:color w:val="231F20"/>
          <w:spacing w:val="-2"/>
        </w:rPr>
        <w:t>2023</w:t>
      </w:r>
      <w:r>
        <w:rPr>
          <w:sz w:val="12"/>
          <w:szCs w:val="12"/>
          <w:color w:val="231F20"/>
          <w:spacing w:val="-8"/>
        </w:rPr>
        <w:t xml:space="preserve"> </w:t>
      </w:r>
      <w:r>
        <w:rPr>
          <w:rFonts w:ascii="Microsoft YaHei" w:hAnsi="Microsoft YaHei" w:eastAsia="Microsoft YaHei" w:cs="Microsoft YaHei"/>
          <w:sz w:val="12"/>
          <w:szCs w:val="12"/>
          <w:color w:val="231F20"/>
          <w:spacing w:val="-2"/>
        </w:rPr>
        <w:t>，</w:t>
      </w:r>
      <w:r>
        <w:rPr>
          <w:sz w:val="12"/>
          <w:szCs w:val="12"/>
          <w:color w:val="231F20"/>
          <w:spacing w:val="-2"/>
        </w:rPr>
        <w:t>39</w:t>
      </w:r>
      <w:r>
        <w:rPr>
          <w:rFonts w:ascii="Microsoft YaHei" w:hAnsi="Microsoft YaHei" w:eastAsia="Microsoft YaHei" w:cs="Microsoft YaHei"/>
          <w:sz w:val="12"/>
          <w:szCs w:val="12"/>
          <w:color w:val="231F20"/>
          <w:spacing w:val="-2"/>
        </w:rPr>
        <w:t>（ </w:t>
      </w:r>
      <w:r>
        <w:rPr>
          <w:sz w:val="12"/>
          <w:szCs w:val="12"/>
          <w:color w:val="231F20"/>
          <w:spacing w:val="-2"/>
        </w:rPr>
        <w:t>1</w:t>
      </w:r>
      <w:r>
        <w:rPr>
          <w:sz w:val="12"/>
          <w:szCs w:val="12"/>
          <w:color w:val="231F20"/>
          <w:spacing w:val="-8"/>
        </w:rPr>
        <w:t xml:space="preserve"> </w:t>
      </w:r>
      <w:r>
        <w:rPr>
          <w:rFonts w:ascii="Microsoft YaHei" w:hAnsi="Microsoft YaHei" w:eastAsia="Microsoft YaHei" w:cs="Microsoft YaHei"/>
          <w:sz w:val="12"/>
          <w:szCs w:val="12"/>
          <w:color w:val="231F20"/>
          <w:spacing w:val="-31"/>
          <w:w w:val="93"/>
        </w:rPr>
        <w:t>）：</w:t>
      </w:r>
      <w:r>
        <w:rPr>
          <w:sz w:val="12"/>
          <w:szCs w:val="12"/>
          <w:color w:val="231F20"/>
          <w:spacing w:val="-2"/>
        </w:rPr>
        <w:t>97-10</w:t>
      </w:r>
      <w:r>
        <w:rPr>
          <w:sz w:val="12"/>
          <w:szCs w:val="12"/>
          <w:color w:val="231F20"/>
          <w:spacing w:val="-3"/>
        </w:rPr>
        <w:t>2.</w:t>
      </w:r>
    </w:p>
    <w:p>
      <w:pPr>
        <w:pStyle w:val="BodyText"/>
        <w:ind w:left="379" w:right="59" w:hanging="288"/>
        <w:spacing w:before="1" w:line="186" w:lineRule="auto"/>
        <w:rPr>
          <w:sz w:val="12"/>
          <w:szCs w:val="12"/>
        </w:rPr>
      </w:pPr>
      <w:r>
        <w:rPr>
          <w:sz w:val="12"/>
          <w:szCs w:val="12"/>
          <w:color w:val="231F20"/>
          <w:spacing w:val="-4"/>
        </w:rPr>
        <w:t>[2]     </w:t>
      </w:r>
      <w:r>
        <w:rPr>
          <w:rFonts w:ascii="Microsoft YaHei" w:hAnsi="Microsoft YaHei" w:eastAsia="Microsoft YaHei" w:cs="Microsoft YaHei"/>
          <w:sz w:val="12"/>
          <w:szCs w:val="12"/>
          <w:color w:val="231F20"/>
          <w:spacing w:val="-4"/>
        </w:rPr>
        <w:t>张爱华，王璇，陈海兰，等 </w:t>
      </w:r>
      <w:r>
        <w:rPr>
          <w:sz w:val="12"/>
          <w:szCs w:val="12"/>
          <w:color w:val="231F20"/>
          <w:spacing w:val="-4"/>
        </w:rPr>
        <w:t>. </w:t>
      </w:r>
      <w:r>
        <w:rPr>
          <w:rFonts w:ascii="Microsoft YaHei" w:hAnsi="Microsoft YaHei" w:eastAsia="Microsoft YaHei" w:cs="Microsoft YaHei"/>
          <w:sz w:val="12"/>
          <w:szCs w:val="12"/>
          <w:color w:val="231F20"/>
          <w:spacing w:val="-4"/>
        </w:rPr>
        <w:t>超声对克罗恩病</w:t>
      </w:r>
      <w:r>
        <w:rPr>
          <w:rFonts w:ascii="Microsoft YaHei" w:hAnsi="Microsoft YaHei" w:eastAsia="Microsoft YaHei" w:cs="Microsoft YaHei"/>
          <w:sz w:val="12"/>
          <w:szCs w:val="12"/>
          <w:color w:val="231F20"/>
          <w:spacing w:val="-5"/>
        </w:rPr>
        <w:t>累及阑尾与化脓性阑尾炎的鉴别诊断 </w:t>
      </w:r>
      <w:r>
        <w:rPr>
          <w:sz w:val="12"/>
          <w:szCs w:val="12"/>
          <w:color w:val="231F20"/>
          <w:spacing w:val="-5"/>
        </w:rPr>
        <w:t>[J].</w:t>
      </w:r>
      <w:r>
        <w:rPr>
          <w:sz w:val="12"/>
          <w:szCs w:val="12"/>
          <w:color w:val="231F20"/>
        </w:rPr>
        <w:t xml:space="preserve"> </w:t>
      </w:r>
      <w:r>
        <w:rPr>
          <w:rFonts w:ascii="Microsoft YaHei" w:hAnsi="Microsoft YaHei" w:eastAsia="Microsoft YaHei" w:cs="Microsoft YaHei"/>
          <w:sz w:val="12"/>
          <w:szCs w:val="12"/>
          <w:color w:val="231F20"/>
          <w:spacing w:val="-3"/>
        </w:rPr>
        <w:t>中国医学影像学杂志，</w:t>
      </w:r>
      <w:r>
        <w:rPr>
          <w:sz w:val="12"/>
          <w:szCs w:val="12"/>
          <w:color w:val="231F20"/>
          <w:spacing w:val="-3"/>
        </w:rPr>
        <w:t>2023</w:t>
      </w:r>
      <w:r>
        <w:rPr>
          <w:sz w:val="12"/>
          <w:szCs w:val="12"/>
          <w:color w:val="231F20"/>
          <w:spacing w:val="-10"/>
        </w:rPr>
        <w:t xml:space="preserve"> </w:t>
      </w:r>
      <w:r>
        <w:rPr>
          <w:rFonts w:ascii="Microsoft YaHei" w:hAnsi="Microsoft YaHei" w:eastAsia="Microsoft YaHei" w:cs="Microsoft YaHei"/>
          <w:sz w:val="12"/>
          <w:szCs w:val="12"/>
          <w:color w:val="231F20"/>
          <w:spacing w:val="-3"/>
        </w:rPr>
        <w:t>，</w:t>
      </w:r>
      <w:r>
        <w:rPr>
          <w:sz w:val="12"/>
          <w:szCs w:val="12"/>
          <w:color w:val="231F20"/>
          <w:spacing w:val="-3"/>
        </w:rPr>
        <w:t>31</w:t>
      </w:r>
      <w:r>
        <w:rPr>
          <w:rFonts w:ascii="Microsoft YaHei" w:hAnsi="Microsoft YaHei" w:eastAsia="Microsoft YaHei" w:cs="Microsoft YaHei"/>
          <w:sz w:val="12"/>
          <w:szCs w:val="12"/>
          <w:color w:val="231F20"/>
          <w:spacing w:val="-3"/>
        </w:rPr>
        <w:t>（</w:t>
      </w:r>
      <w:r>
        <w:rPr>
          <w:rFonts w:ascii="Microsoft YaHei" w:hAnsi="Microsoft YaHei" w:eastAsia="Microsoft YaHei" w:cs="Microsoft YaHei"/>
          <w:sz w:val="12"/>
          <w:szCs w:val="12"/>
          <w:color w:val="231F20"/>
          <w:spacing w:val="-9"/>
        </w:rPr>
        <w:t xml:space="preserve"> </w:t>
      </w:r>
      <w:r>
        <w:rPr>
          <w:sz w:val="12"/>
          <w:szCs w:val="12"/>
          <w:color w:val="231F20"/>
          <w:spacing w:val="-3"/>
        </w:rPr>
        <w:t>9</w:t>
      </w:r>
      <w:r>
        <w:rPr>
          <w:sz w:val="12"/>
          <w:szCs w:val="12"/>
          <w:color w:val="231F20"/>
          <w:spacing w:val="-8"/>
        </w:rPr>
        <w:t xml:space="preserve"> </w:t>
      </w:r>
      <w:r>
        <w:rPr>
          <w:rFonts w:ascii="Microsoft YaHei" w:hAnsi="Microsoft YaHei" w:eastAsia="Microsoft YaHei" w:cs="Microsoft YaHei"/>
          <w:sz w:val="12"/>
          <w:szCs w:val="12"/>
          <w:color w:val="231F20"/>
          <w:spacing w:val="-32"/>
        </w:rPr>
        <w:t>）：</w:t>
      </w:r>
      <w:r>
        <w:rPr>
          <w:sz w:val="12"/>
          <w:szCs w:val="12"/>
          <w:color w:val="231F20"/>
          <w:spacing w:val="-3"/>
        </w:rPr>
        <w:t>950-955.</w:t>
      </w:r>
    </w:p>
    <w:p>
      <w:pPr>
        <w:pStyle w:val="BodyText"/>
        <w:ind w:left="366" w:right="59" w:hanging="275"/>
        <w:spacing w:line="186" w:lineRule="auto"/>
        <w:rPr>
          <w:sz w:val="12"/>
          <w:szCs w:val="12"/>
        </w:rPr>
      </w:pPr>
      <w:r>
        <w:rPr>
          <w:sz w:val="12"/>
          <w:szCs w:val="12"/>
          <w:color w:val="231F20"/>
          <w:spacing w:val="2"/>
        </w:rPr>
        <w:t>[3]     </w:t>
      </w:r>
      <w:r>
        <w:rPr>
          <w:rFonts w:ascii="Microsoft YaHei" w:hAnsi="Microsoft YaHei" w:eastAsia="Microsoft YaHei" w:cs="Microsoft YaHei"/>
          <w:sz w:val="12"/>
          <w:szCs w:val="12"/>
          <w:color w:val="231F20"/>
          <w:spacing w:val="2"/>
        </w:rPr>
        <w:t>山院飞，王翀，王伟强，等 </w:t>
      </w:r>
      <w:r>
        <w:rPr>
          <w:sz w:val="12"/>
          <w:szCs w:val="12"/>
          <w:color w:val="231F20"/>
          <w:spacing w:val="2"/>
        </w:rPr>
        <w:t>. </w:t>
      </w:r>
      <w:r>
        <w:rPr>
          <w:rFonts w:ascii="Microsoft YaHei" w:hAnsi="Microsoft YaHei" w:eastAsia="Microsoft YaHei" w:cs="Microsoft YaHei"/>
          <w:sz w:val="12"/>
          <w:szCs w:val="12"/>
          <w:color w:val="231F20"/>
          <w:spacing w:val="2"/>
        </w:rPr>
        <w:t>腹腔镜手术治疗肾移植受者术后急性阑尾炎</w:t>
      </w:r>
      <w:r>
        <w:rPr>
          <w:rFonts w:ascii="Microsoft YaHei" w:hAnsi="Microsoft YaHei" w:eastAsia="Microsoft YaHei" w:cs="Microsoft YaHei"/>
          <w:sz w:val="12"/>
          <w:szCs w:val="12"/>
          <w:color w:val="231F20"/>
          <w:spacing w:val="1"/>
        </w:rPr>
        <w:t>有效性</w:t>
      </w:r>
      <w:r>
        <w:rPr>
          <w:rFonts w:ascii="Microsoft YaHei" w:hAnsi="Microsoft YaHei" w:eastAsia="Microsoft YaHei" w:cs="Microsoft YaHei"/>
          <w:sz w:val="12"/>
          <w:szCs w:val="12"/>
          <w:color w:val="231F20"/>
        </w:rPr>
        <w:t xml:space="preserve"> </w:t>
      </w:r>
      <w:r>
        <w:rPr>
          <w:rFonts w:ascii="Microsoft YaHei" w:hAnsi="Microsoft YaHei" w:eastAsia="Microsoft YaHei" w:cs="Microsoft YaHei"/>
          <w:sz w:val="12"/>
          <w:szCs w:val="12"/>
          <w:color w:val="231F20"/>
          <w:spacing w:val="-2"/>
        </w:rPr>
        <w:t>及安全性分析 </w:t>
      </w:r>
      <w:r>
        <w:rPr>
          <w:sz w:val="12"/>
          <w:szCs w:val="12"/>
          <w:color w:val="231F20"/>
          <w:spacing w:val="-2"/>
        </w:rPr>
        <w:t>[J].</w:t>
      </w:r>
      <w:r>
        <w:rPr>
          <w:sz w:val="12"/>
          <w:szCs w:val="12"/>
          <w:color w:val="231F20"/>
          <w:spacing w:val="14"/>
          <w:w w:val="101"/>
        </w:rPr>
        <w:t xml:space="preserve"> </w:t>
      </w:r>
      <w:r>
        <w:rPr>
          <w:rFonts w:ascii="Microsoft YaHei" w:hAnsi="Microsoft YaHei" w:eastAsia="Microsoft YaHei" w:cs="Microsoft YaHei"/>
          <w:sz w:val="12"/>
          <w:szCs w:val="12"/>
          <w:color w:val="231F20"/>
          <w:spacing w:val="-2"/>
        </w:rPr>
        <w:t>中华器官移植杂志，</w:t>
      </w:r>
      <w:r>
        <w:rPr>
          <w:sz w:val="12"/>
          <w:szCs w:val="12"/>
          <w:color w:val="231F20"/>
          <w:spacing w:val="-2"/>
        </w:rPr>
        <w:t>2023</w:t>
      </w:r>
      <w:r>
        <w:rPr>
          <w:rFonts w:ascii="Microsoft YaHei" w:hAnsi="Microsoft YaHei" w:eastAsia="Microsoft YaHei" w:cs="Microsoft YaHei"/>
          <w:sz w:val="12"/>
          <w:szCs w:val="12"/>
          <w:color w:val="231F20"/>
          <w:spacing w:val="-2"/>
        </w:rPr>
        <w:t>，</w:t>
      </w:r>
      <w:r>
        <w:rPr>
          <w:sz w:val="12"/>
          <w:szCs w:val="12"/>
          <w:color w:val="231F20"/>
          <w:spacing w:val="-2"/>
        </w:rPr>
        <w:t>44</w:t>
      </w:r>
      <w:r>
        <w:rPr>
          <w:rFonts w:ascii="Microsoft YaHei" w:hAnsi="Microsoft YaHei" w:eastAsia="Microsoft YaHei" w:cs="Microsoft YaHei"/>
          <w:sz w:val="12"/>
          <w:szCs w:val="12"/>
          <w:color w:val="231F20"/>
          <w:spacing w:val="-2"/>
        </w:rPr>
        <w:t>（ </w:t>
      </w:r>
      <w:r>
        <w:rPr>
          <w:sz w:val="12"/>
          <w:szCs w:val="12"/>
          <w:color w:val="231F20"/>
          <w:spacing w:val="-2"/>
        </w:rPr>
        <w:t>8</w:t>
      </w:r>
      <w:r>
        <w:rPr>
          <w:sz w:val="12"/>
          <w:szCs w:val="12"/>
          <w:color w:val="231F20"/>
          <w:spacing w:val="-8"/>
        </w:rPr>
        <w:t xml:space="preserve"> </w:t>
      </w:r>
      <w:r>
        <w:rPr>
          <w:rFonts w:ascii="Microsoft YaHei" w:hAnsi="Microsoft YaHei" w:eastAsia="Microsoft YaHei" w:cs="Microsoft YaHei"/>
          <w:sz w:val="12"/>
          <w:szCs w:val="12"/>
          <w:color w:val="231F20"/>
          <w:spacing w:val="-32"/>
        </w:rPr>
        <w:t>）：</w:t>
      </w:r>
      <w:r>
        <w:rPr>
          <w:sz w:val="12"/>
          <w:szCs w:val="12"/>
          <w:color w:val="231F20"/>
          <w:spacing w:val="-2"/>
        </w:rPr>
        <w:t>468-472.</w:t>
      </w:r>
    </w:p>
    <w:p>
      <w:pPr>
        <w:pStyle w:val="BodyText"/>
        <w:ind w:left="372" w:right="59" w:hanging="281"/>
        <w:spacing w:before="1" w:line="186" w:lineRule="auto"/>
        <w:rPr>
          <w:sz w:val="12"/>
          <w:szCs w:val="12"/>
        </w:rPr>
      </w:pPr>
      <w:r>
        <w:rPr>
          <w:sz w:val="12"/>
          <w:szCs w:val="12"/>
          <w:color w:val="231F20"/>
          <w:spacing w:val="-2"/>
        </w:rPr>
        <w:t>[4]     </w:t>
      </w:r>
      <w:r>
        <w:rPr>
          <w:rFonts w:ascii="Microsoft YaHei" w:hAnsi="Microsoft YaHei" w:eastAsia="Microsoft YaHei" w:cs="Microsoft YaHei"/>
          <w:sz w:val="12"/>
          <w:szCs w:val="12"/>
          <w:color w:val="231F20"/>
          <w:spacing w:val="-2"/>
        </w:rPr>
        <w:t>杜嘉原，汪富涛 </w:t>
      </w:r>
      <w:r>
        <w:rPr>
          <w:sz w:val="12"/>
          <w:szCs w:val="12"/>
          <w:color w:val="231F20"/>
          <w:spacing w:val="-2"/>
        </w:rPr>
        <w:t>. </w:t>
      </w:r>
      <w:r>
        <w:rPr>
          <w:rFonts w:ascii="Microsoft YaHei" w:hAnsi="Microsoft YaHei" w:eastAsia="Microsoft YaHei" w:cs="Microsoft YaHei"/>
          <w:sz w:val="12"/>
          <w:szCs w:val="12"/>
          <w:color w:val="231F20"/>
          <w:spacing w:val="-2"/>
        </w:rPr>
        <w:t>腹腔镜阑尾切除术治疗急性阑尾炎临床疗效及术后并发症研究</w:t>
      </w:r>
      <w:r>
        <w:rPr>
          <w:rFonts w:ascii="Microsoft YaHei" w:hAnsi="Microsoft YaHei" w:eastAsia="Microsoft YaHei" w:cs="Microsoft YaHei"/>
          <w:sz w:val="12"/>
          <w:szCs w:val="12"/>
          <w:color w:val="231F20"/>
          <w:spacing w:val="-3"/>
        </w:rPr>
        <w:t xml:space="preserve"> </w:t>
      </w:r>
      <w:r>
        <w:rPr>
          <w:sz w:val="12"/>
          <w:szCs w:val="12"/>
          <w:color w:val="231F20"/>
          <w:spacing w:val="-3"/>
        </w:rPr>
        <w:t>[J].</w:t>
      </w:r>
      <w:r>
        <w:rPr>
          <w:sz w:val="12"/>
          <w:szCs w:val="12"/>
          <w:color w:val="231F20"/>
        </w:rPr>
        <w:t xml:space="preserve"> </w:t>
      </w:r>
      <w:r>
        <w:rPr>
          <w:rFonts w:ascii="Microsoft YaHei" w:hAnsi="Microsoft YaHei" w:eastAsia="Microsoft YaHei" w:cs="Microsoft YaHei"/>
          <w:sz w:val="12"/>
          <w:szCs w:val="12"/>
          <w:color w:val="231F20"/>
          <w:spacing w:val="-2"/>
        </w:rPr>
        <w:t>陕西医学杂志，</w:t>
      </w:r>
      <w:r>
        <w:rPr>
          <w:sz w:val="12"/>
          <w:szCs w:val="12"/>
          <w:color w:val="231F20"/>
          <w:spacing w:val="-2"/>
        </w:rPr>
        <w:t>2019</w:t>
      </w:r>
      <w:r>
        <w:rPr>
          <w:rFonts w:ascii="Microsoft YaHei" w:hAnsi="Microsoft YaHei" w:eastAsia="Microsoft YaHei" w:cs="Microsoft YaHei"/>
          <w:sz w:val="12"/>
          <w:szCs w:val="12"/>
          <w:color w:val="231F20"/>
          <w:spacing w:val="-2"/>
        </w:rPr>
        <w:t>，</w:t>
      </w:r>
      <w:r>
        <w:rPr>
          <w:sz w:val="12"/>
          <w:szCs w:val="12"/>
          <w:color w:val="231F20"/>
          <w:spacing w:val="-2"/>
        </w:rPr>
        <w:t>48</w:t>
      </w:r>
      <w:r>
        <w:rPr>
          <w:rFonts w:ascii="Microsoft YaHei" w:hAnsi="Microsoft YaHei" w:eastAsia="Microsoft YaHei" w:cs="Microsoft YaHei"/>
          <w:sz w:val="12"/>
          <w:szCs w:val="12"/>
          <w:color w:val="231F20"/>
          <w:spacing w:val="-2"/>
        </w:rPr>
        <w:t>（</w:t>
      </w:r>
      <w:r>
        <w:rPr>
          <w:rFonts w:ascii="Microsoft YaHei" w:hAnsi="Microsoft YaHei" w:eastAsia="Microsoft YaHei" w:cs="Microsoft YaHei"/>
          <w:sz w:val="12"/>
          <w:szCs w:val="12"/>
          <w:color w:val="231F20"/>
          <w:spacing w:val="-8"/>
        </w:rPr>
        <w:t xml:space="preserve"> </w:t>
      </w:r>
      <w:r>
        <w:rPr>
          <w:sz w:val="12"/>
          <w:szCs w:val="12"/>
          <w:color w:val="231F20"/>
          <w:spacing w:val="-2"/>
        </w:rPr>
        <w:t>02</w:t>
      </w:r>
      <w:r>
        <w:rPr>
          <w:sz w:val="12"/>
          <w:szCs w:val="12"/>
          <w:color w:val="231F20"/>
          <w:spacing w:val="-8"/>
        </w:rPr>
        <w:t xml:space="preserve"> </w:t>
      </w:r>
      <w:r>
        <w:rPr>
          <w:rFonts w:ascii="Microsoft YaHei" w:hAnsi="Microsoft YaHei" w:eastAsia="Microsoft YaHei" w:cs="Microsoft YaHei"/>
          <w:sz w:val="12"/>
          <w:szCs w:val="12"/>
          <w:color w:val="231F20"/>
          <w:spacing w:val="-26"/>
        </w:rPr>
        <w:t>）：</w:t>
      </w:r>
      <w:r>
        <w:rPr>
          <w:sz w:val="12"/>
          <w:szCs w:val="12"/>
          <w:color w:val="231F20"/>
          <w:spacing w:val="-2"/>
        </w:rPr>
        <w:t>179-182+207.</w:t>
      </w:r>
    </w:p>
    <w:p>
      <w:pPr>
        <w:pStyle w:val="BodyText"/>
        <w:ind w:left="367" w:right="20" w:hanging="276"/>
        <w:spacing w:before="1" w:line="186" w:lineRule="auto"/>
        <w:rPr>
          <w:sz w:val="12"/>
          <w:szCs w:val="12"/>
        </w:rPr>
      </w:pPr>
      <w:r>
        <w:rPr>
          <w:sz w:val="12"/>
          <w:szCs w:val="12"/>
          <w:color w:val="231F20"/>
          <w:spacing w:val="-1"/>
        </w:rPr>
        <w:t>[5]     </w:t>
      </w:r>
      <w:r>
        <w:rPr>
          <w:rFonts w:ascii="Microsoft YaHei" w:hAnsi="Microsoft YaHei" w:eastAsia="Microsoft YaHei" w:cs="Microsoft YaHei"/>
          <w:sz w:val="12"/>
          <w:szCs w:val="12"/>
          <w:color w:val="231F20"/>
          <w:spacing w:val="-1"/>
        </w:rPr>
        <w:t>陈杏秀 </w:t>
      </w:r>
      <w:r>
        <w:rPr>
          <w:sz w:val="12"/>
          <w:szCs w:val="12"/>
          <w:color w:val="231F20"/>
          <w:spacing w:val="-1"/>
        </w:rPr>
        <w:t>.RCA  </w:t>
      </w:r>
      <w:r>
        <w:rPr>
          <w:rFonts w:ascii="Microsoft YaHei" w:hAnsi="Microsoft YaHei" w:eastAsia="Microsoft YaHei" w:cs="Microsoft YaHei"/>
          <w:sz w:val="12"/>
          <w:szCs w:val="12"/>
          <w:color w:val="231F20"/>
          <w:spacing w:val="-1"/>
        </w:rPr>
        <w:t>（根因分析法）在手术室护理安全管理中的应用</w:t>
      </w:r>
      <w:r>
        <w:rPr>
          <w:rFonts w:ascii="Microsoft YaHei" w:hAnsi="Microsoft YaHei" w:eastAsia="Microsoft YaHei" w:cs="Microsoft YaHei"/>
          <w:sz w:val="12"/>
          <w:szCs w:val="12"/>
          <w:color w:val="231F20"/>
          <w:spacing w:val="22"/>
        </w:rPr>
        <w:t xml:space="preserve"> </w:t>
      </w:r>
      <w:r>
        <w:rPr>
          <w:sz w:val="12"/>
          <w:szCs w:val="12"/>
          <w:color w:val="231F20"/>
          <w:spacing w:val="-1"/>
        </w:rPr>
        <w:t>[J].</w:t>
      </w:r>
      <w:r>
        <w:rPr>
          <w:sz w:val="12"/>
          <w:szCs w:val="12"/>
          <w:color w:val="231F20"/>
          <w:spacing w:val="15"/>
          <w:w w:val="101"/>
        </w:rPr>
        <w:t xml:space="preserve"> </w:t>
      </w:r>
      <w:r>
        <w:rPr>
          <w:rFonts w:ascii="Microsoft YaHei" w:hAnsi="Microsoft YaHei" w:eastAsia="Microsoft YaHei" w:cs="Microsoft YaHei"/>
          <w:sz w:val="12"/>
          <w:szCs w:val="12"/>
          <w:color w:val="231F20"/>
          <w:spacing w:val="-1"/>
        </w:rPr>
        <w:t>中国医学创新，</w:t>
      </w:r>
      <w:r>
        <w:rPr>
          <w:rFonts w:ascii="Microsoft YaHei" w:hAnsi="Microsoft YaHei" w:eastAsia="Microsoft YaHei" w:cs="Microsoft YaHei"/>
          <w:sz w:val="12"/>
          <w:szCs w:val="12"/>
          <w:color w:val="231F20"/>
        </w:rPr>
        <w:t xml:space="preserve"> </w:t>
      </w:r>
      <w:r>
        <w:rPr>
          <w:sz w:val="12"/>
          <w:szCs w:val="12"/>
          <w:color w:val="231F20"/>
          <w:spacing w:val="-4"/>
        </w:rPr>
        <w:t>2015</w:t>
      </w:r>
      <w:r>
        <w:rPr>
          <w:sz w:val="12"/>
          <w:szCs w:val="12"/>
          <w:color w:val="231F20"/>
          <w:spacing w:val="-10"/>
        </w:rPr>
        <w:t xml:space="preserve"> </w:t>
      </w:r>
      <w:r>
        <w:rPr>
          <w:rFonts w:ascii="Microsoft YaHei" w:hAnsi="Microsoft YaHei" w:eastAsia="Microsoft YaHei" w:cs="Microsoft YaHei"/>
          <w:sz w:val="12"/>
          <w:szCs w:val="12"/>
          <w:color w:val="231F20"/>
          <w:spacing w:val="-4"/>
        </w:rPr>
        <w:t>，</w:t>
      </w:r>
      <w:r>
        <w:rPr>
          <w:sz w:val="12"/>
          <w:szCs w:val="12"/>
          <w:color w:val="231F20"/>
          <w:spacing w:val="-4"/>
        </w:rPr>
        <w:t>12</w:t>
      </w:r>
      <w:r>
        <w:rPr>
          <w:rFonts w:ascii="Microsoft YaHei" w:hAnsi="Microsoft YaHei" w:eastAsia="Microsoft YaHei" w:cs="Microsoft YaHei"/>
          <w:sz w:val="12"/>
          <w:szCs w:val="12"/>
          <w:color w:val="231F20"/>
          <w:spacing w:val="-4"/>
        </w:rPr>
        <w:t>（ </w:t>
      </w:r>
      <w:r>
        <w:rPr>
          <w:sz w:val="12"/>
          <w:szCs w:val="12"/>
          <w:color w:val="231F20"/>
          <w:spacing w:val="-4"/>
        </w:rPr>
        <w:t>13</w:t>
      </w:r>
      <w:r>
        <w:rPr>
          <w:sz w:val="12"/>
          <w:szCs w:val="12"/>
          <w:color w:val="231F20"/>
          <w:spacing w:val="-8"/>
        </w:rPr>
        <w:t xml:space="preserve"> </w:t>
      </w:r>
      <w:r>
        <w:rPr>
          <w:rFonts w:ascii="Microsoft YaHei" w:hAnsi="Microsoft YaHei" w:eastAsia="Microsoft YaHei" w:cs="Microsoft YaHei"/>
          <w:sz w:val="12"/>
          <w:szCs w:val="12"/>
          <w:color w:val="231F20"/>
          <w:spacing w:val="-31"/>
          <w:w w:val="95"/>
        </w:rPr>
        <w:t>）：</w:t>
      </w:r>
      <w:r>
        <w:rPr>
          <w:sz w:val="12"/>
          <w:szCs w:val="12"/>
          <w:color w:val="231F20"/>
          <w:spacing w:val="-4"/>
        </w:rPr>
        <w:t>96-99.</w:t>
      </w:r>
    </w:p>
    <w:p>
      <w:pPr>
        <w:pStyle w:val="BodyText"/>
        <w:ind w:left="366" w:right="59" w:hanging="275"/>
        <w:spacing w:before="1" w:line="186" w:lineRule="auto"/>
        <w:rPr>
          <w:sz w:val="12"/>
          <w:szCs w:val="12"/>
        </w:rPr>
      </w:pPr>
      <w:r>
        <w:rPr>
          <w:sz w:val="12"/>
          <w:szCs w:val="12"/>
          <w:color w:val="231F20"/>
          <w:spacing w:val="3"/>
        </w:rPr>
        <w:t>[6]    </w:t>
      </w:r>
      <w:r>
        <w:rPr>
          <w:rFonts w:ascii="Microsoft YaHei" w:hAnsi="Microsoft YaHei" w:eastAsia="Microsoft YaHei" w:cs="Microsoft YaHei"/>
          <w:sz w:val="12"/>
          <w:szCs w:val="12"/>
          <w:color w:val="231F20"/>
          <w:spacing w:val="3"/>
        </w:rPr>
        <w:t>崔莉萍，李伦兰，王竹馨，等 </w:t>
      </w:r>
      <w:r>
        <w:rPr>
          <w:sz w:val="12"/>
          <w:szCs w:val="12"/>
          <w:color w:val="231F20"/>
          <w:spacing w:val="3"/>
        </w:rPr>
        <w:t>.</w:t>
      </w:r>
      <w:r>
        <w:rPr>
          <w:sz w:val="12"/>
          <w:szCs w:val="12"/>
          <w:color w:val="231F20"/>
          <w:spacing w:val="5"/>
        </w:rPr>
        <w:t xml:space="preserve"> </w:t>
      </w:r>
      <w:r>
        <w:rPr>
          <w:rFonts w:ascii="Microsoft YaHei" w:hAnsi="Microsoft YaHei" w:eastAsia="Microsoft YaHei" w:cs="Microsoft YaHei"/>
          <w:sz w:val="12"/>
          <w:szCs w:val="12"/>
          <w:color w:val="231F20"/>
          <w:spacing w:val="3"/>
        </w:rPr>
        <w:t>根因分析</w:t>
      </w:r>
      <w:r>
        <w:rPr>
          <w:rFonts w:ascii="Microsoft YaHei" w:hAnsi="Microsoft YaHei" w:eastAsia="Microsoft YaHei" w:cs="Microsoft YaHei"/>
          <w:sz w:val="12"/>
          <w:szCs w:val="12"/>
          <w:color w:val="231F20"/>
          <w:spacing w:val="2"/>
        </w:rPr>
        <w:t>法在永久性心脏起搏器植入术前病人跌</w:t>
      </w:r>
      <w:r>
        <w:rPr>
          <w:rFonts w:ascii="Microsoft YaHei" w:hAnsi="Microsoft YaHei" w:eastAsia="Microsoft YaHei" w:cs="Microsoft YaHei"/>
          <w:sz w:val="12"/>
          <w:szCs w:val="12"/>
          <w:color w:val="231F20"/>
        </w:rPr>
        <w:t xml:space="preserve"> </w:t>
      </w:r>
      <w:r>
        <w:rPr>
          <w:rFonts w:ascii="Microsoft YaHei" w:hAnsi="Microsoft YaHei" w:eastAsia="Microsoft YaHei" w:cs="Microsoft YaHei"/>
          <w:sz w:val="12"/>
          <w:szCs w:val="12"/>
          <w:color w:val="231F20"/>
          <w:spacing w:val="-2"/>
        </w:rPr>
        <w:t>倒 </w:t>
      </w:r>
      <w:r>
        <w:rPr>
          <w:sz w:val="12"/>
          <w:szCs w:val="12"/>
          <w:color w:val="231F20"/>
          <w:spacing w:val="-2"/>
        </w:rPr>
        <w:t>/ </w:t>
      </w:r>
      <w:r>
        <w:rPr>
          <w:rFonts w:ascii="Microsoft YaHei" w:hAnsi="Microsoft YaHei" w:eastAsia="Microsoft YaHei" w:cs="Microsoft YaHei"/>
          <w:sz w:val="12"/>
          <w:szCs w:val="12"/>
          <w:color w:val="231F20"/>
          <w:spacing w:val="-2"/>
        </w:rPr>
        <w:t>坠床管理中的应用 </w:t>
      </w:r>
      <w:r>
        <w:rPr>
          <w:sz w:val="12"/>
          <w:szCs w:val="12"/>
          <w:color w:val="231F20"/>
          <w:spacing w:val="-2"/>
        </w:rPr>
        <w:t>[J]. </w:t>
      </w:r>
      <w:r>
        <w:rPr>
          <w:rFonts w:ascii="Microsoft YaHei" w:hAnsi="Microsoft YaHei" w:eastAsia="Microsoft YaHei" w:cs="Microsoft YaHei"/>
          <w:sz w:val="12"/>
          <w:szCs w:val="12"/>
          <w:color w:val="231F20"/>
          <w:spacing w:val="-2"/>
        </w:rPr>
        <w:t>护理研究，</w:t>
      </w:r>
      <w:r>
        <w:rPr>
          <w:sz w:val="12"/>
          <w:szCs w:val="12"/>
          <w:color w:val="231F20"/>
          <w:spacing w:val="-2"/>
        </w:rPr>
        <w:t>2021</w:t>
      </w:r>
      <w:r>
        <w:rPr>
          <w:sz w:val="12"/>
          <w:szCs w:val="12"/>
          <w:color w:val="231F20"/>
          <w:spacing w:val="-9"/>
        </w:rPr>
        <w:t xml:space="preserve"> </w:t>
      </w:r>
      <w:r>
        <w:rPr>
          <w:rFonts w:ascii="Microsoft YaHei" w:hAnsi="Microsoft YaHei" w:eastAsia="Microsoft YaHei" w:cs="Microsoft YaHei"/>
          <w:sz w:val="12"/>
          <w:szCs w:val="12"/>
          <w:color w:val="231F20"/>
          <w:spacing w:val="-2"/>
        </w:rPr>
        <w:t>，</w:t>
      </w:r>
      <w:r>
        <w:rPr>
          <w:sz w:val="12"/>
          <w:szCs w:val="12"/>
          <w:color w:val="231F20"/>
          <w:spacing w:val="-2"/>
        </w:rPr>
        <w:t>35</w:t>
      </w:r>
      <w:r>
        <w:rPr>
          <w:rFonts w:ascii="Microsoft YaHei" w:hAnsi="Microsoft YaHei" w:eastAsia="Microsoft YaHei" w:cs="Microsoft YaHei"/>
          <w:sz w:val="12"/>
          <w:szCs w:val="12"/>
          <w:color w:val="231F20"/>
          <w:spacing w:val="-2"/>
        </w:rPr>
        <w:t>（ </w:t>
      </w:r>
      <w:r>
        <w:rPr>
          <w:sz w:val="12"/>
          <w:szCs w:val="12"/>
          <w:color w:val="231F20"/>
          <w:spacing w:val="-2"/>
        </w:rPr>
        <w:t>10</w:t>
      </w:r>
      <w:r>
        <w:rPr>
          <w:sz w:val="12"/>
          <w:szCs w:val="12"/>
          <w:color w:val="231F20"/>
          <w:spacing w:val="-8"/>
        </w:rPr>
        <w:t xml:space="preserve"> </w:t>
      </w:r>
      <w:r>
        <w:rPr>
          <w:rFonts w:ascii="Microsoft YaHei" w:hAnsi="Microsoft YaHei" w:eastAsia="Microsoft YaHei" w:cs="Microsoft YaHei"/>
          <w:sz w:val="12"/>
          <w:szCs w:val="12"/>
          <w:color w:val="231F20"/>
          <w:spacing w:val="-32"/>
        </w:rPr>
        <w:t>）：</w:t>
      </w:r>
      <w:r>
        <w:rPr>
          <w:sz w:val="12"/>
          <w:szCs w:val="12"/>
          <w:color w:val="231F20"/>
          <w:spacing w:val="-2"/>
        </w:rPr>
        <w:t>1835-1838.</w:t>
      </w:r>
    </w:p>
    <w:p>
      <w:pPr>
        <w:pStyle w:val="BodyText"/>
        <w:ind w:left="367" w:right="59" w:hanging="276"/>
        <w:spacing w:before="1" w:line="185" w:lineRule="auto"/>
        <w:rPr>
          <w:sz w:val="12"/>
          <w:szCs w:val="12"/>
        </w:rPr>
      </w:pPr>
      <w:r>
        <w:rPr>
          <w:sz w:val="12"/>
          <w:szCs w:val="12"/>
          <w:color w:val="231F20"/>
          <w:spacing w:val="2"/>
        </w:rPr>
        <w:t>[7]    </w:t>
      </w:r>
      <w:r>
        <w:rPr>
          <w:rFonts w:ascii="Microsoft YaHei" w:hAnsi="Microsoft YaHei" w:eastAsia="Microsoft YaHei" w:cs="Microsoft YaHei"/>
          <w:sz w:val="12"/>
          <w:szCs w:val="12"/>
          <w:color w:val="231F20"/>
          <w:spacing w:val="2"/>
        </w:rPr>
        <w:t>程少杰，仲博理，杨念宾</w:t>
      </w:r>
      <w:r>
        <w:rPr>
          <w:rFonts w:ascii="Microsoft YaHei" w:hAnsi="Microsoft YaHei" w:eastAsia="Microsoft YaHei" w:cs="Microsoft YaHei"/>
          <w:sz w:val="12"/>
          <w:szCs w:val="12"/>
          <w:color w:val="231F20"/>
          <w:spacing w:val="15"/>
          <w:w w:val="102"/>
        </w:rPr>
        <w:t xml:space="preserve"> </w:t>
      </w:r>
      <w:r>
        <w:rPr>
          <w:sz w:val="12"/>
          <w:szCs w:val="12"/>
          <w:color w:val="231F20"/>
          <w:spacing w:val="2"/>
        </w:rPr>
        <w:t>.</w:t>
      </w:r>
      <w:r>
        <w:rPr>
          <w:sz w:val="12"/>
          <w:szCs w:val="12"/>
          <w:color w:val="231F20"/>
          <w:spacing w:val="17"/>
          <w:w w:val="101"/>
        </w:rPr>
        <w:t xml:space="preserve"> </w:t>
      </w:r>
      <w:r>
        <w:rPr>
          <w:rFonts w:ascii="Microsoft YaHei" w:hAnsi="Microsoft YaHei" w:eastAsia="Microsoft YaHei" w:cs="Microsoft YaHei"/>
          <w:sz w:val="12"/>
          <w:szCs w:val="12"/>
          <w:color w:val="231F20"/>
          <w:spacing w:val="2"/>
        </w:rPr>
        <w:t>甲硝唑联合头孢呋辛钠在腹腔镜治疗急性非单纯性阑</w:t>
      </w:r>
      <w:r>
        <w:rPr>
          <w:rFonts w:ascii="Microsoft YaHei" w:hAnsi="Microsoft YaHei" w:eastAsia="Microsoft YaHei" w:cs="Microsoft YaHei"/>
          <w:sz w:val="12"/>
          <w:szCs w:val="12"/>
          <w:color w:val="231F20"/>
        </w:rPr>
        <w:t xml:space="preserve"> </w:t>
      </w:r>
      <w:r>
        <w:rPr>
          <w:rFonts w:ascii="Microsoft YaHei" w:hAnsi="Microsoft YaHei" w:eastAsia="Microsoft YaHei" w:cs="Microsoft YaHei"/>
          <w:sz w:val="12"/>
          <w:szCs w:val="12"/>
          <w:color w:val="231F20"/>
          <w:spacing w:val="-2"/>
        </w:rPr>
        <w:t>尾炎患者中的应用效果 </w:t>
      </w:r>
      <w:r>
        <w:rPr>
          <w:sz w:val="12"/>
          <w:szCs w:val="12"/>
          <w:color w:val="231F20"/>
          <w:spacing w:val="-2"/>
        </w:rPr>
        <w:t>[J].</w:t>
      </w:r>
      <w:r>
        <w:rPr>
          <w:sz w:val="12"/>
          <w:szCs w:val="12"/>
          <w:color w:val="231F20"/>
          <w:spacing w:val="16"/>
          <w:w w:val="101"/>
        </w:rPr>
        <w:t xml:space="preserve"> </w:t>
      </w:r>
      <w:r>
        <w:rPr>
          <w:rFonts w:ascii="Microsoft YaHei" w:hAnsi="Microsoft YaHei" w:eastAsia="Microsoft YaHei" w:cs="Microsoft YaHei"/>
          <w:sz w:val="12"/>
          <w:szCs w:val="12"/>
          <w:color w:val="231F20"/>
          <w:spacing w:val="-2"/>
        </w:rPr>
        <w:t>中国内镜杂志，</w:t>
      </w:r>
      <w:r>
        <w:rPr>
          <w:sz w:val="12"/>
          <w:szCs w:val="12"/>
          <w:color w:val="231F20"/>
          <w:spacing w:val="-2"/>
        </w:rPr>
        <w:t>2024</w:t>
      </w:r>
      <w:r>
        <w:rPr>
          <w:sz w:val="12"/>
          <w:szCs w:val="12"/>
          <w:color w:val="231F20"/>
          <w:spacing w:val="-10"/>
        </w:rPr>
        <w:t xml:space="preserve"> </w:t>
      </w:r>
      <w:r>
        <w:rPr>
          <w:rFonts w:ascii="Microsoft YaHei" w:hAnsi="Microsoft YaHei" w:eastAsia="Microsoft YaHei" w:cs="Microsoft YaHei"/>
          <w:sz w:val="12"/>
          <w:szCs w:val="12"/>
          <w:color w:val="231F20"/>
          <w:spacing w:val="-2"/>
        </w:rPr>
        <w:t>，</w:t>
      </w:r>
      <w:r>
        <w:rPr>
          <w:sz w:val="12"/>
          <w:szCs w:val="12"/>
          <w:color w:val="231F20"/>
          <w:spacing w:val="-2"/>
        </w:rPr>
        <w:t>30</w:t>
      </w:r>
      <w:r>
        <w:rPr>
          <w:rFonts w:ascii="Microsoft YaHei" w:hAnsi="Microsoft YaHei" w:eastAsia="Microsoft YaHei" w:cs="Microsoft YaHei"/>
          <w:sz w:val="12"/>
          <w:szCs w:val="12"/>
          <w:color w:val="231F20"/>
          <w:spacing w:val="-2"/>
        </w:rPr>
        <w:t>（</w:t>
      </w:r>
      <w:r>
        <w:rPr>
          <w:rFonts w:ascii="Microsoft YaHei" w:hAnsi="Microsoft YaHei" w:eastAsia="Microsoft YaHei" w:cs="Microsoft YaHei"/>
          <w:sz w:val="12"/>
          <w:szCs w:val="12"/>
          <w:color w:val="231F20"/>
          <w:spacing w:val="-9"/>
        </w:rPr>
        <w:t xml:space="preserve"> </w:t>
      </w:r>
      <w:r>
        <w:rPr>
          <w:sz w:val="12"/>
          <w:szCs w:val="12"/>
          <w:color w:val="231F20"/>
          <w:spacing w:val="-2"/>
        </w:rPr>
        <w:t>7</w:t>
      </w:r>
      <w:r>
        <w:rPr>
          <w:sz w:val="12"/>
          <w:szCs w:val="12"/>
          <w:color w:val="231F20"/>
          <w:spacing w:val="-8"/>
        </w:rPr>
        <w:t xml:space="preserve"> </w:t>
      </w:r>
      <w:r>
        <w:rPr>
          <w:rFonts w:ascii="Microsoft YaHei" w:hAnsi="Microsoft YaHei" w:eastAsia="Microsoft YaHei" w:cs="Microsoft YaHei"/>
          <w:sz w:val="12"/>
          <w:szCs w:val="12"/>
          <w:color w:val="231F20"/>
          <w:spacing w:val="-31"/>
          <w:w w:val="93"/>
        </w:rPr>
        <w:t>）：</w:t>
      </w:r>
      <w:r>
        <w:rPr>
          <w:sz w:val="12"/>
          <w:szCs w:val="12"/>
          <w:color w:val="231F20"/>
          <w:spacing w:val="-2"/>
        </w:rPr>
        <w:t>39-4</w:t>
      </w:r>
      <w:r>
        <w:rPr>
          <w:sz w:val="12"/>
          <w:szCs w:val="12"/>
          <w:color w:val="231F20"/>
          <w:spacing w:val="-3"/>
        </w:rPr>
        <w:t>5.</w:t>
      </w:r>
    </w:p>
    <w:p>
      <w:pPr>
        <w:pStyle w:val="BodyText"/>
        <w:ind w:left="368" w:right="59" w:hanging="277"/>
        <w:spacing w:line="191" w:lineRule="auto"/>
        <w:rPr>
          <w:sz w:val="12"/>
          <w:szCs w:val="12"/>
        </w:rPr>
      </w:pPr>
      <w:r>
        <w:rPr>
          <w:sz w:val="12"/>
          <w:szCs w:val="12"/>
          <w:color w:val="231F20"/>
          <w:spacing w:val="3"/>
        </w:rPr>
        <w:t>[8]    </w:t>
      </w:r>
      <w:r>
        <w:rPr>
          <w:rFonts w:ascii="Microsoft YaHei" w:hAnsi="Microsoft YaHei" w:eastAsia="Microsoft YaHei" w:cs="Microsoft YaHei"/>
          <w:sz w:val="12"/>
          <w:szCs w:val="12"/>
          <w:color w:val="231F20"/>
          <w:spacing w:val="3"/>
        </w:rPr>
        <w:t>张婧晶，杨凯，李永静，等 </w:t>
      </w:r>
      <w:r>
        <w:rPr>
          <w:sz w:val="12"/>
          <w:szCs w:val="12"/>
          <w:color w:val="231F20"/>
          <w:spacing w:val="3"/>
        </w:rPr>
        <w:t>.</w:t>
      </w:r>
      <w:r>
        <w:rPr>
          <w:sz w:val="12"/>
          <w:szCs w:val="12"/>
          <w:color w:val="231F20"/>
          <w:spacing w:val="5"/>
        </w:rPr>
        <w:t xml:space="preserve"> </w:t>
      </w:r>
      <w:r>
        <w:rPr>
          <w:rFonts w:ascii="Microsoft YaHei" w:hAnsi="Microsoft YaHei" w:eastAsia="Microsoft YaHei" w:cs="Microsoft YaHei"/>
          <w:sz w:val="12"/>
          <w:szCs w:val="12"/>
          <w:color w:val="231F20"/>
          <w:spacing w:val="3"/>
        </w:rPr>
        <w:t>根因分析法</w:t>
      </w:r>
      <w:r>
        <w:rPr>
          <w:rFonts w:ascii="Microsoft YaHei" w:hAnsi="Microsoft YaHei" w:eastAsia="Microsoft YaHei" w:cs="Microsoft YaHei"/>
          <w:sz w:val="12"/>
          <w:szCs w:val="12"/>
          <w:color w:val="231F20"/>
          <w:spacing w:val="2"/>
        </w:rPr>
        <w:t>联合流程优化降低外出检查早产儿低体</w:t>
      </w:r>
      <w:r>
        <w:rPr>
          <w:rFonts w:ascii="Microsoft YaHei" w:hAnsi="Microsoft YaHei" w:eastAsia="Microsoft YaHei" w:cs="Microsoft YaHei"/>
          <w:sz w:val="12"/>
          <w:szCs w:val="12"/>
          <w:color w:val="231F20"/>
        </w:rPr>
        <w:t xml:space="preserve"> </w:t>
      </w:r>
      <w:r>
        <w:rPr>
          <w:rFonts w:ascii="Microsoft YaHei" w:hAnsi="Microsoft YaHei" w:eastAsia="Microsoft YaHei" w:cs="Microsoft YaHei"/>
          <w:sz w:val="12"/>
          <w:szCs w:val="12"/>
          <w:color w:val="231F20"/>
          <w:spacing w:val="-2"/>
        </w:rPr>
        <w:t>温的研究 </w:t>
      </w:r>
      <w:r>
        <w:rPr>
          <w:sz w:val="12"/>
          <w:szCs w:val="12"/>
          <w:color w:val="231F20"/>
          <w:spacing w:val="-2"/>
        </w:rPr>
        <w:t>[J]. </w:t>
      </w:r>
      <w:r>
        <w:rPr>
          <w:rFonts w:ascii="Microsoft YaHei" w:hAnsi="Microsoft YaHei" w:eastAsia="Microsoft YaHei" w:cs="Microsoft YaHei"/>
          <w:sz w:val="12"/>
          <w:szCs w:val="12"/>
          <w:color w:val="231F20"/>
          <w:spacing w:val="-2"/>
        </w:rPr>
        <w:t>护理学杂志，</w:t>
      </w:r>
      <w:r>
        <w:rPr>
          <w:sz w:val="12"/>
          <w:szCs w:val="12"/>
          <w:color w:val="231F20"/>
          <w:spacing w:val="-2"/>
        </w:rPr>
        <w:t>202</w:t>
      </w:r>
      <w:r>
        <w:rPr>
          <w:sz w:val="12"/>
          <w:szCs w:val="12"/>
          <w:color w:val="231F20"/>
          <w:spacing w:val="-3"/>
        </w:rPr>
        <w:t>1</w:t>
      </w:r>
      <w:r>
        <w:rPr>
          <w:sz w:val="12"/>
          <w:szCs w:val="12"/>
          <w:color w:val="231F20"/>
          <w:spacing w:val="-9"/>
        </w:rPr>
        <w:t xml:space="preserve"> </w:t>
      </w:r>
      <w:r>
        <w:rPr>
          <w:rFonts w:ascii="Microsoft YaHei" w:hAnsi="Microsoft YaHei" w:eastAsia="Microsoft YaHei" w:cs="Microsoft YaHei"/>
          <w:sz w:val="12"/>
          <w:szCs w:val="12"/>
          <w:color w:val="231F20"/>
          <w:spacing w:val="-3"/>
        </w:rPr>
        <w:t>，</w:t>
      </w:r>
      <w:r>
        <w:rPr>
          <w:sz w:val="12"/>
          <w:szCs w:val="12"/>
          <w:color w:val="231F20"/>
          <w:spacing w:val="-3"/>
        </w:rPr>
        <w:t>36</w:t>
      </w:r>
      <w:r>
        <w:rPr>
          <w:rFonts w:ascii="Microsoft YaHei" w:hAnsi="Microsoft YaHei" w:eastAsia="Microsoft YaHei" w:cs="Microsoft YaHei"/>
          <w:sz w:val="12"/>
          <w:szCs w:val="12"/>
          <w:color w:val="231F20"/>
          <w:spacing w:val="-3"/>
        </w:rPr>
        <w:t>（</w:t>
      </w:r>
      <w:r>
        <w:rPr>
          <w:rFonts w:ascii="Microsoft YaHei" w:hAnsi="Microsoft YaHei" w:eastAsia="Microsoft YaHei" w:cs="Microsoft YaHei"/>
          <w:sz w:val="12"/>
          <w:szCs w:val="12"/>
          <w:color w:val="231F20"/>
          <w:spacing w:val="-11"/>
        </w:rPr>
        <w:t xml:space="preserve"> </w:t>
      </w:r>
      <w:r>
        <w:rPr>
          <w:sz w:val="12"/>
          <w:szCs w:val="12"/>
          <w:color w:val="231F20"/>
          <w:spacing w:val="-3"/>
        </w:rPr>
        <w:t>24</w:t>
      </w:r>
      <w:r>
        <w:rPr>
          <w:sz w:val="12"/>
          <w:szCs w:val="12"/>
          <w:color w:val="231F20"/>
          <w:spacing w:val="-8"/>
        </w:rPr>
        <w:t xml:space="preserve"> </w:t>
      </w:r>
      <w:r>
        <w:rPr>
          <w:rFonts w:ascii="Microsoft YaHei" w:hAnsi="Microsoft YaHei" w:eastAsia="Microsoft YaHei" w:cs="Microsoft YaHei"/>
          <w:sz w:val="12"/>
          <w:szCs w:val="12"/>
          <w:color w:val="231F20"/>
          <w:spacing w:val="-31"/>
          <w:w w:val="94"/>
        </w:rPr>
        <w:t>）：</w:t>
      </w:r>
      <w:r>
        <w:rPr>
          <w:sz w:val="12"/>
          <w:szCs w:val="12"/>
          <w:color w:val="231F20"/>
          <w:spacing w:val="-3"/>
        </w:rPr>
        <w:t>5-7</w:t>
      </w:r>
      <w:r>
        <w:rPr>
          <w:sz w:val="12"/>
          <w:szCs w:val="12"/>
          <w:color w:val="231F20"/>
          <w:spacing w:val="-10"/>
        </w:rPr>
        <w:t xml:space="preserve"> </w:t>
      </w:r>
      <w:r>
        <w:rPr>
          <w:rFonts w:ascii="Microsoft YaHei" w:hAnsi="Microsoft YaHei" w:eastAsia="Microsoft YaHei" w:cs="Microsoft YaHei"/>
          <w:sz w:val="12"/>
          <w:szCs w:val="12"/>
          <w:color w:val="231F20"/>
          <w:spacing w:val="-3"/>
        </w:rPr>
        <w:t>，</w:t>
      </w:r>
      <w:r>
        <w:rPr>
          <w:sz w:val="12"/>
          <w:szCs w:val="12"/>
          <w:color w:val="231F20"/>
          <w:spacing w:val="-3"/>
        </w:rPr>
        <w:t>12.</w:t>
      </w:r>
    </w:p>
    <w:p>
      <w:pPr>
        <w:spacing w:line="191" w:lineRule="auto"/>
        <w:sectPr>
          <w:type w:val="continuous"/>
          <w:pgSz w:w="11906" w:h="16158"/>
          <w:pgMar w:top="1294" w:right="961" w:bottom="600" w:left="432" w:header="920" w:footer="360" w:gutter="0"/>
          <w:cols w:equalWidth="0" w:num="2">
            <w:col w:w="5708" w:space="100"/>
            <w:col w:w="4705" w:space="0"/>
          </w:cols>
        </w:sectPr>
        <w:rPr>
          <w:sz w:val="12"/>
          <w:szCs w:val="12"/>
        </w:rPr>
      </w:pPr>
    </w:p>
    <w:p>
      <w:pPr>
        <w:spacing w:line="273" w:lineRule="auto"/>
        <w:rPr>
          <w:rFonts w:ascii="Arial"/>
          <w:sz w:val="21"/>
        </w:rPr>
      </w:pPr>
      <w:r/>
    </w:p>
    <w:p>
      <w:pPr>
        <w:spacing w:line="273" w:lineRule="auto"/>
        <w:rPr>
          <w:rFonts w:ascii="Arial"/>
          <w:sz w:val="21"/>
        </w:rPr>
      </w:pPr>
      <w:r/>
    </w:p>
    <w:p>
      <w:pPr>
        <w:spacing w:line="274" w:lineRule="auto"/>
        <w:rPr>
          <w:rFonts w:ascii="Arial"/>
          <w:sz w:val="21"/>
        </w:rPr>
      </w:pPr>
      <w:r/>
    </w:p>
    <w:p>
      <w:pPr>
        <w:spacing w:line="274" w:lineRule="auto"/>
        <w:rPr>
          <w:rFonts w:ascii="Arial"/>
          <w:sz w:val="21"/>
        </w:rPr>
      </w:pPr>
      <w:r/>
    </w:p>
    <w:p>
      <w:pPr>
        <w:pStyle w:val="BodyText"/>
        <w:ind w:left="9452"/>
        <w:spacing w:before="104" w:line="161" w:lineRule="auto"/>
        <w:rPr>
          <w:sz w:val="24"/>
          <w:szCs w:val="24"/>
        </w:rPr>
      </w:pPr>
      <w:r>
        <w:rPr>
          <w:sz w:val="24"/>
          <w:szCs w:val="24"/>
          <w:color w:val="231F20"/>
          <w:spacing w:val="12"/>
        </w:rPr>
        <w:t>-</w:t>
      </w:r>
      <w:r>
        <w:rPr>
          <w:sz w:val="24"/>
          <w:szCs w:val="24"/>
          <w:color w:val="231F20"/>
          <w:spacing w:val="46"/>
        </w:rPr>
        <w:t xml:space="preserve"> </w:t>
      </w:r>
      <w:r>
        <w:rPr>
          <w:rFonts w:ascii="Microsoft YaHei" w:hAnsi="Microsoft YaHei" w:eastAsia="Microsoft YaHei" w:cs="Microsoft YaHei"/>
          <w:sz w:val="24"/>
          <w:szCs w:val="24"/>
          <w:color w:val="231F20"/>
          <w:spacing w:val="12"/>
        </w:rPr>
        <w:t>2385</w:t>
      </w:r>
      <w:r>
        <w:rPr>
          <w:rFonts w:ascii="Microsoft YaHei" w:hAnsi="Microsoft YaHei" w:eastAsia="Microsoft YaHei" w:cs="Microsoft YaHei"/>
          <w:sz w:val="24"/>
          <w:szCs w:val="24"/>
          <w:color w:val="231F20"/>
          <w:spacing w:val="27"/>
        </w:rPr>
        <w:t xml:space="preserve"> </w:t>
      </w:r>
      <w:r>
        <w:rPr>
          <w:sz w:val="24"/>
          <w:szCs w:val="24"/>
          <w:color w:val="231F20"/>
          <w:spacing w:val="12"/>
        </w:rPr>
        <w:t>-</w:t>
      </w:r>
    </w:p>
    <w:sectPr>
      <w:type w:val="continuous"/>
      <w:pgSz w:w="11906" w:h="16158"/>
      <w:pgMar w:top="1294" w:right="961" w:bottom="600" w:left="432" w:header="920" w:footer="360" w:gutter="0"/>
      <w:cols w:equalWidth="0" w:num="1">
        <w:col w:w="10513" w:space="0"/>
      </w:cols>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T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default"/>
    <w:sig w:usb0="00000003" w:usb1="288F0000" w:usb2="00000006" w:usb3="00000000" w:csb0="00040001" w:csb1="00000000"/>
  </w:font>
  <w:font w:name="SimSun">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altName w:val="SimHei"/>
    <w:panose1 w:val="02010609060101010101"/>
    <w:charset w:val="86"/>
    <w:family w:val="auto"/>
    <w:pitch w:val="default"/>
    <w:sig w:usb0="800002BF" w:usb1="38CF7CFA" w:usb2="00000016" w:usb3="00000000" w:csb0="00040001" w:csb1="0000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Arial">
    <w:panose1 w:val="020B0604020202020204"/>
    <w:charset w:val="86"/>
    <w:family w:val="auto"/>
    <w:pitch w:val="default"/>
    <w:sig w:usb0="E0002EFF" w:usb1="C000785B" w:usb2="00000009" w:usb3="00000000" w:csb0="400001FF" w:csb1="FFFF0000"/>
  </w:font>
  <w:font w:name="微软雅黑">
    <w:panose1 w:val="020B0503020204020204"/>
    <w:charset w:val="86"/>
    <w:family w:val="auto"/>
    <w:pitch w:val="default"/>
    <w:sig w:usb0="80000287" w:usb1="2ACF3C50" w:usb2="00000016" w:usb3="00000000" w:csb0="0004001F" w:csb1="FFFF0000"/>
  </w:font>
  <w:font w:name="Microsoft JhengHei">
    <w:panose1 w:val="020B0604030504040204"/>
    <w:charset w:val="88"/>
    <w:family w:val="auto"/>
    <w:pitch w:val="default"/>
    <w:sig w:usb0="000002A7" w:usb1="28CF4400" w:usb2="00000016" w:usb3="00000000" w:csb0="00100009" w:csb1="00000000"/>
  </w:font>
  <w:font w:name="FangSong">
    <w:panose1 w:val="02010609060101010101"/>
    <w:charset w:val="86"/>
    <w:family w:val="auto"/>
    <w:pitch w:val="default"/>
    <w:sig w:usb0="800002BF" w:usb1="38CF7CFA" w:usb2="00000016" w:usb3="00000000" w:csb0="00040001" w:csb1="00000000"/>
  </w:font>
  <w:font w:name="Microsoft YaHei">
    <w:panose1 w:val="020B0503020204020204"/>
    <w:charset w:val="86"/>
    <w:family w:val="auto"/>
    <w:pitch w:val="variable"/>
    <w:sig w:usb0="80000287" w:usb1="2ACF3C50" w:usb2="00000016" w:usb3="00000000" w:csb0="0004001F" w:csb1="00000000"/>
  </w:font>
  <w:font w:name="Times New Roman">
    <w:panose1 w:val="02020603050405020304"/>
    <w:charset w:val="00"/>
    <w:family w:val="auto"/>
    <w:pitch w:val="variable"/>
    <w:sig w:usb0="E0002EFF" w:usb1="C000785B" w:usb2="00000009" w:usb3="00000000" w:csb0="400001FF" w:csb1="FFFF000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230" w:lineRule="exact"/>
      <w:rPr>
        <w:rFonts w:ascii="Arial" w:hAnsi="Arial" w:eastAsia="Arial" w:cs="Arial"/>
        <w:sz w:val="22"/>
        <w:szCs w:val="22"/>
      </w:rPr>
    </w:pPr>
    <w:r>
      <w:rPr>
        <w:rFonts w:ascii="Microsoft YaHei" w:hAnsi="Microsoft YaHei" w:eastAsia="Microsoft YaHei" w:cs="Microsoft YaHei"/>
        <w:sz w:val="22"/>
        <w:szCs w:val="22"/>
        <w:color w:val="999999"/>
        <w:spacing w:val="12"/>
      </w:rPr>
      <w:t>中国知网</w:t>
    </w:r>
    <w:r>
      <w:rPr>
        <w:rFonts w:ascii="Microsoft YaHei" w:hAnsi="Microsoft YaHei" w:eastAsia="Microsoft YaHei" w:cs="Microsoft YaHei"/>
        <w:sz w:val="22"/>
        <w:szCs w:val="22"/>
        <w:color w:val="999999"/>
        <w:spacing w:val="12"/>
      </w:rPr>
      <w:t xml:space="preserve">     </w:t>
    </w:r>
    <w:r>
      <w:rPr>
        <w:rFonts w:ascii="Arial" w:hAnsi="Arial" w:eastAsia="Arial" w:cs="Arial"/>
        <w:sz w:val="22"/>
        <w:szCs w:val="22"/>
        <w:color w:val="999999"/>
      </w:rPr>
      <w:t>https</w:t>
    </w:r>
    <w:r>
      <w:rPr>
        <w:rFonts w:ascii="Arial" w:hAnsi="Arial" w:eastAsia="Arial" w:cs="Arial"/>
        <w:sz w:val="22"/>
        <w:szCs w:val="22"/>
        <w:color w:val="999999"/>
        <w:spacing w:val="12"/>
      </w:rPr>
      <w:t xml:space="preserve"> </w:t>
    </w:r>
    <w:r>
      <w:rPr>
        <w:rFonts w:ascii="Arial" w:hAnsi="Arial" w:eastAsia="Arial" w:cs="Arial"/>
        <w:sz w:val="22"/>
        <w:szCs w:val="22"/>
        <w:color w:val="999999"/>
        <w:spacing w:val="12"/>
      </w:rPr>
      <w:t>:</w:t>
    </w:r>
    <w:r>
      <w:rPr>
        <w:rFonts w:ascii="Arial" w:hAnsi="Arial" w:eastAsia="Arial" w:cs="Arial"/>
        <w:sz w:val="22"/>
        <w:szCs w:val="22"/>
        <w:color w:val="999999"/>
        <w:spacing w:val="12"/>
      </w:rPr>
      <w:t xml:space="preserve"> </w:t>
    </w:r>
    <w:r>
      <w:rPr>
        <w:rFonts w:ascii="Arial" w:hAnsi="Arial" w:eastAsia="Arial" w:cs="Arial"/>
        <w:sz w:val="22"/>
        <w:szCs w:val="22"/>
        <w:color w:val="999999"/>
        <w:spacing w:val="12"/>
      </w:rPr>
      <w:t>//w</w:t>
    </w:r>
    <w:r>
      <w:rPr>
        <w:rFonts w:ascii="Arial" w:hAnsi="Arial" w:eastAsia="Arial" w:cs="Arial"/>
        <w:sz w:val="22"/>
        <w:szCs w:val="22"/>
        <w:color w:val="999999"/>
        <w:spacing w:val="5"/>
      </w:rPr>
      <w:t xml:space="preserve">  </w:t>
    </w:r>
    <w:r>
      <w:rPr>
        <w:rFonts w:ascii="Arial" w:hAnsi="Arial" w:eastAsia="Arial" w:cs="Arial"/>
        <w:sz w:val="22"/>
        <w:szCs w:val="22"/>
        <w:color w:val="999999"/>
        <w:spacing w:val="12"/>
      </w:rPr>
      <w:t>,</w:t>
    </w:r>
    <w:r>
      <w:rPr>
        <w:rFonts w:ascii="Arial" w:hAnsi="Arial" w:eastAsia="Arial" w:cs="Arial"/>
        <w:sz w:val="22"/>
        <w:szCs w:val="22"/>
        <w:color w:val="999999"/>
        <w:spacing w:val="35"/>
      </w:rPr>
      <w:t xml:space="preserve"> </w:t>
    </w:r>
    <w:r>
      <w:rPr>
        <w:rFonts w:ascii="Arial" w:hAnsi="Arial" w:eastAsia="Arial" w:cs="Arial"/>
        <w:sz w:val="22"/>
        <w:szCs w:val="22"/>
        <w:color w:val="999999"/>
      </w:rPr>
      <w:t>cxnk</w:t>
    </w:r>
    <w:r>
      <w:rPr>
        <w:rFonts w:ascii="Arial" w:hAnsi="Arial" w:eastAsia="Arial" w:cs="Arial"/>
        <w:sz w:val="22"/>
        <w:szCs w:val="22"/>
        <w:color w:val="999999"/>
        <w:spacing w:val="12"/>
      </w:rPr>
      <w:t>:i.</w:t>
    </w:r>
    <w:r>
      <w:rPr>
        <w:rFonts w:ascii="Arial" w:hAnsi="Arial" w:eastAsia="Arial" w:cs="Arial"/>
        <w:sz w:val="22"/>
        <w:szCs w:val="22"/>
        <w:color w:val="999999"/>
        <w:spacing w:val="12"/>
      </w:rPr>
      <w:t xml:space="preserve"> </w:t>
    </w:r>
    <w:r>
      <w:rPr>
        <w:rFonts w:ascii="Arial" w:hAnsi="Arial" w:eastAsia="Arial" w:cs="Arial"/>
        <w:sz w:val="22"/>
        <w:szCs w:val="22"/>
        <w:color w:val="999999"/>
      </w:rPr>
      <w:t>net</w: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2410"/>
      <w:spacing w:before="34" w:line="242" w:lineRule="auto"/>
      <w:rPr>
        <w:sz w:val="18"/>
        <w:szCs w:val="18"/>
      </w:rPr>
    </w:pPr>
    <w:r>
      <w:rPr>
        <w:sz w:val="18"/>
        <w:szCs w:val="18"/>
        <w:color w:val="231F20"/>
        <w:spacing w:val="-2"/>
      </w:rPr>
      <w:t>Chinese Journal of</w:t>
    </w:r>
    <w:r>
      <w:rPr>
        <w:sz w:val="18"/>
        <w:szCs w:val="18"/>
        <w:color w:val="231F20"/>
        <w:spacing w:val="-21"/>
      </w:rPr>
      <w:t xml:space="preserve"> </w:t>
    </w:r>
    <w:r>
      <w:rPr>
        <w:sz w:val="18"/>
        <w:szCs w:val="18"/>
        <w:color w:val="231F20"/>
        <w:spacing w:val="-2"/>
      </w:rPr>
      <w:t>Drug Abuse</w:t>
    </w:r>
    <w:r>
      <w:rPr>
        <w:sz w:val="18"/>
        <w:szCs w:val="18"/>
        <w:color w:val="231F20"/>
        <w:spacing w:val="-3"/>
      </w:rPr>
      <w:t xml:space="preserve"> prevention and Treatment 2024.</w:t>
    </w:r>
    <w:r>
      <w:rPr>
        <w:sz w:val="18"/>
        <w:szCs w:val="18"/>
        <w:color w:val="231F20"/>
        <w:spacing w:val="32"/>
        <w:w w:val="101"/>
      </w:rPr>
      <w:t xml:space="preserve"> </w:t>
    </w:r>
    <w:r>
      <w:rPr>
        <w:sz w:val="18"/>
        <w:szCs w:val="18"/>
        <w:color w:val="231F20"/>
        <w:spacing w:val="-3"/>
      </w:rPr>
      <w:t>Vol.</w:t>
    </w:r>
    <w:r>
      <w:rPr>
        <w:sz w:val="18"/>
        <w:szCs w:val="18"/>
        <w:color w:val="231F20"/>
        <w:spacing w:val="38"/>
      </w:rPr>
      <w:t xml:space="preserve"> </w:t>
    </w:r>
    <w:r>
      <w:rPr>
        <w:sz w:val="18"/>
        <w:szCs w:val="18"/>
        <w:color w:val="231F20"/>
        <w:spacing w:val="-3"/>
      </w:rPr>
      <w:t>30,</w:t>
    </w:r>
    <w:r>
      <w:rPr>
        <w:sz w:val="18"/>
        <w:szCs w:val="18"/>
        <w:color w:val="231F20"/>
        <w:spacing w:val="33"/>
        <w:w w:val="101"/>
      </w:rPr>
      <w:t xml:space="preserve"> </w:t>
    </w:r>
    <w:r>
      <w:rPr>
        <w:sz w:val="18"/>
        <w:szCs w:val="18"/>
        <w:color w:val="231F20"/>
        <w:spacing w:val="-3"/>
      </w:rPr>
      <w:t>No.12</w:t>
    </w:r>
  </w:p>
  <w:p>
    <w:pPr>
      <w:ind w:firstLine="588"/>
      <w:spacing w:before="59" w:line="48" w:lineRule="exact"/>
      <w:rPr/>
    </w:pPr>
    <w:r>
      <w:rPr>
        <w:position w:val="-1"/>
      </w:rPr>
      <w:pict>
        <v:shape id="_x0000_s2" style="mso-position-vertical-relative:line;mso-position-horizontal-relative:char;width:479.1pt;height:2.95pt;" filled="false" strokecolor="#231F20" strokeweight="0.45pt" coordsize="9582,59" coordorigin="0,0" path="m0,53l9581,53m0,4l9581,4e">
          <v:stroke joinstyle="miter" miterlimit="4"/>
        </v:shape>
      </w:pict>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3657"/>
      <w:spacing w:before="51" w:line="180" w:lineRule="auto"/>
      <w:rPr>
        <w:rFonts w:ascii="Microsoft YaHei" w:hAnsi="Microsoft YaHei" w:eastAsia="Microsoft YaHei" w:cs="Microsoft YaHei"/>
        <w:sz w:val="18"/>
        <w:szCs w:val="18"/>
      </w:rPr>
    </w:pPr>
    <w:r>
      <w:rPr>
        <w:rFonts w:ascii="Microsoft YaHei" w:hAnsi="Microsoft YaHei" w:eastAsia="Microsoft YaHei" w:cs="Microsoft YaHei"/>
        <w:sz w:val="18"/>
        <w:szCs w:val="18"/>
        <w:color w:val="231F20"/>
        <w:spacing w:val="-2"/>
      </w:rPr>
      <w:t>中国药物滥用防治杂志      </w:t>
    </w:r>
    <w:r>
      <w:rPr>
        <w:sz w:val="18"/>
        <w:szCs w:val="18"/>
        <w:color w:val="231F20"/>
        <w:spacing w:val="-2"/>
      </w:rPr>
      <w:t>2024 </w:t>
    </w:r>
    <w:r>
      <w:rPr>
        <w:rFonts w:ascii="Microsoft YaHei" w:hAnsi="Microsoft YaHei" w:eastAsia="Microsoft YaHei" w:cs="Microsoft YaHei"/>
        <w:sz w:val="18"/>
        <w:szCs w:val="18"/>
        <w:color w:val="231F20"/>
        <w:spacing w:val="-2"/>
      </w:rPr>
      <w:t>年第 </w:t>
    </w:r>
    <w:r>
      <w:rPr>
        <w:sz w:val="18"/>
        <w:szCs w:val="18"/>
        <w:color w:val="231F20"/>
        <w:spacing w:val="-2"/>
      </w:rPr>
      <w:t>30 </w:t>
    </w:r>
    <w:r>
      <w:rPr>
        <w:rFonts w:ascii="Microsoft YaHei" w:hAnsi="Microsoft YaHei" w:eastAsia="Microsoft YaHei" w:cs="Microsoft YaHei"/>
        <w:sz w:val="18"/>
        <w:szCs w:val="18"/>
        <w:color w:val="231F20"/>
        <w:spacing w:val="-2"/>
      </w:rPr>
      <w:t>卷</w:t>
    </w:r>
    <w:r>
      <w:rPr>
        <w:rFonts w:ascii="Microsoft YaHei" w:hAnsi="Microsoft YaHei" w:eastAsia="Microsoft YaHei" w:cs="Microsoft YaHei"/>
        <w:sz w:val="18"/>
        <w:szCs w:val="18"/>
        <w:color w:val="231F20"/>
        <w:spacing w:val="10"/>
      </w:rPr>
      <w:t xml:space="preserve">   </w:t>
    </w:r>
    <w:r>
      <w:rPr>
        <w:rFonts w:ascii="Microsoft YaHei" w:hAnsi="Microsoft YaHei" w:eastAsia="Microsoft YaHei" w:cs="Microsoft YaHei"/>
        <w:sz w:val="18"/>
        <w:szCs w:val="18"/>
        <w:color w:val="231F20"/>
        <w:spacing w:val="-2"/>
      </w:rPr>
      <w:t>第</w:t>
    </w:r>
    <w:r>
      <w:rPr>
        <w:rFonts w:ascii="Microsoft YaHei" w:hAnsi="Microsoft YaHei" w:eastAsia="Microsoft YaHei" w:cs="Microsoft YaHei"/>
        <w:sz w:val="18"/>
        <w:szCs w:val="18"/>
        <w:color w:val="231F20"/>
        <w:spacing w:val="14"/>
      </w:rPr>
      <w:t xml:space="preserve"> </w:t>
    </w:r>
    <w:r>
      <w:rPr>
        <w:sz w:val="18"/>
        <w:szCs w:val="18"/>
        <w:color w:val="231F20"/>
        <w:spacing w:val="-2"/>
      </w:rPr>
      <w:t>12 </w:t>
    </w:r>
    <w:r>
      <w:rPr>
        <w:rFonts w:ascii="Microsoft YaHei" w:hAnsi="Microsoft YaHei" w:eastAsia="Microsoft YaHei" w:cs="Microsoft YaHei"/>
        <w:sz w:val="18"/>
        <w:szCs w:val="18"/>
        <w:color w:val="231F20"/>
        <w:spacing w:val="-2"/>
      </w:rPr>
      <w:t>期</w:t>
    </w:r>
  </w:p>
  <w:p>
    <w:pPr>
      <w:ind w:firstLine="871"/>
      <w:spacing w:before="32" w:line="49" w:lineRule="exact"/>
      <w:rPr/>
    </w:pPr>
    <w:r>
      <w:rPr>
        <w:position w:val="-1"/>
      </w:rPr>
      <w:pict>
        <v:shape id="_x0000_s14" style="mso-position-vertical-relative:line;mso-position-horizontal-relative:char;width:479.1pt;height:2.95pt;" filled="false" strokecolor="#231F20" strokeweight="0.45pt" coordsize="9582,59" coordorigin="0,0" path="m0,53l9581,53m0,4l9581,4e">
          <v:stroke joinstyle="miter" miterlimit="4"/>
        </v:shape>
      </w:pict>
    </w:r>
  </w:p>
</w:hdr>
</file>

<file path=word/settings.xml><?xml version="1.0" encoding="utf-8"?>
<w:settings xmlns:w="http://schemas.openxmlformats.org/wordprocessingml/2006/main">
  <w:displayBackgroundShape/>
  <w:characterSpacingControl w:val="doNotCompress"/>
  <w:compat>
    <w:spaceForUL/>
    <w:ulTrailSpace/>
    <w:compatSetting w:name="compatibilityMode" w:uri="http://schemas.microsoft.com/office/word" w:val="14"/>
  </w:compa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0="urn:schemas-microsoft-com:office:word" xmlns:sl="http://schemas.openxmlformats.org/schemaLibrary/2006/main" xmlns:w14="http://schemas.microsoft.com/office/word/2010/wordml" mc:Ignorable="w14">
  <w:docDefaults>
    <w:rPrDefault>
      <w:rPr>
        <w:rFonts w:ascii="Arial" w:hAnsi="Arial" w:eastAsia="Arial" w:cs="Arial"/>
        <w:sz w:val="21"/>
        <w:szCs w:val="21"/>
        <w:lang w:val="en-US" w:eastAsia="en-US" w:bidi="ar-SA"/>
        <w:color w:val="000000"/>
        <w:kern w:val="0"/>
        <w:snapToGrid w:val="0"/>
      </w:rPr>
    </w:rPrDefault>
  </w:docDefaults>
  <w:style w:type="paragraph" w:styleId="Normal" w:default="1">
    <w:name w:val="Normal"/>
    <w:semiHidden/>
    <w:qFormat/>
    <w:pPr>
      <w:spacing w:line="240" w:lineRule="auto"/>
      <w:jc w:val="left"/>
      <w:autoSpaceDE w:val="0"/>
      <w:autoSpaceDN w:val="0"/>
      <w:adjustRightInd w:val="0"/>
      <w:snapToGrid w:val="0"/>
      <w:kinsoku w:val="0"/>
      <w:textAlignment w:val="baseline"/>
    </w:pPr>
    <w:rPr>
      <w:color w:val="000000"/>
      <w:kern w:val="0"/>
      <w:snapToGrid w:val="0"/>
      <w:noProof w:val="1"/>
    </w:rPr>
  </w:style>
  <w:style w:type="table" w:styleId="TableNormal" w:default="1">
    <w:name w:val="Table Normal"/>
    <w:semiHidden/>
    <w:unhideWhenUsed/>
    <w:qFormat/>
    <w:tblPr>
      <w:tblCellMar>
        <w:left w:w="0" w:type="dxa"/>
        <w:right w:w="0" w:type="dxa"/>
        <w:bottom w:w="0" w:type="dxa"/>
        <w:top w:w="0" w:type="dxa"/>
      </w:tblCellMar>
    </w:tblPr>
  </w:style>
  <w:style w:type="paragraph" w:styleId="BodyText">
    <w:name w:val="Body Text"/>
    <w:basedOn w:val="Normal"/>
    <w:semiHidden/>
    <w:qFormat/>
    <w:pPr/>
    <w:rPr>
      <w:rFonts w:ascii="Times New Roman" w:hAnsi="Times New Roman" w:eastAsia="Times New Roman" w:cs="Times New Roman"/>
      <w:sz w:val="15"/>
      <w:szCs w:val="15"/>
      <w:lang w:val="en-US" w:eastAsia="en-US" w:bidi="ar-SA"/>
    </w:rPr>
  </w:style>
  <w:style w:type="paragraph" w:styleId="TableText">
    <w:name w:val="Table Text"/>
    <w:basedOn w:val="Normal"/>
    <w:semiHidden/>
    <w:qFormat/>
    <w:pPr/>
    <w:rPr>
      <w:rFonts w:ascii="Times New Roman" w:hAnsi="Times New Roman" w:eastAsia="Times New Roman" w:cs="Times New Roman"/>
      <w:sz w:val="12"/>
      <w:szCs w:val="12"/>
      <w:lang w:val="en-US" w:eastAsia="en-US" w:bidi="ar-SA"/>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image" Target="media/image2.png"/><Relationship Id="rId4" Type="http://schemas.openxmlformats.org/officeDocument/2006/relationships/footer" Target="footer1.xml"/><Relationship Id="rId3" Type="http://schemas.openxmlformats.org/officeDocument/2006/relationships/header" Target="header2.xml"/><Relationship Id="rId2" Type="http://schemas.openxmlformats.org/officeDocument/2006/relationships/image" Target="media/image1.png"/><Relationship Id="rId1" Type="http://schemas.openxmlformats.org/officeDocument/2006/relationships/header" Target="header1.xml"/></Relationships>
</file>

<file path=docProps/app.xml><?xml version="1.0" encoding="utf-8"?>
<ap:Properties xmlns:vt="http://schemas.openxmlformats.org/officeDocument/2006/docPropsVTypes" xmlns:ap="http://schemas.openxmlformats.org/officeDocument/2006/extended-properties">
  <ap:Application>ReaderEx_DIS 2.6.0 Build 4111</ap:Application>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CNKI</dc:creator>
  <dcterms:created xsi:type="dcterms:W3CDTF">2025-01-26T13:44:55Z</dcterms:creat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O">
    <vt:lpwstr>wqlLaW5nc29mdCBQREYgdG8gV1BTIDExMA</vt:lpwstr>
  </property>
  <property fmtid="{D5CDD505-2E9C-101B-9397-08002B2CF9AE}" pid="3" name="Created">
    <vt:filetime>2025-10-28T21:32:31</vt:filetime>
  </property>
</Properties>
</file>