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7395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sz w:val="11"/>
          <w:szCs w:val="11"/>
          <w:color w:val="231F20"/>
          <w:position w:val="-5"/>
        </w:rPr>
        <w:t>China</w:t>
      </w:r>
      <w:r>
        <w:rPr>
          <w:sz w:val="11"/>
          <w:szCs w:val="11"/>
          <w:color w:val="231F20"/>
          <w:spacing w:val="13"/>
          <w:position w:val="-5"/>
        </w:rPr>
        <w:t xml:space="preserve"> &amp;</w:t>
      </w:r>
      <w:r>
        <w:rPr>
          <w:sz w:val="11"/>
          <w:szCs w:val="11"/>
          <w:color w:val="231F20"/>
          <w:position w:val="-5"/>
        </w:rPr>
        <w:t>Foreign</w:t>
      </w:r>
      <w:r>
        <w:rPr>
          <w:sz w:val="11"/>
          <w:szCs w:val="11"/>
          <w:color w:val="231F20"/>
          <w:spacing w:val="13"/>
          <w:w w:val="101"/>
          <w:position w:val="-5"/>
        </w:rPr>
        <w:t xml:space="preserve"> </w:t>
      </w:r>
      <w:r>
        <w:rPr>
          <w:sz w:val="11"/>
          <w:szCs w:val="11"/>
          <w:color w:val="231F20"/>
          <w:position w:val="-5"/>
        </w:rPr>
        <w:t>Medi</w:t>
      </w:r>
      <w:r>
        <w:rPr>
          <w:sz w:val="11"/>
          <w:szCs w:val="11"/>
          <w:position w:val="-3"/>
        </w:rPr>
        <w:drawing>
          <wp:inline distT="0" distB="0" distL="0" distR="0">
            <wp:extent cx="484527" cy="17778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527" cy="1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231F20"/>
          <w:sz w:val="11"/>
          <w:szCs w:val="11"/>
          <w:color w:val="231F20"/>
          <w:spacing w:val="6"/>
          <w:position w:val="-5"/>
        </w:rPr>
        <w:t xml:space="preserve">   </w:t>
      </w:r>
      <w:r>
        <w:rPr>
          <w:shd w:val="clear" w:fill="231F20"/>
          <w:rFonts w:ascii="SimHei" w:hAnsi="SimHei" w:eastAsia="SimHei" w:cs="SimHei"/>
          <w:sz w:val="23"/>
          <w:szCs w:val="23"/>
          <w:color w:val="FFFFFF"/>
          <w:spacing w:val="13"/>
          <w:position w:val="-1"/>
        </w:rPr>
        <w:t>中外医疗</w:t>
      </w:r>
      <w:r>
        <w:rPr>
          <w:shd w:val="clear" w:fill="231F20"/>
          <w:rFonts w:ascii="SimHei" w:hAnsi="SimHei" w:eastAsia="SimHei" w:cs="SimHei"/>
          <w:sz w:val="23"/>
          <w:szCs w:val="23"/>
          <w:color w:val="FFFFFF"/>
          <w:position w:val="-1"/>
        </w:rPr>
        <w:t xml:space="preserve"> </w:t>
      </w:r>
    </w:p>
    <w:p>
      <w:pPr>
        <w:pStyle w:val="BodyText"/>
        <w:ind w:left="718" w:right="2" w:firstLine="452"/>
        <w:spacing w:before="2" w:line="266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床  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3"/>
        </w:rPr>
        <w:t>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     </w:t>
      </w:r>
      <w:r>
        <w:rPr>
          <w:rFonts w:ascii="Microsoft YaHei" w:hAnsi="Microsoft YaHei" w:eastAsia="Microsoft YaHei" w:cs="Microsoft YaHei"/>
          <w:sz w:val="21"/>
          <w:szCs w:val="21"/>
          <w:strike/>
          <w:color w:val="231F20"/>
          <w:spacing w:val="1"/>
        </w:rPr>
        <w:t xml:space="preserve">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strike/>
          <w:color w:val="231F20"/>
        </w:rPr>
        <w:t xml:space="preserve">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-4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：</w:t>
      </w:r>
      <w:r>
        <w:rPr>
          <w:sz w:val="17"/>
          <w:szCs w:val="17"/>
          <w:color w:val="231F20"/>
          <w:spacing w:val="-4"/>
        </w:rPr>
        <w:t>10.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4"/>
        </w:rPr>
        <w:t>16662/j.cnki.1674-0742.2024.30.0</w:t>
      </w:r>
      <w:r>
        <w:rPr>
          <w:sz w:val="17"/>
          <w:szCs w:val="17"/>
          <w:color w:val="231F20"/>
          <w:spacing w:val="-5"/>
        </w:rPr>
        <w:t>37</w:t>
      </w:r>
    </w:p>
    <w:p>
      <w:pPr>
        <w:ind w:left="1525" w:right="332" w:hanging="467"/>
        <w:spacing w:before="366" w:line="183" w:lineRule="auto"/>
        <w:outlineLvl w:val="0"/>
        <w:rPr>
          <w:rFonts w:ascii="Microsoft YaHei" w:hAnsi="Microsoft YaHei" w:eastAsia="Microsoft YaHei" w:cs="Microsoft Ya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21"/>
        </w:rPr>
        <w:t>经脐单孔法行腹腔镜阑尾切除术和开腹阑尾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45"/>
          <w:szCs w:val="45"/>
          <w:color w:val="231F20"/>
          <w:spacing w:val="21"/>
        </w:rPr>
        <w:t>切除术治疗阑尾炎的临床疗效对比研究</w:t>
      </w:r>
    </w:p>
    <w:p>
      <w:pPr>
        <w:ind w:left="4603"/>
        <w:spacing w:before="309" w:line="20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尤建源，尤丽琼，徐晓军</w:t>
      </w:r>
    </w:p>
    <w:p>
      <w:pPr>
        <w:pStyle w:val="BodyText"/>
        <w:ind w:left="3783"/>
        <w:spacing w:before="60" w:line="204" w:lineRule="auto"/>
        <w:rPr/>
      </w:pPr>
      <w:r>
        <w:rPr>
          <w:rFonts w:ascii="Microsoft YaHei" w:hAnsi="Microsoft YaHei" w:eastAsia="Microsoft YaHei" w:cs="Microsoft YaHei"/>
          <w:color w:val="231F20"/>
          <w:spacing w:val="3"/>
        </w:rPr>
        <w:t>永春县中医院普外科，福建  泉州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  </w:t>
      </w:r>
      <w:r>
        <w:rPr>
          <w:color w:val="231F20"/>
          <w:spacing w:val="3"/>
        </w:rPr>
        <w:t>3626</w:t>
      </w:r>
      <w:r>
        <w:rPr>
          <w:color w:val="231F20"/>
          <w:spacing w:val="2"/>
        </w:rPr>
        <w:t>00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1136" w:right="353" w:hanging="71"/>
        <w:spacing w:before="78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13"/>
        </w:rPr>
        <w:t>［摘要］目的</w:t>
      </w:r>
      <w:r>
        <w:rPr>
          <w:rFonts w:ascii="SimHei" w:hAnsi="SimHei" w:eastAsia="SimHei" w:cs="Sim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分析经脐单孔法行腹腔镜阑尾切除术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、</w:t>
      </w:r>
      <w:r>
        <w:rPr>
          <w:rFonts w:ascii="Microsoft YaHei" w:hAnsi="Microsoft YaHei" w:eastAsia="Microsoft YaHei" w:cs="Microsoft YaHei"/>
          <w:color w:val="231F20"/>
          <w:spacing w:val="12"/>
        </w:rPr>
        <w:t>开腹阑尾切除术治疗阑尾炎的临床效果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。</w:t>
      </w:r>
      <w:r>
        <w:rPr>
          <w:rFonts w:ascii="SimHei" w:hAnsi="SimHei" w:eastAsia="SimHei" w:cs="SimHei"/>
          <w:color w:val="231F20"/>
          <w:spacing w:val="12"/>
        </w:rPr>
        <w:t>方法</w:t>
      </w:r>
      <w:r>
        <w:rPr>
          <w:rFonts w:ascii="SimHei" w:hAnsi="SimHei" w:eastAsia="SimHei" w:cs="Sim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选取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8"/>
        </w:rPr>
        <w:t>2022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年 </w:t>
      </w:r>
      <w:r>
        <w:rPr>
          <w:color w:val="231F20"/>
          <w:spacing w:val="8"/>
        </w:rPr>
        <w:t>1 </w:t>
      </w:r>
      <w:r>
        <w:rPr>
          <w:rFonts w:ascii="Microsoft YaHei" w:hAnsi="Microsoft YaHei" w:eastAsia="Microsoft YaHei" w:cs="Microsoft YaHei"/>
          <w:color w:val="231F20"/>
          <w:spacing w:val="8"/>
        </w:rPr>
        <w:t>月—</w:t>
      </w:r>
      <w:r>
        <w:rPr>
          <w:color w:val="231F20"/>
          <w:spacing w:val="8"/>
        </w:rPr>
        <w:t>2023</w:t>
      </w:r>
      <w:r>
        <w:rPr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年</w:t>
      </w:r>
      <w:r>
        <w:rPr>
          <w:color w:val="231F20"/>
          <w:spacing w:val="8"/>
        </w:rPr>
        <w:t>12 </w:t>
      </w:r>
      <w:r>
        <w:rPr>
          <w:rFonts w:ascii="Microsoft YaHei" w:hAnsi="Microsoft YaHei" w:eastAsia="Microsoft YaHei" w:cs="Microsoft YaHei"/>
          <w:color w:val="231F20"/>
          <w:spacing w:val="8"/>
        </w:rPr>
        <w:t>月永春县中医院普外科收治的</w:t>
      </w:r>
      <w:r>
        <w:rPr>
          <w:color w:val="231F20"/>
          <w:spacing w:val="8"/>
        </w:rPr>
        <w:t>152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例阑尾炎患者为研究对象，以不同手</w:t>
      </w:r>
      <w:r>
        <w:rPr>
          <w:rFonts w:ascii="Microsoft YaHei" w:hAnsi="Microsoft YaHei" w:eastAsia="Microsoft YaHei" w:cs="Microsoft YaHei"/>
          <w:color w:val="231F20"/>
          <w:spacing w:val="7"/>
        </w:rPr>
        <w:t>术方式分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为对照组和观察组，各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10"/>
        </w:rPr>
        <w:t>76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例，对照组采用开腹阑尾</w:t>
      </w:r>
      <w:r>
        <w:rPr>
          <w:rFonts w:ascii="Microsoft YaHei" w:hAnsi="Microsoft YaHei" w:eastAsia="Microsoft YaHei" w:cs="Microsoft YaHei"/>
          <w:color w:val="231F20"/>
          <w:spacing w:val="9"/>
        </w:rPr>
        <w:t>切除术，观察组采用经脐单孔法行腹腔镜阑尾切除术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。</w:t>
      </w:r>
    </w:p>
    <w:p>
      <w:pPr>
        <w:pStyle w:val="BodyText"/>
        <w:ind w:left="1060" w:right="423" w:firstLine="75"/>
        <w:spacing w:before="4" w:line="243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1"/>
        </w:rPr>
        <w:t>分析两组的围手术期指标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、术后并发症和炎性因子水平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</w:t>
      </w:r>
      <w:r>
        <w:rPr>
          <w:rFonts w:ascii="SimHei" w:hAnsi="SimHei" w:eastAsia="SimHei" w:cs="SimHei"/>
          <w:color w:val="231F20"/>
          <w:spacing w:val="11"/>
        </w:rPr>
        <w:t>结果</w:t>
      </w:r>
      <w:r>
        <w:rPr>
          <w:rFonts w:ascii="SimHei" w:hAnsi="SimHei" w:eastAsia="SimHei" w:cs="Sim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观察组的手术时间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、术后下床时间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、术后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首次排气时间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、肠鸣音恢复时间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、进食恢复时间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、住院时间短于对照组，术中出血量少于对照组，差异有统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计学意义（</w:t>
      </w:r>
      <w:r>
        <w:rPr>
          <w:i/>
          <w:iCs/>
          <w:color w:val="231F20"/>
          <w:spacing w:val="5"/>
        </w:rPr>
        <w:t>P</w:t>
      </w:r>
      <w:r>
        <w:rPr>
          <w:i/>
          <w:iCs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均</w:t>
      </w:r>
      <w:r>
        <w:rPr>
          <w:color w:val="231F20"/>
          <w:spacing w:val="5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5"/>
        </w:rPr>
        <w:t>）。 术后，两组患者的炎性因子水平均降低，且观察组低于对照组，差异有统计学意义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1"/>
        </w:rPr>
        <w:t>）。 观察组术后并发症发生率为 </w:t>
      </w:r>
      <w:r>
        <w:rPr>
          <w:color w:val="231F20"/>
          <w:spacing w:val="1"/>
        </w:rPr>
        <w:t>1.32%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color w:val="231F20"/>
          <w:spacing w:val="1"/>
        </w:rPr>
        <w:t>1/76</w:t>
      </w:r>
      <w:r>
        <w:rPr>
          <w:rFonts w:ascii="Microsoft YaHei" w:hAnsi="Microsoft YaHei" w:eastAsia="Microsoft YaHei" w:cs="Microsoft YaHei"/>
          <w:color w:val="231F20"/>
          <w:spacing w:val="-27"/>
          <w:w w:val="63"/>
        </w:rPr>
        <w:t>），</w:t>
      </w:r>
      <w:r>
        <w:rPr>
          <w:rFonts w:ascii="Microsoft YaHei" w:hAnsi="Microsoft YaHei" w:eastAsia="Microsoft YaHei" w:cs="Microsoft YaHei"/>
          <w:color w:val="231F20"/>
          <w:spacing w:val="1"/>
        </w:rPr>
        <w:t>低于对照组的 </w:t>
      </w:r>
      <w:r>
        <w:rPr>
          <w:color w:val="231F20"/>
          <w:spacing w:val="1"/>
        </w:rPr>
        <w:t>10.53%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color w:val="231F20"/>
          <w:spacing w:val="1"/>
        </w:rPr>
        <w:t>8/76</w:t>
      </w:r>
      <w:r>
        <w:rPr>
          <w:rFonts w:ascii="Microsoft YaHei" w:hAnsi="Microsoft YaHei" w:eastAsia="Microsoft YaHei" w:cs="Microsoft YaHei"/>
          <w:color w:val="231F20"/>
          <w:spacing w:val="-27"/>
          <w:w w:val="63"/>
        </w:rPr>
        <w:t>），</w:t>
      </w:r>
      <w:r>
        <w:rPr>
          <w:rFonts w:ascii="Microsoft YaHei" w:hAnsi="Microsoft YaHei" w:eastAsia="Microsoft YaHei" w:cs="Microsoft YaHei"/>
          <w:color w:val="231F20"/>
          <w:spacing w:val="1"/>
        </w:rPr>
        <w:t>差异有统计学意义(</w:t>
      </w:r>
      <w:r>
        <w:rPr>
          <w:color w:val="231F20"/>
          <w:spacing w:val="1"/>
        </w:rPr>
        <w:t>χ</w:t>
      </w:r>
      <w:r>
        <w:rPr>
          <w:sz w:val="10"/>
          <w:szCs w:val="10"/>
          <w:color w:val="231F20"/>
          <w:spacing w:val="1"/>
          <w:position w:val="7"/>
        </w:rPr>
        <w:t>2</w:t>
      </w:r>
      <w:r>
        <w:rPr>
          <w:color w:val="231F20"/>
          <w:spacing w:val="1"/>
        </w:rPr>
        <w:t>=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4.252</w:t>
      </w:r>
      <w:r>
        <w:rPr>
          <w:rFonts w:ascii="Microsoft YaHei" w:hAnsi="Microsoft YaHei" w:eastAsia="Microsoft YaHei" w:cs="Microsoft YaHei"/>
          <w:color w:val="231F20"/>
          <w:spacing w:val="9"/>
        </w:rPr>
        <w:t>，</w:t>
      </w:r>
      <w:r>
        <w:rPr>
          <w:i/>
          <w:iCs/>
          <w:color w:val="231F20"/>
          <w:spacing w:val="9"/>
        </w:rPr>
        <w:t>P</w:t>
      </w:r>
      <w:r>
        <w:rPr>
          <w:color w:val="231F20"/>
          <w:spacing w:val="9"/>
        </w:rPr>
        <w:t>&lt;0.05</w:t>
      </w:r>
      <w:r>
        <w:rPr>
          <w:rFonts w:ascii="Microsoft YaHei" w:hAnsi="Microsoft YaHei" w:eastAsia="Microsoft YaHei" w:cs="Microsoft YaHei"/>
          <w:color w:val="231F20"/>
          <w:spacing w:val="9"/>
        </w:rPr>
        <w:t>）。</w:t>
      </w:r>
      <w:r>
        <w:rPr>
          <w:rFonts w:ascii="Microsoft YaHei" w:hAnsi="Microsoft YaHei" w:eastAsia="Microsoft YaHei" w:cs="Microsoft YaHei"/>
          <w:color w:val="231F20"/>
          <w:spacing w:val="19"/>
        </w:rPr>
        <w:t xml:space="preserve"> </w:t>
      </w:r>
      <w:r>
        <w:rPr>
          <w:rFonts w:ascii="SimHei" w:hAnsi="SimHei" w:eastAsia="SimHei" w:cs="SimHei"/>
          <w:color w:val="231F20"/>
          <w:spacing w:val="9"/>
        </w:rPr>
        <w:t>结论</w:t>
      </w:r>
      <w:r>
        <w:rPr>
          <w:rFonts w:ascii="SimHei" w:hAnsi="SimHei" w:eastAsia="SimHei" w:cs="Sim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阑尾炎患者采用经脐单孔法行腹腔镜阑尾切</w:t>
      </w:r>
      <w:r>
        <w:rPr>
          <w:rFonts w:ascii="Microsoft YaHei" w:hAnsi="Microsoft YaHei" w:eastAsia="Microsoft YaHei" w:cs="Microsoft YaHei"/>
          <w:color w:val="231F20"/>
          <w:spacing w:val="8"/>
        </w:rPr>
        <w:t>除术效果理想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，可加速患者术后恢复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进程，在降低并发症发生风险的同时有效减轻机体炎性因子水平，具有较高的临床价值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。</w:t>
      </w:r>
    </w:p>
    <w:p>
      <w:pPr>
        <w:ind w:left="1065"/>
        <w:spacing w:line="20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［关键词］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经脐单孔法；腹腔镜阑尾切除术；开腹阑尾切除术；阑尾炎；疗效</w:t>
      </w:r>
    </w:p>
    <w:p>
      <w:pPr>
        <w:pStyle w:val="BodyText"/>
        <w:ind w:left="1065"/>
        <w:spacing w:before="51" w:line="225" w:lineRule="auto"/>
        <w:rPr/>
      </w:pPr>
      <w:r>
        <w:rPr>
          <w:rFonts w:ascii="SimHei" w:hAnsi="SimHei" w:eastAsia="SimHei" w:cs="SimHei"/>
          <w:color w:val="231F20"/>
          <w:spacing w:val="2"/>
        </w:rPr>
        <w:t>［中图分类号］</w:t>
      </w:r>
      <w:r>
        <w:rPr>
          <w:color w:val="231F20"/>
          <w:spacing w:val="2"/>
        </w:rPr>
        <w:t>R656.8        </w:t>
      </w:r>
      <w:r>
        <w:rPr>
          <w:rFonts w:ascii="SimHei" w:hAnsi="SimHei" w:eastAsia="SimHei" w:cs="SimHei"/>
          <w:color w:val="231F20"/>
          <w:spacing w:val="2"/>
        </w:rPr>
        <w:t>［文献标识码］</w:t>
      </w:r>
      <w:r>
        <w:rPr>
          <w:color w:val="231F20"/>
          <w:spacing w:val="2"/>
        </w:rPr>
        <w:t>A         </w:t>
      </w:r>
      <w:r>
        <w:rPr>
          <w:rFonts w:ascii="SimHei" w:hAnsi="SimHei" w:eastAsia="SimHei" w:cs="SimHei"/>
          <w:color w:val="231F20"/>
          <w:spacing w:val="2"/>
        </w:rPr>
        <w:t>［文章编号］</w:t>
      </w:r>
      <w:r>
        <w:rPr>
          <w:color w:val="231F20"/>
          <w:spacing w:val="2"/>
        </w:rPr>
        <w:t>1674-0742</w:t>
      </w:r>
      <w:r>
        <w:rPr>
          <w:rFonts w:ascii="SimHei" w:hAnsi="SimHei" w:eastAsia="SimHei" w:cs="SimHei"/>
          <w:color w:val="231F20"/>
          <w:spacing w:val="2"/>
        </w:rPr>
        <w:t>（</w:t>
      </w:r>
      <w:r>
        <w:rPr>
          <w:color w:val="231F20"/>
          <w:spacing w:val="2"/>
        </w:rPr>
        <w:t>2024</w:t>
      </w:r>
      <w:r>
        <w:rPr>
          <w:rFonts w:ascii="SimHei" w:hAnsi="SimHei" w:eastAsia="SimHei" w:cs="SimHei"/>
          <w:color w:val="231F20"/>
          <w:spacing w:val="2"/>
        </w:rPr>
        <w:t>）</w:t>
      </w:r>
      <w:r>
        <w:rPr>
          <w:color w:val="231F20"/>
          <w:spacing w:val="2"/>
        </w:rPr>
        <w:t>10(c)-0037-04</w:t>
      </w: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1137" w:right="430" w:firstLine="7"/>
        <w:spacing w:before="76" w:line="308" w:lineRule="auto"/>
        <w:jc w:val="both"/>
        <w:rPr>
          <w:sz w:val="26"/>
          <w:szCs w:val="26"/>
        </w:rPr>
      </w:pPr>
      <w:r>
        <w:rPr>
          <w:sz w:val="26"/>
          <w:szCs w:val="26"/>
          <w:color w:val="231F20"/>
          <w:spacing w:val="4"/>
        </w:rPr>
        <w:t>Comparative</w:t>
      </w:r>
      <w:r>
        <w:rPr>
          <w:sz w:val="26"/>
          <w:szCs w:val="26"/>
          <w:color w:val="231F20"/>
          <w:spacing w:val="52"/>
          <w:w w:val="101"/>
        </w:rPr>
        <w:t xml:space="preserve"> </w:t>
      </w:r>
      <w:r>
        <w:rPr>
          <w:sz w:val="26"/>
          <w:szCs w:val="26"/>
          <w:color w:val="231F20"/>
          <w:spacing w:val="4"/>
        </w:rPr>
        <w:t>Study</w:t>
      </w:r>
      <w:r>
        <w:rPr>
          <w:sz w:val="26"/>
          <w:szCs w:val="26"/>
          <w:color w:val="231F20"/>
          <w:spacing w:val="50"/>
          <w:w w:val="101"/>
        </w:rPr>
        <w:t xml:space="preserve"> </w:t>
      </w:r>
      <w:r>
        <w:rPr>
          <w:sz w:val="26"/>
          <w:szCs w:val="26"/>
          <w:color w:val="231F20"/>
          <w:spacing w:val="4"/>
        </w:rPr>
        <w:t>on</w:t>
      </w:r>
      <w:r>
        <w:rPr>
          <w:sz w:val="26"/>
          <w:szCs w:val="26"/>
          <w:color w:val="231F20"/>
          <w:spacing w:val="49"/>
        </w:rPr>
        <w:t xml:space="preserve"> </w:t>
      </w:r>
      <w:r>
        <w:rPr>
          <w:sz w:val="26"/>
          <w:szCs w:val="26"/>
          <w:color w:val="231F20"/>
          <w:spacing w:val="4"/>
        </w:rPr>
        <w:t>the</w:t>
      </w:r>
      <w:r>
        <w:rPr>
          <w:sz w:val="26"/>
          <w:szCs w:val="26"/>
          <w:color w:val="231F20"/>
          <w:spacing w:val="57"/>
        </w:rPr>
        <w:t xml:space="preserve"> </w:t>
      </w:r>
      <w:r>
        <w:rPr>
          <w:sz w:val="26"/>
          <w:szCs w:val="26"/>
          <w:color w:val="231F20"/>
          <w:spacing w:val="4"/>
        </w:rPr>
        <w:t>Curative</w:t>
      </w:r>
      <w:r>
        <w:rPr>
          <w:sz w:val="26"/>
          <w:szCs w:val="26"/>
          <w:color w:val="231F20"/>
          <w:spacing w:val="48"/>
        </w:rPr>
        <w:t xml:space="preserve"> </w:t>
      </w:r>
      <w:r>
        <w:rPr>
          <w:sz w:val="26"/>
          <w:szCs w:val="26"/>
          <w:color w:val="231F20"/>
          <w:spacing w:val="4"/>
        </w:rPr>
        <w:t>Effect</w:t>
      </w:r>
      <w:r>
        <w:rPr>
          <w:sz w:val="26"/>
          <w:szCs w:val="26"/>
          <w:color w:val="231F20"/>
          <w:spacing w:val="49"/>
        </w:rPr>
        <w:t xml:space="preserve"> </w:t>
      </w:r>
      <w:r>
        <w:rPr>
          <w:sz w:val="26"/>
          <w:szCs w:val="26"/>
          <w:color w:val="231F20"/>
          <w:spacing w:val="4"/>
        </w:rPr>
        <w:t>of</w:t>
      </w:r>
      <w:r>
        <w:rPr>
          <w:sz w:val="26"/>
          <w:szCs w:val="26"/>
          <w:color w:val="231F20"/>
          <w:spacing w:val="36"/>
          <w:w w:val="101"/>
        </w:rPr>
        <w:t xml:space="preserve"> </w:t>
      </w:r>
      <w:r>
        <w:rPr>
          <w:sz w:val="26"/>
          <w:szCs w:val="26"/>
          <w:color w:val="231F20"/>
          <w:spacing w:val="4"/>
        </w:rPr>
        <w:t>Tran</w:t>
      </w:r>
      <w:r>
        <w:rPr>
          <w:sz w:val="26"/>
          <w:szCs w:val="26"/>
          <w:color w:val="231F20"/>
          <w:spacing w:val="3"/>
        </w:rPr>
        <w:t>sumbilical</w:t>
      </w:r>
      <w:r>
        <w:rPr>
          <w:sz w:val="26"/>
          <w:szCs w:val="26"/>
          <w:color w:val="231F20"/>
          <w:spacing w:val="52"/>
        </w:rPr>
        <w:t xml:space="preserve"> </w:t>
      </w:r>
      <w:r>
        <w:rPr>
          <w:sz w:val="26"/>
          <w:szCs w:val="26"/>
          <w:color w:val="231F20"/>
          <w:spacing w:val="3"/>
        </w:rPr>
        <w:t>Single-port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1"/>
        </w:rPr>
        <w:t>Laparoscopic</w:t>
      </w:r>
      <w:r>
        <w:rPr>
          <w:sz w:val="26"/>
          <w:szCs w:val="26"/>
          <w:color w:val="231F20"/>
          <w:spacing w:val="37"/>
          <w:w w:val="101"/>
        </w:rPr>
        <w:t xml:space="preserve"> </w:t>
      </w:r>
      <w:r>
        <w:rPr>
          <w:sz w:val="26"/>
          <w:szCs w:val="26"/>
          <w:color w:val="231F20"/>
          <w:spacing w:val="1"/>
        </w:rPr>
        <w:t>Appendectomy</w:t>
      </w:r>
      <w:r>
        <w:rPr>
          <w:sz w:val="26"/>
          <w:szCs w:val="26"/>
          <w:color w:val="231F20"/>
          <w:spacing w:val="28"/>
          <w:w w:val="101"/>
        </w:rPr>
        <w:t xml:space="preserve"> </w:t>
      </w:r>
      <w:r>
        <w:rPr>
          <w:sz w:val="26"/>
          <w:szCs w:val="26"/>
          <w:color w:val="231F20"/>
          <w:spacing w:val="1"/>
        </w:rPr>
        <w:t>and</w:t>
      </w:r>
      <w:r>
        <w:rPr>
          <w:sz w:val="26"/>
          <w:szCs w:val="26"/>
          <w:color w:val="231F20"/>
          <w:spacing w:val="31"/>
          <w:w w:val="101"/>
        </w:rPr>
        <w:t xml:space="preserve"> </w:t>
      </w:r>
      <w:r>
        <w:rPr>
          <w:sz w:val="26"/>
          <w:szCs w:val="26"/>
          <w:color w:val="231F20"/>
          <w:spacing w:val="1"/>
        </w:rPr>
        <w:t>Open</w:t>
      </w:r>
      <w:r>
        <w:rPr>
          <w:sz w:val="26"/>
          <w:szCs w:val="26"/>
          <w:color w:val="231F20"/>
          <w:spacing w:val="25"/>
        </w:rPr>
        <w:t xml:space="preserve"> </w:t>
      </w:r>
      <w:r>
        <w:rPr>
          <w:sz w:val="26"/>
          <w:szCs w:val="26"/>
          <w:color w:val="231F20"/>
          <w:spacing w:val="1"/>
        </w:rPr>
        <w:t>Appendectomy</w:t>
      </w:r>
      <w:r>
        <w:rPr>
          <w:sz w:val="26"/>
          <w:szCs w:val="26"/>
          <w:color w:val="231F20"/>
          <w:spacing w:val="30"/>
        </w:rPr>
        <w:t xml:space="preserve"> </w:t>
      </w:r>
      <w:r>
        <w:rPr>
          <w:sz w:val="26"/>
          <w:szCs w:val="26"/>
          <w:color w:val="231F20"/>
          <w:spacing w:val="1"/>
        </w:rPr>
        <w:t>Through</w:t>
      </w:r>
      <w:r>
        <w:rPr>
          <w:sz w:val="26"/>
          <w:szCs w:val="26"/>
          <w:color w:val="231F20"/>
          <w:spacing w:val="27"/>
        </w:rPr>
        <w:t xml:space="preserve"> </w:t>
      </w:r>
      <w:r>
        <w:rPr>
          <w:sz w:val="26"/>
          <w:szCs w:val="26"/>
          <w:color w:val="231F20"/>
          <w:spacing w:val="1"/>
        </w:rPr>
        <w:t>Umbilical</w:t>
      </w:r>
      <w:r>
        <w:rPr>
          <w:sz w:val="26"/>
          <w:szCs w:val="26"/>
          <w:color w:val="231F20"/>
        </w:rPr>
        <w:t xml:space="preserve"> </w:t>
      </w:r>
      <w:r>
        <w:rPr>
          <w:sz w:val="26"/>
          <w:szCs w:val="26"/>
          <w:color w:val="231F20"/>
          <w:spacing w:val="3"/>
        </w:rPr>
        <w:t>Single Hole in the Treatment</w:t>
      </w:r>
      <w:r>
        <w:rPr>
          <w:sz w:val="26"/>
          <w:szCs w:val="26"/>
          <w:color w:val="231F20"/>
          <w:spacing w:val="16"/>
        </w:rPr>
        <w:t xml:space="preserve"> </w:t>
      </w:r>
      <w:r>
        <w:rPr>
          <w:sz w:val="26"/>
          <w:szCs w:val="26"/>
          <w:color w:val="231F20"/>
          <w:spacing w:val="3"/>
        </w:rPr>
        <w:t>of Appendicitis</w:t>
      </w:r>
    </w:p>
    <w:p>
      <w:pPr>
        <w:pStyle w:val="BodyText"/>
        <w:ind w:left="1145"/>
        <w:spacing w:before="27" w:line="195" w:lineRule="auto"/>
        <w:rPr/>
      </w:pPr>
      <w:r>
        <w:rPr>
          <w:i/>
          <w:iCs/>
          <w:color w:val="231F20"/>
          <w:spacing w:val="-6"/>
        </w:rPr>
        <w:t>YOU Jianyuan,</w:t>
      </w:r>
      <w:r>
        <w:rPr>
          <w:i/>
          <w:iCs/>
          <w:color w:val="231F20"/>
          <w:spacing w:val="16"/>
        </w:rPr>
        <w:t xml:space="preserve"> </w:t>
      </w:r>
      <w:r>
        <w:rPr>
          <w:i/>
          <w:iCs/>
          <w:color w:val="231F20"/>
          <w:spacing w:val="-6"/>
        </w:rPr>
        <w:t>YOU Liqiong, XU Xiaojun</w:t>
      </w:r>
    </w:p>
    <w:p>
      <w:pPr>
        <w:pStyle w:val="BodyText"/>
        <w:ind w:left="1139" w:right="422"/>
        <w:spacing w:before="113" w:line="349" w:lineRule="auto"/>
        <w:rPr/>
      </w:pPr>
      <w:r>
        <w:rPr>
          <w:color w:val="231F20"/>
          <w:spacing w:val="-8"/>
        </w:rPr>
        <w:t>Department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General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Surgery,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Yongchun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County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Traditional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Chinese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Medicine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Hospital,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Quanzhou,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Fujian,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362600,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China</w:t>
      </w:r>
    </w:p>
    <w:p>
      <w:pPr>
        <w:pStyle w:val="BodyText"/>
        <w:ind w:left="1134" w:right="420" w:firstLine="8"/>
        <w:spacing w:before="22" w:line="361" w:lineRule="auto"/>
        <w:rPr/>
      </w:pPr>
      <w:r>
        <w:pict>
          <v:shape id="_x0000_s4" style="position:absolute;margin-left:35.6901pt;margin-top:245.927pt;mso-position-vertical-relative:text;mso-position-horizontal-relative:text;width:173.3pt;height:0.4pt;z-index:251658240;" filled="false" strokecolor="#231F20" strokeweight="0.37pt" coordsize="3466,8" coordorigin="0,0" path="m0,3l3465,3e">
            <v:stroke joinstyle="miter" miterlimit="4"/>
          </v:shape>
        </w:pict>
      </w:r>
      <w:r>
        <w:rPr>
          <w:color w:val="231F20"/>
          <w:spacing w:val="-5"/>
        </w:rPr>
        <w:t>[Abstract]</w:t>
      </w:r>
      <w:r>
        <w:rPr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5"/>
        </w:rPr>
        <w:t>Objective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analyze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effect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of transumbilical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single-port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laparo</w:t>
      </w:r>
      <w:r>
        <w:rPr>
          <w:color w:val="231F20"/>
          <w:spacing w:val="-6"/>
        </w:rPr>
        <w:t>scopic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appendectomy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open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appendectomy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treatment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appendicitis.</w:t>
      </w:r>
      <w:r>
        <w:rPr>
          <w:sz w:val="17"/>
          <w:szCs w:val="17"/>
          <w:color w:val="231F20"/>
          <w:spacing w:val="-6"/>
        </w:rPr>
        <w:t>Methods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total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1</w:t>
      </w:r>
      <w:r>
        <w:rPr>
          <w:color w:val="231F20"/>
          <w:spacing w:val="-7"/>
        </w:rPr>
        <w:t>52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appendicitis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admitted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De-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partment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General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Surgery,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Yongchun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County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Traditi</w:t>
      </w:r>
      <w:r>
        <w:rPr>
          <w:color w:val="231F20"/>
          <w:spacing w:val="-9"/>
        </w:rPr>
        <w:t>onal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Chinese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Medicine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Hospital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from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January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2022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Decem-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2023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selected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research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objects.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They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divid</w:t>
      </w:r>
      <w:r>
        <w:rPr>
          <w:color w:val="231F20"/>
          <w:spacing w:val="-10"/>
        </w:rPr>
        <w:t>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into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control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observation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according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different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surgical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methods,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76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cases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each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group.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contro</w:t>
      </w:r>
      <w:r>
        <w:rPr>
          <w:color w:val="231F20"/>
          <w:spacing w:val="-10"/>
        </w:rPr>
        <w:t>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was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treated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open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0"/>
        </w:rPr>
        <w:t>appendectomy,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observation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group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was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treated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transumbilical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single-port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laparoscopic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appendectomy.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perio</w:t>
      </w:r>
      <w:r>
        <w:rPr>
          <w:color w:val="231F20"/>
          <w:spacing w:val="-8"/>
        </w:rPr>
        <w:t>perative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indi-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cators,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postoperative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complications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inflammatory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factor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levels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two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groups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analy</w:t>
      </w:r>
      <w:r>
        <w:rPr>
          <w:color w:val="231F20"/>
          <w:spacing w:val="-9"/>
        </w:rPr>
        <w:t>zed.</w:t>
      </w:r>
      <w:r>
        <w:rPr>
          <w:sz w:val="17"/>
          <w:szCs w:val="17"/>
          <w:color w:val="231F20"/>
          <w:spacing w:val="-9"/>
        </w:rPr>
        <w:t>Results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opera-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time,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postoperative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ambulation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time,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postoperative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first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exhaust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time,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bowel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sound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recovery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time,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eat</w:t>
      </w:r>
      <w:r>
        <w:rPr>
          <w:color w:val="231F20"/>
          <w:spacing w:val="-9"/>
        </w:rPr>
        <w:t>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recovery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hospitalization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observation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short</w:t>
      </w:r>
      <w:r>
        <w:rPr>
          <w:color w:val="231F20"/>
          <w:spacing w:val="-9"/>
        </w:rPr>
        <w:t>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than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those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intraopera-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blood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loss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was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less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group,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differences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statistically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significant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(all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&lt;0.05).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operation,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levels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inflammatory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factors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two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groups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9"/>
        </w:rPr>
        <w:t>decreased,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thos</w:t>
      </w:r>
      <w:r>
        <w:rPr>
          <w:color w:val="231F20"/>
          <w:spacing w:val="-10"/>
        </w:rPr>
        <w:t>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observation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lower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than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control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group,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differences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statistically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significant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(</w:t>
      </w:r>
      <w:r>
        <w:rPr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&lt;0.05).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inciden</w:t>
      </w:r>
      <w:r>
        <w:rPr>
          <w:color w:val="231F20"/>
          <w:spacing w:val="-8"/>
        </w:rPr>
        <w:t>ce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postoperative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complications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observation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1.32%(</w:t>
      </w:r>
      <w:r>
        <w:rPr>
          <w:color w:val="231F20"/>
          <w:spacing w:val="-9"/>
        </w:rPr>
        <w:t>1/76),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which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lower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than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10.53%(8/76)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group,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  difference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5"/>
        </w:rPr>
        <w:t>was  statistically  signif</w:t>
      </w:r>
      <w:r>
        <w:rPr>
          <w:color w:val="231F20"/>
          <w:spacing w:val="-6"/>
        </w:rPr>
        <w:t>icant  (χ</w:t>
      </w:r>
      <w:r>
        <w:rPr>
          <w:sz w:val="10"/>
          <w:szCs w:val="10"/>
          <w:color w:val="231F20"/>
          <w:spacing w:val="3"/>
          <w:position w:val="7"/>
        </w:rPr>
        <w:t>2</w:t>
      </w:r>
      <w:r>
        <w:rPr>
          <w:color w:val="231F20"/>
          <w:spacing w:val="-4"/>
        </w:rPr>
        <w:t>=4.252,</w:t>
      </w:r>
      <w:r>
        <w:rPr>
          <w:color w:val="231F20"/>
          <w:spacing w:val="37"/>
        </w:rPr>
        <w:t xml:space="preserve"> 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&lt;0.05). </w:t>
      </w:r>
      <w:r>
        <w:rPr>
          <w:sz w:val="17"/>
          <w:szCs w:val="17"/>
          <w:color w:val="231F20"/>
          <w:spacing w:val="-4"/>
        </w:rPr>
        <w:t>Conclusion  </w:t>
      </w:r>
      <w:r>
        <w:rPr>
          <w:color w:val="231F20"/>
          <w:spacing w:val="-4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4"/>
        </w:rPr>
        <w:t>effect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transumbilical  single-port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laparoscopic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appendectomy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patients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appendicitis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ideal,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which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accelerate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recovery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of patie</w:t>
      </w:r>
      <w:r>
        <w:rPr>
          <w:color w:val="231F20"/>
          <w:spacing w:val="-9"/>
        </w:rPr>
        <w:t>nts</w:t>
      </w:r>
    </w:p>
    <w:p>
      <w:pPr>
        <w:pStyle w:val="BodyText"/>
        <w:ind w:left="723"/>
        <w:spacing w:before="258" w:line="23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[</w:t>
      </w:r>
      <w:r>
        <w:rPr>
          <w:rFonts w:ascii="SimHei" w:hAnsi="SimHei" w:eastAsia="SimHei" w:cs="SimHei"/>
          <w:color w:val="231F20"/>
          <w:spacing w:val="-1"/>
        </w:rPr>
        <w:t>作者简介</w:t>
      </w:r>
      <w:r>
        <w:rPr>
          <w:color w:val="231F20"/>
          <w:spacing w:val="-1"/>
        </w:rPr>
        <w:t>] </w:t>
      </w:r>
      <w:r>
        <w:rPr>
          <w:rFonts w:ascii="Microsoft YaHei" w:hAnsi="Microsoft YaHei" w:eastAsia="Microsoft YaHei" w:cs="Microsoft YaHei"/>
          <w:color w:val="231F20"/>
          <w:spacing w:val="-1"/>
        </w:rPr>
        <w:t>尤建源（</w:t>
      </w:r>
      <w:r>
        <w:rPr>
          <w:color w:val="231F20"/>
          <w:spacing w:val="-1"/>
        </w:rPr>
        <w:t>1975-</w:t>
      </w:r>
      <w:r>
        <w:rPr>
          <w:rFonts w:ascii="Microsoft YaHei" w:hAnsi="Microsoft YaHei" w:eastAsia="Microsoft YaHei" w:cs="Microsoft YaHei"/>
          <w:color w:val="231F20"/>
          <w:spacing w:val="-27"/>
          <w:w w:val="63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>男，本科，主治医师，研究方向为普外科。</w:t>
      </w:r>
    </w:p>
    <w:p>
      <w:pPr>
        <w:pStyle w:val="BodyText"/>
        <w:ind w:left="6294"/>
        <w:spacing w:before="227" w:line="229" w:lineRule="auto"/>
        <w:rPr>
          <w:sz w:val="17"/>
          <w:szCs w:val="17"/>
        </w:rPr>
      </w:pP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1"/>
        </w:rPr>
        <w:t xml:space="preserve"> &amp;</w:t>
      </w:r>
      <w:r>
        <w:rPr>
          <w:sz w:val="15"/>
          <w:szCs w:val="15"/>
          <w:color w:val="231F20"/>
        </w:rPr>
        <w:t>Foreign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Treatment</w:t>
      </w:r>
      <w:r>
        <w:rPr>
          <w:sz w:val="15"/>
          <w:szCs w:val="15"/>
          <w:color w:val="231F20"/>
          <w:spacing w:val="8"/>
        </w:rPr>
        <w:t xml:space="preserve">    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中外医疗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 xml:space="preserve">    </w:t>
      </w:r>
      <w:r>
        <w:rPr>
          <w:sz w:val="17"/>
          <w:szCs w:val="17"/>
          <w:color w:val="231F20"/>
          <w:spacing w:val="11"/>
        </w:rPr>
        <w:t>37</w:t>
      </w:r>
    </w:p>
    <w:p>
      <w:pPr>
        <w:spacing w:line="229" w:lineRule="auto"/>
        <w:sectPr>
          <w:headerReference w:type="default" r:id="rId1"/>
          <w:pgSz w:w="11906" w:h="16838"/>
          <w:pgMar w:top="400" w:right="1131" w:bottom="0" w:left="424" w:header="0" w:footer="0" w:gutter="0"/>
        </w:sectPr>
        <w:rPr>
          <w:sz w:val="17"/>
          <w:szCs w:val="17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770"/>
        <w:spacing w:before="32" w:line="216" w:lineRule="auto"/>
        <w:rPr>
          <w:sz w:val="11"/>
          <w:szCs w:val="11"/>
        </w:rPr>
      </w:pPr>
      <w:r>
        <w:pict>
          <v:shape id="_x0000_s8" style="position:absolute;margin-left:87.5873pt;margin-top:-9.38004pt;mso-position-vertical-relative:text;mso-position-horizontal-relative:text;width:37.25pt;height:8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36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2024</w:t>
                  </w:r>
                  <w:r>
                    <w:rPr>
                      <w:sz w:val="11"/>
                      <w:szCs w:val="11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1"/>
                      <w:szCs w:val="11"/>
                      <w:color w:val="231F20"/>
                    </w:rPr>
                    <w:t>NO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.30</w:t>
                  </w:r>
                </w:p>
              </w:txbxContent>
            </v:textbox>
          </v:shape>
        </w:pict>
      </w:r>
      <w:r>
        <w:pict>
          <v:shape id="_x0000_s10" style="position:absolute;margin-left:34.3511pt;margin-top:-9.34732pt;mso-position-vertical-relative:text;mso-position-horizontal-relative:text;width:53.4pt;height:17.5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22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022"/>
                  </w:tblGrid>
                  <w:tr>
                    <w:trPr>
                      <w:trHeight w:val="300" w:hRule="atLeast"/>
                    </w:trPr>
                    <w:tc>
                      <w:tcPr>
                        <w:tcW w:w="1022" w:type="dxa"/>
                        <w:vAlign w:val="top"/>
                      </w:tcPr>
                      <w:p>
                        <w:pPr>
                          <w:ind w:left="59"/>
                          <w:spacing w:before="22" w:line="215" w:lineRule="auto"/>
                          <w:rPr>
                            <w:rFonts w:ascii="SimHei" w:hAnsi="SimHei" w:eastAsia="SimHei" w:cs="SimHei"/>
                            <w:sz w:val="23"/>
                            <w:szCs w:val="23"/>
                          </w:rPr>
                        </w:pPr>
                        <w:r>
                          <w:rPr>
                            <w:shd w:val="clear" w:fill="231F20"/>
                            <w:rFonts w:ascii="SimHei" w:hAnsi="SimHei" w:eastAsia="SimHei" w:cs="SimHei"/>
                            <w:sz w:val="23"/>
                            <w:szCs w:val="23"/>
                            <w:color w:val="FFFFFF"/>
                            <w:spacing w:val="1"/>
                          </w:rPr>
                          <w:t>中外医疗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" style="position:absolute;margin-left:440.803pt;margin-top:4.10825pt;mso-position-vertical-relative:text;mso-position-horizontal-relative:text;width:55.65pt;height:17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02" w:lineRule="auto"/>
                    <w:jc w:val="righ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31F20"/>
                      <w:spacing w:val="-9"/>
                      <w:w w:val="98"/>
                    </w:rPr>
                    <w:t>临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31F20"/>
                      <w:spacing w:val="-9"/>
                      <w:w w:val="98"/>
                    </w:rPr>
                    <w:t>床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31F20"/>
                      <w:spacing w:val="5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31F20"/>
                      <w:spacing w:val="-9"/>
                      <w:w w:val="98"/>
                    </w:rPr>
                    <w:t>医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31F20"/>
                      <w:spacing w:val="-5"/>
                      <w:w w:val="98"/>
                    </w:rPr>
                    <w:t>学</w:t>
                  </w:r>
                </w:p>
              </w:txbxContent>
            </v:textbox>
          </v:shape>
        </w:pict>
      </w:r>
      <w:r>
        <w:rPr>
          <w:sz w:val="11"/>
          <w:szCs w:val="11"/>
          <w:color w:val="231F20"/>
          <w:spacing w:val="4"/>
        </w:rPr>
        <w:t>China &amp;Foreign</w:t>
      </w:r>
      <w:r>
        <w:rPr>
          <w:sz w:val="11"/>
          <w:szCs w:val="11"/>
          <w:color w:val="231F20"/>
          <w:spacing w:val="22"/>
        </w:rPr>
        <w:t xml:space="preserve"> </w:t>
      </w:r>
      <w:r>
        <w:rPr>
          <w:sz w:val="11"/>
          <w:szCs w:val="11"/>
          <w:color w:val="231F20"/>
          <w:spacing w:val="4"/>
        </w:rPr>
        <w:t>Medical Treatment</w:t>
      </w:r>
    </w:p>
    <w:p>
      <w:pPr>
        <w:pStyle w:val="BodyText"/>
        <w:spacing w:line="291" w:lineRule="auto"/>
        <w:rPr>
          <w:sz w:val="21"/>
        </w:rPr>
      </w:pPr>
      <w:r>
        <w:pict>
          <v:shape id="_x0000_s14" style="position:absolute;margin-left:35.9181pt;margin-top:3.19318pt;mso-position-vertical-relative:text;mso-position-horizontal-relative:text;width:383.95pt;height:0.9pt;z-index:251661312;" filled="false" strokecolor="#231F20" strokeweight="0.85pt" coordsize="7679,17" coordorigin="0,0" path="m0,8l7678,8e">
            <v:stroke joinstyle="miter" miterlimit="4"/>
          </v:shape>
        </w:pict>
      </w:r>
      <w:r/>
    </w:p>
    <w:p>
      <w:pPr>
        <w:pStyle w:val="BodyText"/>
        <w:ind w:left="1137" w:right="499"/>
        <w:spacing w:before="52" w:line="348" w:lineRule="auto"/>
        <w:rPr/>
      </w:pPr>
      <w:r>
        <w:rPr>
          <w:color w:val="231F20"/>
          <w:spacing w:val="-7"/>
        </w:rPr>
        <w:t>after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operation,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reduce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complications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effecti</w:t>
      </w:r>
      <w:r>
        <w:rPr>
          <w:color w:val="231F20"/>
          <w:spacing w:val="-8"/>
        </w:rPr>
        <w:t>vely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reduce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level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inflammatory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factors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body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clinical v</w:t>
      </w:r>
      <w:r>
        <w:rPr>
          <w:color w:val="231F20"/>
          <w:spacing w:val="-7"/>
        </w:rPr>
        <w:t>alue.</w:t>
      </w:r>
    </w:p>
    <w:p>
      <w:pPr>
        <w:pStyle w:val="BodyText"/>
        <w:ind w:left="1140" w:right="499" w:firstLine="3"/>
        <w:spacing w:before="33" w:line="368" w:lineRule="auto"/>
        <w:rPr/>
      </w:pPr>
      <w:r>
        <w:rPr>
          <w:color w:val="231F20"/>
          <w:spacing w:val="-6"/>
        </w:rPr>
        <w:t>[Key  words]  Transumbilical  single  hole  method;  Laparoscopic  appendectomy;  Open  ap</w:t>
      </w:r>
      <w:r>
        <w:rPr>
          <w:color w:val="231F20"/>
          <w:spacing w:val="-7"/>
        </w:rPr>
        <w:t>pendectomy;  Appendicitis;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Curative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effect</w:t>
      </w:r>
    </w:p>
    <w:p>
      <w:pPr>
        <w:spacing w:before="80"/>
        <w:rPr/>
      </w:pPr>
      <w:r/>
    </w:p>
    <w:p>
      <w:pPr>
        <w:sectPr>
          <w:headerReference w:type="default" r:id="rId3"/>
          <w:pgSz w:w="11906" w:h="16838"/>
          <w:pgMar w:top="400" w:right="1053" w:bottom="0" w:left="424" w:header="0" w:footer="0" w:gutter="0"/>
          <w:cols w:equalWidth="0" w:num="1">
            <w:col w:w="10428" w:space="0"/>
          </w:cols>
        </w:sectPr>
        <w:rPr/>
      </w:pPr>
    </w:p>
    <w:p>
      <w:pPr>
        <w:pStyle w:val="BodyText"/>
        <w:ind w:left="713" w:right="244" w:firstLine="432"/>
        <w:spacing w:before="52" w:line="24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阑尾炎属于临床常见的急腹症，疾病发生原因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主要是胃炎阑尾管腔因粪石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、淋巴细胞增生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狭窄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、异物等因素影响出现阻塞现象，进而发生感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染，以腹痛为主要临床表现</w:t>
      </w:r>
      <w:r>
        <w:rPr>
          <w:sz w:val="12"/>
          <w:szCs w:val="12"/>
          <w:color w:val="231F20"/>
          <w:spacing w:val="8"/>
          <w:position w:val="7"/>
        </w:rPr>
        <w:t>[1]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阑尾炎患者存在突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发性右下腹显著疼痛，发病急骤，如果不及时治疗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会形成周围脓肿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、阑尾穿孔，病情进展会进一步诱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发严重并发症，例如内外瘘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、腹膜炎，早诊断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、早治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疗尤为重要</w:t>
      </w:r>
      <w:r>
        <w:rPr>
          <w:sz w:val="12"/>
          <w:szCs w:val="12"/>
          <w:color w:val="231F20"/>
          <w:spacing w:val="19"/>
          <w:position w:val="7"/>
        </w:rPr>
        <w:t>[2]</w:t>
      </w:r>
      <w:r>
        <w:rPr>
          <w:sz w:val="12"/>
          <w:szCs w:val="12"/>
          <w:color w:val="231F20"/>
          <w:spacing w:val="-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>。针对阑尾炎主要采取手术治疗措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施，既往所用的开腹阑尾炎虽然可以有效切除病变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组织，但存在较大的手术损伤，术后出现切口感染、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肠粘连的风险较高，影响患者术后康复进展</w:t>
      </w:r>
      <w:r>
        <w:rPr>
          <w:sz w:val="12"/>
          <w:szCs w:val="12"/>
          <w:color w:val="231F20"/>
          <w:spacing w:val="9"/>
          <w:position w:val="7"/>
        </w:rPr>
        <w:t>[3]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年来，随着微创技术、腹腔镜技术发展，腹腔镜阑尾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切除术适应证越来越广泛，借助腹腔镜其切口直径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较小，可以更为直观、全面地了解患者腹腔状况，实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现病灶组织精准定位，有利于减轻患者所造成的手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术创伤</w:t>
      </w:r>
      <w:r>
        <w:rPr>
          <w:sz w:val="12"/>
          <w:szCs w:val="12"/>
          <w:color w:val="231F20"/>
          <w:position w:val="7"/>
        </w:rPr>
        <w:t>[4-5]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。为此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，本文选取 </w:t>
      </w:r>
      <w:r>
        <w:rPr>
          <w:sz w:val="20"/>
          <w:szCs w:val="20"/>
          <w:color w:val="231F20"/>
        </w:rPr>
        <w:t>2022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年 </w:t>
      </w:r>
      <w:r>
        <w:rPr>
          <w:sz w:val="20"/>
          <w:szCs w:val="20"/>
          <w:color w:val="231F20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月—</w:t>
      </w:r>
      <w:r>
        <w:rPr>
          <w:sz w:val="20"/>
          <w:szCs w:val="20"/>
          <w:color w:val="231F20"/>
        </w:rPr>
        <w:t>2023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3"/>
        </w:rPr>
        <w:t>12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月永春县中医院普外科符合手术适应证的 </w:t>
      </w:r>
      <w:r>
        <w:rPr>
          <w:sz w:val="20"/>
          <w:szCs w:val="20"/>
          <w:color w:val="231F20"/>
          <w:spacing w:val="13"/>
        </w:rPr>
        <w:t>152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例阑尾炎患者为研究对象，探究两种不同术式的应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用优势及临床效果，现报道如下。</w:t>
      </w:r>
    </w:p>
    <w:p>
      <w:pPr>
        <w:pStyle w:val="BodyText"/>
        <w:ind w:left="732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1"/>
        </w:rPr>
        <w:t>1 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资料与方法</w:t>
      </w:r>
    </w:p>
    <w:p>
      <w:pPr>
        <w:pStyle w:val="BodyText"/>
        <w:ind w:left="729"/>
        <w:spacing w:before="100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1.1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一般资料</w:t>
      </w:r>
    </w:p>
    <w:p>
      <w:pPr>
        <w:pStyle w:val="BodyText"/>
        <w:ind w:left="632" w:right="247" w:firstLine="494"/>
        <w:spacing w:before="81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选取本院收治的 </w:t>
      </w:r>
      <w:r>
        <w:rPr>
          <w:sz w:val="20"/>
          <w:szCs w:val="20"/>
          <w:color w:val="231F20"/>
          <w:spacing w:val="15"/>
        </w:rPr>
        <w:t>152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例阑尾炎患者为研究对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象，以不同手术方式分为对照组和观察组，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（</w:t>
      </w:r>
      <w:r>
        <w:rPr>
          <w:sz w:val="20"/>
          <w:szCs w:val="20"/>
          <w:i/>
          <w:iCs/>
          <w:color w:val="231F20"/>
          <w:spacing w:val="-7"/>
        </w:rPr>
        <w:t>n</w:t>
      </w:r>
      <w:r>
        <w:rPr>
          <w:sz w:val="20"/>
          <w:szCs w:val="20"/>
          <w:color w:val="231F20"/>
          <w:spacing w:val="-7"/>
        </w:rPr>
        <w:t>=76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6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男 性</w:t>
      </w:r>
      <w:r>
        <w:rPr>
          <w:sz w:val="20"/>
          <w:szCs w:val="20"/>
          <w:color w:val="231F20"/>
          <w:spacing w:val="-7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女 性 </w:t>
      </w:r>
      <w:r>
        <w:rPr>
          <w:sz w:val="20"/>
          <w:szCs w:val="20"/>
          <w:color w:val="231F20"/>
          <w:spacing w:val="-7"/>
        </w:rPr>
        <w:t>=54/22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，年 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23~69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岁 ，平 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45.63±4.44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）岁 ；发 病 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9~36  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，平 均（</w:t>
      </w:r>
      <w:r>
        <w:rPr>
          <w:sz w:val="20"/>
          <w:szCs w:val="20"/>
          <w:color w:val="231F20"/>
          <w:spacing w:val="-10"/>
        </w:rPr>
        <w:t>22.69±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3.69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）</w:t>
      </w:r>
      <w:r>
        <w:rPr>
          <w:sz w:val="20"/>
          <w:szCs w:val="20"/>
          <w:color w:val="231F20"/>
          <w:spacing w:val="-9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；体 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18.54~28.63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kg/m</w:t>
      </w:r>
      <w:r>
        <w:rPr>
          <w:sz w:val="12"/>
          <w:szCs w:val="12"/>
          <w:color w:val="231F20"/>
          <w:spacing w:val="1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，平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均（</w:t>
      </w:r>
      <w:r>
        <w:rPr>
          <w:sz w:val="20"/>
          <w:szCs w:val="20"/>
          <w:color w:val="231F20"/>
          <w:spacing w:val="-16"/>
        </w:rPr>
        <w:t>23.57±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1.06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</w:t>
      </w:r>
      <w:r>
        <w:rPr>
          <w:sz w:val="20"/>
          <w:szCs w:val="20"/>
          <w:color w:val="231F20"/>
          <w:spacing w:val="-8"/>
        </w:rPr>
        <w:t>kg/m</w:t>
      </w:r>
      <w:r>
        <w:rPr>
          <w:sz w:val="12"/>
          <w:szCs w:val="12"/>
          <w:color w:val="231F20"/>
          <w:spacing w:val="-3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；疾病类型：单纯性阑尾炎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3"/>
        </w:rPr>
        <w:t>40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例，化脓性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"/>
        </w:rPr>
        <w:t>25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例，坏疽穿孔性阑尾炎 </w:t>
      </w:r>
      <w:r>
        <w:rPr>
          <w:sz w:val="20"/>
          <w:szCs w:val="20"/>
          <w:color w:val="231F20"/>
          <w:spacing w:val="-1"/>
        </w:rPr>
        <w:t>11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。观察组（</w:t>
      </w:r>
      <w:r>
        <w:rPr>
          <w:sz w:val="20"/>
          <w:szCs w:val="20"/>
          <w:i/>
          <w:iCs/>
          <w:color w:val="231F20"/>
          <w:spacing w:val="-1"/>
        </w:rPr>
        <w:t>n</w:t>
      </w:r>
      <w:r>
        <w:rPr>
          <w:sz w:val="20"/>
          <w:szCs w:val="20"/>
          <w:color w:val="231F20"/>
          <w:spacing w:val="-1"/>
        </w:rPr>
        <w:t>=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  <w:w w:val="65"/>
        </w:rPr>
        <w:t>）：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男性</w:t>
      </w:r>
      <w:r>
        <w:rPr>
          <w:sz w:val="20"/>
          <w:szCs w:val="20"/>
          <w:color w:val="231F20"/>
          <w:spacing w:val="-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4"/>
        </w:rPr>
        <w:t>=56/20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，年龄 </w:t>
      </w:r>
      <w:r>
        <w:rPr>
          <w:sz w:val="20"/>
          <w:szCs w:val="20"/>
          <w:color w:val="231F20"/>
          <w:spacing w:val="-4"/>
        </w:rPr>
        <w:t>22~70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，平均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46.12±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4"/>
        </w:rPr>
        <w:t>3.93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）岁；发病时间 </w:t>
      </w:r>
      <w:r>
        <w:rPr>
          <w:sz w:val="20"/>
          <w:szCs w:val="20"/>
          <w:color w:val="231F20"/>
          <w:spacing w:val="-14"/>
        </w:rPr>
        <w:t>7~38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4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，平均（</w:t>
      </w:r>
      <w:r>
        <w:rPr>
          <w:sz w:val="20"/>
          <w:szCs w:val="20"/>
          <w:color w:val="231F20"/>
          <w:spacing w:val="-14"/>
        </w:rPr>
        <w:t>23.04±3.64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）</w:t>
      </w:r>
      <w:r>
        <w:rPr>
          <w:sz w:val="20"/>
          <w:szCs w:val="20"/>
          <w:color w:val="231F20"/>
          <w:spacing w:val="-14"/>
        </w:rPr>
        <w:t>h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；体重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指数 </w:t>
      </w:r>
      <w:r>
        <w:rPr>
          <w:sz w:val="20"/>
          <w:szCs w:val="20"/>
          <w:color w:val="231F20"/>
          <w:spacing w:val="-2"/>
        </w:rPr>
        <w:t>18.44~28.79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kg/m</w:t>
      </w:r>
      <w:r>
        <w:rPr>
          <w:sz w:val="12"/>
          <w:szCs w:val="12"/>
          <w:color w:val="231F20"/>
          <w:spacing w:val="-2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，平均（</w:t>
      </w:r>
      <w:r>
        <w:rPr>
          <w:sz w:val="20"/>
          <w:szCs w:val="20"/>
          <w:color w:val="231F20"/>
          <w:spacing w:val="-15"/>
        </w:rPr>
        <w:t>23.77±0.96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</w:t>
      </w:r>
      <w:r>
        <w:rPr>
          <w:sz w:val="20"/>
          <w:szCs w:val="20"/>
          <w:color w:val="231F20"/>
          <w:spacing w:val="-15"/>
        </w:rPr>
        <w:t>kg/m</w:t>
      </w:r>
      <w:r>
        <w:rPr>
          <w:sz w:val="12"/>
          <w:szCs w:val="12"/>
          <w:color w:val="231F20"/>
          <w:spacing w:val="16"/>
          <w:position w:val="8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  <w:w w:val="99"/>
        </w:rPr>
        <w:t>；疾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病类型：单纯性阑尾炎 </w:t>
      </w:r>
      <w:r>
        <w:rPr>
          <w:sz w:val="20"/>
          <w:szCs w:val="20"/>
          <w:color w:val="231F20"/>
          <w:spacing w:val="4"/>
        </w:rPr>
        <w:t>38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例，化脓性阑尾炎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4"/>
        </w:rPr>
        <w:t>28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例，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坏疽穿孔性阑尾炎 </w:t>
      </w:r>
      <w:r>
        <w:rPr>
          <w:sz w:val="20"/>
          <w:szCs w:val="20"/>
          <w:color w:val="231F20"/>
          <w:spacing w:val="12"/>
        </w:rPr>
        <w:t>10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比较两组患者的上述临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床资料，差异无统计学意义（</w:t>
      </w:r>
      <w:r>
        <w:rPr>
          <w:sz w:val="20"/>
          <w:szCs w:val="20"/>
          <w:i/>
          <w:iCs/>
          <w:color w:val="231F20"/>
          <w:spacing w:val="4"/>
        </w:rPr>
        <w:t>P</w:t>
      </w:r>
      <w:r>
        <w:rPr>
          <w:sz w:val="20"/>
          <w:szCs w:val="20"/>
          <w:color w:val="231F20"/>
          <w:spacing w:val="4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具有可比性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究 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永 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县 中 医 院 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理 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批 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</w:t>
      </w:r>
      <w:r>
        <w:rPr>
          <w:sz w:val="20"/>
          <w:szCs w:val="20"/>
          <w:color w:val="231F20"/>
          <w:spacing w:val="-15"/>
        </w:rPr>
        <w:t>ycxzyy20240801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）。</w:t>
      </w:r>
    </w:p>
    <w:p>
      <w:pPr>
        <w:spacing w:line="1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43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1.2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纳入与排除标准</w:t>
      </w:r>
    </w:p>
    <w:p>
      <w:pPr>
        <w:pStyle w:val="BodyText"/>
        <w:ind w:left="1" w:firstLine="415"/>
        <w:spacing w:before="69" w:line="24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纳入标准：患者入院时主诉为中上腹痛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、肚脐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周围腹痛，并有转移至右下腹的趋势，且伴有发热、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恶心呕吐等体征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；经 </w:t>
      </w:r>
      <w:r>
        <w:rPr>
          <w:sz w:val="20"/>
          <w:szCs w:val="20"/>
          <w:color w:val="231F20"/>
          <w:spacing w:val="6"/>
        </w:rPr>
        <w:t>B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超等措施确诊；凝血功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能正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；无手术禁忌证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；本人及家庭成员均知悉研究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事宜。</w:t>
      </w:r>
    </w:p>
    <w:p>
      <w:pPr>
        <w:ind w:left="2" w:right="82" w:firstLine="411"/>
        <w:spacing w:before="1" w:line="25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排除标准：伴有其他类型消化道疾病以及消化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道溃疡者；妊娠期、哺乳期女性；对麻醉所用药物过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敏者；伴随发生心脑血管疾病者；机体感染者；因主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客观因素未能完成研究者。</w:t>
      </w:r>
    </w:p>
    <w:p>
      <w:pPr>
        <w:pStyle w:val="BodyText"/>
        <w:ind w:left="15"/>
        <w:spacing w:before="1" w:line="16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1.3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方法</w:t>
      </w:r>
    </w:p>
    <w:p>
      <w:pPr>
        <w:pStyle w:val="BodyText"/>
        <w:ind w:right="82" w:firstLine="412"/>
        <w:spacing w:before="106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对照组采用开腹阑尾切除术治疗：患者术中调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整为仰卧位，采用气管插管全麻，分析患者腹部结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构、阑尾位置，手术切口位置确定于麦氏点，呈斜行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切口，切口长度控制在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2"/>
        </w:rPr>
        <w:t>6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cm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左右，沿着结肠位置确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定阑尾位置，清理腹腔组织，吸除腹腔组织中存在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的脓液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，分离粘连阑尾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，阑尾根部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1"/>
        </w:rPr>
        <w:t>0.5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</w:rPr>
        <w:t>cm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位置处应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用接扎线切除，电灼阑尾根部，将残端黏膜取出，常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规止血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，在手术切口附近寻找合适位置放置引流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管，促使体内残留液体排出，依次缝合腹壁以及手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术切口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。术后予以患者常规镇痛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，静脉注射抗菌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药物。</w:t>
      </w:r>
    </w:p>
    <w:p>
      <w:pPr>
        <w:pStyle w:val="BodyText"/>
        <w:ind w:firstLine="417"/>
        <w:spacing w:before="10" w:line="24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观察组采用经脐单孔法行腹腔镜阑尾切除术：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在患者手术操作前做好肠道准备，如果患者存在腹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胀、肠梗阻等症状展开胃肠道减压，行全身麻醉，手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术切口位置选择脐正中，长度约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3"/>
        </w:rPr>
        <w:t>2.0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，呈矢状，缓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慢置入腹腔镜，在切口下缘放置型号为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2"/>
        </w:rPr>
        <w:t>5</w:t>
      </w:r>
      <w:r>
        <w:rPr>
          <w:sz w:val="20"/>
          <w:szCs w:val="20"/>
          <w:color w:val="231F20"/>
        </w:rPr>
        <w:t>mm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Tro</w:t>
      </w:r>
      <w:r>
        <w:rPr>
          <w:sz w:val="20"/>
          <w:szCs w:val="20"/>
          <w:color w:val="231F20"/>
          <w:spacing w:val="2"/>
        </w:rPr>
        <w:t>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car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，作为操作孔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，建立 </w:t>
      </w:r>
      <w:r>
        <w:rPr>
          <w:sz w:val="20"/>
          <w:szCs w:val="20"/>
          <w:color w:val="231F20"/>
        </w:rPr>
        <w:t>CO</w:t>
      </w:r>
      <w:r>
        <w:rPr>
          <w:sz w:val="12"/>
          <w:szCs w:val="12"/>
          <w:color w:val="231F20"/>
          <w:position w:val="-5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气腹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，维持气腹压力至  </w:t>
      </w:r>
      <w:r>
        <w:rPr>
          <w:sz w:val="20"/>
          <w:szCs w:val="20"/>
          <w:color w:val="231F20"/>
          <w:spacing w:val="-2"/>
        </w:rPr>
        <w:t>12~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2"/>
        </w:rPr>
        <w:t>15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，叮嘱患者调整为头低足高位，保持右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侧偏高，将腹腔组织中存在的渗出液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、脓汁彻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底清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除，进行组织黏连剥离，阑尾根部分离处理，选用超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声刀离断病变系膜，电凝止血，随后逐步撤出气腹、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器械，自脐部切口将阑尾及盲肠末端提出，常规切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除阑尾组织，不进行荷包缝合包埋，残端黏膜电灼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去除，将其放入腹中，再次建立气腹，检查阑尾根部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及残端，冲洗腹腔，对手术切口缝合处理，依照患者</w:t>
      </w:r>
    </w:p>
    <w:p>
      <w:pPr>
        <w:spacing w:line="249" w:lineRule="auto"/>
        <w:sectPr>
          <w:type w:val="continuous"/>
          <w:pgSz w:w="11906" w:h="16838"/>
          <w:pgMar w:top="400" w:right="1053" w:bottom="0" w:left="424" w:header="0" w:footer="0" w:gutter="0"/>
          <w:cols w:equalWidth="0" w:num="2">
            <w:col w:w="5644" w:space="100"/>
            <w:col w:w="468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990"/>
        <w:spacing w:before="125" w:line="214" w:lineRule="auto"/>
        <w:rPr>
          <w:sz w:val="15"/>
          <w:szCs w:val="15"/>
        </w:rPr>
      </w:pPr>
      <w:r>
        <w:pict>
          <v:shape id="_x0000_s16" style="position:absolute;margin-left:88.0779pt;margin-top:-748.801pt;mso-position-vertical-relative:text;mso-position-horizontal-relative:text;width:39.5pt;height:0.3pt;z-index:251663360;" filled="false" strokecolor="#231F20" strokeweight="0.28pt" coordsize="790,6" coordorigin="0,0" path="m0,2l789,2e">
            <v:stroke joinstyle="miter" miterlimit="4"/>
          </v:shape>
        </w:pict>
      </w:r>
      <w:r>
        <w:rPr>
          <w:sz w:val="17"/>
          <w:szCs w:val="17"/>
          <w:color w:val="231F20"/>
          <w:spacing w:val="11"/>
        </w:rPr>
        <w:t>38      </w:t>
      </w:r>
      <w:r>
        <w:rPr>
          <w:rFonts w:ascii="SimHei" w:hAnsi="SimHei" w:eastAsia="SimHei" w:cs="SimHei"/>
          <w:sz w:val="15"/>
          <w:szCs w:val="15"/>
          <w:color w:val="231F20"/>
          <w:spacing w:val="11"/>
        </w:rPr>
        <w:t>中外医疗</w:t>
      </w:r>
      <w:r>
        <w:rPr>
          <w:rFonts w:ascii="SimHei" w:hAnsi="SimHei" w:eastAsia="SimHei" w:cs="SimHei"/>
          <w:sz w:val="15"/>
          <w:szCs w:val="15"/>
          <w:color w:val="231F20"/>
          <w:spacing w:val="23"/>
        </w:rPr>
        <w:t xml:space="preserve">  </w:t>
      </w:r>
      <w:r>
        <w:rPr>
          <w:sz w:val="15"/>
          <w:szCs w:val="15"/>
          <w:color w:val="231F20"/>
        </w:rPr>
        <w:t>China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1"/>
        </w:rPr>
        <w:t>&amp;</w:t>
      </w:r>
      <w:r>
        <w:rPr>
          <w:sz w:val="15"/>
          <w:szCs w:val="15"/>
          <w:color w:val="231F20"/>
        </w:rPr>
        <w:t>Foreign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Medical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Treatment</w:t>
      </w:r>
    </w:p>
    <w:p>
      <w:pPr>
        <w:spacing w:line="214" w:lineRule="auto"/>
        <w:sectPr>
          <w:type w:val="continuous"/>
          <w:pgSz w:w="11906" w:h="16838"/>
          <w:pgMar w:top="400" w:right="1053" w:bottom="0" w:left="424" w:header="0" w:footer="0" w:gutter="0"/>
          <w:cols w:equalWidth="0" w:num="1">
            <w:col w:w="10428" w:space="0"/>
          </w:cols>
        </w:sectPr>
        <w:rPr>
          <w:sz w:val="15"/>
          <w:szCs w:val="15"/>
        </w:rPr>
      </w:pPr>
    </w:p>
    <w:p>
      <w:pPr>
        <w:spacing w:before="54"/>
        <w:rPr/>
      </w:pPr>
      <w:r/>
    </w:p>
    <w:p>
      <w:pPr>
        <w:sectPr>
          <w:headerReference w:type="default" r:id="rId4"/>
          <w:footerReference w:type="default" r:id="rId5"/>
          <w:pgSz w:w="11906" w:h="16838"/>
          <w:pgMar w:top="400" w:right="1057" w:bottom="824" w:left="424" w:header="0" w:footer="630" w:gutter="0"/>
          <w:cols w:equalWidth="0" w:num="1">
            <w:col w:w="10425" w:space="0"/>
          </w:cols>
        </w:sectPr>
        <w:rPr/>
      </w:pPr>
    </w:p>
    <w:p>
      <w:pPr>
        <w:pStyle w:val="BodyText"/>
        <w:rPr>
          <w:sz w:val="21"/>
        </w:rPr>
      </w:pPr>
      <w:r/>
    </w:p>
    <w:p>
      <w:pPr>
        <w:ind w:left="1171"/>
        <w:spacing w:before="90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725" w:right="1146" w:firstLine="1148"/>
        <w:spacing w:before="45" w:line="349" w:lineRule="auto"/>
        <w:rPr>
          <w:sz w:val="11"/>
          <w:szCs w:val="11"/>
        </w:rPr>
      </w:pPr>
      <w:r>
        <w:pict>
          <v:shape id="_x0000_s20" style="position:absolute;margin-left:331.684pt;margin-top:2.0372pt;mso-position-vertical-relative:text;mso-position-horizontal-relative:text;width:53.4pt;height:17.5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022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022"/>
                  </w:tblGrid>
                  <w:tr>
                    <w:trPr>
                      <w:trHeight w:val="300" w:hRule="atLeast"/>
                    </w:trPr>
                    <w:tc>
                      <w:tcPr>
                        <w:tcW w:w="1022" w:type="dxa"/>
                        <w:vAlign w:val="top"/>
                      </w:tcPr>
                      <w:p>
                        <w:pPr>
                          <w:ind w:left="59"/>
                          <w:spacing w:before="22" w:line="215" w:lineRule="auto"/>
                          <w:rPr>
                            <w:rFonts w:ascii="SimHei" w:hAnsi="SimHei" w:eastAsia="SimHei" w:cs="SimHei"/>
                            <w:sz w:val="23"/>
                            <w:szCs w:val="23"/>
                          </w:rPr>
                        </w:pPr>
                        <w:r>
                          <w:rPr>
                            <w:shd w:val="clear" w:fill="231F20"/>
                            <w:rFonts w:ascii="SimHei" w:hAnsi="SimHei" w:eastAsia="SimHei" w:cs="SimHei"/>
                            <w:sz w:val="23"/>
                            <w:szCs w:val="23"/>
                            <w:color w:val="FFFFFF"/>
                            <w:spacing w:val="1"/>
                          </w:rPr>
                          <w:t>中外医疗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1"/>
          <w:szCs w:val="11"/>
          <w:u w:val="single" w:color="auto"/>
          <w:color w:val="231F20"/>
          <w:spacing w:val="3"/>
        </w:rPr>
        <w:t>2024</w:t>
      </w:r>
      <w:r>
        <w:rPr>
          <w:sz w:val="11"/>
          <w:szCs w:val="11"/>
          <w:u w:val="single" w:color="auto"/>
          <w:color w:val="231F20"/>
          <w:spacing w:val="7"/>
          <w:w w:val="103"/>
        </w:rPr>
        <w:t xml:space="preserve">   </w:t>
      </w:r>
      <w:r>
        <w:rPr>
          <w:sz w:val="11"/>
          <w:szCs w:val="11"/>
          <w:u w:val="single" w:color="auto"/>
          <w:color w:val="231F20"/>
        </w:rPr>
        <w:t>NO</w:t>
      </w:r>
      <w:r>
        <w:rPr>
          <w:sz w:val="11"/>
          <w:szCs w:val="11"/>
          <w:u w:val="single" w:color="auto"/>
          <w:color w:val="231F20"/>
          <w:spacing w:val="3"/>
        </w:rPr>
        <w:t>.30 </w:t>
      </w:r>
      <w:r>
        <w:rPr>
          <w:sz w:val="11"/>
          <w:szCs w:val="11"/>
          <w:color w:val="231F20"/>
        </w:rPr>
        <w:t xml:space="preserve"> </w:t>
      </w:r>
      <w:r>
        <w:rPr>
          <w:sz w:val="11"/>
          <w:szCs w:val="11"/>
          <w:color w:val="231F20"/>
          <w:spacing w:val="4"/>
        </w:rPr>
        <w:t>China &amp;Foreign</w:t>
      </w:r>
      <w:r>
        <w:rPr>
          <w:sz w:val="11"/>
          <w:szCs w:val="11"/>
          <w:color w:val="231F20"/>
          <w:spacing w:val="22"/>
        </w:rPr>
        <w:t xml:space="preserve"> </w:t>
      </w:r>
      <w:r>
        <w:rPr>
          <w:sz w:val="11"/>
          <w:szCs w:val="11"/>
          <w:color w:val="231F20"/>
          <w:spacing w:val="4"/>
        </w:rPr>
        <w:t>Medical Treatment</w:t>
      </w:r>
    </w:p>
    <w:p>
      <w:pPr>
        <w:spacing w:line="349" w:lineRule="auto"/>
        <w:sectPr>
          <w:type w:val="continuous"/>
          <w:pgSz w:w="11906" w:h="16838"/>
          <w:pgMar w:top="400" w:right="1057" w:bottom="824" w:left="424" w:header="0" w:footer="630" w:gutter="0"/>
          <w:cols w:equalWidth="0" w:num="2">
            <w:col w:w="2570" w:space="100"/>
            <w:col w:w="7755" w:space="0"/>
          </w:cols>
        </w:sectPr>
        <w:rPr>
          <w:sz w:val="11"/>
          <w:szCs w:val="11"/>
        </w:rPr>
      </w:pPr>
    </w:p>
    <w:p>
      <w:pPr>
        <w:spacing w:line="76" w:lineRule="exact"/>
        <w:rPr/>
      </w:pPr>
      <w:r/>
    </w:p>
    <w:p>
      <w:pPr>
        <w:spacing w:line="76" w:lineRule="exact"/>
        <w:sectPr>
          <w:type w:val="continuous"/>
          <w:pgSz w:w="11906" w:h="16838"/>
          <w:pgMar w:top="400" w:right="1057" w:bottom="824" w:left="424" w:header="0" w:footer="630" w:gutter="0"/>
          <w:cols w:equalWidth="0" w:num="1">
            <w:col w:w="10425" w:space="0"/>
          </w:cols>
        </w:sectPr>
        <w:rPr/>
      </w:pPr>
    </w:p>
    <w:p>
      <w:pPr>
        <w:ind w:left="718"/>
        <w:spacing w:before="38" w:line="18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实际情况留置引流管，术后治疗措施与对照组一致。</w:t>
      </w:r>
    </w:p>
    <w:p>
      <w:pPr>
        <w:pStyle w:val="BodyText"/>
        <w:ind w:left="729"/>
        <w:spacing w:before="86" w:line="20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1.4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观察指标</w:t>
      </w:r>
    </w:p>
    <w:p>
      <w:pPr>
        <w:ind w:left="715" w:right="244" w:firstLine="430"/>
        <w:spacing w:before="68" w:line="24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围手术期指标：对比两组患者的手术时间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后下床时间、术后首次排气时间、肠鸣音恢复时间、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进食恢复时间、住院时间，并记录术中出血量。</w:t>
      </w:r>
    </w:p>
    <w:p>
      <w:pPr>
        <w:pStyle w:val="BodyText"/>
        <w:ind w:left="632" w:right="259" w:firstLine="496"/>
        <w:spacing w:before="7" w:line="24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炎性因子水平：术前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、术后 </w:t>
      </w:r>
      <w:r>
        <w:rPr>
          <w:sz w:val="20"/>
          <w:szCs w:val="20"/>
          <w:color w:val="231F20"/>
          <w:spacing w:val="1"/>
        </w:rPr>
        <w:t>24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1"/>
        </w:rPr>
        <w:t>h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采集患者空腹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静脉血液样本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8"/>
        </w:rPr>
        <w:t>6 </w:t>
      </w:r>
      <w:r>
        <w:rPr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，将其储存于普通样品管中，在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低温环境下展开凝血反应，离心处理，取上层血清，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采取酶联免疫吸附法检测炎性因子水平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，包含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16"/>
        </w:rPr>
        <w:t>C-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反应蛋白（</w:t>
      </w:r>
      <w:r>
        <w:rPr>
          <w:sz w:val="20"/>
          <w:szCs w:val="20"/>
          <w:color w:val="231F20"/>
          <w:spacing w:val="-1"/>
        </w:rPr>
        <w:t>C-reactive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"/>
        </w:rPr>
        <w:t>protei</w:t>
      </w:r>
      <w:r>
        <w:rPr>
          <w:sz w:val="20"/>
          <w:szCs w:val="20"/>
          <w:color w:val="231F20"/>
          <w:spacing w:val="-2"/>
        </w:rPr>
        <w:t>n,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）、白细胞介素</w:t>
      </w:r>
      <w:r>
        <w:rPr>
          <w:sz w:val="20"/>
          <w:szCs w:val="20"/>
          <w:color w:val="231F20"/>
          <w:spacing w:val="-2"/>
        </w:rPr>
        <w:t>-6</w:t>
      </w:r>
      <w:r>
        <w:rPr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interleukin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6,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IL-6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）、肿瘤坏死因子</w:t>
      </w:r>
      <w:r>
        <w:rPr>
          <w:sz w:val="20"/>
          <w:szCs w:val="20"/>
          <w:color w:val="231F20"/>
          <w:spacing w:val="-5"/>
        </w:rPr>
        <w:t>-α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tumor necro-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sis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</w:rPr>
        <w:t>factor</w:t>
      </w:r>
      <w:r>
        <w:rPr>
          <w:sz w:val="20"/>
          <w:szCs w:val="20"/>
          <w:color w:val="231F20"/>
          <w:spacing w:val="10"/>
        </w:rPr>
        <w:t>, </w:t>
      </w:r>
      <w:r>
        <w:rPr>
          <w:sz w:val="20"/>
          <w:szCs w:val="20"/>
          <w:color w:val="231F20"/>
        </w:rPr>
        <w:t>TNF</w:t>
      </w:r>
      <w:r>
        <w:rPr>
          <w:sz w:val="20"/>
          <w:szCs w:val="20"/>
          <w:color w:val="231F20"/>
          <w:spacing w:val="10"/>
        </w:rPr>
        <w:t>-α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)。</w:t>
      </w:r>
    </w:p>
    <w:p>
      <w:pPr>
        <w:ind w:left="718" w:right="326" w:firstLine="408"/>
        <w:spacing w:before="1" w:line="24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术后并发症发生率：统计两组患者术后出现腹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腔内脓肿、切口感染、肠粘连、肠梗阻等症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状的发生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7" w:line="17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情况。</w:t>
      </w:r>
    </w:p>
    <w:p>
      <w:pPr>
        <w:pStyle w:val="BodyText"/>
        <w:ind w:left="15"/>
        <w:spacing w:before="88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1.5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统计方法</w:t>
      </w:r>
    </w:p>
    <w:p>
      <w:pPr>
        <w:pStyle w:val="BodyText"/>
        <w:ind w:firstLine="412"/>
        <w:spacing w:before="63" w:line="24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</w:rPr>
        <w:t>24.0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统计学软件分析处理数据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围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手术期指标、机体炎症因子水平等计量资料经过检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验符合正态分布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，以（</w:t>
      </w:r>
      <w:r>
        <w:rPr>
          <w:sz w:val="20"/>
          <w:szCs w:val="20"/>
          <w:i/>
          <w:iCs/>
          <w:color w:val="231F20"/>
          <w:spacing w:val="-10"/>
        </w:rPr>
        <w:t>x</w:t>
      </w:r>
      <w:r>
        <w:rPr>
          <w:sz w:val="20"/>
          <w:szCs w:val="20"/>
          <w:color w:val="231F20"/>
          <w:spacing w:val="-10"/>
        </w:rPr>
        <w:t>-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0"/>
        </w:rPr>
        <w:t>±</w:t>
      </w:r>
      <w:r>
        <w:rPr>
          <w:sz w:val="20"/>
          <w:szCs w:val="20"/>
          <w:i/>
          <w:iCs/>
          <w:color w:val="231F20"/>
          <w:spacing w:val="-10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）表示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、术后组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内比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较采用配对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i/>
          <w:iCs/>
          <w:color w:val="231F20"/>
          <w:spacing w:val="8"/>
        </w:rPr>
        <w:t>t</w:t>
      </w:r>
      <w:r>
        <w:rPr>
          <w:sz w:val="20"/>
          <w:szCs w:val="20"/>
          <w:i/>
          <w:iCs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检验，组间比较采用独立样本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i/>
          <w:iCs/>
          <w:color w:val="231F20"/>
          <w:spacing w:val="8"/>
        </w:rPr>
        <w:t>t</w:t>
      </w:r>
      <w:r>
        <w:rPr>
          <w:sz w:val="20"/>
          <w:szCs w:val="20"/>
          <w:i/>
          <w:iCs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检验；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术后并发症发生率等计数资料用例数（</w:t>
      </w:r>
      <w:r>
        <w:rPr>
          <w:sz w:val="20"/>
          <w:szCs w:val="20"/>
          <w:i/>
          <w:iCs/>
          <w:color w:val="231F20"/>
          <w:spacing w:val="-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）和率（</w:t>
      </w:r>
      <w:r>
        <w:rPr>
          <w:sz w:val="20"/>
          <w:szCs w:val="20"/>
          <w:color w:val="231F20"/>
          <w:spacing w:val="-1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表示，采用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</w:rPr>
        <w:t>χ</w:t>
      </w:r>
      <w:r>
        <w:rPr>
          <w:sz w:val="12"/>
          <w:szCs w:val="12"/>
          <w:color w:val="231F20"/>
          <w:position w:val="8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检验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sz w:val="20"/>
          <w:szCs w:val="20"/>
          <w:i/>
          <w:iCs/>
          <w:color w:val="231F20"/>
        </w:rPr>
        <w:t>P</w:t>
      </w:r>
      <w:r>
        <w:rPr>
          <w:sz w:val="20"/>
          <w:szCs w:val="20"/>
          <w:color w:val="231F20"/>
        </w:rPr>
        <w:t>&lt;0.05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为差异有统计学意义。</w:t>
      </w:r>
    </w:p>
    <w:p>
      <w:pPr>
        <w:pStyle w:val="BodyText"/>
        <w:ind w:left="2"/>
        <w:spacing w:line="274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2"/>
          <w:position w:val="1"/>
        </w:rPr>
        <w:t>2</w:t>
      </w:r>
      <w:r>
        <w:rPr>
          <w:sz w:val="20"/>
          <w:szCs w:val="20"/>
          <w:color w:val="231F20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结果</w:t>
      </w:r>
    </w:p>
    <w:p>
      <w:pPr>
        <w:pStyle w:val="BodyText"/>
        <w:ind w:left="3"/>
        <w:spacing w:before="88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2.1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两组患者围手术期指标比较</w:t>
      </w:r>
    </w:p>
    <w:p>
      <w:pPr>
        <w:pStyle w:val="BodyText"/>
        <w:ind w:right="78" w:firstLine="417"/>
        <w:spacing w:before="73" w:line="25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观察组的手术时间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、术后下床时间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、术后首次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排气时间、肠鸣音恢复时间、进食恢复时间、住院时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间短于对照组，术中出血量少于对照组，差异有统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计学意义（</w:t>
      </w:r>
      <w:r>
        <w:rPr>
          <w:sz w:val="20"/>
          <w:szCs w:val="20"/>
          <w:i/>
          <w:iCs/>
          <w:color w:val="231F20"/>
          <w:spacing w:val="-12"/>
        </w:rPr>
        <w:t>P</w:t>
      </w:r>
      <w:r>
        <w:rPr>
          <w:sz w:val="20"/>
          <w:szCs w:val="20"/>
          <w:i/>
          <w:iCs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均</w:t>
      </w:r>
      <w:r>
        <w:rPr>
          <w:sz w:val="20"/>
          <w:szCs w:val="20"/>
          <w:color w:val="231F20"/>
          <w:spacing w:val="-12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）。 见表 </w:t>
      </w:r>
      <w:r>
        <w:rPr>
          <w:sz w:val="20"/>
          <w:szCs w:val="20"/>
          <w:color w:val="231F20"/>
          <w:spacing w:val="-1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。</w:t>
      </w:r>
    </w:p>
    <w:p>
      <w:pPr>
        <w:spacing w:line="250" w:lineRule="auto"/>
        <w:sectPr>
          <w:type w:val="continuous"/>
          <w:pgSz w:w="11906" w:h="16838"/>
          <w:pgMar w:top="400" w:right="1057" w:bottom="824" w:left="424" w:header="0" w:footer="630" w:gutter="0"/>
          <w:cols w:equalWidth="0" w:num="2">
            <w:col w:w="5644" w:space="100"/>
            <w:col w:w="468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186"/>
        <w:spacing w:before="133" w:line="207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3"/>
        </w:rPr>
        <w:t xml:space="preserve"> </w:t>
      </w:r>
      <w:r>
        <w:rPr>
          <w:sz w:val="15"/>
          <w:szCs w:val="15"/>
          <w:color w:val="231F20"/>
          <w:spacing w:val="-3"/>
        </w:rPr>
        <w:t>1    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两组患者围手术期指标比较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i/>
          <w:iCs/>
          <w:color w:val="231F20"/>
          <w:spacing w:val="-3"/>
        </w:rPr>
        <w:t>x</w:t>
      </w:r>
      <w:r>
        <w:rPr>
          <w:sz w:val="15"/>
          <w:szCs w:val="15"/>
          <w:color w:val="231F20"/>
          <w:spacing w:val="-3"/>
        </w:rPr>
        <w:t>-</w:t>
      </w:r>
      <w:r>
        <w:rPr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3"/>
        </w:rPr>
        <w:t>±</w:t>
      </w:r>
      <w:r>
        <w:rPr>
          <w:sz w:val="15"/>
          <w:szCs w:val="15"/>
          <w:i/>
          <w:iCs/>
          <w:color w:val="231F20"/>
          <w:spacing w:val="-3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）</w:t>
      </w:r>
    </w:p>
    <w:p>
      <w:pPr>
        <w:spacing w:line="35" w:lineRule="exact"/>
        <w:rPr/>
      </w:pPr>
      <w:r/>
    </w:p>
    <w:tbl>
      <w:tblPr>
        <w:tblStyle w:val="TableNormal"/>
        <w:tblW w:w="9626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46"/>
        <w:gridCol w:w="1090"/>
        <w:gridCol w:w="1291"/>
        <w:gridCol w:w="1530"/>
        <w:gridCol w:w="1364"/>
        <w:gridCol w:w="1044"/>
        <w:gridCol w:w="1181"/>
        <w:gridCol w:w="980"/>
      </w:tblGrid>
      <w:tr>
        <w:trPr>
          <w:trHeight w:val="498" w:hRule="atLeast"/>
        </w:trPr>
        <w:tc>
          <w:tcPr>
            <w:tcW w:w="11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1"/>
              <w:spacing w:before="177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组别</w:t>
            </w:r>
          </w:p>
        </w:tc>
        <w:tc>
          <w:tcPr>
            <w:tcW w:w="10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29"/>
              <w:spacing w:before="47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手术时间</w:t>
            </w:r>
          </w:p>
          <w:p>
            <w:pPr>
              <w:pStyle w:val="TableText"/>
              <w:ind w:left="283"/>
              <w:spacing w:before="62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（</w:t>
            </w:r>
            <w:r>
              <w:rPr>
                <w:color w:val="231F20"/>
                <w:spacing w:val="-5"/>
              </w:rPr>
              <w:t>min</w:t>
            </w:r>
            <w:r>
              <w:rPr>
                <w:rFonts w:ascii="Microsoft YaHei" w:hAnsi="Microsoft YaHei" w:eastAsia="Microsoft YaHei" w:cs="Microsoft YaHei"/>
                <w:color w:val="231F20"/>
                <w:spacing w:val="-5"/>
              </w:rPr>
              <w:t>）</w:t>
            </w:r>
          </w:p>
        </w:tc>
        <w:tc>
          <w:tcPr>
            <w:tcW w:w="129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05"/>
              <w:spacing w:before="45" w:line="182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术后下床时间</w:t>
            </w:r>
          </w:p>
          <w:p>
            <w:pPr>
              <w:pStyle w:val="TableText"/>
              <w:ind w:left="497"/>
              <w:spacing w:before="60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h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15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58"/>
              <w:spacing w:before="37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术后首次排气时间</w:t>
            </w:r>
          </w:p>
          <w:p>
            <w:pPr>
              <w:pStyle w:val="TableText"/>
              <w:ind w:left="608"/>
              <w:spacing w:before="60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h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13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26"/>
              <w:spacing w:before="46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7"/>
              </w:rPr>
              <w:t>肠鸣音恢复时间</w:t>
            </w:r>
          </w:p>
          <w:p>
            <w:pPr>
              <w:pStyle w:val="TableText"/>
              <w:ind w:left="497"/>
              <w:spacing w:before="61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h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104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51"/>
              <w:spacing w:before="47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术中出血量</w:t>
            </w:r>
          </w:p>
          <w:p>
            <w:pPr>
              <w:pStyle w:val="TableText"/>
              <w:ind w:left="304"/>
              <w:spacing w:before="63" w:line="17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mL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11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6"/>
              <w:spacing w:before="46" w:line="18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进食恢复时间</w:t>
            </w:r>
          </w:p>
          <w:p>
            <w:pPr>
              <w:pStyle w:val="TableText"/>
              <w:ind w:left="407"/>
              <w:spacing w:before="61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h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98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38"/>
              <w:spacing w:before="48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住院时间</w:t>
            </w:r>
          </w:p>
          <w:p>
            <w:pPr>
              <w:pStyle w:val="TableText"/>
              <w:ind w:left="271"/>
              <w:spacing w:before="61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d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</w:tr>
      <w:tr>
        <w:trPr>
          <w:trHeight w:val="238" w:hRule="atLeast"/>
        </w:trPr>
        <w:tc>
          <w:tcPr>
            <w:tcW w:w="11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3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观察组（</w:t>
            </w:r>
            <w:r>
              <w:rPr>
                <w:i/>
                <w:iCs/>
                <w:color w:val="231F20"/>
                <w:spacing w:val="-9"/>
              </w:rPr>
              <w:t>n</w:t>
            </w:r>
            <w:r>
              <w:rPr>
                <w:color w:val="231F20"/>
                <w:spacing w:val="-9"/>
              </w:rPr>
              <w:t>=76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10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6"/>
              <w:spacing w:before="43" w:line="184" w:lineRule="exact"/>
              <w:rPr/>
            </w:pPr>
            <w:r>
              <w:rPr>
                <w:color w:val="231F20"/>
                <w:spacing w:val="-6"/>
              </w:rPr>
              <w:t>38.15±3.74</w:t>
            </w:r>
          </w:p>
        </w:tc>
        <w:tc>
          <w:tcPr>
            <w:tcW w:w="12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07"/>
              <w:spacing w:before="43" w:line="184" w:lineRule="exact"/>
              <w:rPr/>
            </w:pPr>
            <w:r>
              <w:rPr>
                <w:color w:val="231F20"/>
                <w:spacing w:val="-5"/>
              </w:rPr>
              <w:t>9.18±2.63</w:t>
            </w:r>
          </w:p>
        </w:tc>
        <w:tc>
          <w:tcPr>
            <w:tcW w:w="15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2"/>
              <w:spacing w:before="43" w:line="184" w:lineRule="exact"/>
              <w:rPr/>
            </w:pPr>
            <w:r>
              <w:rPr>
                <w:color w:val="231F20"/>
                <w:spacing w:val="-5"/>
              </w:rPr>
              <w:t>27.26±4.08</w:t>
            </w:r>
          </w:p>
        </w:tc>
        <w:tc>
          <w:tcPr>
            <w:tcW w:w="13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1"/>
              <w:spacing w:before="43" w:line="184" w:lineRule="exact"/>
              <w:rPr/>
            </w:pPr>
            <w:r>
              <w:rPr>
                <w:color w:val="231F20"/>
                <w:spacing w:val="-5"/>
              </w:rPr>
              <w:t>24.31±4.15</w:t>
            </w:r>
          </w:p>
        </w:tc>
        <w:tc>
          <w:tcPr>
            <w:tcW w:w="10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0"/>
              <w:spacing w:before="43" w:line="184" w:lineRule="exact"/>
              <w:rPr/>
            </w:pPr>
            <w:r>
              <w:rPr>
                <w:color w:val="231F20"/>
                <w:spacing w:val="-6"/>
              </w:rPr>
              <w:t>8.49±3.28</w:t>
            </w:r>
          </w:p>
        </w:tc>
        <w:tc>
          <w:tcPr>
            <w:tcW w:w="11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1"/>
              <w:spacing w:before="43" w:line="184" w:lineRule="exact"/>
              <w:rPr/>
            </w:pPr>
            <w:r>
              <w:rPr>
                <w:color w:val="231F20"/>
                <w:spacing w:val="-5"/>
              </w:rPr>
              <w:t>29.18±4.42</w:t>
            </w:r>
          </w:p>
        </w:tc>
        <w:tc>
          <w:tcPr>
            <w:tcW w:w="9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1"/>
              <w:spacing w:before="43" w:line="184" w:lineRule="exact"/>
              <w:rPr/>
            </w:pPr>
            <w:r>
              <w:rPr>
                <w:color w:val="231F20"/>
                <w:spacing w:val="-7"/>
              </w:rPr>
              <w:t>4.85±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7"/>
              </w:rPr>
              <w:t>1.09</w:t>
            </w:r>
          </w:p>
        </w:tc>
      </w:tr>
      <w:tr>
        <w:trPr>
          <w:trHeight w:val="241" w:hRule="atLeast"/>
        </w:trPr>
        <w:tc>
          <w:tcPr>
            <w:tcW w:w="1146" w:type="dxa"/>
            <w:vAlign w:val="top"/>
          </w:tcPr>
          <w:p>
            <w:pPr>
              <w:pStyle w:val="TableText"/>
              <w:ind w:left="20"/>
              <w:spacing w:before="49" w:line="16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对照组（</w:t>
            </w:r>
            <w:r>
              <w:rPr>
                <w:i/>
                <w:iCs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=76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1090" w:type="dxa"/>
            <w:vAlign w:val="top"/>
          </w:tcPr>
          <w:p>
            <w:pPr>
              <w:pStyle w:val="TableText"/>
              <w:ind w:left="192"/>
              <w:spacing w:before="50" w:line="180" w:lineRule="exact"/>
              <w:rPr/>
            </w:pPr>
            <w:r>
              <w:rPr>
                <w:color w:val="231F20"/>
                <w:spacing w:val="-5"/>
              </w:rPr>
              <w:t>41.75±3.23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343"/>
              <w:spacing w:before="50" w:line="180" w:lineRule="exact"/>
              <w:rPr/>
            </w:pPr>
            <w:r>
              <w:rPr>
                <w:color w:val="231F20"/>
                <w:spacing w:val="-7"/>
              </w:rPr>
              <w:t>12.59±3.52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444"/>
              <w:spacing w:before="50" w:line="180" w:lineRule="exact"/>
              <w:rPr/>
            </w:pPr>
            <w:r>
              <w:rPr>
                <w:color w:val="231F20"/>
                <w:spacing w:val="-6"/>
              </w:rPr>
              <w:t>33.19±4.13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331"/>
              <w:spacing w:before="50" w:line="180" w:lineRule="exact"/>
              <w:rPr/>
            </w:pPr>
            <w:r>
              <w:rPr>
                <w:color w:val="231F20"/>
                <w:spacing w:val="-5"/>
              </w:rPr>
              <w:t>28.32±4.56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210"/>
              <w:spacing w:before="50" w:line="180" w:lineRule="exact"/>
              <w:rPr/>
            </w:pPr>
            <w:r>
              <w:rPr>
                <w:color w:val="231F20"/>
                <w:spacing w:val="-7"/>
              </w:rPr>
              <w:t>12.38±4.07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243"/>
              <w:spacing w:before="50" w:line="180" w:lineRule="exact"/>
              <w:rPr/>
            </w:pPr>
            <w:r>
              <w:rPr>
                <w:color w:val="231F20"/>
                <w:spacing w:val="-6"/>
              </w:rPr>
              <w:t>35.74±5.04</w:t>
            </w:r>
          </w:p>
        </w:tc>
        <w:tc>
          <w:tcPr>
            <w:tcW w:w="980" w:type="dxa"/>
            <w:vAlign w:val="top"/>
          </w:tcPr>
          <w:p>
            <w:pPr>
              <w:pStyle w:val="TableText"/>
              <w:ind w:left="144"/>
              <w:spacing w:before="50" w:line="180" w:lineRule="exact"/>
              <w:rPr/>
            </w:pPr>
            <w:r>
              <w:rPr>
                <w:color w:val="231F20"/>
                <w:spacing w:val="-7"/>
              </w:rPr>
              <w:t>6.08±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7"/>
              </w:rPr>
              <w:t>1.52</w:t>
            </w:r>
          </w:p>
        </w:tc>
      </w:tr>
      <w:tr>
        <w:trPr>
          <w:trHeight w:val="244" w:hRule="atLeast"/>
        </w:trPr>
        <w:tc>
          <w:tcPr>
            <w:tcW w:w="1146" w:type="dxa"/>
            <w:vAlign w:val="top"/>
          </w:tcPr>
          <w:p>
            <w:pPr>
              <w:pStyle w:val="TableText"/>
              <w:ind w:left="20"/>
              <w:spacing w:before="57" w:line="16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-2"/>
              </w:rPr>
              <w:t>t</w:t>
            </w:r>
            <w:r>
              <w:rPr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值</w:t>
            </w:r>
          </w:p>
        </w:tc>
        <w:tc>
          <w:tcPr>
            <w:tcW w:w="1090" w:type="dxa"/>
            <w:vAlign w:val="top"/>
          </w:tcPr>
          <w:p>
            <w:pPr>
              <w:pStyle w:val="TableText"/>
              <w:ind w:left="372"/>
              <w:spacing w:before="53" w:line="181" w:lineRule="exact"/>
              <w:rPr/>
            </w:pPr>
            <w:r>
              <w:rPr>
                <w:color w:val="231F20"/>
                <w:spacing w:val="-6"/>
              </w:rPr>
              <w:t>6.351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508"/>
              <w:spacing w:before="53" w:line="181" w:lineRule="exact"/>
              <w:rPr/>
            </w:pPr>
            <w:r>
              <w:rPr>
                <w:color w:val="231F20"/>
                <w:spacing w:val="-6"/>
              </w:rPr>
              <w:t>6.766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623"/>
              <w:spacing w:before="53" w:line="181" w:lineRule="exact"/>
              <w:rPr/>
            </w:pPr>
            <w:r>
              <w:rPr>
                <w:color w:val="231F20"/>
                <w:spacing w:val="-7"/>
              </w:rPr>
              <w:t>8.905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508"/>
              <w:spacing w:before="53" w:line="181" w:lineRule="exact"/>
              <w:rPr/>
            </w:pPr>
            <w:r>
              <w:rPr>
                <w:color w:val="231F20"/>
                <w:spacing w:val="-6"/>
              </w:rPr>
              <w:t>5.669</w:t>
            </w:r>
          </w:p>
        </w:tc>
        <w:tc>
          <w:tcPr>
            <w:tcW w:w="1044" w:type="dxa"/>
            <w:vAlign w:val="top"/>
          </w:tcPr>
          <w:p>
            <w:pPr>
              <w:pStyle w:val="TableText"/>
              <w:ind w:left="375"/>
              <w:spacing w:before="53" w:line="181" w:lineRule="exact"/>
              <w:rPr/>
            </w:pPr>
            <w:r>
              <w:rPr>
                <w:color w:val="231F20"/>
                <w:spacing w:val="-6"/>
              </w:rPr>
              <w:t>6.488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422"/>
              <w:spacing w:before="53" w:line="181" w:lineRule="exact"/>
              <w:rPr/>
            </w:pPr>
            <w:r>
              <w:rPr>
                <w:color w:val="231F20"/>
                <w:spacing w:val="-7"/>
              </w:rPr>
              <w:t>8.531</w:t>
            </w:r>
          </w:p>
        </w:tc>
        <w:tc>
          <w:tcPr>
            <w:tcW w:w="980" w:type="dxa"/>
            <w:vAlign w:val="top"/>
          </w:tcPr>
          <w:p>
            <w:pPr>
              <w:pStyle w:val="TableText"/>
              <w:ind w:left="282"/>
              <w:spacing w:before="53" w:line="181" w:lineRule="exact"/>
              <w:rPr/>
            </w:pPr>
            <w:r>
              <w:rPr>
                <w:color w:val="231F20"/>
                <w:spacing w:val="-6"/>
              </w:rPr>
              <w:t>5.733</w:t>
            </w:r>
          </w:p>
        </w:tc>
      </w:tr>
      <w:tr>
        <w:trPr>
          <w:trHeight w:val="251" w:hRule="atLeast"/>
        </w:trPr>
        <w:tc>
          <w:tcPr>
            <w:tcW w:w="11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7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>值</w:t>
            </w:r>
          </w:p>
        </w:tc>
        <w:tc>
          <w:tcPr>
            <w:tcW w:w="10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1"/>
              <w:spacing w:before="54" w:line="186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12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7"/>
              <w:spacing w:before="54" w:line="186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15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79"/>
              <w:spacing w:before="54" w:line="186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13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8"/>
              <w:spacing w:before="54" w:line="186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10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4"/>
              <w:spacing w:before="54" w:line="186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11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7"/>
              <w:spacing w:before="54" w:line="186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9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2"/>
              <w:spacing w:before="54" w:line="186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95" w:lineRule="exact"/>
        <w:rPr/>
      </w:pPr>
      <w:r/>
    </w:p>
    <w:p>
      <w:pPr>
        <w:spacing w:line="195" w:lineRule="exact"/>
        <w:sectPr>
          <w:type w:val="continuous"/>
          <w:pgSz w:w="11906" w:h="16838"/>
          <w:pgMar w:top="400" w:right="1057" w:bottom="824" w:left="424" w:header="0" w:footer="630" w:gutter="0"/>
          <w:cols w:equalWidth="0" w:num="1">
            <w:col w:w="10425" w:space="0"/>
          </w:cols>
        </w:sectPr>
        <w:rPr/>
      </w:pPr>
    </w:p>
    <w:p>
      <w:pPr>
        <w:pStyle w:val="BodyText"/>
        <w:ind w:left="717"/>
        <w:spacing w:before="46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2.2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两组患者炎性因子水平比较</w:t>
      </w:r>
    </w:p>
    <w:p>
      <w:pPr>
        <w:pStyle w:val="BodyText"/>
        <w:ind w:left="717" w:right="327" w:firstLine="409"/>
        <w:spacing w:before="71" w:line="25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性 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对 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义（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i/>
          <w:iCs/>
          <w:color w:val="231F20"/>
          <w:spacing w:val="-11"/>
        </w:rPr>
        <w:t>P</w:t>
      </w:r>
      <w:r>
        <w:rPr>
          <w:sz w:val="20"/>
          <w:szCs w:val="20"/>
          <w:color w:val="231F20"/>
          <w:spacing w:val="-11"/>
        </w:rPr>
        <w:t>&gt;0.05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4"/>
          <w:w w:val="92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者 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性 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"/>
        <w:spacing w:before="43" w:line="25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组 的 </w:t>
      </w:r>
      <w:r>
        <w:rPr>
          <w:sz w:val="20"/>
          <w:szCs w:val="20"/>
          <w:color w:val="231F20"/>
          <w:spacing w:val="-10"/>
        </w:rPr>
        <w:t>CRP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IL-6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、</w:t>
      </w:r>
      <w:r>
        <w:rPr>
          <w:sz w:val="20"/>
          <w:szCs w:val="20"/>
          <w:color w:val="231F20"/>
          <w:spacing w:val="-10"/>
        </w:rPr>
        <w:t>TNF-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0"/>
        </w:rPr>
        <w:t>α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低 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对 照 组 ，差 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有 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计 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意 义（</w:t>
      </w:r>
      <w:r>
        <w:rPr>
          <w:sz w:val="20"/>
          <w:szCs w:val="20"/>
          <w:i/>
          <w:iCs/>
          <w:color w:val="231F20"/>
          <w:spacing w:val="-11"/>
        </w:rPr>
        <w:t>P</w:t>
      </w:r>
      <w:r>
        <w:rPr>
          <w:sz w:val="20"/>
          <w:szCs w:val="20"/>
          <w:i/>
          <w:iCs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11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spacing w:line="250" w:lineRule="auto"/>
        <w:sectPr>
          <w:type w:val="continuous"/>
          <w:pgSz w:w="11906" w:h="16838"/>
          <w:pgMar w:top="400" w:right="1057" w:bottom="824" w:left="424" w:header="0" w:footer="630" w:gutter="0"/>
          <w:cols w:equalWidth="0" w:num="2">
            <w:col w:w="5645" w:space="100"/>
            <w:col w:w="4681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186"/>
        <w:spacing w:before="133" w:line="207" w:lineRule="auto"/>
        <w:outlineLvl w:val="0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22" style="position:absolute;margin-left:133.898pt;margin-top:-434.143pt;mso-position-vertical-relative:text;mso-position-horizontal-relative:text;width:383.95pt;height:0.9pt;z-index:251665408;" filled="false" strokecolor="#231F20" strokeweight="0.85pt" coordsize="7679,17" coordorigin="0,0" path="m0,8l7678,8e">
            <v:stroke joinstyle="miter" miterlimit="4"/>
          </v:shape>
        </w:pic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4"/>
        </w:rPr>
        <w:t xml:space="preserve"> </w:t>
      </w:r>
      <w:r>
        <w:rPr>
          <w:sz w:val="15"/>
          <w:szCs w:val="15"/>
          <w:color w:val="231F20"/>
          <w:spacing w:val="-3"/>
        </w:rPr>
        <w:t>2    </w:t>
      </w:r>
      <w:r>
        <w:rPr>
          <w:rFonts w:ascii="SimHei" w:hAnsi="SimHei" w:eastAsia="SimHei" w:cs="SimHei"/>
          <w:sz w:val="15"/>
          <w:szCs w:val="15"/>
          <w:color w:val="231F20"/>
          <w:spacing w:val="-3"/>
        </w:rPr>
        <w:t>两组患者炎性因子水平比较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i/>
          <w:iCs/>
          <w:color w:val="231F20"/>
          <w:spacing w:val="-3"/>
        </w:rPr>
        <w:t>x</w:t>
      </w:r>
      <w:r>
        <w:rPr>
          <w:sz w:val="15"/>
          <w:szCs w:val="15"/>
          <w:color w:val="231F20"/>
          <w:spacing w:val="-3"/>
        </w:rPr>
        <w:t>-</w:t>
      </w:r>
      <w:r>
        <w:rPr>
          <w:sz w:val="15"/>
          <w:szCs w:val="15"/>
          <w:color w:val="231F20"/>
          <w:spacing w:val="-35"/>
        </w:rPr>
        <w:t xml:space="preserve"> </w:t>
      </w:r>
      <w:r>
        <w:rPr>
          <w:sz w:val="15"/>
          <w:szCs w:val="15"/>
          <w:color w:val="231F20"/>
          <w:spacing w:val="-3"/>
        </w:rPr>
        <w:t>±</w:t>
      </w:r>
      <w:r>
        <w:rPr>
          <w:sz w:val="15"/>
          <w:szCs w:val="15"/>
          <w:i/>
          <w:iCs/>
          <w:color w:val="231F20"/>
          <w:spacing w:val="-3"/>
        </w:rPr>
        <w:t>s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）</w:t>
      </w:r>
    </w:p>
    <w:p>
      <w:pPr>
        <w:spacing w:line="35" w:lineRule="exact"/>
        <w:rPr/>
      </w:pPr>
      <w:r/>
    </w:p>
    <w:tbl>
      <w:tblPr>
        <w:tblStyle w:val="TableNormal"/>
        <w:tblW w:w="9626" w:type="dxa"/>
        <w:tblInd w:w="71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0"/>
        <w:gridCol w:w="1291"/>
        <w:gridCol w:w="1364"/>
        <w:gridCol w:w="1402"/>
        <w:gridCol w:w="1364"/>
        <w:gridCol w:w="1304"/>
        <w:gridCol w:w="1371"/>
      </w:tblGrid>
      <w:tr>
        <w:trPr>
          <w:trHeight w:val="240" w:hRule="atLeast"/>
        </w:trPr>
        <w:tc>
          <w:tcPr>
            <w:tcW w:w="153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21"/>
              <w:spacing w:before="169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组别</w:t>
            </w:r>
          </w:p>
        </w:tc>
        <w:tc>
          <w:tcPr>
            <w:tcW w:w="265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57"/>
              <w:spacing w:before="43" w:line="17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15"/>
              </w:rPr>
              <w:t>CRP</w:t>
            </w:r>
            <w:r>
              <w:rPr>
                <w:rFonts w:ascii="Microsoft YaHei" w:hAnsi="Microsoft YaHei" w:eastAsia="Microsoft YaHei" w:cs="Microsoft YaHei"/>
                <w:color w:val="1F6CB5"/>
                <w:spacing w:val="-15"/>
              </w:rPr>
              <w:t>（</w:t>
            </w:r>
            <w:r>
              <w:rPr>
                <w:color w:val="231F20"/>
                <w:spacing w:val="-15"/>
              </w:rPr>
              <w:t>mg/L</w:t>
            </w:r>
            <w:r>
              <w:rPr>
                <w:rFonts w:ascii="Microsoft YaHei" w:hAnsi="Microsoft YaHei" w:eastAsia="Microsoft YaHei" w:cs="Microsoft YaHei"/>
                <w:color w:val="231F20"/>
                <w:spacing w:val="-15"/>
              </w:rPr>
              <w:t>）</w:t>
            </w:r>
          </w:p>
        </w:tc>
        <w:tc>
          <w:tcPr>
            <w:tcW w:w="2766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74"/>
              <w:spacing w:before="42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6"/>
              </w:rPr>
              <w:t>IL-6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pg/mL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267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46"/>
              <w:spacing w:before="42" w:line="17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-6"/>
              </w:rPr>
              <w:t>TNF-α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ng/mL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</w:tr>
      <w:tr>
        <w:trPr>
          <w:trHeight w:val="238" w:hRule="atLeast"/>
        </w:trPr>
        <w:tc>
          <w:tcPr>
            <w:tcW w:w="153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78"/>
              <w:spacing w:before="47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术前</w:t>
            </w:r>
          </w:p>
        </w:tc>
        <w:tc>
          <w:tcPr>
            <w:tcW w:w="13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15"/>
              <w:spacing w:before="47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术后</w:t>
            </w:r>
          </w:p>
        </w:tc>
        <w:tc>
          <w:tcPr>
            <w:tcW w:w="140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44"/>
              <w:spacing w:before="47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术前</w:t>
            </w:r>
          </w:p>
        </w:tc>
        <w:tc>
          <w:tcPr>
            <w:tcW w:w="13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35"/>
              <w:spacing w:before="47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术后</w:t>
            </w:r>
          </w:p>
        </w:tc>
        <w:tc>
          <w:tcPr>
            <w:tcW w:w="130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99"/>
              <w:spacing w:before="47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术前</w:t>
            </w:r>
          </w:p>
        </w:tc>
        <w:tc>
          <w:tcPr>
            <w:tcW w:w="137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22"/>
              <w:spacing w:before="47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术后</w:t>
            </w:r>
          </w:p>
        </w:tc>
      </w:tr>
      <w:tr>
        <w:trPr>
          <w:trHeight w:val="238" w:hRule="atLeast"/>
        </w:trPr>
        <w:tc>
          <w:tcPr>
            <w:tcW w:w="15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"/>
              <w:spacing w:before="44" w:line="17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观察组（</w:t>
            </w:r>
            <w:r>
              <w:rPr>
                <w:i/>
                <w:iCs/>
                <w:color w:val="231F20"/>
                <w:spacing w:val="-9"/>
              </w:rPr>
              <w:t>n</w:t>
            </w:r>
            <w:r>
              <w:rPr>
                <w:color w:val="231F20"/>
                <w:spacing w:val="-9"/>
              </w:rPr>
              <w:t>=76</w:t>
            </w:r>
            <w:r>
              <w:rPr>
                <w:rFonts w:ascii="Microsoft YaHei" w:hAnsi="Microsoft YaHei" w:eastAsia="Microsoft YaHei" w:cs="Microsoft YaHei"/>
                <w:color w:val="231F20"/>
                <w:spacing w:val="-9"/>
              </w:rPr>
              <w:t>）</w:t>
            </w:r>
          </w:p>
        </w:tc>
        <w:tc>
          <w:tcPr>
            <w:tcW w:w="12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6"/>
              <w:spacing w:before="44" w:line="183" w:lineRule="exact"/>
              <w:rPr/>
            </w:pPr>
            <w:r>
              <w:rPr>
                <w:color w:val="231F20"/>
                <w:spacing w:val="-5"/>
              </w:rPr>
              <w:t>22.42±3.09</w:t>
            </w:r>
          </w:p>
        </w:tc>
        <w:tc>
          <w:tcPr>
            <w:tcW w:w="13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4"/>
              <w:spacing w:before="30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14.77±4.43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4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6"/>
              <w:spacing w:before="44" w:line="183" w:lineRule="exact"/>
              <w:rPr/>
            </w:pPr>
            <w:r>
              <w:rPr>
                <w:color w:val="231F20"/>
                <w:spacing w:val="-7"/>
              </w:rPr>
              <w:t>102.42±8.64</w:t>
            </w:r>
          </w:p>
        </w:tc>
        <w:tc>
          <w:tcPr>
            <w:tcW w:w="13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1"/>
              <w:spacing w:before="30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77.19±8.36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a</w:t>
            </w:r>
          </w:p>
        </w:tc>
        <w:tc>
          <w:tcPr>
            <w:tcW w:w="13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5"/>
              <w:spacing w:before="44" w:line="183" w:lineRule="exact"/>
              <w:rPr/>
            </w:pPr>
            <w:r>
              <w:rPr>
                <w:color w:val="231F20"/>
                <w:spacing w:val="-5"/>
              </w:rPr>
              <w:t>76.46±6.58</w:t>
            </w:r>
          </w:p>
        </w:tc>
        <w:tc>
          <w:tcPr>
            <w:tcW w:w="13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6"/>
              <w:spacing w:before="30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45.94±4.52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>a</w:t>
            </w:r>
          </w:p>
        </w:tc>
      </w:tr>
      <w:tr>
        <w:trPr>
          <w:trHeight w:val="241" w:hRule="atLeast"/>
        </w:trPr>
        <w:tc>
          <w:tcPr>
            <w:tcW w:w="1530" w:type="dxa"/>
            <w:vAlign w:val="top"/>
          </w:tcPr>
          <w:p>
            <w:pPr>
              <w:pStyle w:val="TableText"/>
              <w:ind w:left="20"/>
              <w:spacing w:before="50" w:line="16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对照组（</w:t>
            </w:r>
            <w:r>
              <w:rPr>
                <w:i/>
                <w:iCs/>
                <w:color w:val="231F20"/>
                <w:spacing w:val="-8"/>
              </w:rPr>
              <w:t>n</w:t>
            </w:r>
            <w:r>
              <w:rPr>
                <w:color w:val="231F20"/>
                <w:spacing w:val="-8"/>
              </w:rPr>
              <w:t>=76</w:t>
            </w:r>
            <w:r>
              <w:rPr>
                <w:rFonts w:ascii="Microsoft YaHei" w:hAnsi="Microsoft YaHei" w:eastAsia="Microsoft YaHei" w:cs="Microsoft YaHei"/>
                <w:color w:val="231F20"/>
                <w:spacing w:val="-8"/>
              </w:rPr>
              <w:t>）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286"/>
              <w:spacing w:before="50" w:line="180" w:lineRule="exact"/>
              <w:rPr/>
            </w:pPr>
            <w:r>
              <w:rPr>
                <w:color w:val="231F20"/>
                <w:spacing w:val="-5"/>
              </w:rPr>
              <w:t>23.35±3.14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314"/>
              <w:spacing w:before="37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7"/>
              </w:rPr>
              <w:t>17.42±3.35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a</w:t>
            </w:r>
          </w:p>
        </w:tc>
        <w:tc>
          <w:tcPr>
            <w:tcW w:w="1402" w:type="dxa"/>
            <w:vAlign w:val="top"/>
          </w:tcPr>
          <w:p>
            <w:pPr>
              <w:pStyle w:val="TableText"/>
              <w:ind w:left="326"/>
              <w:spacing w:before="50" w:line="180" w:lineRule="exact"/>
              <w:rPr/>
            </w:pPr>
            <w:r>
              <w:rPr>
                <w:color w:val="231F20"/>
                <w:spacing w:val="-7"/>
              </w:rPr>
              <w:t>103.58±8.72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326"/>
              <w:spacing w:before="37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89.08±9.54</w:t>
            </w:r>
            <w:r>
              <w:rPr>
                <w:sz w:val="9"/>
                <w:szCs w:val="9"/>
                <w:color w:val="231F20"/>
                <w:position w:val="6"/>
              </w:rPr>
              <w:t>a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305"/>
              <w:spacing w:before="50" w:line="180" w:lineRule="exact"/>
              <w:rPr/>
            </w:pPr>
            <w:r>
              <w:rPr>
                <w:color w:val="231F20"/>
                <w:spacing w:val="-5"/>
              </w:rPr>
              <w:t>77.48±7.64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306"/>
              <w:spacing w:before="37" w:line="179" w:lineRule="exact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48.08±5.59</w:t>
            </w:r>
            <w:r>
              <w:rPr>
                <w:sz w:val="9"/>
                <w:szCs w:val="9"/>
                <w:color w:val="231F20"/>
                <w:spacing w:val="6"/>
                <w:position w:val="6"/>
              </w:rPr>
              <w:t>a</w:t>
            </w:r>
          </w:p>
        </w:tc>
      </w:tr>
      <w:tr>
        <w:trPr>
          <w:trHeight w:val="244" w:hRule="atLeast"/>
        </w:trPr>
        <w:tc>
          <w:tcPr>
            <w:tcW w:w="1530" w:type="dxa"/>
            <w:vAlign w:val="top"/>
          </w:tcPr>
          <w:p>
            <w:pPr>
              <w:pStyle w:val="TableText"/>
              <w:ind w:left="20"/>
              <w:spacing w:before="58" w:line="16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-2"/>
              </w:rPr>
              <w:t>t</w:t>
            </w:r>
            <w:r>
              <w:rPr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-2"/>
              </w:rPr>
              <w:t>值</w:t>
            </w:r>
          </w:p>
        </w:tc>
        <w:tc>
          <w:tcPr>
            <w:tcW w:w="1291" w:type="dxa"/>
            <w:vAlign w:val="top"/>
          </w:tcPr>
          <w:p>
            <w:pPr>
              <w:pStyle w:val="TableText"/>
              <w:ind w:left="476"/>
              <w:spacing w:before="54" w:line="180" w:lineRule="exact"/>
              <w:rPr/>
            </w:pPr>
            <w:r>
              <w:rPr>
                <w:color w:val="231F20"/>
                <w:spacing w:val="-9"/>
              </w:rPr>
              <w:t>1.840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497"/>
              <w:spacing w:before="54" w:line="180" w:lineRule="exact"/>
              <w:rPr/>
            </w:pPr>
            <w:r>
              <w:rPr>
                <w:color w:val="231F20"/>
                <w:spacing w:val="-6"/>
              </w:rPr>
              <w:t>4.159</w:t>
            </w:r>
          </w:p>
        </w:tc>
        <w:tc>
          <w:tcPr>
            <w:tcW w:w="1402" w:type="dxa"/>
            <w:vAlign w:val="top"/>
          </w:tcPr>
          <w:p>
            <w:pPr>
              <w:pStyle w:val="TableText"/>
              <w:ind w:left="528"/>
              <w:spacing w:before="54" w:line="180" w:lineRule="exact"/>
              <w:rPr/>
            </w:pPr>
            <w:r>
              <w:rPr>
                <w:color w:val="231F20"/>
                <w:spacing w:val="-6"/>
              </w:rPr>
              <w:t>0.824</w:t>
            </w:r>
          </w:p>
        </w:tc>
        <w:tc>
          <w:tcPr>
            <w:tcW w:w="1364" w:type="dxa"/>
            <w:vAlign w:val="top"/>
          </w:tcPr>
          <w:p>
            <w:pPr>
              <w:pStyle w:val="TableText"/>
              <w:ind w:left="524"/>
              <w:spacing w:before="54" w:line="180" w:lineRule="exact"/>
              <w:rPr/>
            </w:pPr>
            <w:r>
              <w:rPr>
                <w:color w:val="231F20"/>
                <w:spacing w:val="-7"/>
              </w:rPr>
              <w:t>8.172</w:t>
            </w:r>
          </w:p>
        </w:tc>
        <w:tc>
          <w:tcPr>
            <w:tcW w:w="1304" w:type="dxa"/>
            <w:vAlign w:val="top"/>
          </w:tcPr>
          <w:p>
            <w:pPr>
              <w:pStyle w:val="TableText"/>
              <w:ind w:left="483"/>
              <w:spacing w:before="54" w:line="180" w:lineRule="exact"/>
              <w:rPr/>
            </w:pPr>
            <w:r>
              <w:rPr>
                <w:color w:val="231F20"/>
                <w:spacing w:val="-6"/>
              </w:rPr>
              <w:t>0.882</w:t>
            </w:r>
          </w:p>
        </w:tc>
        <w:tc>
          <w:tcPr>
            <w:tcW w:w="1371" w:type="dxa"/>
            <w:vAlign w:val="top"/>
          </w:tcPr>
          <w:p>
            <w:pPr>
              <w:pStyle w:val="TableText"/>
              <w:ind w:left="507"/>
              <w:spacing w:before="54" w:line="180" w:lineRule="exact"/>
              <w:rPr/>
            </w:pPr>
            <w:r>
              <w:rPr>
                <w:color w:val="231F20"/>
                <w:spacing w:val="-6"/>
              </w:rPr>
              <w:t>2.595</w:t>
            </w:r>
          </w:p>
        </w:tc>
      </w:tr>
      <w:tr>
        <w:trPr>
          <w:trHeight w:val="251" w:hRule="atLeast"/>
        </w:trPr>
        <w:tc>
          <w:tcPr>
            <w:tcW w:w="15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8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>值</w:t>
            </w:r>
          </w:p>
        </w:tc>
        <w:tc>
          <w:tcPr>
            <w:tcW w:w="12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2"/>
              <w:spacing w:before="55" w:line="185" w:lineRule="exact"/>
              <w:rPr/>
            </w:pPr>
            <w:r>
              <w:rPr>
                <w:color w:val="231F20"/>
                <w:spacing w:val="-6"/>
              </w:rPr>
              <w:t>0.068</w:t>
            </w:r>
          </w:p>
        </w:tc>
        <w:tc>
          <w:tcPr>
            <w:tcW w:w="13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9"/>
              <w:spacing w:before="55" w:line="185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140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8"/>
              <w:spacing w:before="55" w:line="185" w:lineRule="exact"/>
              <w:rPr/>
            </w:pPr>
            <w:r>
              <w:rPr>
                <w:color w:val="231F20"/>
                <w:spacing w:val="-6"/>
              </w:rPr>
              <w:t>0.411</w:t>
            </w:r>
          </w:p>
        </w:tc>
        <w:tc>
          <w:tcPr>
            <w:tcW w:w="13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0"/>
              <w:spacing w:before="55" w:line="185" w:lineRule="exact"/>
              <w:rPr/>
            </w:pPr>
            <w:r>
              <w:rPr>
                <w:color w:val="231F20"/>
                <w:spacing w:val="-6"/>
              </w:rPr>
              <w:t>&lt;0.001</w:t>
            </w:r>
          </w:p>
        </w:tc>
        <w:tc>
          <w:tcPr>
            <w:tcW w:w="13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3"/>
              <w:spacing w:before="55" w:line="185" w:lineRule="exact"/>
              <w:rPr/>
            </w:pPr>
            <w:r>
              <w:rPr>
                <w:color w:val="231F20"/>
                <w:spacing w:val="-6"/>
              </w:rPr>
              <w:t>0.379</w:t>
            </w:r>
          </w:p>
        </w:tc>
        <w:tc>
          <w:tcPr>
            <w:tcW w:w="13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06"/>
              <w:spacing w:before="55" w:line="185" w:lineRule="exact"/>
              <w:rPr/>
            </w:pPr>
            <w:r>
              <w:rPr>
                <w:color w:val="231F20"/>
                <w:spacing w:val="-6"/>
              </w:rPr>
              <w:t>0.010</w:t>
            </w:r>
          </w:p>
        </w:tc>
      </w:tr>
    </w:tbl>
    <w:p>
      <w:pPr>
        <w:pStyle w:val="BodyText"/>
        <w:ind w:left="874"/>
        <w:spacing w:before="62" w:line="21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注：</w:t>
      </w:r>
      <w:r>
        <w:rPr>
          <w:sz w:val="15"/>
          <w:szCs w:val="15"/>
          <w:color w:val="231F20"/>
          <w:spacing w:val="-4"/>
          <w:position w:val="1"/>
        </w:rPr>
        <w:t>CRP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：</w:t>
      </w:r>
      <w:r>
        <w:rPr>
          <w:sz w:val="15"/>
          <w:szCs w:val="15"/>
          <w:color w:val="231F20"/>
          <w:spacing w:val="-4"/>
          <w:position w:val="1"/>
        </w:rPr>
        <w:t>C-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反应蛋白，</w:t>
      </w:r>
      <w:r>
        <w:rPr>
          <w:sz w:val="15"/>
          <w:szCs w:val="15"/>
          <w:color w:val="231F20"/>
          <w:spacing w:val="-4"/>
          <w:position w:val="1"/>
        </w:rPr>
        <w:t>IL-6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：白细胞介素</w:t>
      </w:r>
      <w:r>
        <w:rPr>
          <w:sz w:val="15"/>
          <w:szCs w:val="15"/>
          <w:color w:val="231F20"/>
          <w:spacing w:val="-4"/>
          <w:position w:val="1"/>
        </w:rPr>
        <w:t>-6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，</w:t>
      </w:r>
      <w:r>
        <w:rPr>
          <w:sz w:val="15"/>
          <w:szCs w:val="15"/>
          <w:color w:val="231F20"/>
          <w:spacing w:val="-4"/>
          <w:position w:val="1"/>
        </w:rPr>
        <w:t>TNF-α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：肿瘤坏死因子</w:t>
      </w:r>
      <w:r>
        <w:rPr>
          <w:sz w:val="15"/>
          <w:szCs w:val="15"/>
          <w:color w:val="231F20"/>
          <w:spacing w:val="-4"/>
          <w:position w:val="1"/>
        </w:rPr>
        <w:t>-α</w:t>
      </w: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；与同组术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前比较，</w:t>
      </w:r>
      <w:r>
        <w:rPr>
          <w:sz w:val="9"/>
          <w:szCs w:val="9"/>
          <w:color w:val="231F20"/>
          <w:spacing w:val="-5"/>
          <w:position w:val="7"/>
        </w:rPr>
        <w:t>a</w:t>
      </w:r>
      <w:r>
        <w:rPr>
          <w:sz w:val="15"/>
          <w:szCs w:val="15"/>
          <w:i/>
          <w:iCs/>
          <w:color w:val="231F20"/>
          <w:spacing w:val="-5"/>
          <w:position w:val="1"/>
        </w:rPr>
        <w:t>P</w:t>
      </w:r>
      <w:r>
        <w:rPr>
          <w:sz w:val="15"/>
          <w:szCs w:val="15"/>
          <w:color w:val="231F20"/>
          <w:spacing w:val="-5"/>
          <w:position w:val="1"/>
        </w:rPr>
        <w:t>&lt;0.05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。</w:t>
      </w:r>
    </w:p>
    <w:p>
      <w:pPr>
        <w:spacing w:before="56"/>
        <w:rPr/>
      </w:pPr>
      <w:r/>
    </w:p>
    <w:p>
      <w:pPr>
        <w:sectPr>
          <w:type w:val="continuous"/>
          <w:pgSz w:w="11906" w:h="16838"/>
          <w:pgMar w:top="400" w:right="1057" w:bottom="824" w:left="424" w:header="0" w:footer="630" w:gutter="0"/>
          <w:cols w:equalWidth="0" w:num="1">
            <w:col w:w="10425" w:space="0"/>
          </w:cols>
        </w:sectPr>
        <w:rPr/>
      </w:pPr>
    </w:p>
    <w:p>
      <w:pPr>
        <w:pStyle w:val="BodyText"/>
        <w:ind w:left="717"/>
        <w:spacing w:before="53" w:line="19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2.3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两组患者术后并发症发生率比较</w:t>
      </w:r>
    </w:p>
    <w:p>
      <w:pPr>
        <w:pStyle w:val="BodyText"/>
        <w:ind w:left="716" w:right="324" w:firstLine="415"/>
        <w:spacing w:before="89" w:line="26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观察组患者并发症发生率为 </w:t>
      </w:r>
      <w:r>
        <w:rPr>
          <w:sz w:val="20"/>
          <w:szCs w:val="20"/>
          <w:color w:val="231F20"/>
          <w:spacing w:val="7"/>
        </w:rPr>
        <w:t>1.32%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（</w:t>
      </w:r>
      <w:r>
        <w:rPr>
          <w:sz w:val="20"/>
          <w:szCs w:val="20"/>
          <w:color w:val="231F20"/>
          <w:spacing w:val="7"/>
        </w:rPr>
        <w:t>1/76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  <w:w w:val="6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于对照组的 </w:t>
      </w:r>
      <w:r>
        <w:rPr>
          <w:sz w:val="20"/>
          <w:szCs w:val="20"/>
          <w:color w:val="231F20"/>
          <w:spacing w:val="1"/>
        </w:rPr>
        <w:t>10.53%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</w:t>
      </w:r>
      <w:r>
        <w:rPr>
          <w:sz w:val="20"/>
          <w:szCs w:val="20"/>
          <w:color w:val="231F20"/>
          <w:spacing w:val="1"/>
        </w:rPr>
        <w:t>8/76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差异有统计学意义（</w:t>
      </w:r>
      <w:r>
        <w:rPr>
          <w:sz w:val="20"/>
          <w:szCs w:val="20"/>
          <w:i/>
          <w:iCs/>
          <w:color w:val="231F20"/>
          <w:spacing w:val="1"/>
        </w:rPr>
        <w:t>P</w:t>
      </w:r>
      <w:r>
        <w:rPr>
          <w:sz w:val="20"/>
          <w:szCs w:val="20"/>
          <w:color w:val="231F20"/>
          <w:spacing w:val="1"/>
        </w:rPr>
        <w:t>&lt;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6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）。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6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。</w:t>
      </w:r>
    </w:p>
    <w:p>
      <w:pPr>
        <w:pStyle w:val="BodyText"/>
        <w:ind w:left="1701"/>
        <w:spacing w:before="124" w:line="242" w:lineRule="auto"/>
        <w:outlineLvl w:val="0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表</w:t>
      </w:r>
      <w:r>
        <w:rPr>
          <w:rFonts w:ascii="SimHei" w:hAnsi="SimHei" w:eastAsia="SimHei" w:cs="SimHei"/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5"/>
        </w:rPr>
        <w:t>3</w:t>
      </w:r>
      <w:r>
        <w:rPr>
          <w:sz w:val="15"/>
          <w:szCs w:val="15"/>
          <w:color w:val="231F20"/>
          <w:spacing w:val="1"/>
        </w:rPr>
        <w:t xml:space="preserve">    </w:t>
      </w: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两组患者术后并发症发生率比较</w:t>
      </w:r>
    </w:p>
    <w:p>
      <w:pPr>
        <w:spacing w:line="59" w:lineRule="exact"/>
        <w:rPr/>
      </w:pPr>
      <w:r/>
    </w:p>
    <w:tbl>
      <w:tblPr>
        <w:tblStyle w:val="TableNormal"/>
        <w:tblW w:w="4603" w:type="dxa"/>
        <w:tblInd w:w="7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4"/>
        <w:gridCol w:w="504"/>
        <w:gridCol w:w="930"/>
        <w:gridCol w:w="750"/>
        <w:gridCol w:w="580"/>
        <w:gridCol w:w="596"/>
        <w:gridCol w:w="649"/>
      </w:tblGrid>
      <w:tr>
        <w:trPr>
          <w:trHeight w:val="497" w:hRule="atLeast"/>
        </w:trPr>
        <w:tc>
          <w:tcPr>
            <w:tcW w:w="5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21"/>
              <w:spacing w:before="176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3"/>
              </w:rPr>
              <w:t>组别</w:t>
            </w:r>
          </w:p>
        </w:tc>
        <w:tc>
          <w:tcPr>
            <w:tcW w:w="5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3"/>
              <w:spacing w:before="175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2"/>
              </w:rPr>
              <w:t>例数</w:t>
            </w:r>
          </w:p>
        </w:tc>
        <w:tc>
          <w:tcPr>
            <w:tcW w:w="9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88"/>
              <w:spacing w:before="48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6"/>
              </w:rPr>
              <w:t>腹腔内脓肿</w:t>
            </w:r>
          </w:p>
          <w:p>
            <w:pPr>
              <w:pStyle w:val="TableText"/>
              <w:ind w:left="300"/>
              <w:spacing w:before="64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i/>
                <w:iCs/>
                <w:color w:val="231F20"/>
                <w:spacing w:val="-6"/>
              </w:rPr>
              <w:t>n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7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9"/>
              <w:spacing w:before="46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切口感染</w:t>
            </w:r>
          </w:p>
          <w:p>
            <w:pPr>
              <w:pStyle w:val="TableText"/>
              <w:ind w:left="201"/>
              <w:spacing w:before="64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i/>
                <w:iCs/>
                <w:color w:val="231F20"/>
                <w:spacing w:val="-6"/>
              </w:rPr>
              <w:t>n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58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5"/>
              <w:spacing w:before="47" w:line="17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肠粘连</w:t>
            </w:r>
          </w:p>
          <w:p>
            <w:pPr>
              <w:pStyle w:val="TableText"/>
              <w:ind w:left="118"/>
              <w:spacing w:before="63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i/>
                <w:iCs/>
                <w:color w:val="231F20"/>
                <w:spacing w:val="-6"/>
              </w:rPr>
              <w:t>n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5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5"/>
              <w:spacing w:before="47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肠梗阻</w:t>
            </w:r>
          </w:p>
          <w:p>
            <w:pPr>
              <w:pStyle w:val="TableText"/>
              <w:ind w:left="109"/>
              <w:spacing w:before="64" w:line="17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i/>
                <w:iCs/>
                <w:color w:val="231F20"/>
                <w:spacing w:val="-6"/>
              </w:rPr>
              <w:t>n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  <w:tc>
          <w:tcPr>
            <w:tcW w:w="6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77"/>
              <w:spacing w:before="46" w:line="18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发生率</w:t>
            </w:r>
          </w:p>
          <w:p>
            <w:pPr>
              <w:pStyle w:val="TableText"/>
              <w:ind w:left="103"/>
              <w:spacing w:before="60" w:line="17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（</w:t>
            </w:r>
            <w:r>
              <w:rPr>
                <w:color w:val="231F20"/>
                <w:spacing w:val="-6"/>
              </w:rPr>
              <w:t>%</w:t>
            </w:r>
            <w:r>
              <w:rPr>
                <w:rFonts w:ascii="Microsoft YaHei" w:hAnsi="Microsoft YaHei" w:eastAsia="Microsoft YaHei" w:cs="Microsoft YaHei"/>
                <w:color w:val="231F20"/>
                <w:spacing w:val="-6"/>
              </w:rPr>
              <w:t>）</w:t>
            </w:r>
          </w:p>
        </w:tc>
      </w:tr>
      <w:tr>
        <w:trPr>
          <w:trHeight w:val="238" w:hRule="atLeast"/>
        </w:trPr>
        <w:tc>
          <w:tcPr>
            <w:tcW w:w="594" w:type="dxa"/>
            <w:vAlign w:val="top"/>
            <w:tcBorders>
              <w:top w:val="single" w:color="231F20" w:sz="2" w:space="0"/>
            </w:tcBorders>
          </w:tcPr>
          <w:p>
            <w:pPr>
              <w:ind w:left="24"/>
              <w:spacing w:before="47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4"/>
              </w:rPr>
              <w:t>观察组</w:t>
            </w:r>
          </w:p>
        </w:tc>
        <w:tc>
          <w:tcPr>
            <w:tcW w:w="5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1"/>
              <w:spacing w:before="43" w:line="185" w:lineRule="exact"/>
              <w:rPr/>
            </w:pPr>
            <w:r>
              <w:rPr>
                <w:color w:val="231F20"/>
                <w:spacing w:val="-6"/>
              </w:rPr>
              <w:t>76</w:t>
            </w:r>
          </w:p>
        </w:tc>
        <w:tc>
          <w:tcPr>
            <w:tcW w:w="9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5"/>
              <w:spacing w:before="43" w:line="185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7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6"/>
              <w:spacing w:before="43" w:line="185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5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6"/>
              <w:spacing w:before="43" w:line="185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5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3"/>
              <w:spacing w:before="43" w:line="185" w:lineRule="exact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6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1"/>
              <w:spacing w:before="43" w:line="185" w:lineRule="exact"/>
              <w:rPr/>
            </w:pPr>
            <w:r>
              <w:rPr>
                <w:color w:val="231F20"/>
                <w:spacing w:val="-9"/>
              </w:rPr>
              <w:t>1.32</w:t>
            </w:r>
          </w:p>
        </w:tc>
      </w:tr>
      <w:tr>
        <w:trPr>
          <w:trHeight w:val="239" w:hRule="atLeast"/>
        </w:trPr>
        <w:tc>
          <w:tcPr>
            <w:tcW w:w="594" w:type="dxa"/>
            <w:vAlign w:val="top"/>
          </w:tcPr>
          <w:p>
            <w:pPr>
              <w:ind w:left="20"/>
              <w:spacing w:before="57" w:line="16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color w:val="231F20"/>
                <w:spacing w:val="5"/>
              </w:rPr>
              <w:t>对照组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ind w:left="191"/>
              <w:spacing w:before="50" w:line="178" w:lineRule="exact"/>
              <w:rPr/>
            </w:pPr>
            <w:r>
              <w:rPr>
                <w:color w:val="231F20"/>
                <w:spacing w:val="-6"/>
              </w:rPr>
              <w:t>76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458"/>
              <w:spacing w:before="50" w:line="178" w:lineRule="exact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750" w:type="dxa"/>
            <w:vAlign w:val="top"/>
          </w:tcPr>
          <w:p>
            <w:pPr>
              <w:pStyle w:val="TableText"/>
              <w:ind w:left="347"/>
              <w:spacing w:before="50" w:line="178" w:lineRule="exact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580" w:type="dxa"/>
            <w:vAlign w:val="top"/>
          </w:tcPr>
          <w:p>
            <w:pPr>
              <w:pStyle w:val="TableText"/>
              <w:ind w:left="266"/>
              <w:spacing w:before="50" w:line="178" w:lineRule="exact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596" w:type="dxa"/>
            <w:vAlign w:val="top"/>
          </w:tcPr>
          <w:p>
            <w:pPr>
              <w:pStyle w:val="TableText"/>
              <w:ind w:left="255"/>
              <w:spacing w:before="50" w:line="178" w:lineRule="exact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649" w:type="dxa"/>
            <w:vAlign w:val="top"/>
          </w:tcPr>
          <w:p>
            <w:pPr>
              <w:pStyle w:val="TableText"/>
              <w:ind w:left="152"/>
              <w:spacing w:before="50" w:line="178" w:lineRule="exact"/>
              <w:rPr/>
            </w:pPr>
            <w:r>
              <w:rPr>
                <w:color w:val="231F20"/>
                <w:spacing w:val="-9"/>
              </w:rPr>
              <w:t>10.53</w:t>
            </w:r>
          </w:p>
        </w:tc>
      </w:tr>
      <w:tr>
        <w:trPr>
          <w:trHeight w:val="252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22"/>
              <w:spacing w:before="42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31F20"/>
                <w:spacing w:val="1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4"/>
              </w:rPr>
              <w:t>2</w:t>
            </w:r>
            <w:r>
              <w:rPr>
                <w:sz w:val="9"/>
                <w:szCs w:val="9"/>
                <w:color w:val="231F20"/>
                <w:spacing w:val="-6"/>
                <w:position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31F20"/>
                <w:spacing w:val="1"/>
                <w:position w:val="-1"/>
              </w:rPr>
              <w:t>值</w:t>
            </w:r>
          </w:p>
        </w:tc>
        <w:tc>
          <w:tcPr>
            <w:tcW w:w="50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3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5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49" w:type="dxa"/>
            <w:vAlign w:val="top"/>
          </w:tcPr>
          <w:p>
            <w:pPr>
              <w:pStyle w:val="TableText"/>
              <w:ind w:left="137"/>
              <w:spacing w:before="55" w:line="186" w:lineRule="exact"/>
              <w:rPr/>
            </w:pPr>
            <w:r>
              <w:rPr>
                <w:color w:val="231F20"/>
                <w:spacing w:val="-6"/>
              </w:rPr>
              <w:t>4.252</w:t>
            </w:r>
          </w:p>
        </w:tc>
      </w:tr>
      <w:tr>
        <w:trPr>
          <w:trHeight w:val="244" w:hRule="atLeast"/>
        </w:trPr>
        <w:tc>
          <w:tcPr>
            <w:tcW w:w="5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"/>
              <w:spacing w:before="51" w:line="17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i/>
                <w:iCs/>
                <w:color w:val="231F20"/>
                <w:spacing w:val="10"/>
              </w:rPr>
              <w:t>P</w:t>
            </w:r>
            <w:r>
              <w:rPr>
                <w:rFonts w:ascii="Microsoft YaHei" w:hAnsi="Microsoft YaHei" w:eastAsia="Microsoft YaHei" w:cs="Microsoft YaHei"/>
                <w:color w:val="231F20"/>
                <w:spacing w:val="10"/>
              </w:rPr>
              <w:t>值</w:t>
            </w:r>
          </w:p>
        </w:tc>
        <w:tc>
          <w:tcPr>
            <w:tcW w:w="5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9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7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5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5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spacing w:line="234" w:lineRule="exact"/>
              <w:rPr>
                <w:sz w:val="20"/>
              </w:rPr>
            </w:pPr>
            <w:r/>
          </w:p>
        </w:tc>
        <w:tc>
          <w:tcPr>
            <w:tcW w:w="6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9"/>
              <w:spacing w:before="48" w:line="186" w:lineRule="exact"/>
              <w:rPr/>
            </w:pPr>
            <w:r>
              <w:rPr>
                <w:color w:val="231F20"/>
                <w:spacing w:val="-6"/>
              </w:rPr>
              <w:t>0.039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5" w:line="271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3"/>
          <w:position w:val="1"/>
        </w:rPr>
        <w:t>3</w:t>
      </w:r>
      <w:r>
        <w:rPr>
          <w:sz w:val="20"/>
          <w:szCs w:val="20"/>
          <w:color w:val="231F20"/>
          <w:spacing w:val="5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讨论</w:t>
      </w:r>
    </w:p>
    <w:p>
      <w:pPr>
        <w:pStyle w:val="BodyText"/>
        <w:ind w:right="78" w:firstLine="432"/>
        <w:spacing w:before="90" w:line="23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阑尾位于盲肠末端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，属于发生率较高的急腹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症，其临床症状多见反跳痛、右下腹疼痛，大多患者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存在弥漫性腹膜炎，发病急骤，短时间在各个腹腔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感染扩散，逐步演变为坏疽性、化脓性，任由病情进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展出现阑尾穿孔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，对于患者生命安全具有严重威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胁</w:t>
      </w:r>
      <w:r>
        <w:rPr>
          <w:sz w:val="12"/>
          <w:szCs w:val="12"/>
          <w:color w:val="231F20"/>
          <w:spacing w:val="12"/>
          <w:position w:val="7"/>
        </w:rPr>
        <w:t>[6-7]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。及时采取科学及高效的治疗措施对于控制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病情和预防并发症发生十分关键，现阶段针对此疾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病主要采取手术治疗，但是不同术式所发挥的作用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不同</w:t>
      </w:r>
      <w:r>
        <w:rPr>
          <w:sz w:val="12"/>
          <w:szCs w:val="12"/>
          <w:color w:val="231F20"/>
          <w:spacing w:val="3"/>
          <w:position w:val="4"/>
        </w:rPr>
        <w:t>[8]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  <w:position w:val="-3"/>
        </w:rPr>
        <w:t>。</w:t>
      </w:r>
    </w:p>
    <w:p>
      <w:pPr>
        <w:spacing w:line="236" w:lineRule="auto"/>
        <w:sectPr>
          <w:type w:val="continuous"/>
          <w:pgSz w:w="11906" w:h="16838"/>
          <w:pgMar w:top="400" w:right="1057" w:bottom="824" w:left="424" w:header="0" w:footer="630" w:gutter="0"/>
          <w:cols w:equalWidth="0" w:num="2">
            <w:col w:w="5643" w:space="100"/>
            <w:col w:w="4682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before="69"/>
        <w:rPr/>
      </w:pPr>
      <w:r>
        <w:pict>
          <v:shape id="_x0000_s26" style="position:absolute;margin-left:108.746pt;margin-top:36.885pt;mso-position-vertical-relative:page;mso-position-horizontal-relative:page;width:94.65pt;height:17.7pt;z-index:251669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2024</w:t>
                  </w:r>
                  <w:r>
                    <w:rPr>
                      <w:sz w:val="11"/>
                      <w:szCs w:val="11"/>
                      <w:u w:val="single" w:color="auto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sz w:val="11"/>
                      <w:szCs w:val="11"/>
                      <w:u w:val="single" w:color="auto"/>
                      <w:color w:val="231F20"/>
                    </w:rPr>
                    <w:t>NO</w:t>
                  </w:r>
                  <w:r>
                    <w:rPr>
                      <w:sz w:val="11"/>
                      <w:szCs w:val="11"/>
                      <w:u w:val="single" w:color="auto"/>
                      <w:color w:val="231F20"/>
                      <w:spacing w:val="4"/>
                    </w:rPr>
                    <w:t>.30</w:t>
                  </w:r>
                  <w:r>
                    <w:rPr>
                      <w:sz w:val="11"/>
                      <w:szCs w:val="11"/>
                      <w:u w:val="single" w:color="auto"/>
                      <w:color w:val="231F20"/>
                    </w:rPr>
                    <w:t xml:space="preserve">   </w:t>
                  </w:r>
                </w:p>
                <w:p>
                  <w:pPr>
                    <w:pStyle w:val="BodyText"/>
                    <w:ind w:left="20"/>
                    <w:spacing w:before="41" w:line="216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China &amp;Foreign</w:t>
                  </w:r>
                  <w:r>
                    <w:rPr>
                      <w:sz w:val="11"/>
                      <w:szCs w:val="11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231F20"/>
                      <w:spacing w:val="4"/>
                    </w:rPr>
                    <w:t>Medical Treatment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6"/>
          <w:footerReference w:type="default" r:id="rId7"/>
          <w:pgSz w:w="11906" w:h="16838"/>
          <w:pgMar w:top="400" w:right="1061" w:bottom="824" w:left="424" w:header="0" w:footer="630" w:gutter="0"/>
          <w:cols w:equalWidth="0" w:num="1">
            <w:col w:w="10420" w:space="0"/>
          </w:cols>
        </w:sectPr>
        <w:rPr/>
      </w:pPr>
    </w:p>
    <w:p>
      <w:pPr>
        <w:spacing w:line="47" w:lineRule="exact"/>
        <w:rPr/>
      </w:pPr>
      <w:r/>
    </w:p>
    <w:tbl>
      <w:tblPr>
        <w:tblStyle w:val="TableNormal"/>
        <w:tblW w:w="1022" w:type="dxa"/>
        <w:tblInd w:w="709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022"/>
      </w:tblGrid>
      <w:tr>
        <w:trPr>
          <w:trHeight w:val="300" w:hRule="atLeast"/>
        </w:trPr>
        <w:tc>
          <w:tcPr>
            <w:tcW w:w="1022" w:type="dxa"/>
            <w:vAlign w:val="top"/>
          </w:tcPr>
          <w:p>
            <w:pPr>
              <w:ind w:left="59"/>
              <w:spacing w:before="22" w:line="215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shd w:val="clear" w:fill="231F20"/>
                <w:rFonts w:ascii="SimHei" w:hAnsi="SimHei" w:eastAsia="SimHei" w:cs="SimHei"/>
                <w:sz w:val="23"/>
                <w:szCs w:val="23"/>
                <w:color w:val="FFFFFF"/>
                <w:spacing w:val="1"/>
              </w:rPr>
              <w:t>中外医疗</w:t>
            </w:r>
          </w:p>
        </w:tc>
      </w:tr>
    </w:tbl>
    <w:p>
      <w:pPr>
        <w:pStyle w:val="BodyText"/>
        <w:spacing w:line="239" w:lineRule="exact"/>
        <w:rPr>
          <w:sz w:val="20"/>
        </w:rPr>
      </w:pPr>
      <w:r>
        <w:pict>
          <v:shape id="_x0000_s28" style="position:absolute;margin-left:35.9181pt;margin-top:3.35162pt;mso-position-vertical-relative:text;mso-position-horizontal-relative:text;width:383.95pt;height:0.9pt;z-index:251670528;" filled="false" strokecolor="#231F20" strokeweight="0.85pt" coordsize="7679,17" coordorigin="0,0" path="m0,8l7678,8e">
            <v:stroke joinstyle="miter" miterlimit="4"/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15" w:line="18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  <w:w w:val="98"/>
        </w:rPr>
        <w:t>学</w:t>
      </w:r>
    </w:p>
    <w:p>
      <w:pPr>
        <w:spacing w:line="187" w:lineRule="auto"/>
        <w:sectPr>
          <w:type w:val="continuous"/>
          <w:pgSz w:w="11906" w:h="16838"/>
          <w:pgMar w:top="400" w:right="1061" w:bottom="824" w:left="424" w:header="0" w:footer="630" w:gutter="0"/>
          <w:cols w:equalWidth="0" w:num="2">
            <w:col w:w="8737" w:space="100"/>
            <w:col w:w="1584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type w:val="continuous"/>
          <w:pgSz w:w="11906" w:h="16838"/>
          <w:pgMar w:top="400" w:right="1061" w:bottom="824" w:left="424" w:header="0" w:footer="630" w:gutter="0"/>
          <w:cols w:equalWidth="0" w:num="1">
            <w:col w:w="10420" w:space="0"/>
          </w:cols>
        </w:sectPr>
        <w:rPr/>
      </w:pPr>
    </w:p>
    <w:p>
      <w:pPr>
        <w:pStyle w:val="BodyText"/>
        <w:ind w:left="715" w:right="265" w:firstLine="412"/>
        <w:spacing w:before="49" w:line="24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本研究结果显示，观察组围手术期指标优于对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照组（</w:t>
      </w:r>
      <w:r>
        <w:rPr>
          <w:sz w:val="20"/>
          <w:szCs w:val="20"/>
          <w:i/>
          <w:iCs/>
          <w:color w:val="231F20"/>
          <w:spacing w:val="7"/>
        </w:rPr>
        <w:t>P</w:t>
      </w:r>
      <w:r>
        <w:rPr>
          <w:sz w:val="20"/>
          <w:szCs w:val="20"/>
          <w:color w:val="231F20"/>
          <w:spacing w:val="7"/>
        </w:rPr>
        <w:t>&lt;0.05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分析原因如下：经脐单孔腹腔镜手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术仅在脐部做一个小切口，器械通过这一个切口进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入腹腔操作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。相比之下，开腹手术需要在右下腹做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一个较大的切口，切开和缝合的时间较长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。单孔腹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腔镜手术切口小，减少了组织暴露的范围，降低了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手术过程中的热量和水分散失，对患者的生理干扰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较小，手术操作相对更加精准和高效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。经脐单孔腹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腔镜手术切口小，对腹壁肌肉和神经的损伤小，术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后疼痛明显轻于开腹手术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。患者能够更早地耐受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下床活动，减少了因疼痛而不敢活动导致的并发症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。早期下床活动可以促进血液循环，预防下肢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深静脉血栓形成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>，同时也有助于胃肠功能的恢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复</w:t>
      </w:r>
      <w:r>
        <w:rPr>
          <w:sz w:val="12"/>
          <w:szCs w:val="12"/>
          <w:color w:val="231F20"/>
          <w:spacing w:val="9"/>
          <w:position w:val="7"/>
        </w:rPr>
        <w:t>[9-10]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  <w:position w:val="-1"/>
        </w:rPr>
        <w:t>。本文研究数据还显示，观察组机体炎性因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子水平及术后并发症发生率低于对照组（</w:t>
      </w:r>
      <w:r>
        <w:rPr>
          <w:sz w:val="20"/>
          <w:szCs w:val="20"/>
          <w:i/>
          <w:iCs/>
          <w:color w:val="231F20"/>
          <w:spacing w:val="6"/>
        </w:rPr>
        <w:t>P</w:t>
      </w:r>
      <w:r>
        <w:rPr>
          <w:sz w:val="20"/>
          <w:szCs w:val="20"/>
          <w:color w:val="231F20"/>
          <w:spacing w:val="6"/>
        </w:rPr>
        <w:t>&lt;</w:t>
      </w:r>
      <w:r>
        <w:rPr>
          <w:sz w:val="20"/>
          <w:szCs w:val="20"/>
          <w:color w:val="231F20"/>
          <w:spacing w:val="5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分析原因如下：阑尾炎主要是由细菌感染引起的阑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尾炎症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。切除阑尾后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，直接去除了细菌滋生的部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位，消除了细菌及其代谢产物对机体的持续刺激，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免疫系统就会逐渐减少炎症因子的产生，在阑尾炎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发作时，炎症可能会向周围组织扩散，切除阑尾可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以阻止炎症的进一步扩散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，减少受感染组织的范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围，从而降低整体的炎症反应，使炎症因子水平下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降</w:t>
      </w:r>
      <w:r>
        <w:rPr>
          <w:sz w:val="12"/>
          <w:szCs w:val="12"/>
          <w:color w:val="231F20"/>
          <w:spacing w:val="14"/>
          <w:position w:val="7"/>
        </w:rPr>
        <w:t>[11]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。且经脐单孔腹腔镜手术仅通过脐部一个小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切口进行操作，相比传统多孔腹腔镜手术和开腹手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术，切口明显减小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。切口小意味着对腹壁组织的损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  <w:position w:val="-1"/>
        </w:rPr>
        <w:t>伤更小，减少了组织损伤引起的炎症反应</w:t>
      </w:r>
      <w:r>
        <w:rPr>
          <w:sz w:val="12"/>
          <w:szCs w:val="12"/>
          <w:color w:val="231F20"/>
          <w:spacing w:val="7"/>
          <w:position w:val="7"/>
        </w:rPr>
        <w:t>[12-13]</w:t>
      </w:r>
      <w:r>
        <w:rPr>
          <w:sz w:val="12"/>
          <w:szCs w:val="12"/>
          <w:color w:val="231F20"/>
          <w:spacing w:val="6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  <w:position w:val="-1"/>
        </w:rPr>
        <w:t>。不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仅如此，经脐单孔法行腹腔镜阑尾切除术，因腹腔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镜介入，对于病灶组织精准定位，可以将肠道以及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腹腔组织中存在的积液吸除干净，以完全切除阑尾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组织为基础，避免对周围组织形成意外创伤，能够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有效解决术后肠梗阻以及肠粘连等相关问题，减少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组织在空气中的暴露面积以及时间，可有效降低并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发症发生风险，有利于促进患者早期恢复</w:t>
      </w:r>
      <w:r>
        <w:rPr>
          <w:sz w:val="12"/>
          <w:szCs w:val="12"/>
          <w:color w:val="231F20"/>
          <w:spacing w:val="5"/>
          <w:position w:val="7"/>
        </w:rPr>
        <w:t>[14-1</w:t>
      </w:r>
      <w:r>
        <w:rPr>
          <w:sz w:val="12"/>
          <w:szCs w:val="12"/>
          <w:color w:val="231F20"/>
          <w:spacing w:val="4"/>
          <w:position w:val="7"/>
        </w:rPr>
        <w:t>5]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  <w:position w:val="-1"/>
        </w:rPr>
        <w:t>。</w:t>
      </w:r>
    </w:p>
    <w:p>
      <w:pPr>
        <w:ind w:left="715" w:right="332" w:firstLine="410"/>
        <w:spacing w:line="24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综上所述，阑尾炎治疗期间经脐单孔腹腔镜阑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尾切除术相较于开腹阑尾切除术具有理想效果，在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改善临床症状，减轻机体炎性因子水平方面意义重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大，可促进病情康复，有利于缩短住院治疗时间，具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有较高的临床价值。</w:t>
      </w:r>
    </w:p>
    <w:p>
      <w:pPr>
        <w:pStyle w:val="BodyText"/>
        <w:ind w:left="2550"/>
        <w:spacing w:before="169" w:line="23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[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参考文献</w:t>
      </w:r>
      <w:r>
        <w:rPr>
          <w:sz w:val="20"/>
          <w:szCs w:val="20"/>
          <w:color w:val="231F20"/>
          <w:spacing w:val="5"/>
        </w:rPr>
        <w:t>]</w:t>
      </w:r>
    </w:p>
    <w:p>
      <w:pPr>
        <w:pStyle w:val="BodyText"/>
        <w:ind w:left="1055" w:right="332" w:hanging="335"/>
        <w:spacing w:before="178" w:line="204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9"/>
        </w:rPr>
        <w:t>[1]</w:t>
      </w:r>
      <w:r>
        <w:rPr>
          <w:color w:val="231F20"/>
          <w:spacing w:val="29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杨天明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彭志勇 </w:t>
      </w:r>
      <w:r>
        <w:rPr>
          <w:color w:val="231F20"/>
          <w:spacing w:val="9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腹腔镜阑尾切除术与开腹阑尾切除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术治疗急性阑尾炎的效果及对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color w:val="231F20"/>
        </w:rPr>
        <w:t>VAS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评分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、并发症的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36"/>
        <w:spacing w:before="38" w:line="190" w:lineRule="auto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影响</w:t>
      </w:r>
      <w:r>
        <w:rPr>
          <w:color w:val="231F20"/>
          <w:spacing w:val="-1"/>
        </w:rPr>
        <w:t>[J].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贵州医药</w:t>
      </w:r>
      <w:r>
        <w:rPr>
          <w:color w:val="231F20"/>
          <w:spacing w:val="-1"/>
        </w:rPr>
        <w:t>,2024,48(6):914-916.</w:t>
      </w:r>
    </w:p>
    <w:p>
      <w:pPr>
        <w:pStyle w:val="BodyText"/>
        <w:ind w:left="337" w:right="71" w:hanging="337"/>
        <w:spacing w:before="68" w:line="250" w:lineRule="auto"/>
        <w:rPr/>
      </w:pPr>
      <w:r>
        <w:rPr>
          <w:color w:val="231F20"/>
          <w:spacing w:val="-3"/>
        </w:rPr>
        <w:t>[2]   </w:t>
      </w:r>
      <w:r>
        <w:rPr>
          <w:rFonts w:ascii="Microsoft YaHei" w:hAnsi="Microsoft YaHei" w:eastAsia="Microsoft YaHei" w:cs="Microsoft YaHei"/>
          <w:color w:val="231F20"/>
          <w:spacing w:val="-3"/>
        </w:rPr>
        <w:t>郭以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滨 </w:t>
      </w:r>
      <w:r>
        <w:rPr>
          <w:color w:val="231F20"/>
          <w:spacing w:val="-3"/>
        </w:rPr>
        <w:t>. </w:t>
      </w:r>
      <w:r>
        <w:rPr>
          <w:rFonts w:ascii="Microsoft YaHei" w:hAnsi="Microsoft YaHei" w:eastAsia="Microsoft YaHei" w:cs="Microsoft YaHei"/>
          <w:color w:val="231F20"/>
          <w:spacing w:val="-3"/>
        </w:rPr>
        <w:t>腹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腔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镜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与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开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腹 阑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尾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切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除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术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治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疗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急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性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阑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尾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炎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的 疗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效 对  比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[J].  </w:t>
      </w:r>
      <w:r>
        <w:rPr>
          <w:rFonts w:ascii="Microsoft YaHei" w:hAnsi="Microsoft YaHei" w:eastAsia="Microsoft YaHei" w:cs="Microsoft YaHei"/>
          <w:color w:val="231F20"/>
          <w:spacing w:val="-6"/>
        </w:rPr>
        <w:t>中</w:t>
      </w:r>
      <w:r>
        <w:rPr>
          <w:rFonts w:ascii="Microsoft YaHei" w:hAnsi="Microsoft YaHei" w:eastAsia="Microsoft YaHei" w:cs="Microsoft YaHei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国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医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药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指 南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, 20</w:t>
      </w:r>
      <w:r>
        <w:rPr>
          <w:color w:val="231F20"/>
          <w:spacing w:val="-7"/>
        </w:rPr>
        <w:t>23, 21(13):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102-104.</w:t>
      </w:r>
    </w:p>
    <w:p>
      <w:pPr>
        <w:pStyle w:val="BodyText"/>
        <w:ind w:left="335" w:right="71" w:hanging="335"/>
        <w:spacing w:before="77" w:line="250" w:lineRule="auto"/>
        <w:rPr/>
      </w:pPr>
      <w:r>
        <w:rPr>
          <w:color w:val="231F20"/>
          <w:spacing w:val="12"/>
        </w:rPr>
        <w:t>[3]</w:t>
      </w:r>
      <w:r>
        <w:rPr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12"/>
        </w:rPr>
        <w:t>高志辉 </w:t>
      </w:r>
      <w:r>
        <w:rPr>
          <w:color w:val="231F20"/>
          <w:spacing w:val="12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急性阑尾炎患者行腹腔镜与开腹阑尾切除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术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治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疗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的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对 比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分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析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5"/>
        </w:rPr>
        <w:t>[J].</w:t>
      </w:r>
      <w:r>
        <w:rPr>
          <w:rFonts w:ascii="Microsoft YaHei" w:hAnsi="Microsoft YaHei" w:eastAsia="Microsoft YaHei" w:cs="Microsoft YaHei"/>
          <w:color w:val="231F20"/>
          <w:spacing w:val="-5"/>
        </w:rPr>
        <w:t>现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代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诊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断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与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治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疗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2024,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35(2):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256-258.</w:t>
      </w:r>
    </w:p>
    <w:p>
      <w:pPr>
        <w:pStyle w:val="BodyText"/>
        <w:ind w:left="335" w:right="73" w:hanging="335"/>
        <w:spacing w:before="77" w:line="225" w:lineRule="auto"/>
        <w:rPr/>
      </w:pPr>
      <w:r>
        <w:rPr>
          <w:color w:val="231F20"/>
          <w:spacing w:val="9"/>
        </w:rPr>
        <w:t>[4]</w:t>
      </w:r>
      <w:r>
        <w:rPr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9"/>
        </w:rPr>
        <w:t>郭水平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王南斗 </w:t>
      </w:r>
      <w:r>
        <w:rPr>
          <w:color w:val="231F20"/>
          <w:spacing w:val="9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腹腔镜阑尾切除术治疗急性阑尾炎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术后人体炎症反应及疼痛的影响</w:t>
      </w:r>
      <w:r>
        <w:rPr>
          <w:color w:val="231F20"/>
          <w:spacing w:val="15"/>
        </w:rPr>
        <w:t>[J]. </w:t>
      </w:r>
      <w:r>
        <w:rPr>
          <w:rFonts w:ascii="Microsoft YaHei" w:hAnsi="Microsoft YaHei" w:eastAsia="Microsoft YaHei" w:cs="Microsoft YaHei"/>
          <w:color w:val="231F20"/>
          <w:spacing w:val="14"/>
        </w:rPr>
        <w:t>中国医疗器械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信息</w:t>
      </w:r>
      <w:r>
        <w:rPr>
          <w:color w:val="231F20"/>
          <w:spacing w:val="-3"/>
        </w:rPr>
        <w:t>,2023,29(23):128-130.</w:t>
      </w:r>
    </w:p>
    <w:p>
      <w:pPr>
        <w:pStyle w:val="BodyText"/>
        <w:ind w:left="335" w:right="73" w:hanging="335"/>
        <w:spacing w:before="67" w:line="225" w:lineRule="auto"/>
        <w:rPr/>
      </w:pPr>
      <w:r>
        <w:rPr>
          <w:color w:val="231F20"/>
          <w:spacing w:val="8"/>
        </w:rPr>
        <w:t>[5]</w:t>
      </w:r>
      <w:r>
        <w:rPr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8"/>
        </w:rPr>
        <w:t>郭丽贞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洪志华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王建峰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等 </w:t>
      </w:r>
      <w:r>
        <w:rPr>
          <w:color w:val="231F20"/>
          <w:spacing w:val="8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经脐免气腹单孔腹腔镜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辅助体外阑尾切除术治疗儿童非复杂性阑尾炎的效</w:t>
      </w:r>
      <w:r>
        <w:rPr>
          <w:rFonts w:ascii="Microsoft YaHei" w:hAnsi="Microsoft YaHei" w:eastAsia="Microsoft YaHei" w:cs="Microsoft YaHei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果观察</w:t>
      </w:r>
      <w:r>
        <w:rPr>
          <w:color w:val="231F20"/>
          <w:spacing w:val="1"/>
        </w:rPr>
        <w:t>[J].</w:t>
      </w:r>
      <w:r>
        <w:rPr>
          <w:rFonts w:ascii="Microsoft YaHei" w:hAnsi="Microsoft YaHei" w:eastAsia="Microsoft YaHei" w:cs="Microsoft YaHei"/>
          <w:color w:val="231F20"/>
          <w:spacing w:val="1"/>
        </w:rPr>
        <w:t>浙江临床医学</w:t>
      </w:r>
      <w:r>
        <w:rPr>
          <w:color w:val="231F20"/>
          <w:spacing w:val="1"/>
        </w:rPr>
        <w:t>,2023,25(5):708-710.</w:t>
      </w:r>
    </w:p>
    <w:p>
      <w:pPr>
        <w:pStyle w:val="BodyText"/>
        <w:ind w:left="334" w:right="73" w:hanging="334"/>
        <w:spacing w:before="67" w:line="225" w:lineRule="auto"/>
        <w:rPr/>
      </w:pPr>
      <w:r>
        <w:rPr>
          <w:color w:val="231F20"/>
          <w:spacing w:val="8"/>
        </w:rPr>
        <w:t>[6]</w:t>
      </w:r>
      <w:r>
        <w:rPr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8"/>
        </w:rPr>
        <w:t>尉迟今新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杨阳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王占波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等 </w:t>
      </w:r>
      <w:r>
        <w:rPr>
          <w:color w:val="231F20"/>
          <w:spacing w:val="8"/>
        </w:rPr>
        <w:t>.</w:t>
      </w:r>
      <w:r>
        <w:rPr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经脐单孔腹腔镜手术治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疗小儿阑尾炎的效果评价</w:t>
      </w:r>
      <w:r>
        <w:rPr>
          <w:color w:val="231F20"/>
          <w:spacing w:val="15"/>
        </w:rPr>
        <w:t>[J]. </w:t>
      </w:r>
      <w:r>
        <w:rPr>
          <w:rFonts w:ascii="Microsoft YaHei" w:hAnsi="Microsoft YaHei" w:eastAsia="Microsoft YaHei" w:cs="Microsoft YaHei"/>
          <w:color w:val="231F20"/>
          <w:spacing w:val="15"/>
        </w:rPr>
        <w:t>中国煤炭</w:t>
      </w:r>
      <w:r>
        <w:rPr>
          <w:rFonts w:ascii="Microsoft YaHei" w:hAnsi="Microsoft YaHei" w:eastAsia="Microsoft YaHei" w:cs="Microsoft YaHei"/>
          <w:color w:val="231F20"/>
          <w:spacing w:val="14"/>
        </w:rPr>
        <w:t>工业医学杂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志</w:t>
      </w:r>
      <w:r>
        <w:rPr>
          <w:color w:val="231F20"/>
          <w:spacing w:val="-3"/>
        </w:rPr>
        <w:t>,2023,26(2):159-163.</w:t>
      </w:r>
    </w:p>
    <w:p>
      <w:pPr>
        <w:pStyle w:val="BodyText"/>
        <w:ind w:left="340" w:right="73" w:hanging="341"/>
        <w:spacing w:before="68" w:line="225" w:lineRule="auto"/>
        <w:rPr/>
      </w:pPr>
      <w:r>
        <w:rPr>
          <w:color w:val="231F20"/>
          <w:spacing w:val="8"/>
        </w:rPr>
        <w:t>[7]</w:t>
      </w:r>
      <w:r>
        <w:rPr>
          <w:color w:val="231F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8"/>
        </w:rPr>
        <w:t>张平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石建敏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方圆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经脐单孔悬吊固定阑尾切除术对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阑尾炎患者术后疼痛及炎症反应的影响</w:t>
      </w:r>
      <w:r>
        <w:rPr>
          <w:color w:val="231F20"/>
          <w:spacing w:val="17"/>
        </w:rPr>
        <w:t>[J].</w:t>
      </w:r>
      <w:r>
        <w:rPr>
          <w:rFonts w:ascii="Microsoft YaHei" w:hAnsi="Microsoft YaHei" w:eastAsia="Microsoft YaHei" w:cs="Microsoft YaHei"/>
          <w:color w:val="231F20"/>
          <w:spacing w:val="17"/>
        </w:rPr>
        <w:t>现代诊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断与治疗</w:t>
      </w:r>
      <w:r>
        <w:rPr>
          <w:color w:val="231F20"/>
          <w:spacing w:val="-2"/>
        </w:rPr>
        <w:t>,2023,34(7):1070-1072.</w:t>
      </w:r>
    </w:p>
    <w:p>
      <w:pPr>
        <w:pStyle w:val="BodyText"/>
        <w:ind w:left="337" w:right="73" w:hanging="337"/>
        <w:spacing w:before="67" w:line="225" w:lineRule="auto"/>
        <w:rPr/>
      </w:pPr>
      <w:r>
        <w:rPr>
          <w:color w:val="231F20"/>
          <w:spacing w:val="9"/>
        </w:rPr>
        <w:t>[8]</w:t>
      </w:r>
      <w:r>
        <w:rPr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9"/>
        </w:rPr>
        <w:t>赵玉杰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王波 </w:t>
      </w:r>
      <w:r>
        <w:rPr>
          <w:color w:val="231F20"/>
          <w:spacing w:val="9"/>
        </w:rPr>
        <w:t>.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腹腔镜阑尾切除术与开腹阑尾切除术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治疗老年复杂性阑尾炎患者的临床效果比较</w:t>
      </w:r>
      <w:r>
        <w:rPr>
          <w:color w:val="231F20"/>
          <w:spacing w:val="14"/>
        </w:rPr>
        <w:t>[J]. </w:t>
      </w:r>
      <w:r>
        <w:rPr>
          <w:rFonts w:ascii="Microsoft YaHei" w:hAnsi="Microsoft YaHei" w:eastAsia="Microsoft YaHei" w:cs="Microsoft YaHei"/>
          <w:color w:val="231F20"/>
          <w:spacing w:val="14"/>
        </w:rPr>
        <w:t>临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床医学研究与实践</w:t>
      </w:r>
      <w:r>
        <w:rPr>
          <w:color w:val="231F20"/>
          <w:spacing w:val="1"/>
        </w:rPr>
        <w:t>,2023,8(11):54-57.</w:t>
      </w:r>
    </w:p>
    <w:p>
      <w:pPr>
        <w:pStyle w:val="BodyText"/>
        <w:ind w:left="334" w:right="71" w:hanging="334"/>
        <w:spacing w:before="67"/>
        <w:rPr/>
      </w:pPr>
      <w:r>
        <w:rPr>
          <w:color w:val="231F20"/>
          <w:spacing w:val="12"/>
        </w:rPr>
        <w:t>[9]</w:t>
      </w:r>
      <w:r>
        <w:rPr>
          <w:color w:val="231F20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徐国发 </w:t>
      </w:r>
      <w:r>
        <w:rPr>
          <w:color w:val="231F20"/>
          <w:spacing w:val="12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腹腔镜阑尾切除术与开腹阑尾切除术治疗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急性阑尾炎的临床效果</w:t>
      </w:r>
      <w:r>
        <w:rPr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color w:val="231F20"/>
          <w:spacing w:val="8"/>
        </w:rPr>
        <w:t>现代诊断与治疗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color w:val="231F20"/>
          <w:spacing w:val="8"/>
        </w:rPr>
        <w:t>,2023,34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(5):752-754.</w:t>
      </w:r>
    </w:p>
    <w:p>
      <w:pPr>
        <w:pStyle w:val="BodyText"/>
        <w:ind w:left="427" w:right="71" w:hanging="428"/>
        <w:spacing w:before="111"/>
        <w:rPr/>
      </w:pPr>
      <w:r>
        <w:rPr>
          <w:color w:val="231F20"/>
          <w:spacing w:val="9"/>
        </w:rPr>
        <w:t>[10]</w:t>
      </w:r>
      <w:r>
        <w:rPr>
          <w:color w:val="231F20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9"/>
        </w:rPr>
        <w:t>赵良功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石长幸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color w:val="231F20"/>
          <w:spacing w:val="9"/>
        </w:rPr>
        <w:t>蔡欣欣 </w:t>
      </w:r>
      <w:r>
        <w:rPr>
          <w:color w:val="231F20"/>
          <w:spacing w:val="9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经腹腔镜阑</w:t>
      </w:r>
      <w:r>
        <w:rPr>
          <w:rFonts w:ascii="Microsoft YaHei" w:hAnsi="Microsoft YaHei" w:eastAsia="Microsoft YaHei" w:cs="Microsoft YaHei"/>
          <w:color w:val="231F20"/>
          <w:spacing w:val="8"/>
        </w:rPr>
        <w:t>尾切除术和开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腹阑尾切除术治疗阑尾炎疗效研究</w:t>
      </w:r>
      <w:r>
        <w:rPr>
          <w:color w:val="231F20"/>
          <w:spacing w:val="15"/>
        </w:rPr>
        <w:t>[J]. </w:t>
      </w:r>
      <w:r>
        <w:rPr>
          <w:rFonts w:ascii="Microsoft YaHei" w:hAnsi="Microsoft YaHei" w:eastAsia="Microsoft YaHei" w:cs="Microsoft YaHei"/>
          <w:color w:val="231F20"/>
          <w:spacing w:val="15"/>
        </w:rPr>
        <w:t>临床研究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15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2022,30(1):52-55.</w:t>
      </w:r>
    </w:p>
    <w:p>
      <w:pPr>
        <w:pStyle w:val="BodyText"/>
        <w:ind w:left="429" w:right="73" w:hanging="429"/>
        <w:spacing w:before="112" w:line="225" w:lineRule="auto"/>
        <w:rPr/>
      </w:pPr>
      <w:r>
        <w:rPr>
          <w:color w:val="231F20"/>
          <w:spacing w:val="8"/>
        </w:rPr>
        <w:t>[11]</w:t>
      </w:r>
      <w:r>
        <w:rPr>
          <w:color w:val="231F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8"/>
        </w:rPr>
        <w:t>张琪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color w:val="231F20"/>
          <w:spacing w:val="8"/>
        </w:rPr>
        <w:t>李明亮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8"/>
        </w:rPr>
        <w:t>,</w:t>
      </w:r>
      <w:r>
        <w:rPr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贺铁刚 </w:t>
      </w:r>
      <w:r>
        <w:rPr>
          <w:color w:val="231F20"/>
          <w:spacing w:val="8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腹腔镜阑尾切除术对急性阑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尾炎患者术后疼痛程度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、免疫应激反应及并发症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的影响</w:t>
      </w:r>
      <w:r>
        <w:rPr>
          <w:color w:val="231F20"/>
        </w:rPr>
        <w:t>[J]. </w:t>
      </w:r>
      <w:r>
        <w:rPr>
          <w:rFonts w:ascii="Microsoft YaHei" w:hAnsi="Microsoft YaHei" w:eastAsia="Microsoft YaHei" w:cs="Microsoft YaHei"/>
          <w:color w:val="231F20"/>
        </w:rPr>
        <w:t>临床医学工程</w:t>
      </w:r>
      <w:r>
        <w:rPr>
          <w:color w:val="231F20"/>
        </w:rPr>
        <w:t>,2023,30(2):16</w:t>
      </w:r>
      <w:r>
        <w:rPr>
          <w:color w:val="231F20"/>
          <w:spacing w:val="-1"/>
        </w:rPr>
        <w:t>1-162.</w:t>
      </w:r>
    </w:p>
    <w:p>
      <w:pPr>
        <w:pStyle w:val="BodyText"/>
        <w:ind w:left="429" w:right="73" w:hanging="429"/>
        <w:spacing w:before="68" w:line="225" w:lineRule="auto"/>
        <w:rPr/>
      </w:pPr>
      <w:r>
        <w:rPr>
          <w:color w:val="231F20"/>
          <w:spacing w:val="-3"/>
        </w:rPr>
        <w:t>[12]   </w:t>
      </w:r>
      <w:r>
        <w:rPr>
          <w:rFonts w:ascii="Microsoft YaHei" w:hAnsi="Microsoft YaHei" w:eastAsia="Microsoft YaHei" w:cs="Microsoft YaHei"/>
          <w:color w:val="231F20"/>
          <w:spacing w:val="-3"/>
        </w:rPr>
        <w:t>方静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静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陈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伟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飞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黄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敏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燕 </w:t>
      </w:r>
      <w:r>
        <w:rPr>
          <w:color w:val="231F20"/>
          <w:spacing w:val="-4"/>
        </w:rPr>
        <w:t>. </w:t>
      </w:r>
      <w:r>
        <w:rPr>
          <w:rFonts w:ascii="Microsoft YaHei" w:hAnsi="Microsoft YaHei" w:eastAsia="Microsoft YaHei" w:cs="Microsoft YaHei"/>
          <w:color w:val="231F20"/>
          <w:spacing w:val="-4"/>
        </w:rPr>
        <w:t>经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脐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单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孔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腹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腔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镜 阑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尾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切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8"/>
        </w:rPr>
        <w:t>除术对急性复杂性阑尾炎患儿术后肠道功能的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影响</w:t>
      </w:r>
      <w:r>
        <w:rPr>
          <w:color w:val="231F20"/>
          <w:spacing w:val="1"/>
        </w:rPr>
        <w:t>[J]. </w:t>
      </w:r>
      <w:r>
        <w:rPr>
          <w:rFonts w:ascii="Microsoft YaHei" w:hAnsi="Microsoft YaHei" w:eastAsia="Microsoft YaHei" w:cs="Microsoft YaHei"/>
          <w:color w:val="231F20"/>
          <w:spacing w:val="1"/>
        </w:rPr>
        <w:t>中国妇幼保健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1"/>
        </w:rPr>
        <w:t>,2023,38(1):175-178.</w:t>
      </w:r>
    </w:p>
    <w:p>
      <w:pPr>
        <w:pStyle w:val="BodyText"/>
        <w:ind w:left="427" w:hanging="427"/>
        <w:spacing w:before="65" w:line="241" w:lineRule="auto"/>
        <w:rPr/>
      </w:pPr>
      <w:r>
        <w:rPr>
          <w:color w:val="231F20"/>
          <w:spacing w:val="7"/>
        </w:rPr>
        <w:t>[13]   </w:t>
      </w:r>
      <w:r>
        <w:rPr>
          <w:rFonts w:ascii="Microsoft YaHei" w:hAnsi="Microsoft YaHei" w:eastAsia="Microsoft YaHei" w:cs="Microsoft YaHei"/>
          <w:color w:val="231F20"/>
          <w:spacing w:val="7"/>
        </w:rPr>
        <w:t>陈亮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伍兵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罗由平 </w:t>
      </w:r>
      <w:r>
        <w:rPr>
          <w:color w:val="231F20"/>
          <w:spacing w:val="7"/>
        </w:rPr>
        <w:t>.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经脐单孔腹腔镜阑尾切除术治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疗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小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儿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复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杂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性 阑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尾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炎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疗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效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及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对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血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清 </w:t>
      </w:r>
      <w:r>
        <w:rPr>
          <w:color w:val="231F20"/>
          <w:spacing w:val="-2"/>
        </w:rPr>
        <w:t>CRP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color w:val="231F20"/>
          <w:spacing w:val="-2"/>
        </w:rPr>
        <w:t>IL-6</w:t>
      </w:r>
      <w:r>
        <w:rPr>
          <w:rFonts w:ascii="Microsoft YaHei" w:hAnsi="Microsoft YaHei" w:eastAsia="Microsoft YaHei" w:cs="Microsoft YaHei"/>
          <w:color w:val="231F20"/>
          <w:spacing w:val="-2"/>
        </w:rPr>
        <w:t>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7"/>
        </w:rPr>
        <w:t>PCT</w:t>
      </w:r>
      <w:r>
        <w:rPr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和 </w:t>
      </w:r>
      <w:r>
        <w:rPr>
          <w:color w:val="231F20"/>
          <w:spacing w:val="-7"/>
        </w:rPr>
        <w:t>Alvarado </w:t>
      </w:r>
      <w:r>
        <w:rPr>
          <w:rFonts w:ascii="Microsoft YaHei" w:hAnsi="Microsoft YaHei" w:eastAsia="Microsoft YaHei" w:cs="Microsoft YaHei"/>
          <w:color w:val="231F20"/>
          <w:spacing w:val="-7"/>
        </w:rPr>
        <w:t>评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分 的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影 响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7"/>
        </w:rPr>
        <w:t>[J]. </w:t>
      </w:r>
      <w:r>
        <w:rPr>
          <w:rFonts w:ascii="Microsoft YaHei" w:hAnsi="Microsoft YaHei" w:eastAsia="Microsoft YaHei" w:cs="Microsoft YaHei"/>
          <w:color w:val="231F20"/>
          <w:spacing w:val="-7"/>
        </w:rPr>
        <w:t>川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北 医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学 院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学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报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2022,37(10):1264-1267.</w:t>
      </w:r>
    </w:p>
    <w:p>
      <w:pPr>
        <w:pStyle w:val="BodyText"/>
        <w:ind w:left="427" w:right="73" w:hanging="428"/>
        <w:spacing w:before="112" w:line="225" w:lineRule="auto"/>
        <w:rPr/>
      </w:pPr>
      <w:r>
        <w:rPr>
          <w:color w:val="231F20"/>
          <w:spacing w:val="7"/>
        </w:rPr>
        <w:t>[14]   </w:t>
      </w:r>
      <w:r>
        <w:rPr>
          <w:rFonts w:ascii="Microsoft YaHei" w:hAnsi="Microsoft YaHei" w:eastAsia="Microsoft YaHei" w:cs="Microsoft YaHei"/>
          <w:color w:val="231F20"/>
          <w:spacing w:val="7"/>
        </w:rPr>
        <w:t>陈新闯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7"/>
        </w:rPr>
        <w:t>,</w:t>
      </w:r>
      <w:r>
        <w:rPr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马钊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color w:val="231F20"/>
          <w:spacing w:val="7"/>
        </w:rPr>
        <w:t>谷军保 </w:t>
      </w:r>
      <w:r>
        <w:rPr>
          <w:color w:val="231F20"/>
          <w:spacing w:val="7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腹腔镜与开腹手术治疗根部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坏疽穿孔性阑尾炎患者的效果比较</w:t>
      </w:r>
      <w:r>
        <w:rPr>
          <w:color w:val="231F20"/>
          <w:spacing w:val="13"/>
        </w:rPr>
        <w:t>[J].</w:t>
      </w:r>
      <w:r>
        <w:rPr>
          <w:rFonts w:ascii="Microsoft YaHei" w:hAnsi="Microsoft YaHei" w:eastAsia="Microsoft YaHei" w:cs="Microsoft YaHei"/>
          <w:color w:val="231F20"/>
          <w:spacing w:val="13"/>
        </w:rPr>
        <w:t>河南医学研</w:t>
      </w:r>
      <w:r>
        <w:rPr>
          <w:rFonts w:ascii="Microsoft YaHei" w:hAnsi="Microsoft YaHei" w:eastAsia="Microsoft YaHei" w:cs="Microsoft YaHei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究</w:t>
      </w:r>
      <w:r>
        <w:rPr>
          <w:color w:val="231F20"/>
          <w:spacing w:val="-4"/>
        </w:rPr>
        <w:t>,2022,31(12):2202-2205.</w:t>
      </w:r>
    </w:p>
    <w:p>
      <w:pPr>
        <w:pStyle w:val="BodyText"/>
        <w:ind w:left="429" w:right="72" w:hanging="429"/>
        <w:spacing w:before="68" w:line="248" w:lineRule="auto"/>
        <w:rPr/>
      </w:pPr>
      <w:r>
        <w:rPr>
          <w:color w:val="231F20"/>
          <w:spacing w:val="6"/>
        </w:rPr>
        <w:t>[15]</w:t>
      </w:r>
      <w:r>
        <w:rPr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6"/>
        </w:rPr>
        <w:t>梁文杰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黎然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冯疆勉</w:t>
      </w:r>
      <w:r>
        <w:rPr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color w:val="231F20"/>
          <w:spacing w:val="6"/>
        </w:rPr>
        <w:t>等 </w:t>
      </w:r>
      <w:r>
        <w:rPr>
          <w:color w:val="231F20"/>
          <w:spacing w:val="6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改良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</w:rPr>
        <w:t>Karl</w:t>
      </w:r>
      <w:r>
        <w:rPr>
          <w:color w:val="231F20"/>
          <w:spacing w:val="6"/>
        </w:rPr>
        <w:t>-</w:t>
      </w:r>
      <w:r>
        <w:rPr>
          <w:color w:val="231F20"/>
        </w:rPr>
        <w:t>storz</w:t>
      </w:r>
      <w:r>
        <w:rPr>
          <w:rFonts w:ascii="Microsoft YaHei" w:hAnsi="Microsoft YaHei" w:eastAsia="Microsoft YaHei" w:cs="Microsoft YaHei"/>
          <w:color w:val="231F20"/>
          <w:spacing w:val="6"/>
        </w:rPr>
        <w:t>单孔腹腔镜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8"/>
        </w:rPr>
        <w:t>手术治疗急性阑尾炎的疗效及对免疫功能和炎症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反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应 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影 响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临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床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外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科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杂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志 </w:t>
      </w:r>
      <w:r>
        <w:rPr>
          <w:color w:val="231F20"/>
          <w:spacing w:val="-5"/>
        </w:rPr>
        <w:t>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2022,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30(12):1155-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1158.</w:t>
      </w:r>
    </w:p>
    <w:p>
      <w:pPr>
        <w:pStyle w:val="BodyText"/>
        <w:spacing w:before="75" w:line="167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2"/>
        </w:rPr>
        <w:t>（收稿日期：</w:t>
      </w:r>
      <w:r>
        <w:rPr>
          <w:color w:val="231F20"/>
          <w:spacing w:val="-2"/>
        </w:rPr>
        <w:t>2024-07-26</w:t>
      </w:r>
      <w:r>
        <w:rPr>
          <w:rFonts w:ascii="Microsoft YaHei" w:hAnsi="Microsoft YaHei" w:eastAsia="Microsoft YaHei" w:cs="Microsoft YaHei"/>
          <w:color w:val="231F20"/>
          <w:spacing w:val="-2"/>
        </w:rPr>
        <w:t>）</w:t>
      </w:r>
    </w:p>
    <w:sectPr>
      <w:type w:val="continuous"/>
      <w:pgSz w:w="11906" w:h="16838"/>
      <w:pgMar w:top="400" w:right="1061" w:bottom="824" w:left="424" w:header="0" w:footer="630" w:gutter="0"/>
      <w:cols w:equalWidth="0" w:num="2">
        <w:col w:w="5650" w:space="100"/>
        <w:col w:w="46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94"/>
      <w:spacing w:line="216" w:lineRule="auto"/>
      <w:rPr>
        <w:sz w:val="17"/>
        <w:szCs w:val="17"/>
      </w:rPr>
    </w:pPr>
    <w:r>
      <w:rPr>
        <w:sz w:val="15"/>
        <w:szCs w:val="15"/>
        <w:color w:val="231F20"/>
      </w:rPr>
      <w:t>China</w:t>
    </w:r>
    <w:r>
      <w:rPr>
        <w:sz w:val="15"/>
        <w:szCs w:val="15"/>
        <w:color w:val="231F20"/>
        <w:spacing w:val="11"/>
      </w:rPr>
      <w:t xml:space="preserve"> &amp;</w:t>
    </w:r>
    <w:r>
      <w:rPr>
        <w:sz w:val="15"/>
        <w:szCs w:val="15"/>
        <w:color w:val="231F20"/>
      </w:rPr>
      <w:t>Foreign</w:t>
    </w:r>
    <w:r>
      <w:rPr>
        <w:sz w:val="15"/>
        <w:szCs w:val="15"/>
        <w:color w:val="231F20"/>
        <w:spacing w:val="29"/>
        <w:w w:val="102"/>
      </w:rPr>
      <w:t xml:space="preserve"> </w:t>
    </w:r>
    <w:r>
      <w:rPr>
        <w:sz w:val="15"/>
        <w:szCs w:val="15"/>
        <w:color w:val="231F20"/>
      </w:rPr>
      <w:t>Medical</w:t>
    </w:r>
    <w:r>
      <w:rPr>
        <w:sz w:val="15"/>
        <w:szCs w:val="15"/>
        <w:color w:val="231F20"/>
        <w:spacing w:val="11"/>
      </w:rPr>
      <w:t xml:space="preserve"> </w:t>
    </w:r>
    <w:r>
      <w:rPr>
        <w:sz w:val="15"/>
        <w:szCs w:val="15"/>
        <w:color w:val="231F20"/>
      </w:rPr>
      <w:t>Treatment</w:t>
    </w:r>
    <w:r>
      <w:rPr>
        <w:sz w:val="15"/>
        <w:szCs w:val="15"/>
        <w:color w:val="231F20"/>
        <w:spacing w:val="8"/>
      </w:rPr>
      <w:t xml:space="preserve">    </w:t>
    </w:r>
    <w:r>
      <w:rPr>
        <w:rFonts w:ascii="SimHei" w:hAnsi="SimHei" w:eastAsia="SimHei" w:cs="SimHei"/>
        <w:sz w:val="15"/>
        <w:szCs w:val="15"/>
        <w:color w:val="231F20"/>
        <w:spacing w:val="11"/>
      </w:rPr>
      <w:t>中外医疗</w:t>
    </w:r>
    <w:r>
      <w:rPr>
        <w:rFonts w:ascii="SimHei" w:hAnsi="SimHei" w:eastAsia="SimHei" w:cs="SimHei"/>
        <w:sz w:val="15"/>
        <w:szCs w:val="15"/>
        <w:color w:val="231F20"/>
        <w:spacing w:val="11"/>
      </w:rPr>
      <w:t xml:space="preserve">    </w:t>
    </w:r>
    <w:r>
      <w:rPr>
        <w:sz w:val="17"/>
        <w:szCs w:val="17"/>
        <w:color w:val="231F20"/>
        <w:spacing w:val="11"/>
      </w:rPr>
      <w:t>39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87"/>
      <w:spacing w:line="216" w:lineRule="auto"/>
      <w:rPr>
        <w:sz w:val="15"/>
        <w:szCs w:val="15"/>
      </w:rPr>
    </w:pPr>
    <w:r>
      <w:rPr>
        <w:sz w:val="17"/>
        <w:szCs w:val="17"/>
        <w:color w:val="231F20"/>
        <w:spacing w:val="11"/>
      </w:rPr>
      <w:t>40      </w:t>
    </w:r>
    <w:r>
      <w:rPr>
        <w:rFonts w:ascii="SimHei" w:hAnsi="SimHei" w:eastAsia="SimHei" w:cs="SimHei"/>
        <w:sz w:val="15"/>
        <w:szCs w:val="15"/>
        <w:color w:val="231F20"/>
        <w:spacing w:val="11"/>
      </w:rPr>
      <w:t>中外医疗</w:t>
    </w:r>
    <w:r>
      <w:rPr>
        <w:rFonts w:ascii="SimHei" w:hAnsi="SimHei" w:eastAsia="SimHei" w:cs="SimHei"/>
        <w:sz w:val="15"/>
        <w:szCs w:val="15"/>
        <w:color w:val="231F20"/>
        <w:spacing w:val="24"/>
        <w:w w:val="101"/>
      </w:rPr>
      <w:t xml:space="preserve">  </w:t>
    </w:r>
    <w:r>
      <w:rPr>
        <w:sz w:val="15"/>
        <w:szCs w:val="15"/>
        <w:color w:val="231F20"/>
      </w:rPr>
      <w:t>China</w:t>
    </w:r>
    <w:r>
      <w:rPr>
        <w:sz w:val="15"/>
        <w:szCs w:val="15"/>
        <w:color w:val="231F20"/>
        <w:spacing w:val="11"/>
        <w:w w:val="102"/>
      </w:rPr>
      <w:t xml:space="preserve"> </w:t>
    </w:r>
    <w:r>
      <w:rPr>
        <w:sz w:val="15"/>
        <w:szCs w:val="15"/>
        <w:color w:val="231F20"/>
        <w:spacing w:val="11"/>
      </w:rPr>
      <w:t>&amp;</w:t>
    </w:r>
    <w:r>
      <w:rPr>
        <w:sz w:val="15"/>
        <w:szCs w:val="15"/>
        <w:color w:val="231F20"/>
      </w:rPr>
      <w:t>Foreign</w:t>
    </w:r>
    <w:r>
      <w:rPr>
        <w:sz w:val="15"/>
        <w:szCs w:val="15"/>
        <w:color w:val="231F20"/>
        <w:spacing w:val="19"/>
        <w:w w:val="102"/>
      </w:rPr>
      <w:t xml:space="preserve"> </w:t>
    </w:r>
    <w:r>
      <w:rPr>
        <w:sz w:val="15"/>
        <w:szCs w:val="15"/>
        <w:color w:val="231F20"/>
      </w:rPr>
      <w:t>Medical</w:t>
    </w:r>
    <w:r>
      <w:rPr>
        <w:sz w:val="15"/>
        <w:szCs w:val="15"/>
        <w:color w:val="231F20"/>
        <w:spacing w:val="11"/>
      </w:rPr>
      <w:t xml:space="preserve"> </w:t>
    </w:r>
    <w:r>
      <w:rPr>
        <w:sz w:val="15"/>
        <w:szCs w:val="15"/>
        <w:color w:val="231F20"/>
      </w:rPr>
      <w:t>Treatment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8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4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2.xml"/><Relationship Id="rId6" Type="http://schemas.openxmlformats.org/officeDocument/2006/relationships/header" Target="header4.xml"/><Relationship Id="rId5" Type="http://schemas.openxmlformats.org/officeDocument/2006/relationships/footer" Target="footer1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2024-11-22T14:44:15Z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2025-10-28T21:32:40</vt:filetime>
  </property>
</Properties>
</file>