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9"/>
        <w:rPr/>
      </w:pPr>
      <w:r>
        <w:pict>
          <v:shape id="_x0000_s4" style="position:absolute;margin-left:108.746pt;margin-top:36.885pt;mso-position-vertical-relative:page;mso-position-horizontal-relative:page;width:94.65pt;height:17.7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3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2024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>NO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.28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 xml:space="preserve">   </w:t>
                  </w:r>
                </w:p>
                <w:p>
                  <w:pPr>
                    <w:pStyle w:val="BodyText"/>
                    <w:ind w:left="20"/>
                    <w:spacing w:before="41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8"/>
                    </w:rPr>
                    <w:t>China &amp;Foreign</w:t>
                  </w:r>
                  <w:r>
                    <w:rPr>
                      <w:sz w:val="11"/>
                      <w:szCs w:val="11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8"/>
                    </w:rPr>
                    <w:t>Medical Treatment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1"/>
          <w:pgSz w:w="11906" w:h="16838"/>
          <w:pgMar w:top="400" w:right="1544" w:bottom="0" w:left="424" w:header="0" w:footer="0" w:gutter="0"/>
          <w:cols w:equalWidth="0" w:num="1">
            <w:col w:w="9937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1022" w:type="dxa"/>
        <w:tblInd w:w="70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2"/>
      </w:tblGrid>
      <w:tr>
        <w:trPr>
          <w:trHeight w:val="300" w:hRule="atLeast"/>
        </w:trPr>
        <w:tc>
          <w:tcPr>
            <w:tcW w:w="1022" w:type="dxa"/>
            <w:vAlign w:val="top"/>
          </w:tcPr>
          <w:p>
            <w:pPr>
              <w:ind w:left="59"/>
              <w:spacing w:before="22" w:line="215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hd w:val="clear" w:fill="231F20"/>
                <w:rFonts w:ascii="SimHei" w:hAnsi="SimHei" w:eastAsia="SimHei" w:cs="SimHei"/>
                <w:sz w:val="23"/>
                <w:szCs w:val="23"/>
                <w:color w:val="FFFFFF"/>
                <w:spacing w:val="1"/>
              </w:rPr>
              <w:t>中外医疗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18"/>
        <w:spacing w:before="73" w:line="224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：</w:t>
      </w:r>
      <w:r>
        <w:rPr>
          <w:sz w:val="17"/>
          <w:szCs w:val="17"/>
          <w:color w:val="231F20"/>
          <w:spacing w:val="3"/>
        </w:rPr>
        <w:t>10.16662/j.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3"/>
        </w:rPr>
        <w:t>.1674-0742.2024.28.014</w:t>
      </w:r>
    </w:p>
    <w:p>
      <w:pPr>
        <w:spacing w:line="5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5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著</w:t>
      </w:r>
    </w:p>
    <w:p>
      <w:pPr>
        <w:spacing w:line="202" w:lineRule="auto"/>
        <w:sectPr>
          <w:type w:val="continuous"/>
          <w:pgSz w:w="11906" w:h="16838"/>
          <w:pgMar w:top="400" w:right="1544" w:bottom="0" w:left="424" w:header="0" w:footer="0" w:gutter="0"/>
          <w:cols w:equalWidth="0" w:num="2">
            <w:col w:w="8722" w:space="100"/>
            <w:col w:w="1115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>
        <w:pict>
          <v:shape id="_x0000_s6" style="position:absolute;margin-left:35.9179pt;margin-top:-26.5704pt;mso-position-vertical-relative:text;mso-position-horizontal-relative:text;width:383.95pt;height:0.85pt;z-index:251659264;" filled="false" strokecolor="#231F20" strokeweight="0.85pt" coordsize="7679,17" coordorigin="0,0" path="m0,8l7678,8e">
            <v:stroke joinstyle="miter" miterlimit="4"/>
          </v:shape>
        </w:pict>
      </w:r>
      <w:r/>
    </w:p>
    <w:p>
      <w:pPr>
        <w:ind w:left="2025" w:right="155" w:hanging="730"/>
        <w:spacing w:before="193" w:line="183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21"/>
        </w:rPr>
        <w:t>经脐单孔腹腔镜阑尾切除术治疗小儿急性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19"/>
        </w:rPr>
        <w:t>阑尾炎的效果及对炎性反应的影响</w:t>
      </w:r>
    </w:p>
    <w:p>
      <w:pPr>
        <w:ind w:left="4615"/>
        <w:spacing w:before="309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陈培君，吴长鑫，杨甲辰</w:t>
      </w:r>
    </w:p>
    <w:p>
      <w:pPr>
        <w:pStyle w:val="BodyText"/>
        <w:ind w:left="2459"/>
        <w:spacing w:before="64" w:line="182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晋江市医院（上海市第六人民医院福建医院）小儿外科，福建 泉州   </w:t>
      </w:r>
      <w:r>
        <w:rPr>
          <w:color w:val="231F20"/>
          <w:spacing w:val="4"/>
        </w:rPr>
        <w:t>362200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133" w:right="9" w:hanging="68"/>
        <w:spacing w:before="78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11"/>
        </w:rPr>
        <w:t>［摘要］目的</w:t>
      </w:r>
      <w:r>
        <w:rPr>
          <w:rFonts w:ascii="SimHei" w:hAnsi="SimHei" w:eastAsia="SimHei" w:cs="Sim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将经脐单孔腹腔镜阑尾切除术用于小儿急性阑尾炎治疗中，探究其治疗效果及对炎性反应的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影响。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SimHei" w:hAnsi="SimHei" w:eastAsia="SimHei" w:cs="SimHei"/>
          <w:color w:val="231F20"/>
          <w:spacing w:val="3"/>
        </w:rPr>
        <w:t>方法</w:t>
      </w:r>
      <w:r>
        <w:rPr>
          <w:rFonts w:ascii="SimHei" w:hAnsi="SimHei" w:eastAsia="SimHei" w:cs="Sim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回顾性选取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3"/>
        </w:rPr>
        <w:t>2021 </w:t>
      </w:r>
      <w:r>
        <w:rPr>
          <w:rFonts w:ascii="Microsoft YaHei" w:hAnsi="Microsoft YaHei" w:eastAsia="Microsoft YaHei" w:cs="Microsoft YaHei"/>
          <w:color w:val="231F20"/>
          <w:spacing w:val="3"/>
        </w:rPr>
        <w:t>年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3"/>
        </w:rPr>
        <w:t>6 </w:t>
      </w:r>
      <w:r>
        <w:rPr>
          <w:rFonts w:ascii="Microsoft YaHei" w:hAnsi="Microsoft YaHei" w:eastAsia="Microsoft YaHei" w:cs="Microsoft YaHei"/>
          <w:color w:val="231F20"/>
          <w:spacing w:val="3"/>
        </w:rPr>
        <w:t>月—</w:t>
      </w:r>
      <w:r>
        <w:rPr>
          <w:color w:val="231F20"/>
          <w:spacing w:val="3"/>
        </w:rPr>
        <w:t>2023 </w:t>
      </w:r>
      <w:r>
        <w:rPr>
          <w:rFonts w:ascii="Microsoft YaHei" w:hAnsi="Microsoft YaHei" w:eastAsia="Microsoft YaHei" w:cs="Microsoft YaHei"/>
          <w:color w:val="231F20"/>
          <w:spacing w:val="3"/>
        </w:rPr>
        <w:t>年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3"/>
        </w:rPr>
        <w:t>7 </w:t>
      </w:r>
      <w:r>
        <w:rPr>
          <w:rFonts w:ascii="Microsoft YaHei" w:hAnsi="Microsoft YaHei" w:eastAsia="Microsoft YaHei" w:cs="Microsoft YaHei"/>
          <w:color w:val="231F20"/>
          <w:spacing w:val="3"/>
        </w:rPr>
        <w:t>月晋江市医院（上海市第六人民医院福建医</w:t>
      </w:r>
      <w:r>
        <w:rPr>
          <w:rFonts w:ascii="Microsoft YaHei" w:hAnsi="Microsoft YaHei" w:eastAsia="Microsoft YaHei" w:cs="Microsoft YaHei"/>
          <w:color w:val="231F20"/>
          <w:spacing w:val="2"/>
        </w:rPr>
        <w:t>院）收治的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2"/>
        </w:rPr>
        <w:t>99 </w:t>
      </w:r>
      <w:r>
        <w:rPr>
          <w:rFonts w:ascii="Microsoft YaHei" w:hAnsi="Microsoft YaHei" w:eastAsia="Microsoft YaHei" w:cs="Microsoft YaHei"/>
          <w:color w:val="231F20"/>
          <w:spacing w:val="2"/>
        </w:rPr>
        <w:t>例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急性阑尾炎患儿的临床资料，根据手术方法不同分为对照组（</w:t>
      </w:r>
      <w:r>
        <w:rPr>
          <w:color w:val="231F20"/>
          <w:spacing w:val="1"/>
        </w:rPr>
        <w:t>51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例）和观察组（</w:t>
      </w:r>
      <w:r>
        <w:rPr>
          <w:color w:val="231F20"/>
          <w:spacing w:val="1"/>
        </w:rPr>
        <w:t>48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例）。对照组采取传统腹腔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镜手术，观察组实施经脐单孔腹腔镜阑尾切除术，对比两组患儿的手术指标、炎性因子水平、术后并发症发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生情况。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结果</w:t>
      </w:r>
      <w:r>
        <w:rPr>
          <w:rFonts w:ascii="SimHei" w:hAnsi="SimHei" w:eastAsia="SimHei" w:cs="Sim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观察组患儿的术中出血量、术后肛门排气时间、进食及下床活动时间相比均优于对照组，</w:t>
      </w:r>
      <w:r>
        <w:rPr>
          <w:rFonts w:ascii="Microsoft YaHei" w:hAnsi="Microsoft YaHei" w:eastAsia="Microsoft YaHei" w:cs="Microsoft YaHei"/>
          <w:color w:val="231F20"/>
          <w:spacing w:val="4"/>
        </w:rPr>
        <w:t>差异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有统计学意义（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均</w:t>
      </w:r>
      <w:r>
        <w:rPr>
          <w:color w:val="231F20"/>
          <w:spacing w:val="-1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1"/>
        </w:rPr>
        <w:t>）。两组患儿的手术时间对比，差异无统</w:t>
      </w:r>
      <w:r>
        <w:rPr>
          <w:rFonts w:ascii="Microsoft YaHei" w:hAnsi="Microsoft YaHei" w:eastAsia="Microsoft YaHei" w:cs="Microsoft YaHei"/>
          <w:color w:val="231F20"/>
          <w:spacing w:val="-2"/>
        </w:rPr>
        <w:t>计学意义（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&gt;0.05</w:t>
      </w:r>
      <w:r>
        <w:rPr>
          <w:rFonts w:ascii="Microsoft YaHei" w:hAnsi="Microsoft YaHei" w:eastAsia="Microsoft YaHei" w:cs="Microsoft YaHei"/>
          <w:color w:val="231F20"/>
          <w:spacing w:val="-2"/>
        </w:rPr>
        <w:t>）。术前，两组患儿的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应蛋白（</w:t>
      </w:r>
      <w:r>
        <w:rPr>
          <w:color w:val="231F20"/>
          <w:spacing w:val="-2"/>
        </w:rPr>
        <w:t>C-reactive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protein,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）、白细胞计数（</w:t>
      </w:r>
      <w:r>
        <w:rPr>
          <w:color w:val="231F20"/>
          <w:spacing w:val="-2"/>
        </w:rPr>
        <w:t>white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cell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count,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WBC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）、白细胞介素</w:t>
      </w:r>
      <w:r>
        <w:rPr>
          <w:color w:val="231F20"/>
          <w:spacing w:val="-2"/>
        </w:rPr>
        <w:t>-6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inte</w:t>
      </w:r>
      <w:r>
        <w:rPr>
          <w:color w:val="231F20"/>
          <w:spacing w:val="-3"/>
        </w:rPr>
        <w:t>rleukin-6,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IL-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6</w:t>
      </w:r>
      <w:r>
        <w:rPr>
          <w:rFonts w:ascii="Microsoft YaHei" w:hAnsi="Microsoft YaHei" w:eastAsia="Microsoft YaHei" w:cs="Microsoft YaHei"/>
          <w:color w:val="231F20"/>
          <w:spacing w:val="-2"/>
        </w:rPr>
        <w:t>）水平对比，差异无统计学意义（</w:t>
      </w:r>
      <w:r>
        <w:rPr>
          <w:rFonts w:ascii="Arial" w:hAnsi="Arial" w:eastAsia="Arial" w:cs="Arial"/>
          <w:i/>
          <w:iCs/>
          <w:color w:val="231F20"/>
          <w:spacing w:val="-2"/>
        </w:rPr>
        <w:t>P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均</w:t>
      </w:r>
      <w:r>
        <w:rPr>
          <w:color w:val="231F20"/>
          <w:spacing w:val="-2"/>
        </w:rPr>
        <w:t>&gt;0.05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）；</w:t>
      </w:r>
      <w:r>
        <w:rPr>
          <w:rFonts w:ascii="Microsoft YaHei" w:hAnsi="Microsoft YaHei" w:eastAsia="Microsoft YaHei" w:cs="Microsoft YaHei"/>
          <w:color w:val="231F20"/>
          <w:spacing w:val="-2"/>
        </w:rPr>
        <w:t>术后，观察组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2"/>
        </w:rPr>
        <w:t>CRP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水平、</w:t>
      </w:r>
      <w:r>
        <w:rPr>
          <w:color w:val="231F20"/>
          <w:spacing w:val="-2"/>
        </w:rPr>
        <w:t>WBC </w:t>
      </w:r>
      <w:r>
        <w:rPr>
          <w:rFonts w:ascii="Microsoft YaHei" w:hAnsi="Microsoft YaHei" w:eastAsia="Microsoft YaHei" w:cs="Microsoft YaHei"/>
          <w:color w:val="231F20"/>
          <w:spacing w:val="-2"/>
        </w:rPr>
        <w:t>水平、</w:t>
      </w:r>
      <w:r>
        <w:rPr>
          <w:color w:val="231F20"/>
          <w:spacing w:val="-2"/>
        </w:rPr>
        <w:t>IL-6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水平均低于</w:t>
      </w:r>
      <w:r>
        <w:rPr>
          <w:rFonts w:ascii="Microsoft YaHei" w:hAnsi="Microsoft YaHei" w:eastAsia="Microsoft YaHei" w:cs="Microsoft YaHei"/>
          <w:color w:val="231F20"/>
          <w:spacing w:val="-3"/>
        </w:rPr>
        <w:t>对照组，差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异有统计学意义（</w:t>
      </w:r>
      <w:r>
        <w:rPr>
          <w:rFonts w:ascii="Arial" w:hAnsi="Arial" w:eastAsia="Arial" w:cs="Arial"/>
          <w:i/>
          <w:iCs/>
          <w:color w:val="231F20"/>
          <w:spacing w:val="3"/>
        </w:rPr>
        <w:t>P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均</w:t>
      </w:r>
      <w:r>
        <w:rPr>
          <w:color w:val="231F20"/>
          <w:spacing w:val="3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3"/>
        </w:rPr>
        <w:t>）。观察组并发症总发生率为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3"/>
        </w:rPr>
        <w:t>2.</w:t>
      </w:r>
      <w:r>
        <w:rPr>
          <w:color w:val="231F20"/>
          <w:spacing w:val="2"/>
        </w:rPr>
        <w:t>08%</w:t>
      </w:r>
      <w:r>
        <w:rPr>
          <w:rFonts w:ascii="Microsoft YaHei" w:hAnsi="Microsoft YaHei" w:eastAsia="Microsoft YaHei" w:cs="Microsoft YaHei"/>
          <w:color w:val="231F20"/>
          <w:spacing w:val="2"/>
        </w:rPr>
        <w:t>（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2"/>
        </w:rPr>
        <w:t>1/48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2"/>
        </w:rPr>
        <w:t>低于对照组的 </w:t>
      </w:r>
      <w:r>
        <w:rPr>
          <w:color w:val="231F20"/>
          <w:spacing w:val="2"/>
        </w:rPr>
        <w:t>13.73%</w:t>
      </w:r>
      <w:r>
        <w:rPr>
          <w:rFonts w:ascii="Microsoft YaHei" w:hAnsi="Microsoft YaHei" w:eastAsia="Microsoft YaHei" w:cs="Microsoft YaHei"/>
          <w:color w:val="231F20"/>
          <w:spacing w:val="2"/>
        </w:rPr>
        <w:t>（</w:t>
      </w:r>
      <w:r>
        <w:rPr>
          <w:color w:val="231F20"/>
          <w:spacing w:val="2"/>
        </w:rPr>
        <w:t>7/51</w:t>
      </w:r>
      <w:r>
        <w:rPr>
          <w:rFonts w:ascii="Microsoft YaHei" w:hAnsi="Microsoft YaHei" w:eastAsia="Microsoft YaHei" w:cs="Microsoft YaHei"/>
          <w:color w:val="231F20"/>
          <w:spacing w:val="-26"/>
          <w:w w:val="61"/>
        </w:rPr>
        <w:t>），</w:t>
      </w:r>
      <w:r>
        <w:rPr>
          <w:rFonts w:ascii="Microsoft YaHei" w:hAnsi="Microsoft YaHei" w:eastAsia="Microsoft YaHei" w:cs="Microsoft YaHei"/>
          <w:color w:val="231F20"/>
          <w:spacing w:val="2"/>
        </w:rPr>
        <w:t>差异有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统计学意义(</w:t>
      </w:r>
      <w:r>
        <w:rPr>
          <w:color w:val="231F20"/>
          <w:spacing w:val="5"/>
        </w:rPr>
        <w:t>χ</w:t>
      </w:r>
      <w:r>
        <w:rPr>
          <w:sz w:val="10"/>
          <w:szCs w:val="10"/>
          <w:color w:val="231F20"/>
          <w:spacing w:val="5"/>
          <w:position w:val="7"/>
        </w:rPr>
        <w:t>2</w:t>
      </w:r>
      <w:r>
        <w:rPr>
          <w:color w:val="231F20"/>
          <w:spacing w:val="5"/>
        </w:rPr>
        <w:t>=4.512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rFonts w:ascii="Arial" w:hAnsi="Arial" w:eastAsia="Arial" w:cs="Arial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&lt;0.</w:t>
      </w:r>
      <w:r>
        <w:rPr>
          <w:color w:val="231F20"/>
          <w:spacing w:val="4"/>
        </w:rPr>
        <w:t>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 </w:t>
      </w:r>
      <w:r>
        <w:rPr>
          <w:rFonts w:ascii="SimHei" w:hAnsi="SimHei" w:eastAsia="SimHei" w:cs="SimHei"/>
          <w:color w:val="231F20"/>
          <w:spacing w:val="4"/>
        </w:rPr>
        <w:t>结论</w:t>
      </w:r>
      <w:r>
        <w:rPr>
          <w:rFonts w:ascii="SimHei" w:hAnsi="SimHei" w:eastAsia="SimHei" w:cs="Sim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对急性阑尾炎患儿而言，应用经脐单孔腹腔镜阑尾切除术治疗可缩短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术后活动时间，促进术后康复，且手术创伤较小，可降低炎</w:t>
      </w:r>
      <w:r>
        <w:rPr>
          <w:rFonts w:ascii="Microsoft YaHei" w:hAnsi="Microsoft YaHei" w:eastAsia="Microsoft YaHei" w:cs="Microsoft YaHei"/>
          <w:color w:val="231F20"/>
          <w:spacing w:val="1"/>
        </w:rPr>
        <w:t>性反应水平，减少并发症发生。</w:t>
      </w:r>
    </w:p>
    <w:p>
      <w:pPr>
        <w:ind w:left="1065"/>
        <w:spacing w:line="20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［关键词］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经脐单孔腹腔镜；阑尾切除术；小儿；急性阑尾炎；炎性反应</w:t>
      </w:r>
    </w:p>
    <w:p>
      <w:pPr>
        <w:pStyle w:val="BodyText"/>
        <w:ind w:left="1065"/>
        <w:spacing w:before="51" w:line="224" w:lineRule="auto"/>
        <w:rPr/>
      </w:pPr>
      <w:r>
        <w:rPr>
          <w:rFonts w:ascii="SimHei" w:hAnsi="SimHei" w:eastAsia="SimHei" w:cs="SimHei"/>
          <w:color w:val="231F20"/>
          <w:spacing w:val="6"/>
        </w:rPr>
        <w:t>［中图分类号］</w:t>
      </w:r>
      <w:r>
        <w:rPr>
          <w:color w:val="231F20"/>
          <w:spacing w:val="6"/>
        </w:rPr>
        <w:t>R65         </w:t>
      </w:r>
      <w:r>
        <w:rPr>
          <w:rFonts w:ascii="SimHei" w:hAnsi="SimHei" w:eastAsia="SimHei" w:cs="SimHei"/>
          <w:color w:val="231F20"/>
          <w:spacing w:val="6"/>
        </w:rPr>
        <w:t>［文献标识码］</w:t>
      </w:r>
      <w:r>
        <w:rPr>
          <w:color w:val="231F20"/>
          <w:spacing w:val="6"/>
        </w:rPr>
        <w:t>A       </w:t>
      </w:r>
      <w:r>
        <w:rPr>
          <w:color w:val="231F20"/>
          <w:spacing w:val="5"/>
        </w:rPr>
        <w:t xml:space="preserve">   </w:t>
      </w:r>
      <w:r>
        <w:rPr>
          <w:rFonts w:ascii="SimHei" w:hAnsi="SimHei" w:eastAsia="SimHei" w:cs="SimHei"/>
          <w:color w:val="231F20"/>
          <w:spacing w:val="5"/>
        </w:rPr>
        <w:t>［文章编号］</w:t>
      </w:r>
      <w:r>
        <w:rPr>
          <w:color w:val="231F20"/>
          <w:spacing w:val="5"/>
        </w:rPr>
        <w:t>1674-0742</w:t>
      </w:r>
      <w:r>
        <w:rPr>
          <w:rFonts w:ascii="SimHei" w:hAnsi="SimHei" w:eastAsia="SimHei" w:cs="SimHei"/>
          <w:color w:val="231F20"/>
          <w:spacing w:val="5"/>
        </w:rPr>
        <w:t>（</w:t>
      </w:r>
      <w:r>
        <w:rPr>
          <w:color w:val="231F20"/>
          <w:spacing w:val="5"/>
        </w:rPr>
        <w:t>2024</w:t>
      </w:r>
      <w:r>
        <w:rPr>
          <w:rFonts w:ascii="SimHei" w:hAnsi="SimHei" w:eastAsia="SimHei" w:cs="SimHei"/>
          <w:color w:val="231F20"/>
          <w:spacing w:val="5"/>
        </w:rPr>
        <w:t>）</w:t>
      </w:r>
      <w:r>
        <w:rPr>
          <w:color w:val="231F20"/>
          <w:spacing w:val="5"/>
        </w:rPr>
        <w:t>10(a)-0014-05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136" w:right="4" w:firstLine="3"/>
        <w:spacing w:before="75" w:line="309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12"/>
        </w:rPr>
        <w:t>The</w:t>
      </w:r>
      <w:r>
        <w:rPr>
          <w:sz w:val="26"/>
          <w:szCs w:val="26"/>
          <w:color w:val="231F20"/>
          <w:spacing w:val="57"/>
        </w:rPr>
        <w:t xml:space="preserve"> </w:t>
      </w:r>
      <w:r>
        <w:rPr>
          <w:sz w:val="26"/>
          <w:szCs w:val="26"/>
          <w:color w:val="231F20"/>
          <w:spacing w:val="12"/>
        </w:rPr>
        <w:t>Effect</w:t>
      </w:r>
      <w:r>
        <w:rPr>
          <w:sz w:val="26"/>
          <w:szCs w:val="26"/>
          <w:color w:val="231F20"/>
          <w:spacing w:val="45"/>
        </w:rPr>
        <w:t xml:space="preserve"> </w:t>
      </w:r>
      <w:r>
        <w:rPr>
          <w:sz w:val="26"/>
          <w:szCs w:val="26"/>
          <w:color w:val="231F20"/>
          <w:spacing w:val="12"/>
        </w:rPr>
        <w:t>of</w:t>
      </w:r>
      <w:r>
        <w:rPr>
          <w:sz w:val="26"/>
          <w:szCs w:val="26"/>
          <w:color w:val="231F20"/>
          <w:spacing w:val="32"/>
        </w:rPr>
        <w:t xml:space="preserve"> </w:t>
      </w:r>
      <w:r>
        <w:rPr>
          <w:sz w:val="26"/>
          <w:szCs w:val="26"/>
          <w:color w:val="231F20"/>
          <w:spacing w:val="12"/>
        </w:rPr>
        <w:t>Transumbilical</w:t>
      </w:r>
      <w:r>
        <w:rPr>
          <w:sz w:val="26"/>
          <w:szCs w:val="26"/>
          <w:color w:val="231F20"/>
          <w:spacing w:val="48"/>
        </w:rPr>
        <w:t xml:space="preserve"> </w:t>
      </w:r>
      <w:r>
        <w:rPr>
          <w:sz w:val="26"/>
          <w:szCs w:val="26"/>
          <w:color w:val="231F20"/>
          <w:spacing w:val="12"/>
        </w:rPr>
        <w:t>Single-Port</w:t>
      </w:r>
      <w:r>
        <w:rPr>
          <w:sz w:val="26"/>
          <w:szCs w:val="26"/>
          <w:color w:val="231F20"/>
          <w:spacing w:val="43"/>
          <w:w w:val="101"/>
        </w:rPr>
        <w:t xml:space="preserve"> </w:t>
      </w:r>
      <w:r>
        <w:rPr>
          <w:sz w:val="26"/>
          <w:szCs w:val="26"/>
          <w:color w:val="231F20"/>
          <w:spacing w:val="12"/>
        </w:rPr>
        <w:t>Laparoscopic</w:t>
      </w:r>
      <w:r>
        <w:rPr>
          <w:sz w:val="26"/>
          <w:szCs w:val="26"/>
          <w:color w:val="231F20"/>
          <w:spacing w:val="41"/>
          <w:w w:val="101"/>
        </w:rPr>
        <w:t xml:space="preserve"> </w:t>
      </w:r>
      <w:r>
        <w:rPr>
          <w:sz w:val="26"/>
          <w:szCs w:val="26"/>
          <w:color w:val="231F20"/>
          <w:spacing w:val="12"/>
        </w:rPr>
        <w:t>Appendectomy</w:t>
      </w:r>
      <w:r>
        <w:rPr>
          <w:sz w:val="26"/>
          <w:szCs w:val="26"/>
          <w:color w:val="231F20"/>
          <w:spacing w:val="46"/>
        </w:rPr>
        <w:t xml:space="preserve"> </w:t>
      </w:r>
      <w:r>
        <w:rPr>
          <w:sz w:val="26"/>
          <w:szCs w:val="26"/>
          <w:color w:val="231F20"/>
          <w:spacing w:val="12"/>
        </w:rPr>
        <w:t>on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3"/>
        </w:rPr>
        <w:t>the</w:t>
      </w:r>
      <w:r>
        <w:rPr>
          <w:sz w:val="26"/>
          <w:szCs w:val="26"/>
          <w:color w:val="231F20"/>
          <w:spacing w:val="26"/>
        </w:rPr>
        <w:t xml:space="preserve"> </w:t>
      </w:r>
      <w:r>
        <w:rPr>
          <w:sz w:val="26"/>
          <w:szCs w:val="26"/>
          <w:color w:val="231F20"/>
          <w:spacing w:val="13"/>
        </w:rPr>
        <w:t>Treatment of Acute Appendiciti</w:t>
      </w:r>
      <w:r>
        <w:rPr>
          <w:sz w:val="26"/>
          <w:szCs w:val="26"/>
          <w:color w:val="231F20"/>
          <w:spacing w:val="12"/>
        </w:rPr>
        <w:t>s in</w:t>
      </w:r>
      <w:r>
        <w:rPr>
          <w:sz w:val="26"/>
          <w:szCs w:val="26"/>
          <w:color w:val="231F20"/>
          <w:spacing w:val="31"/>
        </w:rPr>
        <w:t xml:space="preserve"> </w:t>
      </w:r>
      <w:r>
        <w:rPr>
          <w:sz w:val="26"/>
          <w:szCs w:val="26"/>
          <w:color w:val="231F20"/>
          <w:spacing w:val="12"/>
        </w:rPr>
        <w:t>Children and</w:t>
      </w:r>
      <w:r>
        <w:rPr>
          <w:sz w:val="26"/>
          <w:szCs w:val="26"/>
          <w:color w:val="231F20"/>
          <w:spacing w:val="23"/>
          <w:w w:val="101"/>
        </w:rPr>
        <w:t xml:space="preserve"> </w:t>
      </w:r>
      <w:r>
        <w:rPr>
          <w:sz w:val="26"/>
          <w:szCs w:val="26"/>
          <w:color w:val="231F20"/>
          <w:spacing w:val="12"/>
        </w:rPr>
        <w:t>Its</w:t>
      </w:r>
      <w:r>
        <w:rPr>
          <w:sz w:val="26"/>
          <w:szCs w:val="26"/>
          <w:color w:val="231F20"/>
          <w:spacing w:val="22"/>
        </w:rPr>
        <w:t xml:space="preserve"> </w:t>
      </w:r>
      <w:r>
        <w:rPr>
          <w:sz w:val="26"/>
          <w:szCs w:val="26"/>
          <w:color w:val="231F20"/>
          <w:spacing w:val="12"/>
        </w:rPr>
        <w:t>Impact</w:t>
      </w:r>
      <w:r>
        <w:rPr>
          <w:sz w:val="26"/>
          <w:szCs w:val="26"/>
          <w:color w:val="231F20"/>
          <w:spacing w:val="24"/>
        </w:rPr>
        <w:t xml:space="preserve"> </w:t>
      </w:r>
      <w:r>
        <w:rPr>
          <w:sz w:val="26"/>
          <w:szCs w:val="26"/>
          <w:color w:val="231F20"/>
          <w:spacing w:val="12"/>
        </w:rPr>
        <w:t>on</w:t>
      </w:r>
      <w:r>
        <w:rPr>
          <w:sz w:val="26"/>
          <w:szCs w:val="26"/>
          <w:color w:val="231F20"/>
          <w:spacing w:val="23"/>
        </w:rPr>
        <w:t xml:space="preserve"> </w:t>
      </w:r>
      <w:r>
        <w:rPr>
          <w:sz w:val="26"/>
          <w:szCs w:val="26"/>
          <w:color w:val="231F20"/>
          <w:spacing w:val="12"/>
        </w:rPr>
        <w:t>Inflam</w:t>
      </w:r>
      <w:r>
        <w:rPr>
          <w:sz w:val="26"/>
          <w:szCs w:val="26"/>
          <w:color w:val="231F20"/>
          <w:spacing w:val="-34"/>
        </w:rPr>
        <w:t xml:space="preserve"> </w:t>
      </w:r>
      <w:r>
        <w:rPr>
          <w:sz w:val="26"/>
          <w:szCs w:val="26"/>
          <w:color w:val="231F20"/>
          <w:spacing w:val="12"/>
        </w:rPr>
        <w:t>-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2"/>
        </w:rPr>
        <w:t>matory Response</w:t>
      </w:r>
    </w:p>
    <w:p>
      <w:pPr>
        <w:ind w:left="1142"/>
        <w:spacing w:before="25" w:line="19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  <w:w w:val="97"/>
        </w:rPr>
        <w:t>CHEN Peijun,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  <w:w w:val="97"/>
        </w:rPr>
        <w:t>WU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6"/>
          <w:w w:val="97"/>
        </w:rPr>
        <w:t>Changxin,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YANG Jiachen</w:t>
      </w:r>
    </w:p>
    <w:p>
      <w:pPr>
        <w:pStyle w:val="BodyText"/>
        <w:ind w:left="1138" w:right="8"/>
        <w:spacing w:before="133" w:line="336" w:lineRule="auto"/>
        <w:rPr/>
      </w:pPr>
      <w:r>
        <w:rPr>
          <w:color w:val="231F20"/>
        </w:rPr>
        <w:t>Department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Surgery,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Jinjiang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Municipal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(Sh</w:t>
      </w:r>
      <w:r>
        <w:rPr>
          <w:color w:val="231F20"/>
          <w:spacing w:val="-1"/>
        </w:rPr>
        <w:t>anghai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Sixth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People/s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Fujian),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1"/>
        </w:rPr>
        <w:t>Quanzhou,</w:t>
      </w:r>
      <w:r>
        <w:rPr>
          <w:color w:val="231F20"/>
        </w:rPr>
        <w:t xml:space="preserve"> </w:t>
      </w:r>
      <w:r>
        <w:rPr>
          <w:color w:val="231F20"/>
        </w:rPr>
        <w:t>Fujian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362200,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China</w:t>
      </w:r>
    </w:p>
    <w:p>
      <w:pPr>
        <w:pStyle w:val="BodyText"/>
        <w:ind w:left="1133" w:firstLine="10"/>
        <w:spacing w:before="7" w:line="359" w:lineRule="auto"/>
        <w:rPr/>
      </w:pPr>
      <w:r>
        <w:pict>
          <v:shape id="_x0000_s8" style="position:absolute;margin-left:35.6899pt;margin-top:215.29pt;mso-position-vertical-relative:text;mso-position-horizontal-relative:text;width:173.3pt;height:0.4pt;z-index:251660288;" filled="false" strokecolor="#231F20" strokeweight="0.37pt" coordsize="3466,8" coordorigin="0,0" path="m0,3l3465,3e">
            <v:stroke joinstyle="miter" miterlimit="4"/>
          </v:shape>
        </w:pict>
      </w:r>
      <w:r>
        <w:rPr>
          <w:color w:val="231F20"/>
          <w:spacing w:val="2"/>
        </w:rPr>
        <w:t>[Abstract]</w:t>
      </w:r>
      <w:r>
        <w:rPr>
          <w:color w:val="231F20"/>
          <w:spacing w:val="41"/>
        </w:rPr>
        <w:t xml:space="preserve"> </w:t>
      </w:r>
      <w:r>
        <w:rPr>
          <w:sz w:val="17"/>
          <w:szCs w:val="17"/>
          <w:color w:val="231F20"/>
          <w:spacing w:val="2"/>
        </w:rPr>
        <w:t>Objective</w:t>
      </w:r>
      <w:r>
        <w:rPr>
          <w:sz w:val="17"/>
          <w:szCs w:val="17"/>
          <w:color w:val="231F20"/>
          <w:spacing w:val="40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explore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therapeutic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effect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tra</w:t>
      </w:r>
      <w:r>
        <w:rPr>
          <w:color w:val="231F20"/>
          <w:spacing w:val="1"/>
        </w:rPr>
        <w:t>nsumbilical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single-port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laparoscopic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appendectomy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treatment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acute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appendiciti</w:t>
      </w:r>
      <w:r>
        <w:rPr>
          <w:color w:val="231F20"/>
        </w:rPr>
        <w:t>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Methods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99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admitted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Jinjiang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(Shanghai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Sixth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People/s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Fujia</w:t>
      </w:r>
      <w:r>
        <w:rPr>
          <w:color w:val="231F20"/>
          <w:spacing w:val="-1"/>
        </w:rPr>
        <w:t>n)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June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July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2023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retrospectively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selected.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surgical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methods,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1"/>
        </w:rPr>
        <w:t>divided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con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trol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(51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cases)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observation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(48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cases).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treated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traditional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laparosco</w:t>
      </w:r>
      <w:r>
        <w:rPr>
          <w:color w:val="231F20"/>
          <w:spacing w:val="-2"/>
        </w:rPr>
        <w:t>pic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sur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‐</w:t>
      </w:r>
      <w:r>
        <w:rPr>
          <w:color w:val="231F20"/>
        </w:rPr>
        <w:t xml:space="preserve"> </w:t>
      </w:r>
      <w:r>
        <w:rPr>
          <w:color w:val="231F20"/>
        </w:rPr>
        <w:t>gery,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observation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transumbilical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single-port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laparoscopic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appendectomy.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surgical </w:t>
      </w:r>
      <w:r>
        <w:rPr>
          <w:color w:val="231F20"/>
        </w:rPr>
        <w:t>indicators,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inflammatory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factor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levels,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posto</w:t>
      </w:r>
      <w:r>
        <w:rPr>
          <w:color w:val="231F20"/>
          <w:spacing w:val="-1"/>
        </w:rPr>
        <w:t>perative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complications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.</w:t>
      </w:r>
      <w:r>
        <w:rPr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Results</w:t>
      </w:r>
      <w:r>
        <w:rPr>
          <w:sz w:val="17"/>
          <w:szCs w:val="17"/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intraoperative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loss,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postoperative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anal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exhaust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time,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eating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ambulation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bet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‐</w:t>
      </w:r>
      <w:r>
        <w:rPr>
          <w:color w:val="231F20"/>
        </w:rPr>
        <w:t xml:space="preserve"> </w:t>
      </w:r>
      <w:r>
        <w:rPr>
          <w:color w:val="231F20"/>
        </w:rPr>
        <w:t>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observati</w:t>
      </w:r>
      <w:r>
        <w:rPr>
          <w:color w:val="231F20"/>
          <w:spacing w:val="-1"/>
        </w:rPr>
        <w:t>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(all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sig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nificant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operation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&gt;0.05).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Before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operat</w:t>
      </w:r>
      <w:r>
        <w:rPr>
          <w:color w:val="231F20"/>
          <w:spacing w:val="-2"/>
        </w:rPr>
        <w:t>ion,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significant</w:t>
      </w:r>
      <w:r>
        <w:rPr>
          <w:color w:val="231F20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C-reactive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(CRP),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white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count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(WBC)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interleukin-6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(IL-6)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between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(all</w:t>
      </w:r>
      <w:r>
        <w:rPr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&gt;0.05).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operation,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levels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WB</w:t>
      </w:r>
      <w:r>
        <w:rPr>
          <w:color w:val="231F20"/>
          <w:spacing w:val="-2"/>
        </w:rPr>
        <w:t>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IL-6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observation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lower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cont</w:t>
      </w:r>
      <w:r>
        <w:rPr>
          <w:color w:val="231F20"/>
        </w:rPr>
        <w:t>rol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statist</w:t>
      </w:r>
      <w:r>
        <w:rPr>
          <w:color w:val="231F20"/>
          <w:spacing w:val="-1"/>
        </w:rPr>
        <w:t>ically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(all</w:t>
      </w:r>
      <w:r>
        <w:rPr>
          <w:color w:val="231F20"/>
          <w:spacing w:val="2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total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incidence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7"/>
        </w:rPr>
        <w:t>f</w:t>
      </w:r>
    </w:p>
    <w:p>
      <w:pPr>
        <w:pStyle w:val="BodyText"/>
        <w:ind w:left="723"/>
        <w:spacing w:before="291" w:line="23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1"/>
        </w:rPr>
        <w:t>[</w:t>
      </w:r>
      <w:r>
        <w:rPr>
          <w:rFonts w:ascii="SimHei" w:hAnsi="SimHei" w:eastAsia="SimHei" w:cs="SimHei"/>
          <w:color w:val="231F20"/>
          <w:spacing w:val="1"/>
        </w:rPr>
        <w:t>作者简介</w:t>
      </w:r>
      <w:r>
        <w:rPr>
          <w:color w:val="231F20"/>
          <w:spacing w:val="1"/>
        </w:rPr>
        <w:t>]</w:t>
      </w:r>
      <w:r>
        <w:rPr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陈培君（</w:t>
      </w:r>
      <w:r>
        <w:rPr>
          <w:color w:val="231F20"/>
          <w:spacing w:val="1"/>
        </w:rPr>
        <w:t>1989-</w:t>
      </w:r>
      <w:r>
        <w:rPr>
          <w:rFonts w:ascii="Microsoft YaHei" w:hAnsi="Microsoft YaHei" w:eastAsia="Microsoft YaHei" w:cs="Microsoft YaHei"/>
          <w:color w:val="231F20"/>
          <w:spacing w:val="-26"/>
          <w:w w:val="60"/>
        </w:rPr>
        <w:t>），</w:t>
      </w:r>
      <w:r>
        <w:rPr>
          <w:rFonts w:ascii="Microsoft YaHei" w:hAnsi="Microsoft YaHei" w:eastAsia="Microsoft YaHei" w:cs="Microsoft YaHei"/>
          <w:color w:val="231F20"/>
          <w:spacing w:val="1"/>
        </w:rPr>
        <w:t>男，本科，住院医师，研究方向为</w:t>
      </w:r>
      <w:r>
        <w:rPr>
          <w:rFonts w:ascii="Microsoft YaHei" w:hAnsi="Microsoft YaHei" w:eastAsia="Microsoft YaHei" w:cs="Microsoft YaHei"/>
          <w:color w:val="231F20"/>
        </w:rPr>
        <w:t>小儿临床腹股沟疝。</w:t>
      </w:r>
    </w:p>
    <w:p>
      <w:pPr>
        <w:pStyle w:val="BodyText"/>
        <w:ind w:left="1001"/>
        <w:spacing w:before="227" w:line="215" w:lineRule="auto"/>
        <w:rPr>
          <w:rFonts w:ascii="Arial" w:hAnsi="Arial" w:eastAsia="Arial" w:cs="Arial"/>
          <w:sz w:val="15"/>
          <w:szCs w:val="15"/>
        </w:rPr>
      </w:pPr>
      <w:r>
        <w:rPr>
          <w:sz w:val="17"/>
          <w:szCs w:val="17"/>
          <w:color w:val="231F20"/>
          <w:spacing w:val="10"/>
        </w:rPr>
        <w:t>14       </w:t>
      </w:r>
      <w:r>
        <w:rPr>
          <w:rFonts w:ascii="SimHei" w:hAnsi="SimHei" w:eastAsia="SimHei" w:cs="SimHei"/>
          <w:sz w:val="15"/>
          <w:szCs w:val="15"/>
          <w:color w:val="231F20"/>
          <w:spacing w:val="10"/>
        </w:rPr>
        <w:t>中外医疗</w:t>
      </w:r>
      <w:r>
        <w:rPr>
          <w:rFonts w:ascii="SimHei" w:hAnsi="SimHei" w:eastAsia="SimHei" w:cs="SimHei"/>
          <w:sz w:val="15"/>
          <w:szCs w:val="15"/>
          <w:color w:val="231F20"/>
          <w:spacing w:val="2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</w:rPr>
        <w:t>China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&amp;</w:t>
      </w:r>
      <w:r>
        <w:rPr>
          <w:rFonts w:ascii="Arial" w:hAnsi="Arial" w:eastAsia="Arial" w:cs="Arial"/>
          <w:sz w:val="15"/>
          <w:szCs w:val="15"/>
          <w:color w:val="231F20"/>
        </w:rPr>
        <w:t>Foreign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Treatment</w:t>
      </w:r>
    </w:p>
    <w:p>
      <w:pPr>
        <w:spacing w:line="215" w:lineRule="auto"/>
        <w:sectPr>
          <w:type w:val="continuous"/>
          <w:pgSz w:w="11906" w:h="16838"/>
          <w:pgMar w:top="400" w:right="1544" w:bottom="0" w:left="424" w:header="0" w:footer="0" w:gutter="0"/>
          <w:cols w:equalWidth="0" w:num="1">
            <w:col w:w="9937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ind w:left="7395"/>
        <w:spacing w:before="75" w:line="210" w:lineRule="auto"/>
        <w:rPr>
          <w:rFonts w:ascii="SimHei" w:hAnsi="SimHei" w:eastAsia="SimHei" w:cs="SimHei"/>
          <w:sz w:val="23"/>
          <w:szCs w:val="23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-5"/>
        </w:rPr>
        <w:t>China &amp;Foreign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w w:val="101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-5"/>
        </w:rPr>
        <w:t>Medi</w:t>
      </w:r>
      <w:r>
        <w:rPr>
          <w:sz w:val="11"/>
          <w:szCs w:val="11"/>
          <w:position w:val="-4"/>
        </w:rPr>
        <w:drawing>
          <wp:inline distT="0" distB="0" distL="0" distR="0">
            <wp:extent cx="484747" cy="17778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47" cy="17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231F20"/>
          <w:rFonts w:ascii="Microsoft YaHei" w:hAnsi="Microsoft YaHei" w:eastAsia="Microsoft YaHei" w:cs="Microsoft YaHei"/>
          <w:sz w:val="11"/>
          <w:szCs w:val="11"/>
          <w:color w:val="231F20"/>
          <w:spacing w:val="4"/>
          <w:position w:val="-5"/>
        </w:rPr>
        <w:t xml:space="preserve">   </w:t>
      </w:r>
      <w:r>
        <w:rPr>
          <w:shd w:val="clear" w:fill="231F20"/>
          <w:rFonts w:ascii="SimHei" w:hAnsi="SimHei" w:eastAsia="SimHei" w:cs="SimHei"/>
          <w:sz w:val="23"/>
          <w:szCs w:val="23"/>
          <w:color w:val="FFFFFF"/>
          <w:spacing w:val="-1"/>
          <w:position w:val="-1"/>
        </w:rPr>
        <w:t>中外医疗</w:t>
      </w:r>
      <w:r>
        <w:rPr>
          <w:shd w:val="clear" w:fill="231F20"/>
          <w:rFonts w:ascii="SimHei" w:hAnsi="SimHei" w:eastAsia="SimHei" w:cs="SimHei"/>
          <w:sz w:val="23"/>
          <w:szCs w:val="23"/>
          <w:color w:val="FFFFFF"/>
          <w:position w:val="-1"/>
        </w:rPr>
        <w:t xml:space="preserve"> </w:t>
      </w:r>
    </w:p>
    <w:p>
      <w:pPr>
        <w:ind w:left="1137" w:right="77" w:firstLine="19"/>
        <w:spacing w:before="2" w:line="23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论           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     </w:t>
      </w:r>
      <w:r>
        <w:rPr>
          <w:rFonts w:ascii="Microsoft YaHei" w:hAnsi="Microsoft YaHei" w:eastAsia="Microsoft YaHei" w:cs="Microsoft YaHei"/>
          <w:sz w:val="21"/>
          <w:szCs w:val="21"/>
          <w:strike/>
          <w:color w:val="231F20"/>
          <w:spacing w:val="1"/>
        </w:rPr>
        <w:t xml:space="preserve">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strike/>
          <w:color w:val="231F20"/>
        </w:rPr>
        <w:t xml:space="preserve">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complications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obser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vation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2.08%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(1/48),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than  13.73%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(7/51)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control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group,</w:t>
      </w:r>
    </w:p>
    <w:p>
      <w:pPr>
        <w:ind w:left="1134" w:right="496" w:firstLine="1"/>
        <w:spacing w:before="1" w:line="24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statistically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(χ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=4.512,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1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&lt;0.05).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Conclusion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children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acute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appendicitis,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application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transumbilical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single-port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laparoscopic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appendectomy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shorten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postoperative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acti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vity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time,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promote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postoperative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rehabilitation,  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less  surgical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trauma,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which  can  reduce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the  level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inflamma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tory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sponse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reduce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comp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lications.</w:t>
      </w:r>
    </w:p>
    <w:p>
      <w:pPr>
        <w:ind w:left="1134" w:right="499" w:firstLine="8"/>
        <w:spacing w:before="1" w:line="25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[Key  words]  Transumbilical  single-port  laparoscopy;  Appen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dectomy;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Children;  Acute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appendicitis;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Inflammatory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reactions</w:t>
      </w:r>
    </w:p>
    <w:p>
      <w:pPr>
        <w:spacing w:before="75"/>
        <w:rPr/>
      </w:pPr>
      <w:r/>
    </w:p>
    <w:p>
      <w:pPr>
        <w:sectPr>
          <w:headerReference w:type="default" r:id="rId2"/>
          <w:pgSz w:w="11906" w:h="16838"/>
          <w:pgMar w:top="400" w:right="1056" w:bottom="0" w:left="424" w:header="0" w:footer="0" w:gutter="0"/>
          <w:cols w:equalWidth="0" w:num="1">
            <w:col w:w="10425" w:space="0"/>
          </w:cols>
        </w:sectPr>
        <w:rPr/>
      </w:pPr>
    </w:p>
    <w:p>
      <w:pPr>
        <w:ind w:left="714" w:right="245" w:firstLine="414"/>
        <w:spacing w:before="39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小儿急性阑尾炎在临床较常见，占小儿外科急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20%~30%，病原菌感染、阑尾腔堵塞为本病发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生的主要原因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9"/>
          <w:position w:val="7"/>
        </w:rPr>
        <w:t>[1]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。小儿由于生理结构发育尚未完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善，阑尾管腔相对较狭窄，粪石堵塞后难以排出，阑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尾壁较成人更薄，且淋巴滤泡较丰富，具有病情进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展快速的特点，当阑尾出现炎症后容易引发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穿孔、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腹膜炎等并发症，对患儿生命安全造成严重威胁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7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目前临床治疗本病以切除阑尾为主，传统开腹手术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具有术野清晰、操作方便的特点，但具有创伤大、术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后并发症多等缺点，术后切口愈合、病情恢复较缓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慢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0"/>
          <w:position w:val="7"/>
        </w:rPr>
        <w:t>[3]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。腹腔镜阑尾切除术具有微创优势，已成为治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疗本病的首选方法，并从最初多孔法发展为单孔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法，对机体创伤更轻、切口更少，逐渐受到广大医师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及患者青睐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7"/>
        </w:rPr>
        <w:t>[4]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。基于此，本研究回顾性选取 2021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39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月—2023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月晋江市医院（上海市第六人民医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院福建医院）收治的 99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例急性阑尾炎患儿的临床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资料，探究将经脐单孔腹腔镜阑尾切除术用于小儿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急性阑尾炎治疗中的效果及对炎性反应的影响。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现报道如下。</w:t>
      </w:r>
    </w:p>
    <w:p>
      <w:pPr>
        <w:ind w:left="17"/>
        <w:spacing w:before="1" w:line="210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资料与方法</w:t>
      </w:r>
    </w:p>
    <w:p>
      <w:pPr>
        <w:ind w:left="14"/>
        <w:spacing w:before="60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1.1  一般资料</w:t>
      </w:r>
    </w:p>
    <w:p>
      <w:pPr>
        <w:ind w:firstLine="436"/>
        <w:spacing w:before="71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回顾性选取本院收治的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99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例急性阑尾炎患儿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的临床资料，根据手术方法不同分为对照组（51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例）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和观察组（48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例）。两组患儿的一般资料对比，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具有可比性，见表 1。本研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究经晋江市医院（上海市第六人民医院福建医院）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医学伦理委员会批准（jjsyyyxll-2022116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患儿及其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家属已签署知情同意书。</w:t>
      </w:r>
    </w:p>
    <w:p>
      <w:pPr>
        <w:spacing w:line="239" w:lineRule="auto"/>
        <w:sectPr>
          <w:type w:val="continuous"/>
          <w:pgSz w:w="11906" w:h="16838"/>
          <w:pgMar w:top="400" w:right="1056" w:bottom="0" w:left="424" w:header="0" w:footer="0" w:gutter="0"/>
          <w:cols w:equalWidth="0" w:num="2">
            <w:col w:w="5645" w:space="100"/>
            <w:col w:w="468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4454"/>
        <w:spacing w:before="193" w:line="207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两组患儿的一般资料对比</w:t>
      </w:r>
    </w:p>
    <w:p>
      <w:pPr>
        <w:spacing w:line="34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9"/>
        <w:gridCol w:w="955"/>
        <w:gridCol w:w="574"/>
        <w:gridCol w:w="510"/>
        <w:gridCol w:w="538"/>
        <w:gridCol w:w="915"/>
        <w:gridCol w:w="1286"/>
        <w:gridCol w:w="986"/>
        <w:gridCol w:w="1253"/>
        <w:gridCol w:w="653"/>
        <w:gridCol w:w="1087"/>
      </w:tblGrid>
      <w:tr>
        <w:trPr>
          <w:trHeight w:val="240" w:hRule="atLeast"/>
        </w:trPr>
        <w:tc>
          <w:tcPr>
            <w:tcW w:w="86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"/>
              <w:spacing w:before="168" w:line="180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95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88"/>
              <w:spacing w:before="168" w:line="179" w:lineRule="auto"/>
              <w:rPr/>
            </w:pPr>
            <w:r>
              <w:rPr>
                <w:color w:val="231F20"/>
                <w:spacing w:val="2"/>
              </w:rPr>
              <w:t>例数</w:t>
            </w:r>
          </w:p>
        </w:tc>
        <w:tc>
          <w:tcPr>
            <w:tcW w:w="1622" w:type="dxa"/>
            <w:vAlign w:val="top"/>
            <w:gridSpan w:val="3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6"/>
              <w:spacing w:before="43" w:line="174" w:lineRule="auto"/>
              <w:rPr/>
            </w:pPr>
            <w:r>
              <w:rPr>
                <w:color w:val="231F20"/>
                <w:spacing w:val="-13"/>
              </w:rPr>
              <w:t>性别（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3"/>
              </w:rPr>
              <w:t>n</w:t>
            </w:r>
            <w:r>
              <w:rPr>
                <w:color w:val="231F20"/>
                <w:spacing w:val="-13"/>
              </w:rPr>
              <w:t>）</w:t>
            </w:r>
          </w:p>
        </w:tc>
        <w:tc>
          <w:tcPr>
            <w:tcW w:w="220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32"/>
              <w:spacing w:before="43" w:line="174" w:lineRule="auto"/>
              <w:rPr/>
            </w:pPr>
            <w:r>
              <w:rPr>
                <w:color w:val="231F20"/>
                <w:spacing w:val="-11"/>
              </w:rPr>
              <w:t>年龄（岁）</w:t>
            </w:r>
          </w:p>
        </w:tc>
        <w:tc>
          <w:tcPr>
            <w:tcW w:w="223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10"/>
              <w:spacing w:before="18" w:line="197" w:lineRule="auto"/>
              <w:rPr/>
            </w:pPr>
            <w:r>
              <w:rPr>
                <w:color w:val="231F20"/>
                <w:spacing w:val="-3"/>
              </w:rPr>
              <w:t>发病至入院时间（h）</w:t>
            </w:r>
          </w:p>
        </w:tc>
        <w:tc>
          <w:tcPr>
            <w:tcW w:w="174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5"/>
              <w:spacing w:before="43" w:line="174" w:lineRule="auto"/>
              <w:rPr/>
            </w:pPr>
            <w:r>
              <w:rPr>
                <w:color w:val="231F20"/>
                <w:spacing w:val="-7"/>
              </w:rPr>
              <w:t>病例类型（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38" w:hRule="atLeast"/>
        </w:trPr>
        <w:tc>
          <w:tcPr>
            <w:tcW w:w="86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2"/>
              <w:spacing w:before="48" w:line="167" w:lineRule="auto"/>
              <w:rPr/>
            </w:pPr>
            <w:r>
              <w:rPr>
                <w:color w:val="231F20"/>
              </w:rPr>
              <w:t>男</w:t>
            </w:r>
          </w:p>
        </w:tc>
        <w:tc>
          <w:tcPr>
            <w:tcW w:w="104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02"/>
              <w:spacing w:before="48" w:line="167" w:lineRule="auto"/>
              <w:rPr/>
            </w:pPr>
            <w:r>
              <w:rPr>
                <w:color w:val="231F20"/>
              </w:rPr>
              <w:t>女</w:t>
            </w:r>
          </w:p>
        </w:tc>
        <w:tc>
          <w:tcPr>
            <w:tcW w:w="91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7"/>
              <w:spacing w:before="46" w:line="169" w:lineRule="auto"/>
              <w:rPr/>
            </w:pPr>
            <w:r>
              <w:rPr>
                <w:color w:val="231F20"/>
                <w:spacing w:val="1"/>
              </w:rPr>
              <w:t>范围</w:t>
            </w:r>
          </w:p>
        </w:tc>
        <w:tc>
          <w:tcPr>
            <w:tcW w:w="128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5"/>
              <w:spacing w:before="16" w:line="197" w:lineRule="auto"/>
              <w:rPr/>
            </w:pPr>
            <w:r>
              <w:rPr>
                <w:color w:val="231F20"/>
                <w:spacing w:val="-6"/>
              </w:rPr>
              <w:t>均值(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position w:val="-1"/>
              </w:rPr>
              <w:drawing>
                <wp:inline distT="0" distB="0" distL="0" distR="0">
                  <wp:extent cx="47803" cy="119604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803" cy="11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s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98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47" w:line="168" w:lineRule="auto"/>
              <w:rPr/>
            </w:pPr>
            <w:r>
              <w:rPr>
                <w:color w:val="231F20"/>
                <w:spacing w:val="1"/>
              </w:rPr>
              <w:t>范围</w:t>
            </w:r>
          </w:p>
        </w:tc>
        <w:tc>
          <w:tcPr>
            <w:tcW w:w="125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5"/>
              <w:spacing w:before="16" w:line="197" w:lineRule="auto"/>
              <w:rPr/>
            </w:pPr>
            <w:r>
              <w:rPr>
                <w:color w:val="231F20"/>
                <w:spacing w:val="-6"/>
              </w:rPr>
              <w:t>均值(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position w:val="-1"/>
              </w:rPr>
              <w:drawing>
                <wp:inline distT="0" distB="0" distL="0" distR="0">
                  <wp:extent cx="47803" cy="119604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803" cy="11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</w:rPr>
              <w:t>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s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1740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63"/>
              <w:spacing w:before="47" w:line="168" w:lineRule="auto"/>
              <w:rPr/>
            </w:pPr>
            <w:r>
              <w:rPr>
                <w:color w:val="231F20"/>
                <w:spacing w:val="2"/>
              </w:rPr>
              <w:t>坏疽性        化脓性</w:t>
            </w:r>
          </w:p>
        </w:tc>
      </w:tr>
      <w:tr>
        <w:trPr>
          <w:trHeight w:val="238" w:hRule="atLeast"/>
        </w:trPr>
        <w:tc>
          <w:tcPr>
            <w:tcW w:w="8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8" w:line="167" w:lineRule="auto"/>
              <w:rPr/>
            </w:pPr>
            <w:r>
              <w:rPr>
                <w:color w:val="231F20"/>
                <w:spacing w:val="4"/>
              </w:rPr>
              <w:t>观察组</w:t>
            </w:r>
          </w:p>
        </w:tc>
        <w:tc>
          <w:tcPr>
            <w:tcW w:w="9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5"/>
              <w:spacing w:before="71" w:line="156" w:lineRule="exact"/>
              <w:rPr/>
            </w:pPr>
            <w:r>
              <w:rPr>
                <w:color w:val="231F20"/>
                <w:spacing w:val="-8"/>
                <w:position w:val="-3"/>
              </w:rPr>
              <w:t>48</w:t>
            </w:r>
          </w:p>
        </w:tc>
        <w:tc>
          <w:tcPr>
            <w:tcW w:w="5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6"/>
              <w:spacing w:before="69" w:line="158" w:lineRule="exact"/>
              <w:rPr/>
            </w:pPr>
            <w:r>
              <w:rPr>
                <w:color w:val="231F20"/>
                <w:spacing w:val="-10"/>
                <w:position w:val="1"/>
              </w:rPr>
              <w:t>35</w:t>
            </w:r>
          </w:p>
        </w:tc>
        <w:tc>
          <w:tcPr>
            <w:tcW w:w="510" w:type="dxa"/>
            <w:vAlign w:val="top"/>
            <w:tcBorders>
              <w:top w:val="single" w:color="231F20" w:sz="2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5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4"/>
              <w:spacing w:before="70" w:line="157" w:lineRule="exact"/>
              <w:rPr/>
            </w:pPr>
            <w:r>
              <w:rPr>
                <w:color w:val="231F20"/>
                <w:spacing w:val="-15"/>
                <w:position w:val="-3"/>
              </w:rPr>
              <w:t>13</w:t>
            </w:r>
          </w:p>
        </w:tc>
        <w:tc>
          <w:tcPr>
            <w:tcW w:w="9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70" w:line="157" w:lineRule="exact"/>
              <w:rPr/>
            </w:pPr>
            <w:r>
              <w:rPr>
                <w:color w:val="231F20"/>
                <w:spacing w:val="-15"/>
                <w:position w:val="-3"/>
              </w:rPr>
              <w:t>3~14</w:t>
            </w:r>
          </w:p>
        </w:tc>
        <w:tc>
          <w:tcPr>
            <w:tcW w:w="12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7"/>
              <w:spacing w:before="69" w:line="158" w:lineRule="exact"/>
              <w:rPr/>
            </w:pPr>
            <w:r>
              <w:rPr>
                <w:color w:val="231F20"/>
                <w:spacing w:val="-10"/>
                <w:position w:val="-3"/>
              </w:rPr>
              <w:t>9.15±2.02</w:t>
            </w:r>
          </w:p>
        </w:tc>
        <w:tc>
          <w:tcPr>
            <w:tcW w:w="9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5"/>
              <w:spacing w:before="71" w:line="156" w:lineRule="exact"/>
              <w:rPr/>
            </w:pPr>
            <w:r>
              <w:rPr>
                <w:color w:val="231F20"/>
                <w:spacing w:val="-16"/>
                <w:position w:val="-3"/>
              </w:rPr>
              <w:t>18~32</w:t>
            </w:r>
          </w:p>
        </w:tc>
        <w:tc>
          <w:tcPr>
            <w:tcW w:w="12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9"/>
              <w:spacing w:before="69" w:line="158" w:lineRule="exact"/>
              <w:rPr/>
            </w:pPr>
            <w:r>
              <w:rPr>
                <w:color w:val="231F20"/>
                <w:spacing w:val="-10"/>
                <w:position w:val="-3"/>
              </w:rPr>
              <w:t>25.13±2.84</w:t>
            </w:r>
          </w:p>
        </w:tc>
        <w:tc>
          <w:tcPr>
            <w:tcW w:w="6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1"/>
              <w:spacing w:before="70" w:line="157" w:lineRule="exact"/>
              <w:rPr/>
            </w:pPr>
            <w:r>
              <w:rPr>
                <w:color w:val="231F20"/>
                <w:position w:val="-3"/>
              </w:rPr>
              <w:t>6</w:t>
            </w:r>
          </w:p>
        </w:tc>
        <w:tc>
          <w:tcPr>
            <w:tcW w:w="10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7"/>
              <w:spacing w:before="70" w:line="157" w:lineRule="exact"/>
              <w:rPr/>
            </w:pPr>
            <w:r>
              <w:rPr>
                <w:color w:val="231F20"/>
                <w:spacing w:val="-8"/>
                <w:position w:val="-3"/>
              </w:rPr>
              <w:t>42</w:t>
            </w:r>
          </w:p>
        </w:tc>
      </w:tr>
      <w:tr>
        <w:trPr>
          <w:trHeight w:val="240" w:hRule="atLeast"/>
        </w:trPr>
        <w:tc>
          <w:tcPr>
            <w:tcW w:w="869" w:type="dxa"/>
            <w:vAlign w:val="top"/>
          </w:tcPr>
          <w:p>
            <w:pPr>
              <w:pStyle w:val="TableText"/>
              <w:ind w:left="20"/>
              <w:spacing w:before="58" w:line="160" w:lineRule="auto"/>
              <w:rPr/>
            </w:pPr>
            <w:r>
              <w:rPr>
                <w:color w:val="231F20"/>
                <w:spacing w:val="5"/>
              </w:rPr>
              <w:t>对照组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468"/>
              <w:spacing w:before="76" w:line="153" w:lineRule="exact"/>
              <w:rPr/>
            </w:pPr>
            <w:r>
              <w:rPr>
                <w:color w:val="231F20"/>
                <w:spacing w:val="-9"/>
                <w:position w:val="1"/>
              </w:rPr>
              <w:t>51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346"/>
              <w:spacing w:before="77" w:line="153" w:lineRule="exact"/>
              <w:rPr/>
            </w:pPr>
            <w:r>
              <w:rPr>
                <w:color w:val="231F20"/>
                <w:spacing w:val="-10"/>
                <w:position w:val="-3"/>
              </w:rPr>
              <w:t>37</w:t>
            </w:r>
          </w:p>
        </w:tc>
        <w:tc>
          <w:tcPr>
            <w:tcW w:w="510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38" w:type="dxa"/>
            <w:vAlign w:val="top"/>
          </w:tcPr>
          <w:p>
            <w:pPr>
              <w:pStyle w:val="TableText"/>
              <w:ind w:left="104"/>
              <w:spacing w:before="77" w:line="153" w:lineRule="exact"/>
              <w:rPr/>
            </w:pPr>
            <w:r>
              <w:rPr>
                <w:color w:val="231F20"/>
                <w:spacing w:val="-15"/>
                <w:position w:val="-3"/>
              </w:rPr>
              <w:t>14</w:t>
            </w:r>
          </w:p>
        </w:tc>
        <w:tc>
          <w:tcPr>
            <w:tcW w:w="915" w:type="dxa"/>
            <w:vAlign w:val="top"/>
          </w:tcPr>
          <w:p>
            <w:pPr>
              <w:pStyle w:val="TableText"/>
              <w:ind w:left="301"/>
              <w:spacing w:before="77" w:line="153" w:lineRule="exact"/>
              <w:rPr/>
            </w:pPr>
            <w:r>
              <w:rPr>
                <w:color w:val="231F20"/>
                <w:spacing w:val="-13"/>
                <w:position w:val="-3"/>
              </w:rPr>
              <w:t>4~13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337"/>
              <w:spacing w:before="77" w:line="153" w:lineRule="exact"/>
              <w:rPr/>
            </w:pPr>
            <w:r>
              <w:rPr>
                <w:color w:val="231F20"/>
                <w:spacing w:val="-10"/>
                <w:position w:val="-3"/>
              </w:rPr>
              <w:t>9.88±2.06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315"/>
              <w:spacing w:before="77" w:line="153" w:lineRule="exact"/>
              <w:rPr/>
            </w:pPr>
            <w:r>
              <w:rPr>
                <w:color w:val="231F20"/>
                <w:spacing w:val="-16"/>
                <w:position w:val="-3"/>
              </w:rPr>
              <w:t>19~32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299"/>
              <w:spacing w:before="76" w:line="153" w:lineRule="exact"/>
              <w:rPr/>
            </w:pPr>
            <w:r>
              <w:rPr>
                <w:color w:val="231F20"/>
                <w:spacing w:val="-10"/>
                <w:position w:val="-3"/>
              </w:rPr>
              <w:t>25.39±2.91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434"/>
              <w:spacing w:before="78" w:line="151" w:lineRule="exact"/>
              <w:rPr/>
            </w:pPr>
            <w:r>
              <w:rPr>
                <w:color w:val="231F20"/>
                <w:spacing w:val="-15"/>
                <w:position w:val="-3"/>
              </w:rPr>
              <w:t>10</w:t>
            </w:r>
          </w:p>
        </w:tc>
        <w:tc>
          <w:tcPr>
            <w:tcW w:w="1087" w:type="dxa"/>
            <w:vAlign w:val="top"/>
          </w:tcPr>
          <w:p>
            <w:pPr>
              <w:pStyle w:val="TableText"/>
              <w:ind w:left="597"/>
              <w:spacing w:before="77" w:line="153" w:lineRule="exact"/>
              <w:rPr/>
            </w:pPr>
            <w:r>
              <w:rPr>
                <w:color w:val="231F20"/>
                <w:spacing w:val="-8"/>
                <w:position w:val="-3"/>
              </w:rPr>
              <w:t>41</w:t>
            </w:r>
          </w:p>
        </w:tc>
      </w:tr>
      <w:tr>
        <w:trPr>
          <w:trHeight w:val="257" w:hRule="atLeast"/>
        </w:trPr>
        <w:tc>
          <w:tcPr>
            <w:tcW w:w="869" w:type="dxa"/>
            <w:vAlign w:val="top"/>
          </w:tcPr>
          <w:p>
            <w:pPr>
              <w:pStyle w:val="TableText"/>
              <w:ind w:left="22"/>
              <w:spacing w:before="35" w:line="197" w:lineRule="auto"/>
              <w:rPr/>
            </w:pPr>
            <w:r>
              <w:rPr>
                <w:color w:val="231F20"/>
                <w:w w:val="9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/t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值</w:t>
            </w:r>
          </w:p>
        </w:tc>
        <w:tc>
          <w:tcPr>
            <w:tcW w:w="9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" w:type="dxa"/>
            <w:vAlign w:val="top"/>
          </w:tcPr>
          <w:p>
            <w:pPr>
              <w:pStyle w:val="TableText"/>
              <w:ind w:left="89"/>
              <w:spacing w:before="82" w:line="165" w:lineRule="exact"/>
              <w:rPr/>
            </w:pPr>
            <w:r>
              <w:rPr>
                <w:color w:val="231F20"/>
                <w:spacing w:val="-8"/>
                <w:position w:val="-3"/>
              </w:rPr>
              <w:t>0.002</w:t>
            </w:r>
          </w:p>
        </w:tc>
        <w:tc>
          <w:tcPr>
            <w:tcW w:w="5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6" w:type="dxa"/>
            <w:vAlign w:val="top"/>
          </w:tcPr>
          <w:p>
            <w:pPr>
              <w:pStyle w:val="TableText"/>
              <w:ind w:left="479"/>
              <w:spacing w:before="82" w:line="165" w:lineRule="exact"/>
              <w:rPr/>
            </w:pPr>
            <w:r>
              <w:rPr>
                <w:color w:val="231F20"/>
                <w:spacing w:val="-10"/>
                <w:position w:val="-3"/>
              </w:rPr>
              <w:t>1.779</w:t>
            </w:r>
          </w:p>
        </w:tc>
        <w:tc>
          <w:tcPr>
            <w:tcW w:w="9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3" w:type="dxa"/>
            <w:vAlign w:val="top"/>
          </w:tcPr>
          <w:p>
            <w:pPr>
              <w:pStyle w:val="TableText"/>
              <w:ind w:left="490"/>
              <w:spacing w:before="80" w:line="167" w:lineRule="exact"/>
              <w:rPr/>
            </w:pPr>
            <w:r>
              <w:rPr>
                <w:color w:val="231F20"/>
                <w:spacing w:val="-8"/>
                <w:position w:val="2"/>
              </w:rPr>
              <w:t>0.450</w:t>
            </w:r>
          </w:p>
        </w:tc>
        <w:tc>
          <w:tcPr>
            <w:tcW w:w="6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7" w:type="dxa"/>
            <w:vAlign w:val="top"/>
          </w:tcPr>
          <w:p>
            <w:pPr>
              <w:pStyle w:val="TableText"/>
              <w:ind w:left="87"/>
              <w:spacing w:before="82" w:line="165" w:lineRule="exact"/>
              <w:rPr/>
            </w:pPr>
            <w:r>
              <w:rPr>
                <w:color w:val="231F20"/>
                <w:spacing w:val="-8"/>
                <w:position w:val="-3"/>
              </w:rPr>
              <w:t>0.922</w:t>
            </w:r>
          </w:p>
        </w:tc>
      </w:tr>
      <w:tr>
        <w:trPr>
          <w:trHeight w:val="249" w:hRule="atLeast"/>
        </w:trPr>
        <w:tc>
          <w:tcPr>
            <w:tcW w:w="8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5" w:line="171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955" w:type="dxa"/>
            <w:vAlign w:val="top"/>
            <w:tcBorders>
              <w:bottom w:val="single" w:color="231F2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574" w:type="dxa"/>
            <w:vAlign w:val="top"/>
            <w:tcBorders>
              <w:bottom w:val="single" w:color="231F2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5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9"/>
              <w:spacing w:before="78" w:line="161" w:lineRule="exact"/>
              <w:rPr/>
            </w:pPr>
            <w:r>
              <w:rPr>
                <w:color w:val="231F20"/>
                <w:spacing w:val="-8"/>
                <w:position w:val="-3"/>
              </w:rPr>
              <w:t>0.967</w:t>
            </w:r>
          </w:p>
        </w:tc>
        <w:tc>
          <w:tcPr>
            <w:tcW w:w="538" w:type="dxa"/>
            <w:vAlign w:val="top"/>
            <w:tcBorders>
              <w:bottom w:val="single" w:color="231F2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915" w:type="dxa"/>
            <w:vAlign w:val="top"/>
            <w:tcBorders>
              <w:bottom w:val="single" w:color="231F2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6"/>
              <w:spacing w:before="79" w:line="160" w:lineRule="exact"/>
              <w:rPr/>
            </w:pPr>
            <w:r>
              <w:rPr>
                <w:color w:val="231F20"/>
                <w:spacing w:val="-8"/>
                <w:position w:val="-3"/>
              </w:rPr>
              <w:t>0.078</w:t>
            </w:r>
          </w:p>
        </w:tc>
        <w:tc>
          <w:tcPr>
            <w:tcW w:w="986" w:type="dxa"/>
            <w:vAlign w:val="top"/>
            <w:tcBorders>
              <w:bottom w:val="single" w:color="231F2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90"/>
              <w:spacing w:before="77" w:line="162" w:lineRule="exact"/>
              <w:rPr/>
            </w:pPr>
            <w:r>
              <w:rPr>
                <w:color w:val="231F20"/>
                <w:spacing w:val="-8"/>
                <w:position w:val="1"/>
              </w:rPr>
              <w:t>0.654</w:t>
            </w:r>
          </w:p>
        </w:tc>
        <w:tc>
          <w:tcPr>
            <w:tcW w:w="653" w:type="dxa"/>
            <w:vAlign w:val="top"/>
            <w:tcBorders>
              <w:bottom w:val="single" w:color="231F20" w:sz="4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/>
              <w:spacing w:before="79" w:line="160" w:lineRule="exact"/>
              <w:rPr/>
            </w:pPr>
            <w:r>
              <w:rPr>
                <w:color w:val="231F20"/>
                <w:spacing w:val="-8"/>
                <w:position w:val="-3"/>
              </w:rPr>
              <w:t>0.337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7" w:lineRule="exact"/>
        <w:rPr/>
      </w:pPr>
      <w:r/>
    </w:p>
    <w:p>
      <w:pPr>
        <w:spacing w:line="27" w:lineRule="exact"/>
        <w:sectPr>
          <w:type w:val="continuous"/>
          <w:pgSz w:w="11906" w:h="16838"/>
          <w:pgMar w:top="400" w:right="1056" w:bottom="0" w:left="424" w:header="0" w:footer="0" w:gutter="0"/>
          <w:cols w:equalWidth="0" w:num="1">
            <w:col w:w="10425" w:space="0"/>
          </w:cols>
        </w:sectPr>
        <w:rPr/>
      </w:pPr>
    </w:p>
    <w:p>
      <w:pPr>
        <w:ind w:left="730"/>
        <w:spacing w:before="44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1.2  纳入与排除标准</w:t>
      </w:r>
    </w:p>
    <w:p>
      <w:pPr>
        <w:ind w:left="632" w:right="242" w:firstLine="499"/>
        <w:spacing w:before="63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纳入标准：①患儿年龄 3~14岁；②发病至入院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时间&lt;96 h；③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均符合《2015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年急腹症基本临床实践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指南》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7"/>
        </w:rPr>
        <w:t>[5]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中急性阑尾炎诊断标准，存在右下腹反跳痛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或固定压痛症状，且经 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超、电子计算机断层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扫描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（computed tomography,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CT）等检查确诊；④均符合手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术指征，如有持续性剧烈腹痛且无法缓解、经补液、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抗生素等保守治疗无效且病情加重等。</w:t>
      </w:r>
    </w:p>
    <w:p>
      <w:pPr>
        <w:ind w:left="714" w:right="324" w:firstLine="413"/>
        <w:spacing w:before="1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排除标准：①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存在黄体破裂、胃出血等其他急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腹症者；②近期接受腹部手术者；③存在肝、肾等重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要脏器疾病者；④对手术或麻醉不耐受者；⑤存在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自身免疫性疾病、全身感染性疾病者；⑥凝血、精神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等功能异常者；⑦临床资料欠缺或丢失者；⑧存在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弥漫性腹膜炎者；⑨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存在腹内膨胀致无法建立气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5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腹、腹腔粘连等手术禁忌证者。</w:t>
      </w:r>
    </w:p>
    <w:p>
      <w:pPr>
        <w:ind w:left="16"/>
        <w:spacing w:before="95" w:line="1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方法</w:t>
      </w:r>
    </w:p>
    <w:p>
      <w:pPr>
        <w:ind w:right="12" w:firstLine="416"/>
        <w:spacing w:before="94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两组患儿的术者及护士均为同一批，观察组行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经脐单孔腹腔镜阑尾切除术，行静息复合全麻，取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平卧位，于脐窝正中行纵行切口，长约 1.5~2.0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cm，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之后置入一次性多通道腹腔穿刺套管，建立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CO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-5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腹，气腹压约 6~10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mmHg。对腹腔全面探查，直视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下观察有无其他疾病，将患儿体位调整为头低脚高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15°、右高左低 15°,充分显示阑尾。将阑尾尖端提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起并对周边粘连进行松懈，将阑尾系膜暴露并离断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处理，应用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号丝线对阑尾根部进行结扎，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并在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距线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0.5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处将阑尾切断，应用电刀烧灼对阑尾残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端进行处理。检查无渗液、出血后放气腹，3-0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可吸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收先关闭腹膜层，再应用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5-0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可吸收线对切口进行</w:t>
      </w:r>
    </w:p>
    <w:p>
      <w:pPr>
        <w:spacing w:line="239" w:lineRule="auto"/>
        <w:sectPr>
          <w:type w:val="continuous"/>
          <w:pgSz w:w="11906" w:h="16838"/>
          <w:pgMar w:top="400" w:right="1056" w:bottom="0" w:left="424" w:header="0" w:footer="0" w:gutter="0"/>
          <w:cols w:equalWidth="0" w:num="2">
            <w:col w:w="5642" w:space="100"/>
            <w:col w:w="46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6294"/>
        <w:spacing w:before="165" w:line="182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Arial" w:hAnsi="Arial" w:eastAsia="Arial" w:cs="Arial"/>
          <w:sz w:val="15"/>
          <w:szCs w:val="15"/>
          <w:color w:val="231F20"/>
        </w:rPr>
        <w:t>China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&amp;</w:t>
      </w:r>
      <w:r>
        <w:rPr>
          <w:rFonts w:ascii="Arial" w:hAnsi="Arial" w:eastAsia="Arial" w:cs="Arial"/>
          <w:sz w:val="15"/>
          <w:szCs w:val="15"/>
          <w:color w:val="231F20"/>
        </w:rPr>
        <w:t>Foreign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Medical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 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中外医疗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15</w:t>
      </w:r>
    </w:p>
    <w:p>
      <w:pPr>
        <w:spacing w:line="182" w:lineRule="exact"/>
        <w:sectPr>
          <w:type w:val="continuous"/>
          <w:pgSz w:w="11906" w:h="16838"/>
          <w:pgMar w:top="400" w:right="1056" w:bottom="0" w:left="424" w:header="0" w:footer="0" w:gutter="0"/>
          <w:cols w:equalWidth="0" w:num="1">
            <w:col w:w="10425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69"/>
        <w:rPr/>
      </w:pPr>
      <w:r>
        <w:pict>
          <v:shape id="_x0000_s14" style="position:absolute;margin-left:108.746pt;margin-top:36.885pt;mso-position-vertical-relative:page;mso-position-horizontal-relative:page;width:94.65pt;height:17.7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3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2024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>NO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.28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 xml:space="preserve">   </w:t>
                  </w:r>
                </w:p>
                <w:p>
                  <w:pPr>
                    <w:pStyle w:val="BodyText"/>
                    <w:ind w:left="20"/>
                    <w:spacing w:before="41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8"/>
                    </w:rPr>
                    <w:t>China &amp;Foreign</w:t>
                  </w:r>
                  <w:r>
                    <w:rPr>
                      <w:sz w:val="11"/>
                      <w:szCs w:val="11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8"/>
                    </w:rPr>
                    <w:t>Medical Treatment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6"/>
          <w:footerReference w:type="default" r:id="rId7"/>
          <w:pgSz w:w="11906" w:h="16838"/>
          <w:pgMar w:top="400" w:right="1068" w:bottom="824" w:left="424" w:header="0" w:footer="630" w:gutter="0"/>
          <w:cols w:equalWidth="0" w:num="1">
            <w:col w:w="10413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1022" w:type="dxa"/>
        <w:tblInd w:w="70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2"/>
      </w:tblGrid>
      <w:tr>
        <w:trPr>
          <w:trHeight w:val="300" w:hRule="atLeast"/>
        </w:trPr>
        <w:tc>
          <w:tcPr>
            <w:tcW w:w="1022" w:type="dxa"/>
            <w:vAlign w:val="top"/>
          </w:tcPr>
          <w:p>
            <w:pPr>
              <w:ind w:left="59"/>
              <w:spacing w:before="22" w:line="215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hd w:val="clear" w:fill="231F20"/>
                <w:rFonts w:ascii="SimHei" w:hAnsi="SimHei" w:eastAsia="SimHei" w:cs="SimHei"/>
                <w:sz w:val="23"/>
                <w:szCs w:val="23"/>
                <w:color w:val="FFFFFF"/>
                <w:spacing w:val="1"/>
              </w:rPr>
              <w:t>中外医疗</w:t>
            </w:r>
          </w:p>
        </w:tc>
      </w:tr>
    </w:tbl>
    <w:p>
      <w:pPr>
        <w:spacing w:line="239" w:lineRule="exact"/>
        <w:rPr>
          <w:rFonts w:ascii="Arial"/>
          <w:sz w:val="20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5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著</w:t>
      </w:r>
    </w:p>
    <w:p>
      <w:pPr>
        <w:spacing w:line="187" w:lineRule="auto"/>
        <w:sectPr>
          <w:type w:val="continuous"/>
          <w:pgSz w:w="11906" w:h="16838"/>
          <w:pgMar w:top="400" w:right="1068" w:bottom="824" w:left="424" w:header="0" w:footer="630" w:gutter="0"/>
          <w:cols w:equalWidth="0" w:num="2">
            <w:col w:w="8722" w:space="100"/>
            <w:col w:w="1592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63" w:lineRule="exact"/>
        <w:rPr/>
      </w:pPr>
      <w:r/>
    </w:p>
    <w:p>
      <w:pPr>
        <w:spacing w:line="63" w:lineRule="exact"/>
        <w:sectPr>
          <w:type w:val="continuous"/>
          <w:pgSz w:w="11906" w:h="16838"/>
          <w:pgMar w:top="400" w:right="1068" w:bottom="824" w:left="424" w:header="0" w:footer="630" w:gutter="0"/>
          <w:cols w:equalWidth="0" w:num="1">
            <w:col w:w="10413" w:space="0"/>
          </w:cols>
        </w:sectPr>
        <w:rPr/>
      </w:pPr>
    </w:p>
    <w:p>
      <w:pPr>
        <w:ind w:left="718"/>
        <w:spacing w:before="49" w:line="18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连续缝合。</w:t>
      </w:r>
    </w:p>
    <w:p>
      <w:pPr>
        <w:pStyle w:val="BodyText"/>
        <w:ind w:left="714" w:right="177" w:firstLine="412"/>
        <w:spacing w:before="84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对照组行传统三孔腹腔镜手术，麻醉、体位同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上，于脐窝上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0.5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cm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处行弧形切口，将气腹针刺入，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建立 </w:t>
      </w:r>
      <w:r>
        <w:rPr>
          <w:sz w:val="20"/>
          <w:szCs w:val="20"/>
          <w:color w:val="231F20"/>
          <w:spacing w:val="-2"/>
        </w:rPr>
        <w:t>CO</w:t>
      </w:r>
      <w:r>
        <w:rPr>
          <w:sz w:val="12"/>
          <w:szCs w:val="12"/>
          <w:color w:val="231F20"/>
          <w:spacing w:val="-2"/>
          <w:position w:val="-5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气腹，之后拔除气腹针，穿刺 </w:t>
      </w:r>
      <w:r>
        <w:rPr>
          <w:sz w:val="20"/>
          <w:szCs w:val="20"/>
          <w:color w:val="231F20"/>
          <w:spacing w:val="-2"/>
        </w:rPr>
        <w:t>10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mm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Troc</w:t>
      </w:r>
      <w:r>
        <w:rPr>
          <w:sz w:val="20"/>
          <w:szCs w:val="20"/>
          <w:color w:val="231F20"/>
          <w:spacing w:val="-3"/>
        </w:rPr>
        <w:t>ar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并置入腹腔镜。于左右麦氏点分别做长约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18"/>
        </w:rPr>
        <w:t>0.5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</w:rPr>
        <w:t>cm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的小切口，并分别置入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"/>
        </w:rPr>
        <w:t>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mm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Trocar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，后续操作同上，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术后酌情留置引流管，给予抗感染治疗。</w:t>
      </w:r>
    </w:p>
    <w:p>
      <w:pPr>
        <w:pStyle w:val="BodyText"/>
        <w:ind w:left="729"/>
        <w:spacing w:before="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1.4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观察指标</w:t>
      </w:r>
    </w:p>
    <w:p>
      <w:pPr>
        <w:ind w:left="714" w:right="244" w:firstLine="412"/>
        <w:spacing w:before="65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对比两组患儿的围术期相关指标。包括手术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时间、肛门排气时间、进食时间及下床活动时间和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术中出血量。</w:t>
      </w:r>
    </w:p>
    <w:p>
      <w:pPr>
        <w:pStyle w:val="BodyText"/>
        <w:ind w:left="714" w:right="241" w:firstLine="412"/>
        <w:spacing w:before="4" w:line="24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对比两组患儿的炎症因子水平。于术前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、术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3 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抽取两组患儿的空腹静脉血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3~4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，经离心处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理取血清，以酶联免疫吸附法对两组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"/>
        </w:rPr>
        <w:t>C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反应蛋白（</w:t>
      </w:r>
      <w:r>
        <w:rPr>
          <w:sz w:val="20"/>
          <w:szCs w:val="20"/>
          <w:color w:val="231F20"/>
          <w:spacing w:val="-1"/>
        </w:rPr>
        <w:t>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reactive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protein,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）、白细胞介素</w:t>
      </w:r>
      <w:r>
        <w:rPr>
          <w:sz w:val="20"/>
          <w:szCs w:val="20"/>
          <w:color w:val="231F20"/>
          <w:spacing w:val="-1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interleukin-6,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IL-6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）检测，以迈瑞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BC-7500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型全自动血细胞分析仪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检测白细胞计数（</w:t>
      </w:r>
      <w:r>
        <w:rPr>
          <w:sz w:val="20"/>
          <w:szCs w:val="20"/>
          <w:color w:val="231F20"/>
          <w:spacing w:val="-6"/>
        </w:rPr>
        <w:t>white blood cell co</w:t>
      </w:r>
      <w:r>
        <w:rPr>
          <w:sz w:val="20"/>
          <w:szCs w:val="20"/>
          <w:color w:val="231F20"/>
          <w:spacing w:val="-7"/>
        </w:rPr>
        <w:t>unt, 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）。</w:t>
      </w:r>
    </w:p>
    <w:p>
      <w:pPr>
        <w:ind w:left="1126"/>
        <w:spacing w:line="17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对比两组患儿的并发症发生情况。包括术后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83"/>
        <w:spacing w:before="46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切口感染、便秘、发热、肠梗阻，并发症总发生率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2"/>
        </w:rPr>
        <w:t>=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（术后切口感染例数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1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便秘例数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11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发热例数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1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肠梗阻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例数）</w:t>
      </w:r>
      <w:r>
        <w:rPr>
          <w:sz w:val="20"/>
          <w:szCs w:val="20"/>
          <w:color w:val="231F20"/>
          <w:spacing w:val="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总例数</w:t>
      </w:r>
      <w:r>
        <w:rPr>
          <w:sz w:val="20"/>
          <w:szCs w:val="20"/>
          <w:color w:val="231F20"/>
          <w:spacing w:val="5"/>
        </w:rPr>
        <w:t>×100%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</w:p>
    <w:p>
      <w:pPr>
        <w:pStyle w:val="BodyText"/>
        <w:ind w:left="97"/>
        <w:spacing w:before="17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1.5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统计方法</w:t>
      </w:r>
    </w:p>
    <w:p>
      <w:pPr>
        <w:pStyle w:val="BodyText"/>
        <w:ind w:left="83" w:right="67" w:firstLine="412"/>
        <w:spacing w:before="64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8"/>
        </w:rPr>
        <w:t>22.0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统计学软件进行数据分析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数资料（性别、阑尾炎类型、并发症发生情况等）用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例数（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）和率（</w:t>
      </w:r>
      <w:r>
        <w:rPr>
          <w:sz w:val="20"/>
          <w:szCs w:val="20"/>
          <w:color w:val="231F20"/>
          <w:spacing w:val="-5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）表示，组间比较行 </w:t>
      </w:r>
      <w:r>
        <w:rPr>
          <w:sz w:val="20"/>
          <w:szCs w:val="20"/>
          <w:color w:val="231F20"/>
          <w:spacing w:val="-5"/>
        </w:rPr>
        <w:t>χ</w:t>
      </w:r>
      <w:r>
        <w:rPr>
          <w:sz w:val="12"/>
          <w:szCs w:val="12"/>
          <w:color w:val="231F20"/>
          <w:spacing w:val="-5"/>
          <w:position w:val="8"/>
        </w:rPr>
        <w:t>2</w:t>
      </w:r>
      <w:r>
        <w:rPr>
          <w:sz w:val="12"/>
          <w:szCs w:val="12"/>
          <w:color w:val="231F20"/>
          <w:spacing w:val="1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检验；经检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验符合正态分布的计量资料（年龄、围手术期相关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指标、炎症因子水平等）用（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x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8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）表示，组间比较行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独立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检验，组内比较行配对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检验，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>P</w:t>
      </w:r>
      <w:r>
        <w:rPr>
          <w:sz w:val="20"/>
          <w:szCs w:val="20"/>
          <w:color w:val="231F20"/>
          <w:spacing w:val="2"/>
        </w:rPr>
        <w:t>&lt;0.05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为差异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有统计学意义。</w:t>
      </w:r>
    </w:p>
    <w:p>
      <w:pPr>
        <w:pStyle w:val="BodyText"/>
        <w:ind w:left="85"/>
        <w:spacing w:line="27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</w:t>
      </w:r>
      <w:r>
        <w:rPr>
          <w:sz w:val="20"/>
          <w:szCs w:val="20"/>
          <w:color w:val="231F20"/>
          <w:spacing w:val="14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结果</w:t>
      </w:r>
    </w:p>
    <w:p>
      <w:pPr>
        <w:pStyle w:val="BodyText"/>
        <w:ind w:left="85"/>
        <w:spacing w:before="83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2.1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两组患儿的围术期相关指标水平对比</w:t>
      </w:r>
    </w:p>
    <w:p>
      <w:pPr>
        <w:pStyle w:val="BodyText"/>
        <w:ind w:left="84" w:right="65" w:firstLine="415"/>
        <w:spacing w:before="66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观察组术中出血量低于参照组，差异有统计学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</w:t>
      </w:r>
      <w:r>
        <w:rPr>
          <w:sz w:val="20"/>
          <w:szCs w:val="20"/>
          <w:color w:val="231F20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6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观察组肛门排气时间、进食时间、下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床活动时间均短于对照组，差异有统计学意义（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2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均</w:t>
      </w:r>
      <w:r>
        <w:rPr>
          <w:sz w:val="20"/>
          <w:szCs w:val="20"/>
          <w:color w:val="231F20"/>
          <w:spacing w:val="14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70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观察组手术时间短于对照组，但组间比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较，差异无统计学意义（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）。见表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</w:p>
    <w:p>
      <w:pPr>
        <w:spacing w:line="235" w:lineRule="auto"/>
        <w:sectPr>
          <w:type w:val="continuous"/>
          <w:pgSz w:w="11906" w:h="16838"/>
          <w:pgMar w:top="400" w:right="1068" w:bottom="824" w:left="424" w:header="0" w:footer="630" w:gutter="0"/>
          <w:cols w:equalWidth="0" w:num="2">
            <w:col w:w="5562" w:space="100"/>
            <w:col w:w="475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3869"/>
        <w:spacing w:before="203" w:line="207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5"/>
        </w:rPr>
        <w:t xml:space="preserve"> </w:t>
      </w:r>
      <w:r>
        <w:rPr>
          <w:sz w:val="15"/>
          <w:szCs w:val="15"/>
          <w:color w:val="231F20"/>
        </w:rPr>
        <w:t>2    </w:t>
      </w:r>
      <w:r>
        <w:rPr>
          <w:rFonts w:ascii="SimHei" w:hAnsi="SimHei" w:eastAsia="SimHei" w:cs="SimHei"/>
          <w:sz w:val="15"/>
          <w:szCs w:val="15"/>
          <w:color w:val="231F20"/>
        </w:rPr>
        <w:t>两组患儿的围术期相关指标水平对比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color w:val="231F20"/>
        </w:rPr>
        <w:t>x</w:t>
      </w:r>
      <w:r>
        <w:rPr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p>
      <w:pPr>
        <w:spacing w:line="35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9"/>
        <w:gridCol w:w="1953"/>
        <w:gridCol w:w="1530"/>
        <w:gridCol w:w="1678"/>
        <w:gridCol w:w="1355"/>
        <w:gridCol w:w="1601"/>
      </w:tblGrid>
      <w:tr>
        <w:trPr>
          <w:trHeight w:val="240" w:hRule="atLeast"/>
        </w:trPr>
        <w:tc>
          <w:tcPr>
            <w:tcW w:w="15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46" w:line="171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19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5"/>
              <w:spacing w:before="43" w:line="174" w:lineRule="auto"/>
              <w:rPr/>
            </w:pPr>
            <w:r>
              <w:rPr>
                <w:color w:val="231F20"/>
                <w:spacing w:val="-5"/>
              </w:rPr>
              <w:t>术中出血量（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mL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15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8"/>
              <w:spacing w:before="43" w:line="174" w:lineRule="auto"/>
              <w:rPr/>
            </w:pPr>
            <w:r>
              <w:rPr>
                <w:color w:val="231F20"/>
                <w:spacing w:val="-5"/>
              </w:rPr>
              <w:t>手术时间（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min</w:t>
            </w:r>
            <w:r>
              <w:rPr>
                <w:color w:val="231F20"/>
                <w:spacing w:val="-5"/>
              </w:rPr>
              <w:t>）</w:t>
            </w:r>
          </w:p>
        </w:tc>
        <w:tc>
          <w:tcPr>
            <w:tcW w:w="167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8"/>
              <w:spacing w:before="18" w:line="197" w:lineRule="auto"/>
              <w:rPr/>
            </w:pPr>
            <w:r>
              <w:rPr>
                <w:color w:val="231F20"/>
                <w:spacing w:val="-3"/>
              </w:rPr>
              <w:t>肛门排气时间（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d</w:t>
            </w:r>
            <w:r>
              <w:rPr>
                <w:color w:val="231F20"/>
                <w:spacing w:val="-3"/>
              </w:rPr>
              <w:t>）</w:t>
            </w:r>
          </w:p>
        </w:tc>
        <w:tc>
          <w:tcPr>
            <w:tcW w:w="13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1"/>
              <w:spacing w:before="17" w:line="198" w:lineRule="auto"/>
              <w:rPr/>
            </w:pPr>
            <w:r>
              <w:rPr>
                <w:color w:val="231F20"/>
                <w:spacing w:val="-6"/>
              </w:rPr>
              <w:t>进食时间（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d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16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2"/>
              <w:spacing w:before="17" w:line="198" w:lineRule="auto"/>
              <w:rPr/>
            </w:pPr>
            <w:r>
              <w:rPr>
                <w:color w:val="231F20"/>
                <w:spacing w:val="-3"/>
              </w:rPr>
              <w:t>下床活动时间（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d</w:t>
            </w:r>
            <w:r>
              <w:rPr>
                <w:color w:val="231F20"/>
                <w:spacing w:val="-3"/>
              </w:rPr>
              <w:t>）</w:t>
            </w:r>
          </w:p>
        </w:tc>
      </w:tr>
      <w:tr>
        <w:trPr>
          <w:trHeight w:val="238" w:hRule="atLeast"/>
        </w:trPr>
        <w:tc>
          <w:tcPr>
            <w:tcW w:w="15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3" w:line="172" w:lineRule="auto"/>
              <w:rPr/>
            </w:pPr>
            <w:r>
              <w:rPr>
                <w:color w:val="231F20"/>
                <w:spacing w:val="-6"/>
              </w:rPr>
              <w:t>观察组（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=48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1953" w:type="dxa"/>
            <w:vAlign w:val="top"/>
            <w:tcBorders>
              <w:top w:val="single" w:color="231F20" w:sz="2" w:space="0"/>
            </w:tcBorders>
          </w:tcPr>
          <w:p>
            <w:pPr>
              <w:ind w:left="824"/>
              <w:spacing w:before="67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3.18±0.52</w:t>
            </w:r>
          </w:p>
        </w:tc>
        <w:tc>
          <w:tcPr>
            <w:tcW w:w="1530" w:type="dxa"/>
            <w:vAlign w:val="top"/>
            <w:tcBorders>
              <w:top w:val="single" w:color="231F20" w:sz="2" w:space="0"/>
            </w:tcBorders>
          </w:tcPr>
          <w:p>
            <w:pPr>
              <w:ind w:left="432"/>
              <w:spacing w:before="67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55.42±6.72</w:t>
            </w:r>
          </w:p>
        </w:tc>
        <w:tc>
          <w:tcPr>
            <w:tcW w:w="1678" w:type="dxa"/>
            <w:vAlign w:val="top"/>
            <w:tcBorders>
              <w:top w:val="single" w:color="231F20" w:sz="2" w:space="0"/>
            </w:tcBorders>
          </w:tcPr>
          <w:p>
            <w:pPr>
              <w:ind w:left="555"/>
              <w:spacing w:before="67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1.63±0.19</w:t>
            </w:r>
          </w:p>
        </w:tc>
        <w:tc>
          <w:tcPr>
            <w:tcW w:w="1355" w:type="dxa"/>
            <w:vAlign w:val="top"/>
            <w:tcBorders>
              <w:top w:val="single" w:color="231F20" w:sz="2" w:space="0"/>
            </w:tcBorders>
          </w:tcPr>
          <w:p>
            <w:pPr>
              <w:ind w:left="391"/>
              <w:spacing w:before="66" w:line="19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1.69±0.35</w:t>
            </w:r>
          </w:p>
        </w:tc>
        <w:tc>
          <w:tcPr>
            <w:tcW w:w="1601" w:type="dxa"/>
            <w:vAlign w:val="top"/>
            <w:tcBorders>
              <w:top w:val="single" w:color="231F20" w:sz="2" w:space="0"/>
            </w:tcBorders>
          </w:tcPr>
          <w:p>
            <w:pPr>
              <w:ind w:left="549"/>
              <w:spacing w:before="68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1.27±0.17</w:t>
            </w:r>
          </w:p>
        </w:tc>
      </w:tr>
      <w:tr>
        <w:trPr>
          <w:trHeight w:val="241" w:hRule="atLeast"/>
        </w:trPr>
        <w:tc>
          <w:tcPr>
            <w:tcW w:w="1509" w:type="dxa"/>
            <w:vAlign w:val="top"/>
          </w:tcPr>
          <w:p>
            <w:pPr>
              <w:pStyle w:val="TableText"/>
              <w:ind w:left="20"/>
              <w:spacing w:before="49" w:line="169" w:lineRule="auto"/>
              <w:rPr/>
            </w:pPr>
            <w:r>
              <w:rPr>
                <w:color w:val="231F20"/>
                <w:spacing w:val="-6"/>
              </w:rPr>
              <w:t>对照组（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=51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1953" w:type="dxa"/>
            <w:vAlign w:val="top"/>
          </w:tcPr>
          <w:p>
            <w:pPr>
              <w:ind w:left="822"/>
              <w:spacing w:before="75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6.82±0.96</w:t>
            </w:r>
          </w:p>
        </w:tc>
        <w:tc>
          <w:tcPr>
            <w:tcW w:w="1530" w:type="dxa"/>
            <w:vAlign w:val="top"/>
          </w:tcPr>
          <w:p>
            <w:pPr>
              <w:ind w:left="432"/>
              <w:spacing w:before="73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57.65±6.41</w:t>
            </w:r>
          </w:p>
        </w:tc>
        <w:tc>
          <w:tcPr>
            <w:tcW w:w="1678" w:type="dxa"/>
            <w:vAlign w:val="top"/>
          </w:tcPr>
          <w:p>
            <w:pPr>
              <w:ind w:left="555"/>
              <w:spacing w:before="7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1.73±0.27</w:t>
            </w:r>
          </w:p>
        </w:tc>
        <w:tc>
          <w:tcPr>
            <w:tcW w:w="1355" w:type="dxa"/>
            <w:vAlign w:val="top"/>
          </w:tcPr>
          <w:p>
            <w:pPr>
              <w:ind w:left="378"/>
              <w:spacing w:before="73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2.03±0.51</w:t>
            </w:r>
          </w:p>
        </w:tc>
        <w:tc>
          <w:tcPr>
            <w:tcW w:w="1601" w:type="dxa"/>
            <w:vAlign w:val="top"/>
          </w:tcPr>
          <w:p>
            <w:pPr>
              <w:ind w:left="549"/>
              <w:spacing w:before="73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1.63±0.25</w:t>
            </w:r>
          </w:p>
        </w:tc>
      </w:tr>
      <w:tr>
        <w:trPr>
          <w:trHeight w:val="244" w:hRule="atLeast"/>
        </w:trPr>
        <w:tc>
          <w:tcPr>
            <w:tcW w:w="1509" w:type="dxa"/>
            <w:vAlign w:val="top"/>
          </w:tcPr>
          <w:p>
            <w:pPr>
              <w:pStyle w:val="TableText"/>
              <w:ind w:left="20"/>
              <w:spacing w:before="55" w:line="166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953" w:type="dxa"/>
            <w:vAlign w:val="top"/>
          </w:tcPr>
          <w:p>
            <w:pPr>
              <w:ind w:left="921"/>
              <w:spacing w:before="77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23.250</w:t>
            </w:r>
          </w:p>
        </w:tc>
        <w:tc>
          <w:tcPr>
            <w:tcW w:w="1530" w:type="dxa"/>
            <w:vAlign w:val="top"/>
          </w:tcPr>
          <w:p>
            <w:pPr>
              <w:ind w:left="621"/>
              <w:spacing w:before="78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1.690</w:t>
            </w:r>
          </w:p>
        </w:tc>
        <w:tc>
          <w:tcPr>
            <w:tcW w:w="1678" w:type="dxa"/>
            <w:vAlign w:val="top"/>
          </w:tcPr>
          <w:p>
            <w:pPr>
              <w:ind w:left="681"/>
              <w:spacing w:before="78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2.119</w:t>
            </w:r>
          </w:p>
        </w:tc>
        <w:tc>
          <w:tcPr>
            <w:tcW w:w="1355" w:type="dxa"/>
            <w:vAlign w:val="top"/>
          </w:tcPr>
          <w:p>
            <w:pPr>
              <w:ind w:left="519"/>
              <w:spacing w:before="78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3.844</w:t>
            </w:r>
          </w:p>
        </w:tc>
        <w:tc>
          <w:tcPr>
            <w:tcW w:w="1601" w:type="dxa"/>
            <w:vAlign w:val="top"/>
          </w:tcPr>
          <w:p>
            <w:pPr>
              <w:ind w:left="679"/>
              <w:spacing w:before="78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8.327</w:t>
            </w:r>
          </w:p>
        </w:tc>
      </w:tr>
      <w:tr>
        <w:trPr>
          <w:trHeight w:val="250" w:hRule="atLeast"/>
        </w:trPr>
        <w:tc>
          <w:tcPr>
            <w:tcW w:w="15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6" w:line="171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1953" w:type="dxa"/>
            <w:vAlign w:val="top"/>
            <w:tcBorders>
              <w:bottom w:val="single" w:color="231F20" w:sz="4" w:space="0"/>
            </w:tcBorders>
          </w:tcPr>
          <w:p>
            <w:pPr>
              <w:ind w:left="919"/>
              <w:spacing w:before="80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&lt;0.001</w:t>
            </w:r>
          </w:p>
        </w:tc>
        <w:tc>
          <w:tcPr>
            <w:tcW w:w="1530" w:type="dxa"/>
            <w:vAlign w:val="top"/>
            <w:tcBorders>
              <w:bottom w:val="single" w:color="231F20" w:sz="4" w:space="0"/>
            </w:tcBorders>
          </w:tcPr>
          <w:p>
            <w:pPr>
              <w:ind w:left="608"/>
              <w:spacing w:before="7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0.094</w:t>
            </w:r>
          </w:p>
        </w:tc>
        <w:tc>
          <w:tcPr>
            <w:tcW w:w="1678" w:type="dxa"/>
            <w:vAlign w:val="top"/>
            <w:tcBorders>
              <w:bottom w:val="single" w:color="231F20" w:sz="4" w:space="0"/>
            </w:tcBorders>
          </w:tcPr>
          <w:p>
            <w:pPr>
              <w:ind w:left="680"/>
              <w:spacing w:before="79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0.037</w:t>
            </w:r>
          </w:p>
        </w:tc>
        <w:tc>
          <w:tcPr>
            <w:tcW w:w="1355" w:type="dxa"/>
            <w:vAlign w:val="top"/>
            <w:tcBorders>
              <w:bottom w:val="single" w:color="231F20" w:sz="4" w:space="0"/>
            </w:tcBorders>
          </w:tcPr>
          <w:p>
            <w:pPr>
              <w:ind w:left="476"/>
              <w:spacing w:before="79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&lt;0.001</w:t>
            </w:r>
          </w:p>
        </w:tc>
        <w:tc>
          <w:tcPr>
            <w:tcW w:w="1601" w:type="dxa"/>
            <w:vAlign w:val="top"/>
            <w:tcBorders>
              <w:bottom w:val="single" w:color="231F20" w:sz="4" w:space="0"/>
            </w:tcBorders>
          </w:tcPr>
          <w:p>
            <w:pPr>
              <w:ind w:left="635"/>
              <w:spacing w:before="79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&lt;0.001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1906" w:h="16838"/>
          <w:pgMar w:top="400" w:right="1068" w:bottom="824" w:left="424" w:header="0" w:footer="630" w:gutter="0"/>
          <w:cols w:equalWidth="0" w:num="1">
            <w:col w:w="10413" w:space="0"/>
          </w:cols>
        </w:sectPr>
        <w:rPr/>
      </w:pPr>
    </w:p>
    <w:p>
      <w:pPr>
        <w:pStyle w:val="BodyText"/>
        <w:ind w:left="718"/>
        <w:spacing w:before="44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2.2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两组患儿的炎症因子水平对比</w:t>
      </w:r>
    </w:p>
    <w:p>
      <w:pPr>
        <w:pStyle w:val="BodyText"/>
        <w:ind w:left="716" w:right="256" w:firstLine="411"/>
        <w:spacing w:before="62" w:line="25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术前，两组患儿的 </w:t>
      </w:r>
      <w:r>
        <w:rPr>
          <w:sz w:val="20"/>
          <w:szCs w:val="20"/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IL-6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水平对比，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8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；两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"/>
        <w:spacing w:before="47" w:line="24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IL-6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水平均低于术前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，且观察组低于对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照组，差异有统计学意义（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t</w:t>
      </w:r>
      <w:r>
        <w:rPr>
          <w:sz w:val="20"/>
          <w:szCs w:val="20"/>
          <w:color w:val="231F20"/>
          <w:spacing w:val="-3"/>
        </w:rPr>
        <w:t>=14.780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2.069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21.820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5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均</w:t>
      </w:r>
      <w:r>
        <w:rPr>
          <w:sz w:val="20"/>
          <w:szCs w:val="20"/>
          <w:color w:val="231F20"/>
          <w:spacing w:val="-5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）。见表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</w:p>
    <w:p>
      <w:pPr>
        <w:spacing w:line="243" w:lineRule="auto"/>
        <w:sectPr>
          <w:type w:val="continuous"/>
          <w:pgSz w:w="11906" w:h="16838"/>
          <w:pgMar w:top="400" w:right="1068" w:bottom="824" w:left="424" w:header="0" w:footer="630" w:gutter="0"/>
          <w:cols w:equalWidth="0" w:num="2">
            <w:col w:w="5641" w:space="100"/>
            <w:col w:w="467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105"/>
        <w:spacing w:before="138" w:line="208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6" style="position:absolute;margin-left:35.9179pt;margin-top:-475.234pt;mso-position-vertical-relative:text;mso-position-horizontal-relative:text;width:383.95pt;height:0.85pt;z-index:251665408;" filled="false" strokecolor="#231F20" strokeweight="0.85pt" coordsize="7679,17" coordorigin="0,0" path="m0,8l7678,8e">
            <v:stroke joinstyle="miter" miterlimit="4"/>
          </v:shape>
        </w:pict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-1"/>
        </w:rPr>
        <w:t>3    </w:t>
      </w: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两组患儿的炎症因子水平对比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"/>
        </w:rPr>
        <w:t>x</w:t>
      </w:r>
      <w:r>
        <w:rPr>
          <w:sz w:val="15"/>
          <w:szCs w:val="15"/>
          <w:color w:val="231F20"/>
          <w:spacing w:val="-1"/>
        </w:rPr>
        <w:t>-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2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2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）</w:t>
      </w:r>
    </w:p>
    <w:p>
      <w:pPr>
        <w:spacing w:line="34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7"/>
        <w:gridCol w:w="1351"/>
        <w:gridCol w:w="1390"/>
        <w:gridCol w:w="1314"/>
        <w:gridCol w:w="1253"/>
        <w:gridCol w:w="1416"/>
        <w:gridCol w:w="1345"/>
      </w:tblGrid>
      <w:tr>
        <w:trPr>
          <w:trHeight w:val="240" w:hRule="atLeast"/>
        </w:trPr>
        <w:tc>
          <w:tcPr>
            <w:tcW w:w="155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"/>
              <w:spacing w:before="168" w:line="180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274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90"/>
              <w:spacing w:before="43" w:line="17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  <w:w w:val="99"/>
              </w:rPr>
              <w:t>CRP</w:t>
            </w:r>
            <w:r>
              <w:rPr>
                <w:color w:val="231F20"/>
                <w:spacing w:val="-10"/>
                <w:w w:val="99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  <w:w w:val="99"/>
              </w:rPr>
              <w:t>mg/L</w:t>
            </w:r>
            <w:r>
              <w:rPr>
                <w:color w:val="231F20"/>
                <w:spacing w:val="-10"/>
                <w:w w:val="99"/>
              </w:rPr>
              <w:t>）</w:t>
            </w:r>
          </w:p>
        </w:tc>
        <w:tc>
          <w:tcPr>
            <w:tcW w:w="2567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25"/>
              <w:spacing w:before="43" w:line="17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WBC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(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×10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4"/>
                <w:position w:val="6"/>
              </w:rPr>
              <w:t>9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/L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276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7"/>
              <w:spacing w:before="43" w:line="17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IL-6</w:t>
            </w:r>
            <w:r>
              <w:rPr>
                <w:color w:val="231F20"/>
                <w:spacing w:val="-5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ng/L</w:t>
            </w:r>
            <w:r>
              <w:rPr>
                <w:color w:val="231F20"/>
                <w:spacing w:val="-5"/>
              </w:rPr>
              <w:t>）</w:t>
            </w:r>
          </w:p>
        </w:tc>
      </w:tr>
      <w:tr>
        <w:trPr>
          <w:trHeight w:val="238" w:hRule="atLeast"/>
        </w:trPr>
        <w:tc>
          <w:tcPr>
            <w:tcW w:w="155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28"/>
              <w:spacing w:before="46" w:line="169" w:lineRule="auto"/>
              <w:rPr/>
            </w:pPr>
            <w:r>
              <w:rPr>
                <w:color w:val="231F20"/>
                <w:spacing w:val="3"/>
              </w:rPr>
              <w:t>术前</w:t>
            </w:r>
          </w:p>
        </w:tc>
        <w:tc>
          <w:tcPr>
            <w:tcW w:w="139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7"/>
              <w:spacing w:before="46" w:line="169" w:lineRule="auto"/>
              <w:rPr/>
            </w:pPr>
            <w:r>
              <w:rPr>
                <w:color w:val="231F20"/>
                <w:spacing w:val="3"/>
              </w:rPr>
              <w:t>术后</w:t>
            </w:r>
          </w:p>
        </w:tc>
        <w:tc>
          <w:tcPr>
            <w:tcW w:w="131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09"/>
              <w:spacing w:before="46" w:line="169" w:lineRule="auto"/>
              <w:rPr/>
            </w:pPr>
            <w:r>
              <w:rPr>
                <w:color w:val="231F20"/>
                <w:spacing w:val="3"/>
              </w:rPr>
              <w:t>术前</w:t>
            </w:r>
          </w:p>
        </w:tc>
        <w:tc>
          <w:tcPr>
            <w:tcW w:w="125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88"/>
              <w:spacing w:before="46" w:line="169" w:lineRule="auto"/>
              <w:rPr/>
            </w:pPr>
            <w:r>
              <w:rPr>
                <w:color w:val="231F20"/>
                <w:spacing w:val="3"/>
              </w:rPr>
              <w:t>术后</w:t>
            </w:r>
          </w:p>
        </w:tc>
        <w:tc>
          <w:tcPr>
            <w:tcW w:w="14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48"/>
              <w:spacing w:before="46" w:line="169" w:lineRule="auto"/>
              <w:rPr/>
            </w:pPr>
            <w:r>
              <w:rPr>
                <w:color w:val="231F20"/>
                <w:spacing w:val="3"/>
              </w:rPr>
              <w:t>术前</w:t>
            </w:r>
          </w:p>
        </w:tc>
        <w:tc>
          <w:tcPr>
            <w:tcW w:w="134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12"/>
              <w:spacing w:before="46" w:line="169" w:lineRule="auto"/>
              <w:rPr/>
            </w:pPr>
            <w:r>
              <w:rPr>
                <w:color w:val="231F20"/>
                <w:spacing w:val="3"/>
              </w:rPr>
              <w:t>术后</w:t>
            </w:r>
          </w:p>
        </w:tc>
      </w:tr>
      <w:tr>
        <w:trPr>
          <w:trHeight w:val="238" w:hRule="atLeast"/>
        </w:trPr>
        <w:tc>
          <w:tcPr>
            <w:tcW w:w="15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4" w:line="171" w:lineRule="auto"/>
              <w:rPr/>
            </w:pPr>
            <w:r>
              <w:rPr>
                <w:color w:val="231F20"/>
                <w:spacing w:val="-6"/>
              </w:rPr>
              <w:t>观察组（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=48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1351" w:type="dxa"/>
            <w:vAlign w:val="top"/>
            <w:tcBorders>
              <w:top w:val="single" w:color="231F20" w:sz="2" w:space="0"/>
            </w:tcBorders>
          </w:tcPr>
          <w:p>
            <w:pPr>
              <w:ind w:left="333"/>
              <w:spacing w:before="6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44.50±5.02</w:t>
            </w:r>
          </w:p>
        </w:tc>
        <w:tc>
          <w:tcPr>
            <w:tcW w:w="1390" w:type="dxa"/>
            <w:vAlign w:val="top"/>
            <w:tcBorders>
              <w:top w:val="single" w:color="231F20" w:sz="2" w:space="0"/>
            </w:tcBorders>
          </w:tcPr>
          <w:p>
            <w:pPr>
              <w:ind w:left="336"/>
              <w:spacing w:before="69" w:line="18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11.40±1.46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position w:val="6"/>
              </w:rPr>
              <w:t>a</w:t>
            </w:r>
          </w:p>
        </w:tc>
        <w:tc>
          <w:tcPr>
            <w:tcW w:w="1314" w:type="dxa"/>
            <w:vAlign w:val="top"/>
            <w:tcBorders>
              <w:top w:val="single" w:color="231F20" w:sz="2" w:space="0"/>
            </w:tcBorders>
          </w:tcPr>
          <w:p>
            <w:pPr>
              <w:ind w:left="329"/>
              <w:spacing w:before="69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16.56±4.65</w:t>
            </w:r>
          </w:p>
        </w:tc>
        <w:tc>
          <w:tcPr>
            <w:tcW w:w="1253" w:type="dxa"/>
            <w:vAlign w:val="top"/>
            <w:tcBorders>
              <w:top w:val="single" w:color="231F20" w:sz="2" w:space="0"/>
            </w:tcBorders>
          </w:tcPr>
          <w:p>
            <w:pPr>
              <w:ind w:left="314"/>
              <w:spacing w:before="69" w:line="18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6.78±0.52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416" w:type="dxa"/>
            <w:vAlign w:val="top"/>
            <w:tcBorders>
              <w:top w:val="single" w:color="231F20" w:sz="2" w:space="0"/>
            </w:tcBorders>
          </w:tcPr>
          <w:p>
            <w:pPr>
              <w:ind w:left="279"/>
              <w:spacing w:before="69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280.13±13.51</w:t>
            </w:r>
          </w:p>
        </w:tc>
        <w:tc>
          <w:tcPr>
            <w:tcW w:w="1345" w:type="dxa"/>
            <w:vAlign w:val="top"/>
            <w:tcBorders>
              <w:top w:val="single" w:color="231F20" w:sz="2" w:space="0"/>
            </w:tcBorders>
          </w:tcPr>
          <w:p>
            <w:pPr>
              <w:ind w:left="332"/>
              <w:spacing w:before="6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10.45±2.04</w:t>
            </w:r>
          </w:p>
        </w:tc>
      </w:tr>
      <w:tr>
        <w:trPr>
          <w:trHeight w:val="241" w:hRule="atLeast"/>
        </w:trPr>
        <w:tc>
          <w:tcPr>
            <w:tcW w:w="1557" w:type="dxa"/>
            <w:vAlign w:val="top"/>
          </w:tcPr>
          <w:p>
            <w:pPr>
              <w:pStyle w:val="TableText"/>
              <w:ind w:left="20"/>
              <w:spacing w:before="51" w:line="167" w:lineRule="auto"/>
              <w:rPr/>
            </w:pPr>
            <w:r>
              <w:rPr>
                <w:color w:val="231F20"/>
                <w:spacing w:val="-6"/>
              </w:rPr>
              <w:t>对照组（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=51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1351" w:type="dxa"/>
            <w:vAlign w:val="top"/>
          </w:tcPr>
          <w:p>
            <w:pPr>
              <w:ind w:left="333"/>
              <w:spacing w:before="76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45.81±5.13</w:t>
            </w:r>
          </w:p>
        </w:tc>
        <w:tc>
          <w:tcPr>
            <w:tcW w:w="1390" w:type="dxa"/>
            <w:vAlign w:val="top"/>
          </w:tcPr>
          <w:p>
            <w:pPr>
              <w:ind w:left="325"/>
              <w:spacing w:before="77" w:line="18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21.02±4.28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314" w:type="dxa"/>
            <w:vAlign w:val="top"/>
          </w:tcPr>
          <w:p>
            <w:pPr>
              <w:ind w:left="329"/>
              <w:spacing w:before="76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"/>
              </w:rPr>
              <w:t>15.47±4.51</w:t>
            </w:r>
          </w:p>
        </w:tc>
        <w:tc>
          <w:tcPr>
            <w:tcW w:w="1253" w:type="dxa"/>
            <w:vAlign w:val="top"/>
          </w:tcPr>
          <w:p>
            <w:pPr>
              <w:ind w:left="312"/>
              <w:spacing w:before="76" w:line="18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7.05±0.75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416" w:type="dxa"/>
            <w:vAlign w:val="top"/>
          </w:tcPr>
          <w:p>
            <w:pPr>
              <w:ind w:left="279"/>
              <w:spacing w:before="76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280.40±13.63</w:t>
            </w:r>
          </w:p>
        </w:tc>
        <w:tc>
          <w:tcPr>
            <w:tcW w:w="1345" w:type="dxa"/>
            <w:vAlign w:val="top"/>
          </w:tcPr>
          <w:p>
            <w:pPr>
              <w:ind w:left="298"/>
              <w:spacing w:before="75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28.39±5.34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</w:tr>
      <w:tr>
        <w:trPr>
          <w:trHeight w:val="244" w:hRule="atLeast"/>
        </w:trPr>
        <w:tc>
          <w:tcPr>
            <w:tcW w:w="1557" w:type="dxa"/>
            <w:vAlign w:val="top"/>
          </w:tcPr>
          <w:p>
            <w:pPr>
              <w:pStyle w:val="TableText"/>
              <w:ind w:left="20"/>
              <w:spacing w:before="58" w:line="164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351" w:type="dxa"/>
            <w:vAlign w:val="top"/>
          </w:tcPr>
          <w:p>
            <w:pPr>
              <w:ind w:left="525"/>
              <w:spacing w:before="81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1.283</w:t>
            </w:r>
          </w:p>
        </w:tc>
        <w:tc>
          <w:tcPr>
            <w:tcW w:w="1390" w:type="dxa"/>
            <w:vAlign w:val="top"/>
          </w:tcPr>
          <w:p>
            <w:pPr>
              <w:ind w:left="497"/>
              <w:spacing w:before="81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14.780</w:t>
            </w:r>
          </w:p>
        </w:tc>
        <w:tc>
          <w:tcPr>
            <w:tcW w:w="1314" w:type="dxa"/>
            <w:vAlign w:val="top"/>
          </w:tcPr>
          <w:p>
            <w:pPr>
              <w:ind w:left="506"/>
              <w:spacing w:before="81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1.184</w:t>
            </w:r>
          </w:p>
        </w:tc>
        <w:tc>
          <w:tcPr>
            <w:tcW w:w="1253" w:type="dxa"/>
            <w:vAlign w:val="top"/>
          </w:tcPr>
          <w:p>
            <w:pPr>
              <w:ind w:left="473"/>
              <w:spacing w:before="81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2.069</w:t>
            </w:r>
          </w:p>
        </w:tc>
        <w:tc>
          <w:tcPr>
            <w:tcW w:w="1416" w:type="dxa"/>
            <w:vAlign w:val="top"/>
          </w:tcPr>
          <w:p>
            <w:pPr>
              <w:ind w:left="532"/>
              <w:spacing w:before="81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0.099</w:t>
            </w:r>
          </w:p>
        </w:tc>
        <w:tc>
          <w:tcPr>
            <w:tcW w:w="1345" w:type="dxa"/>
            <w:vAlign w:val="top"/>
          </w:tcPr>
          <w:p>
            <w:pPr>
              <w:ind w:left="459"/>
              <w:spacing w:before="81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21.820</w:t>
            </w:r>
          </w:p>
        </w:tc>
      </w:tr>
      <w:tr>
        <w:trPr>
          <w:trHeight w:val="251" w:hRule="atLeast"/>
        </w:trPr>
        <w:tc>
          <w:tcPr>
            <w:tcW w:w="15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8" w:line="170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1351" w:type="dxa"/>
            <w:vAlign w:val="top"/>
            <w:tcBorders>
              <w:bottom w:val="single" w:color="231F20" w:sz="4" w:space="0"/>
            </w:tcBorders>
          </w:tcPr>
          <w:p>
            <w:pPr>
              <w:ind w:left="511"/>
              <w:spacing w:before="81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0.203</w:t>
            </w:r>
          </w:p>
        </w:tc>
        <w:tc>
          <w:tcPr>
            <w:tcW w:w="1390" w:type="dxa"/>
            <w:vAlign w:val="top"/>
            <w:tcBorders>
              <w:bottom w:val="single" w:color="231F20" w:sz="4" w:space="0"/>
            </w:tcBorders>
          </w:tcPr>
          <w:p>
            <w:pPr>
              <w:ind w:left="482"/>
              <w:spacing w:before="82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&lt;0.001</w:t>
            </w:r>
          </w:p>
        </w:tc>
        <w:tc>
          <w:tcPr>
            <w:tcW w:w="1314" w:type="dxa"/>
            <w:vAlign w:val="top"/>
            <w:tcBorders>
              <w:bottom w:val="single" w:color="231F20" w:sz="4" w:space="0"/>
            </w:tcBorders>
          </w:tcPr>
          <w:p>
            <w:pPr>
              <w:ind w:left="492"/>
              <w:spacing w:before="82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0.239</w:t>
            </w:r>
          </w:p>
        </w:tc>
        <w:tc>
          <w:tcPr>
            <w:tcW w:w="1253" w:type="dxa"/>
            <w:vAlign w:val="top"/>
            <w:tcBorders>
              <w:bottom w:val="single" w:color="231F20" w:sz="4" w:space="0"/>
            </w:tcBorders>
          </w:tcPr>
          <w:p>
            <w:pPr>
              <w:ind w:left="472"/>
              <w:spacing w:before="82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0.041</w:t>
            </w:r>
          </w:p>
        </w:tc>
        <w:tc>
          <w:tcPr>
            <w:tcW w:w="1416" w:type="dxa"/>
            <w:vAlign w:val="top"/>
            <w:tcBorders>
              <w:bottom w:val="single" w:color="231F20" w:sz="4" w:space="0"/>
            </w:tcBorders>
          </w:tcPr>
          <w:p>
            <w:pPr>
              <w:ind w:left="532"/>
              <w:spacing w:before="82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0.921</w:t>
            </w:r>
          </w:p>
        </w:tc>
        <w:tc>
          <w:tcPr>
            <w:tcW w:w="1345" w:type="dxa"/>
            <w:vAlign w:val="top"/>
            <w:tcBorders>
              <w:bottom w:val="single" w:color="231F20" w:sz="4" w:space="0"/>
            </w:tcBorders>
          </w:tcPr>
          <w:p>
            <w:pPr>
              <w:ind w:left="457"/>
              <w:spacing w:before="82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&lt;0.001</w:t>
            </w:r>
          </w:p>
        </w:tc>
      </w:tr>
    </w:tbl>
    <w:p>
      <w:pPr>
        <w:pStyle w:val="BodyText"/>
        <w:ind w:left="874"/>
        <w:spacing w:before="78" w:line="201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注：</w:t>
      </w:r>
      <w:r>
        <w:rPr>
          <w:sz w:val="15"/>
          <w:szCs w:val="15"/>
          <w:color w:val="231F20"/>
          <w:spacing w:val="-7"/>
          <w:position w:val="1"/>
        </w:rPr>
        <w:t>CRP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：</w:t>
      </w:r>
      <w:r>
        <w:rPr>
          <w:sz w:val="15"/>
          <w:szCs w:val="15"/>
          <w:color w:val="231F20"/>
          <w:spacing w:val="-7"/>
          <w:position w:val="1"/>
        </w:rPr>
        <w:t>C</w:t>
      </w:r>
      <w:r>
        <w:rPr>
          <w:sz w:val="15"/>
          <w:szCs w:val="15"/>
          <w:color w:val="231F20"/>
          <w:spacing w:val="-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反应蛋白，</w:t>
      </w:r>
      <w:r>
        <w:rPr>
          <w:sz w:val="15"/>
          <w:szCs w:val="15"/>
          <w:color w:val="231F20"/>
          <w:spacing w:val="-7"/>
          <w:position w:val="1"/>
        </w:rPr>
        <w:t>IL-6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：白细胞介素</w:t>
      </w:r>
      <w:r>
        <w:rPr>
          <w:sz w:val="15"/>
          <w:szCs w:val="15"/>
          <w:color w:val="231F20"/>
          <w:spacing w:val="-7"/>
          <w:position w:val="1"/>
        </w:rPr>
        <w:t>-6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，</w:t>
      </w:r>
      <w:r>
        <w:rPr>
          <w:sz w:val="15"/>
          <w:szCs w:val="15"/>
          <w:color w:val="231F20"/>
          <w:spacing w:val="-7"/>
          <w:position w:val="1"/>
        </w:rPr>
        <w:t>WBC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：白细胞计数；与同组术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前对比，</w:t>
      </w:r>
      <w:r>
        <w:rPr>
          <w:sz w:val="9"/>
          <w:szCs w:val="9"/>
          <w:color w:val="231F20"/>
          <w:spacing w:val="-2"/>
          <w:position w:val="7"/>
        </w:rPr>
        <w:t>a</w:t>
      </w:r>
      <w:r>
        <w:rPr>
          <w:rFonts w:ascii="Arial" w:hAnsi="Arial" w:eastAsia="Arial" w:cs="Arial"/>
          <w:sz w:val="15"/>
          <w:szCs w:val="15"/>
          <w:i/>
          <w:iCs/>
          <w:color w:val="231F20"/>
          <w:position w:val="1"/>
        </w:rPr>
        <w:t>P</w:t>
      </w:r>
      <w:r>
        <w:rPr>
          <w:sz w:val="15"/>
          <w:szCs w:val="15"/>
          <w:color w:val="231F20"/>
          <w:position w:val="1"/>
        </w:rPr>
        <w:t>&lt;0.05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。</w:t>
      </w:r>
    </w:p>
    <w:p>
      <w:pPr>
        <w:spacing w:line="224" w:lineRule="exact"/>
        <w:rPr/>
      </w:pPr>
      <w:r/>
    </w:p>
    <w:p>
      <w:pPr>
        <w:spacing w:line="224" w:lineRule="exact"/>
        <w:sectPr>
          <w:type w:val="continuous"/>
          <w:pgSz w:w="11906" w:h="16838"/>
          <w:pgMar w:top="400" w:right="1068" w:bottom="824" w:left="424" w:header="0" w:footer="630" w:gutter="0"/>
          <w:cols w:equalWidth="0" w:num="1">
            <w:col w:w="10413" w:space="0"/>
          </w:cols>
        </w:sectPr>
        <w:rPr/>
      </w:pPr>
    </w:p>
    <w:p>
      <w:pPr>
        <w:pStyle w:val="BodyText"/>
        <w:ind w:left="718"/>
        <w:spacing w:before="46" w:line="199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2.3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两组患儿的并发症发生情况对比</w:t>
      </w:r>
    </w:p>
    <w:p>
      <w:pPr>
        <w:pStyle w:val="BodyText"/>
        <w:ind w:left="714" w:right="324" w:firstLine="417"/>
        <w:spacing w:before="69" w:line="23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观察组并发症总发生率低于对照组，差异有统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）。见表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</w:p>
    <w:p>
      <w:pPr>
        <w:pStyle w:val="BodyText"/>
        <w:ind w:left="718"/>
        <w:spacing w:line="270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1"/>
        </w:rPr>
        <w:t>3</w:t>
      </w:r>
      <w:r>
        <w:rPr>
          <w:sz w:val="20"/>
          <w:szCs w:val="20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讨论</w:t>
      </w:r>
    </w:p>
    <w:p>
      <w:pPr>
        <w:ind w:left="715" w:right="242" w:firstLine="430"/>
        <w:spacing w:before="91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阑尾解剖结构较为特殊，可因淋巴滤泡增生、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粪石等因素出现阑尾腔梗阻，并升高腔内压力，造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成血运障碍，引起大量细菌繁殖，从而引发急性阑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尾炎。小儿发生阑尾炎后，由于年龄偏小难以精准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89"/>
        <w:spacing w:before="43" w:line="242" w:lineRule="auto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6"/>
        </w:rPr>
        <w:t>4    </w:t>
      </w: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两组患儿的并发症发生情况对比</w:t>
      </w:r>
    </w:p>
    <w:p>
      <w:pPr>
        <w:spacing w:line="59" w:lineRule="exact"/>
        <w:rPr/>
      </w:pPr>
      <w:r/>
    </w:p>
    <w:tbl>
      <w:tblPr>
        <w:tblStyle w:val="TableNormal"/>
        <w:tblW w:w="46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8"/>
        <w:gridCol w:w="669"/>
        <w:gridCol w:w="696"/>
        <w:gridCol w:w="581"/>
        <w:gridCol w:w="579"/>
        <w:gridCol w:w="642"/>
        <w:gridCol w:w="708"/>
      </w:tblGrid>
      <w:tr>
        <w:trPr>
          <w:trHeight w:val="498" w:hRule="atLeast"/>
        </w:trPr>
        <w:tc>
          <w:tcPr>
            <w:tcW w:w="7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177" w:line="179" w:lineRule="auto"/>
              <w:rPr/>
            </w:pPr>
            <w:r>
              <w:rPr>
                <w:color w:val="231F20"/>
                <w:spacing w:val="3"/>
              </w:rPr>
              <w:t>组别</w:t>
            </w:r>
          </w:p>
        </w:tc>
        <w:tc>
          <w:tcPr>
            <w:tcW w:w="6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9"/>
              <w:spacing w:before="175" w:line="179" w:lineRule="auto"/>
              <w:rPr/>
            </w:pPr>
            <w:r>
              <w:rPr>
                <w:color w:val="231F20"/>
                <w:spacing w:val="2"/>
              </w:rPr>
              <w:t>例数</w:t>
            </w:r>
          </w:p>
        </w:tc>
        <w:tc>
          <w:tcPr>
            <w:tcW w:w="6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3" w:right="89" w:hanging="35"/>
              <w:spacing w:before="46" w:line="206" w:lineRule="auto"/>
              <w:rPr/>
            </w:pPr>
            <w:r>
              <w:rPr>
                <w:color w:val="231F20"/>
                <w:spacing w:val="5"/>
              </w:rPr>
              <w:t>切口感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  <w:w w:val="96"/>
              </w:rPr>
              <w:t>染（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5"/>
                <w:w w:val="96"/>
              </w:rPr>
              <w:t>n</w:t>
            </w:r>
            <w:r>
              <w:rPr>
                <w:color w:val="231F20"/>
                <w:spacing w:val="-15"/>
                <w:w w:val="96"/>
              </w:rPr>
              <w:t>）</w:t>
            </w:r>
          </w:p>
        </w:tc>
        <w:tc>
          <w:tcPr>
            <w:tcW w:w="5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0"/>
              <w:spacing w:before="45" w:line="182" w:lineRule="auto"/>
              <w:rPr/>
            </w:pPr>
            <w:r>
              <w:rPr>
                <w:color w:val="231F20"/>
                <w:spacing w:val="3"/>
              </w:rPr>
              <w:t>便秘</w:t>
            </w:r>
          </w:p>
          <w:p>
            <w:pPr>
              <w:pStyle w:val="TableText"/>
              <w:ind w:left="94"/>
              <w:spacing w:before="61" w:line="173" w:lineRule="auto"/>
              <w:rPr/>
            </w:pPr>
            <w:r>
              <w:rPr>
                <w:color w:val="231F20"/>
                <w:spacing w:val="-6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5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0"/>
              <w:spacing w:before="43" w:line="207" w:lineRule="auto"/>
              <w:rPr/>
            </w:pPr>
            <w:r>
              <w:rPr>
                <w:color w:val="231F20"/>
                <w:spacing w:val="2"/>
              </w:rPr>
              <w:t>发热</w:t>
            </w:r>
          </w:p>
          <w:p>
            <w:pPr>
              <w:pStyle w:val="TableText"/>
              <w:ind w:left="133"/>
              <w:spacing w:before="37" w:line="173" w:lineRule="auto"/>
              <w:rPr/>
            </w:pPr>
            <w:r>
              <w:rPr>
                <w:color w:val="231F20"/>
                <w:spacing w:val="-6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6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9"/>
              <w:spacing w:before="47" w:line="178" w:lineRule="auto"/>
              <w:rPr/>
            </w:pPr>
            <w:r>
              <w:rPr>
                <w:color w:val="231F20"/>
                <w:spacing w:val="5"/>
              </w:rPr>
              <w:t>肠梗阻</w:t>
            </w:r>
          </w:p>
          <w:p>
            <w:pPr>
              <w:pStyle w:val="TableText"/>
              <w:ind w:left="173"/>
              <w:spacing w:before="64" w:line="173" w:lineRule="auto"/>
              <w:rPr/>
            </w:pPr>
            <w:r>
              <w:rPr>
                <w:color w:val="231F20"/>
                <w:spacing w:val="-6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n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7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8"/>
              <w:spacing w:before="45" w:line="181" w:lineRule="auto"/>
              <w:rPr/>
            </w:pPr>
            <w:r>
              <w:rPr>
                <w:color w:val="231F20"/>
                <w:spacing w:val="4"/>
              </w:rPr>
              <w:t>总发生率</w:t>
            </w:r>
          </w:p>
          <w:p>
            <w:pPr>
              <w:pStyle w:val="TableText"/>
              <w:ind w:left="160"/>
              <w:spacing w:before="61" w:line="17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%</w:t>
            </w:r>
            <w:r>
              <w:rPr>
                <w:color w:val="231F20"/>
                <w:spacing w:val="-3"/>
              </w:rPr>
              <w:t>）</w:t>
            </w:r>
          </w:p>
        </w:tc>
      </w:tr>
      <w:tr>
        <w:trPr>
          <w:trHeight w:val="239" w:hRule="atLeast"/>
        </w:trPr>
        <w:tc>
          <w:tcPr>
            <w:tcW w:w="7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7" w:line="169" w:lineRule="auto"/>
              <w:rPr/>
            </w:pPr>
            <w:r>
              <w:rPr>
                <w:color w:val="231F20"/>
                <w:spacing w:val="4"/>
              </w:rPr>
              <w:t>观察组</w:t>
            </w:r>
          </w:p>
        </w:tc>
        <w:tc>
          <w:tcPr>
            <w:tcW w:w="669" w:type="dxa"/>
            <w:vAlign w:val="top"/>
            <w:tcBorders>
              <w:top w:val="single" w:color="231F20" w:sz="2" w:space="0"/>
            </w:tcBorders>
          </w:tcPr>
          <w:p>
            <w:pPr>
              <w:ind w:left="326"/>
              <w:spacing w:before="71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48</w:t>
            </w:r>
          </w:p>
        </w:tc>
        <w:tc>
          <w:tcPr>
            <w:tcW w:w="696" w:type="dxa"/>
            <w:vAlign w:val="top"/>
            <w:tcBorders>
              <w:top w:val="single" w:color="231F20" w:sz="2" w:space="0"/>
            </w:tcBorders>
          </w:tcPr>
          <w:p>
            <w:pPr>
              <w:ind w:left="329"/>
              <w:spacing w:before="70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</w:t>
            </w:r>
          </w:p>
        </w:tc>
        <w:tc>
          <w:tcPr>
            <w:tcW w:w="581" w:type="dxa"/>
            <w:vAlign w:val="top"/>
            <w:tcBorders>
              <w:top w:val="single" w:color="231F20" w:sz="2" w:space="0"/>
            </w:tcBorders>
          </w:tcPr>
          <w:p>
            <w:pPr>
              <w:ind w:left="239"/>
              <w:spacing w:before="70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  <w:tc>
          <w:tcPr>
            <w:tcW w:w="579" w:type="dxa"/>
            <w:vAlign w:val="top"/>
            <w:tcBorders>
              <w:top w:val="single" w:color="231F20" w:sz="2" w:space="0"/>
            </w:tcBorders>
          </w:tcPr>
          <w:p>
            <w:pPr>
              <w:ind w:left="277"/>
              <w:spacing w:before="70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  <w:tc>
          <w:tcPr>
            <w:tcW w:w="642" w:type="dxa"/>
            <w:vAlign w:val="top"/>
            <w:tcBorders>
              <w:top w:val="single" w:color="231F20" w:sz="2" w:space="0"/>
            </w:tcBorders>
          </w:tcPr>
          <w:p>
            <w:pPr>
              <w:ind w:left="318"/>
              <w:spacing w:before="70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</w:t>
            </w:r>
          </w:p>
        </w:tc>
        <w:tc>
          <w:tcPr>
            <w:tcW w:w="708" w:type="dxa"/>
            <w:vAlign w:val="top"/>
            <w:tcBorders>
              <w:top w:val="single" w:color="231F20" w:sz="2" w:space="0"/>
            </w:tcBorders>
          </w:tcPr>
          <w:p>
            <w:pPr>
              <w:ind w:left="235"/>
              <w:spacing w:before="70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2.08</w:t>
            </w:r>
          </w:p>
        </w:tc>
      </w:tr>
      <w:tr>
        <w:trPr>
          <w:trHeight w:val="239" w:hRule="atLeast"/>
        </w:trPr>
        <w:tc>
          <w:tcPr>
            <w:tcW w:w="728" w:type="dxa"/>
            <w:vAlign w:val="top"/>
          </w:tcPr>
          <w:p>
            <w:pPr>
              <w:pStyle w:val="TableText"/>
              <w:ind w:left="20"/>
              <w:spacing w:before="56" w:line="161" w:lineRule="auto"/>
              <w:rPr/>
            </w:pPr>
            <w:r>
              <w:rPr>
                <w:color w:val="231F20"/>
                <w:spacing w:val="5"/>
              </w:rPr>
              <w:t>对照组</w:t>
            </w:r>
          </w:p>
        </w:tc>
        <w:tc>
          <w:tcPr>
            <w:tcW w:w="669" w:type="dxa"/>
            <w:vAlign w:val="top"/>
          </w:tcPr>
          <w:p>
            <w:pPr>
              <w:ind w:left="328"/>
              <w:spacing w:before="74" w:line="19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51</w:t>
            </w:r>
          </w:p>
        </w:tc>
        <w:tc>
          <w:tcPr>
            <w:tcW w:w="696" w:type="dxa"/>
            <w:vAlign w:val="top"/>
          </w:tcPr>
          <w:p>
            <w:pPr>
              <w:ind w:left="317"/>
              <w:spacing w:before="7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581" w:type="dxa"/>
            <w:vAlign w:val="top"/>
          </w:tcPr>
          <w:p>
            <w:pPr>
              <w:ind w:left="240"/>
              <w:spacing w:before="7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579" w:type="dxa"/>
            <w:vAlign w:val="top"/>
          </w:tcPr>
          <w:p>
            <w:pPr>
              <w:ind w:left="291"/>
              <w:spacing w:before="76" w:line="18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</w:t>
            </w:r>
          </w:p>
        </w:tc>
        <w:tc>
          <w:tcPr>
            <w:tcW w:w="642" w:type="dxa"/>
            <w:vAlign w:val="top"/>
          </w:tcPr>
          <w:p>
            <w:pPr>
              <w:ind w:left="319"/>
              <w:spacing w:before="7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2</w:t>
            </w:r>
          </w:p>
        </w:tc>
        <w:tc>
          <w:tcPr>
            <w:tcW w:w="708" w:type="dxa"/>
            <w:vAlign w:val="top"/>
          </w:tcPr>
          <w:p>
            <w:pPr>
              <w:ind w:left="208"/>
              <w:spacing w:before="75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</w:rPr>
              <w:t>13.73</w:t>
            </w:r>
          </w:p>
        </w:tc>
      </w:tr>
      <w:tr>
        <w:trPr>
          <w:trHeight w:val="252" w:hRule="atLeast"/>
        </w:trPr>
        <w:tc>
          <w:tcPr>
            <w:tcW w:w="728" w:type="dxa"/>
            <w:vAlign w:val="top"/>
          </w:tcPr>
          <w:p>
            <w:pPr>
              <w:pStyle w:val="TableText"/>
              <w:ind w:left="22"/>
              <w:spacing w:before="57" w:line="17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7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3"/>
                <w:position w:val="5"/>
              </w:rPr>
              <w:t xml:space="preserve"> </w:t>
            </w:r>
            <w:r>
              <w:rPr>
                <w:color w:val="231F20"/>
                <w:spacing w:val="7"/>
              </w:rPr>
              <w:t>值</w:t>
            </w:r>
          </w:p>
        </w:tc>
        <w:tc>
          <w:tcPr>
            <w:tcW w:w="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8" w:type="dxa"/>
            <w:vAlign w:val="top"/>
          </w:tcPr>
          <w:p>
            <w:pPr>
              <w:ind w:left="193"/>
              <w:spacing w:before="79" w:line="19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4.512</w:t>
            </w:r>
          </w:p>
        </w:tc>
      </w:tr>
      <w:tr>
        <w:trPr>
          <w:trHeight w:val="244" w:hRule="atLeast"/>
        </w:trPr>
        <w:tc>
          <w:tcPr>
            <w:tcW w:w="7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0" w:line="171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0"/>
              </w:rPr>
              <w:t>P</w:t>
            </w:r>
            <w:r>
              <w:rPr>
                <w:color w:val="231F20"/>
                <w:spacing w:val="10"/>
              </w:rPr>
              <w:t>值</w:t>
            </w:r>
          </w:p>
        </w:tc>
        <w:tc>
          <w:tcPr>
            <w:tcW w:w="669" w:type="dxa"/>
            <w:vAlign w:val="top"/>
            <w:tcBorders>
              <w:bottom w:val="single" w:color="231F20" w:sz="4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696" w:type="dxa"/>
            <w:vAlign w:val="top"/>
            <w:tcBorders>
              <w:bottom w:val="single" w:color="231F20" w:sz="4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581" w:type="dxa"/>
            <w:vAlign w:val="top"/>
            <w:tcBorders>
              <w:bottom w:val="single" w:color="231F20" w:sz="4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579" w:type="dxa"/>
            <w:vAlign w:val="top"/>
            <w:tcBorders>
              <w:bottom w:val="single" w:color="231F20" w:sz="4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642" w:type="dxa"/>
            <w:vAlign w:val="top"/>
            <w:tcBorders>
              <w:bottom w:val="single" w:color="231F20" w:sz="4" w:space="0"/>
            </w:tcBorders>
          </w:tcPr>
          <w:p>
            <w:pPr>
              <w:spacing w:line="233" w:lineRule="exact"/>
              <w:rPr>
                <w:rFonts w:ascii="Arial"/>
                <w:sz w:val="20"/>
              </w:rPr>
            </w:pPr>
            <w:r/>
          </w:p>
        </w:tc>
        <w:tc>
          <w:tcPr>
            <w:tcW w:w="708" w:type="dxa"/>
            <w:vAlign w:val="top"/>
            <w:tcBorders>
              <w:bottom w:val="single" w:color="231F20" w:sz="4" w:space="0"/>
            </w:tcBorders>
          </w:tcPr>
          <w:p>
            <w:pPr>
              <w:ind w:left="195"/>
              <w:spacing w:before="73" w:line="19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0.034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ind w:left="5" w:right="66"/>
        <w:spacing w:before="86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描述病情，且因剧烈疼痛无法有效配合查体，加上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免疫力、抵抗力低下，阑尾肌层相比成人更薄，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容易</w:t>
      </w:r>
    </w:p>
    <w:p>
      <w:pPr>
        <w:spacing w:line="188" w:lineRule="auto"/>
        <w:sectPr>
          <w:type w:val="continuous"/>
          <w:pgSz w:w="11906" w:h="16838"/>
          <w:pgMar w:top="400" w:right="1068" w:bottom="824" w:left="424" w:header="0" w:footer="630" w:gutter="0"/>
          <w:cols w:equalWidth="0" w:num="2">
            <w:col w:w="5642" w:space="100"/>
            <w:col w:w="467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54"/>
        <w:rPr/>
      </w:pPr>
      <w:r/>
    </w:p>
    <w:p>
      <w:pPr>
        <w:sectPr>
          <w:headerReference w:type="default" r:id="rId8"/>
          <w:footerReference w:type="default" r:id="rId9"/>
          <w:pgSz w:w="11906" w:h="16838"/>
          <w:pgMar w:top="400" w:right="1057" w:bottom="824" w:left="424" w:header="0" w:footer="630" w:gutter="0"/>
          <w:cols w:equalWidth="0" w:num="1">
            <w:col w:w="10425" w:space="0"/>
          </w:cols>
        </w:sectPr>
        <w:rPr/>
      </w:pPr>
    </w:p>
    <w:p>
      <w:pPr>
        <w:rPr>
          <w:rFonts w:ascii="Arial"/>
          <w:sz w:val="21"/>
        </w:rPr>
      </w:pPr>
      <w:r/>
    </w:p>
    <w:p>
      <w:pPr>
        <w:ind w:left="1156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5" w:right="1146" w:firstLine="1148"/>
        <w:spacing w:before="45" w:line="349" w:lineRule="auto"/>
        <w:rPr>
          <w:sz w:val="11"/>
          <w:szCs w:val="11"/>
        </w:rPr>
      </w:pPr>
      <w:r>
        <w:pict>
          <v:shape id="_x0000_s20" style="position:absolute;margin-left:0.425003pt;margin-top:21.9015pt;mso-position-vertical-relative:text;mso-position-horizontal-relative:text;width:383.95pt;height:0.85pt;z-index:251668480;" filled="false" strokecolor="#231F20" strokeweight="0.85pt" coordsize="7679,17" coordorigin="0,0" path="m0,8l7678,8e">
            <v:stroke joinstyle="miter" miterlimit="4"/>
          </v:shape>
        </w:pict>
      </w:r>
      <w:r>
        <w:pict>
          <v:shape id="_x0000_s22" style="position:absolute;margin-left:331.684pt;margin-top:2.03207pt;mso-position-vertical-relative:text;mso-position-horizontal-relative:text;width:53.4pt;height:17.5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22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022"/>
                  </w:tblGrid>
                  <w:tr>
                    <w:trPr>
                      <w:trHeight w:val="300" w:hRule="atLeast"/>
                    </w:trPr>
                    <w:tc>
                      <w:tcPr>
                        <w:tcW w:w="1022" w:type="dxa"/>
                        <w:vAlign w:val="top"/>
                      </w:tcPr>
                      <w:p>
                        <w:pPr>
                          <w:ind w:left="59"/>
                          <w:spacing w:before="22" w:line="215" w:lineRule="auto"/>
                          <w:rPr>
                            <w:rFonts w:ascii="SimHei" w:hAnsi="SimHei" w:eastAsia="SimHei" w:cs="SimHei"/>
                            <w:sz w:val="23"/>
                            <w:szCs w:val="23"/>
                          </w:rPr>
                        </w:pPr>
                        <w:r>
                          <w:rPr>
                            <w:shd w:val="clear" w:fill="231F20"/>
                            <w:rFonts w:ascii="SimHei" w:hAnsi="SimHei" w:eastAsia="SimHei" w:cs="SimHei"/>
                            <w:sz w:val="23"/>
                            <w:szCs w:val="23"/>
                            <w:color w:val="FFFFFF"/>
                            <w:spacing w:val="1"/>
                          </w:rPr>
                          <w:t>中外医疗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3"/>
        </w:rPr>
        <w:t>2024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7"/>
          <w:w w:val="103"/>
        </w:rPr>
        <w:t xml:space="preserve">   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</w:rPr>
        <w:t>NO</w:t>
      </w:r>
      <w:r>
        <w:rPr>
          <w:rFonts w:ascii="Arial" w:hAnsi="Arial" w:eastAsia="Arial" w:cs="Arial"/>
          <w:sz w:val="11"/>
          <w:szCs w:val="11"/>
          <w:u w:val="single" w:color="auto"/>
          <w:color w:val="231F20"/>
          <w:spacing w:val="3"/>
        </w:rPr>
        <w:t>.28 </w:t>
      </w:r>
      <w:r>
        <w:rPr>
          <w:rFonts w:ascii="Arial" w:hAnsi="Arial" w:eastAsia="Arial" w:cs="Arial"/>
          <w:sz w:val="11"/>
          <w:szCs w:val="11"/>
          <w:color w:val="231F20"/>
        </w:rPr>
        <w:t xml:space="preserve"> </w:t>
      </w:r>
      <w:r>
        <w:rPr>
          <w:sz w:val="11"/>
          <w:szCs w:val="11"/>
          <w:color w:val="231F20"/>
          <w:spacing w:val="8"/>
        </w:rPr>
        <w:t>China &amp;Foreign</w:t>
      </w:r>
      <w:r>
        <w:rPr>
          <w:sz w:val="11"/>
          <w:szCs w:val="11"/>
          <w:color w:val="231F20"/>
          <w:spacing w:val="18"/>
          <w:w w:val="101"/>
        </w:rPr>
        <w:t xml:space="preserve"> </w:t>
      </w:r>
      <w:r>
        <w:rPr>
          <w:sz w:val="11"/>
          <w:szCs w:val="11"/>
          <w:color w:val="231F20"/>
          <w:spacing w:val="8"/>
        </w:rPr>
        <w:t>Medical Treatment</w:t>
      </w:r>
    </w:p>
    <w:p>
      <w:pPr>
        <w:spacing w:line="349" w:lineRule="auto"/>
        <w:sectPr>
          <w:type w:val="continuous"/>
          <w:pgSz w:w="11906" w:h="16838"/>
          <w:pgMar w:top="400" w:right="1057" w:bottom="824" w:left="424" w:header="0" w:footer="630" w:gutter="0"/>
          <w:cols w:equalWidth="0" w:num="2">
            <w:col w:w="2570" w:space="100"/>
            <w:col w:w="7755" w:space="0"/>
          </w:cols>
        </w:sectPr>
        <w:rPr>
          <w:sz w:val="11"/>
          <w:szCs w:val="11"/>
        </w:rPr>
      </w:pPr>
    </w:p>
    <w:p>
      <w:pPr>
        <w:spacing w:line="25" w:lineRule="exact"/>
        <w:rPr/>
      </w:pPr>
      <w:r/>
    </w:p>
    <w:p>
      <w:pPr>
        <w:spacing w:line="25" w:lineRule="exact"/>
        <w:sectPr>
          <w:type w:val="continuous"/>
          <w:pgSz w:w="11906" w:h="16838"/>
          <w:pgMar w:top="400" w:right="1057" w:bottom="824" w:left="424" w:header="0" w:footer="630" w:gutter="0"/>
          <w:cols w:equalWidth="0" w:num="1">
            <w:col w:w="10425" w:space="0"/>
          </w:cols>
        </w:sectPr>
        <w:rPr/>
      </w:pPr>
    </w:p>
    <w:p>
      <w:pPr>
        <w:pStyle w:val="BodyText"/>
        <w:ind w:left="716" w:right="325" w:hanging="1"/>
        <w:spacing w:before="90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延误病情，严重者可发展为穿孔性阑尾炎，严重威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胁患儿生命安全，需及时切除阑尾以减轻病情、改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善预后</w:t>
      </w:r>
      <w:r>
        <w:rPr>
          <w:sz w:val="12"/>
          <w:szCs w:val="12"/>
          <w:color w:val="231F20"/>
          <w:spacing w:val="3"/>
          <w:position w:val="5"/>
        </w:rPr>
        <w:t>[6]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。</w:t>
      </w:r>
    </w:p>
    <w:p>
      <w:pPr>
        <w:pStyle w:val="BodyText"/>
        <w:ind w:left="714" w:right="258" w:firstLine="418"/>
        <w:spacing w:before="14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既往临床多应用开腹手术行阑尾切除，但切口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较大，术中失血量较多，加重患儿应激及炎症反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应，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延长患儿住院时间，且开腹手术视野相对狭窄，可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为医生寻找阑尾增加难度，术中反复牵拉肠管的操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作可对术后胃肠功能恢复造成一定影响，甚至引发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肠梗阻</w:t>
      </w:r>
      <w:r>
        <w:rPr>
          <w:sz w:val="12"/>
          <w:szCs w:val="12"/>
          <w:color w:val="231F20"/>
          <w:spacing w:val="11"/>
          <w:position w:val="7"/>
        </w:rPr>
        <w:t>[7]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。此外开腹手术切口愈合后可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遗留较明显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瘢痕，导致患儿腹部不美观，难以满足患儿及家属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对切口美观度的需求。腹腔镜手术可弥补上述缺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陷，具有微切口、失血少、视野清晰宽广等优势，利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用人体自然腔道进行手术操作可减少脏器暴露，降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低感染风险，可使肠功能更快恢复，且术后切口瘢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痕不明显，基本不会对腹部美观度造成较大影响，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2"/>
        </w:rPr>
        <w:t>具有突出优势</w:t>
      </w:r>
      <w:r>
        <w:rPr>
          <w:sz w:val="12"/>
          <w:szCs w:val="12"/>
          <w:color w:val="231F20"/>
          <w:spacing w:val="6"/>
          <w:position w:val="6"/>
        </w:rPr>
        <w:t>[8]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2"/>
        </w:rPr>
        <w:t>。</w:t>
      </w:r>
    </w:p>
    <w:p>
      <w:pPr>
        <w:pStyle w:val="BodyText"/>
        <w:ind w:left="714" w:right="243" w:firstLine="412"/>
        <w:spacing w:before="15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腹腔镜技术不断发展，有传统三孔法发展至两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孔法、单孔法，目前经脐单孔法腹腔镜为治疗急性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阑尾炎的最“微创”术式</w:t>
      </w:r>
      <w:r>
        <w:rPr>
          <w:sz w:val="12"/>
          <w:szCs w:val="12"/>
          <w:color w:val="231F20"/>
          <w:spacing w:val="2"/>
          <w:position w:val="7"/>
        </w:rPr>
        <w:t>[9]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。脐作为患儿出生自带的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瘢痕，经单孔腹腔镜利用这一解剖特点，从脐部取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通道开展手术，传统三孔变为单孔使得腹壁切口减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少，既能减轻机体损伤，且由于手术仅取脐部一个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切口，愈合后藏于脐窝内，具有较高隐匿性，可实现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无瘢痕，获得满意的美观效果，缓解患儿及家属瘢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痕焦虑，利于提高其手术依从性</w:t>
      </w:r>
      <w:r>
        <w:rPr>
          <w:sz w:val="12"/>
          <w:szCs w:val="12"/>
          <w:color w:val="231F20"/>
          <w:spacing w:val="9"/>
          <w:position w:val="7"/>
        </w:rPr>
        <w:t>[10-11]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。由于患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>儿阑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尾较为游离，可拉出切口外切除，单孔腹腔镜可提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高阑尾取出安全性、简便性，特别在炎症反应较重、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阑尾明显肿大的患儿中具有更加突出的优势</w:t>
      </w:r>
      <w:r>
        <w:rPr>
          <w:sz w:val="12"/>
          <w:szCs w:val="12"/>
          <w:color w:val="231F20"/>
          <w:spacing w:val="9"/>
          <w:position w:val="7"/>
        </w:rPr>
        <w:t>[12]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。</w:t>
      </w:r>
    </w:p>
    <w:p>
      <w:pPr>
        <w:pStyle w:val="BodyText"/>
        <w:ind w:left="715" w:right="325" w:firstLine="412"/>
        <w:spacing w:before="4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本研究结果显示，观察组除手术时间外，各项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手术指标均优于对照组（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均</w:t>
      </w:r>
      <w:r>
        <w:rPr>
          <w:sz w:val="20"/>
          <w:szCs w:val="20"/>
          <w:color w:val="231F20"/>
          <w:spacing w:val="6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与丁萌</w:t>
      </w:r>
      <w:r>
        <w:rPr>
          <w:sz w:val="12"/>
          <w:szCs w:val="12"/>
          <w:color w:val="231F20"/>
          <w:spacing w:val="6"/>
          <w:position w:val="7"/>
        </w:rPr>
        <w:t>[13]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结果中的“观察组排气时间、进食时间等均短于对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均</w:t>
      </w:r>
      <w:r>
        <w:rPr>
          <w:sz w:val="20"/>
          <w:szCs w:val="20"/>
          <w:color w:val="231F20"/>
          <w:spacing w:val="-2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）”基本一致。提示经脐单孔腹腔镜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阑尾切除术可减少出血、促进肠功能快速恢复、缩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短下床活动时间。分析原因可能为单孔腹腔镜创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伤小、腹壁切口少，且电凝止血合理应用使得术中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出血量较少，此外该术式对腹壁痛点较少，患儿术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后痛感较轻，更加愿意下床活动，这对促进胃肠蠕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动有积极作用，可帮助胃肠功能尽早恢复，在促进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患儿术后康复方面有积极作用</w:t>
      </w:r>
      <w:r>
        <w:rPr>
          <w:sz w:val="12"/>
          <w:szCs w:val="12"/>
          <w:color w:val="231F20"/>
          <w:spacing w:val="16"/>
          <w:position w:val="7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。两组手术时间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对比，差异无统计学意义（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sz w:val="20"/>
          <w:szCs w:val="20"/>
          <w:color w:val="231F20"/>
          <w:spacing w:val="9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示单孔腹腔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镜并不会缩短手术时长，究其原因可能为单孔腹腔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镜操作空间相对较小，且术中精细化操作较多、较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4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复杂，即便切口较少也难以有效缩短手术耗时</w:t>
      </w:r>
      <w:r>
        <w:rPr>
          <w:sz w:val="12"/>
          <w:szCs w:val="12"/>
          <w:color w:val="231F20"/>
          <w:spacing w:val="5"/>
          <w:position w:val="7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</w:p>
    <w:p>
      <w:pPr>
        <w:pStyle w:val="BodyText"/>
        <w:ind w:right="11" w:firstLine="413"/>
        <w:spacing w:before="71" w:line="23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本研究结果显示，术后，观察组炎性因子水平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低于对照组（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sz w:val="20"/>
          <w:szCs w:val="20"/>
          <w:color w:val="231F20"/>
          <w:spacing w:val="9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提示与传统三孔腹腔镜手术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相比，单孔腹腔镜术后机体炎症反应更轻，分析与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其入路方式更先进、切口更小、对腹部组织创伤更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轻密切相关</w:t>
      </w:r>
      <w:r>
        <w:rPr>
          <w:sz w:val="12"/>
          <w:szCs w:val="12"/>
          <w:color w:val="231F20"/>
          <w:spacing w:val="7"/>
          <w:position w:val="6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。崔凯等</w:t>
      </w:r>
      <w:r>
        <w:rPr>
          <w:sz w:val="12"/>
          <w:szCs w:val="12"/>
          <w:color w:val="231F20"/>
          <w:spacing w:val="7"/>
          <w:position w:val="6"/>
        </w:rPr>
        <w:t>[17]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研究结果显示，观察组并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发症总发生率低于对照组（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sz w:val="20"/>
          <w:szCs w:val="20"/>
          <w:color w:val="231F20"/>
          <w:spacing w:val="9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本研究结果显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示观察组并发症总发生率低于对照组（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sz w:val="20"/>
          <w:szCs w:val="20"/>
          <w:color w:val="231F20"/>
          <w:spacing w:val="9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上述研究结果基本一致，分析原因可能为传统腹腔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镜取出阑尾时容易造成阑尾脱落、脓汁溢出、切口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污染等后果，而单孔腹腔镜创伤更小、操作更简便，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可规避上述问题，且有穿刺器底座塑料膜保护，不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会对切口造成污染，故术后并发症更少</w:t>
      </w:r>
      <w:r>
        <w:rPr>
          <w:sz w:val="12"/>
          <w:szCs w:val="12"/>
          <w:color w:val="231F20"/>
          <w:spacing w:val="5"/>
          <w:position w:val="6"/>
        </w:rPr>
        <w:t>[18-19]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</w:t>
      </w:r>
    </w:p>
    <w:p>
      <w:pPr>
        <w:ind w:right="11" w:firstLine="412"/>
        <w:spacing w:line="2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综上所述，经脐单孔腹腔镜阑尾切除术治疗小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儿急性阑尾炎的效果较好，可缩短术后活动时间，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促进术后康复，且手术创伤较小，可降低炎性反应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水平，减少术后并发症的发生。</w:t>
      </w:r>
    </w:p>
    <w:p>
      <w:pPr>
        <w:pStyle w:val="BodyText"/>
        <w:ind w:left="1837"/>
        <w:spacing w:before="167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参考文献</w:t>
      </w:r>
      <w:r>
        <w:rPr>
          <w:sz w:val="20"/>
          <w:szCs w:val="20"/>
          <w:color w:val="231F20"/>
          <w:spacing w:val="2"/>
        </w:rPr>
        <w:t>]</w:t>
      </w:r>
    </w:p>
    <w:p>
      <w:pPr>
        <w:pStyle w:val="BodyText"/>
        <w:ind w:left="341" w:right="75" w:hanging="334"/>
        <w:spacing w:before="143" w:line="246" w:lineRule="auto"/>
        <w:rPr/>
      </w:pPr>
      <w:r>
        <w:rPr>
          <w:color w:val="231F20"/>
          <w:spacing w:val="8"/>
        </w:rPr>
        <w:t>[1]   </w:t>
      </w:r>
      <w:r>
        <w:rPr>
          <w:rFonts w:ascii="Microsoft YaHei" w:hAnsi="Microsoft YaHei" w:eastAsia="Microsoft YaHei" w:cs="Microsoft YaHei"/>
          <w:color w:val="231F20"/>
          <w:spacing w:val="8"/>
        </w:rPr>
        <w:t>胡海涛</w:t>
      </w:r>
      <w:r>
        <w:rPr>
          <w:color w:val="231F20"/>
          <w:spacing w:val="8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陈文军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杨鼎华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腹腔镜</w:t>
      </w:r>
      <w:r>
        <w:rPr>
          <w:rFonts w:ascii="Microsoft YaHei" w:hAnsi="Microsoft YaHei" w:eastAsia="Microsoft YaHei" w:cs="Microsoft YaHei"/>
          <w:color w:val="231F20"/>
          <w:spacing w:val="7"/>
        </w:rPr>
        <w:t>与开腹阑尾切除术治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疗急性阑尾炎的临床疗效</w:t>
      </w:r>
      <w:r>
        <w:rPr>
          <w:color w:val="231F20"/>
          <w:spacing w:val="11"/>
        </w:rPr>
        <w:t>[J].</w:t>
      </w:r>
      <w:r>
        <w:rPr>
          <w:rFonts w:ascii="Microsoft YaHei" w:hAnsi="Microsoft YaHei" w:eastAsia="Microsoft YaHei" w:cs="Microsoft YaHei"/>
          <w:color w:val="231F20"/>
          <w:spacing w:val="11"/>
        </w:rPr>
        <w:t>外科理论与实践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11"/>
        </w:rPr>
        <w:t>,2021,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26(3):2-3.</w:t>
      </w:r>
    </w:p>
    <w:p>
      <w:pPr>
        <w:pStyle w:val="BodyText"/>
        <w:ind w:left="358" w:right="78" w:hanging="351"/>
        <w:spacing w:before="80" w:line="225" w:lineRule="auto"/>
        <w:rPr/>
      </w:pPr>
      <w:r>
        <w:rPr>
          <w:color w:val="231F20"/>
          <w:spacing w:val="6"/>
        </w:rPr>
        <w:t>[2]   </w:t>
      </w:r>
      <w:r>
        <w:rPr>
          <w:rFonts w:ascii="Microsoft YaHei" w:hAnsi="Microsoft YaHei" w:eastAsia="Microsoft YaHei" w:cs="Microsoft YaHei"/>
          <w:color w:val="231F20"/>
          <w:spacing w:val="6"/>
        </w:rPr>
        <w:t>刘立民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万柏江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刘卓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.165 </w:t>
      </w:r>
      <w:r>
        <w:rPr>
          <w:rFonts w:ascii="Microsoft YaHei" w:hAnsi="Microsoft YaHei" w:eastAsia="Microsoft YaHei" w:cs="Microsoft YaHei"/>
          <w:color w:val="231F20"/>
          <w:spacing w:val="6"/>
        </w:rPr>
        <w:t>例急性阑尾炎行腹腔镜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阑尾切除术的临床体会</w:t>
      </w:r>
      <w:r>
        <w:rPr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外科</w:t>
      </w:r>
      <w:r>
        <w:rPr>
          <w:color w:val="231F20"/>
          <w:spacing w:val="6"/>
        </w:rPr>
        <w:t>,2023,12(4):4-5.</w:t>
      </w:r>
    </w:p>
    <w:p>
      <w:pPr>
        <w:pStyle w:val="BodyText"/>
        <w:ind w:left="342" w:right="78" w:hanging="335"/>
        <w:spacing w:before="36" w:line="230" w:lineRule="auto"/>
        <w:rPr/>
      </w:pPr>
      <w:r>
        <w:rPr>
          <w:color w:val="231F20"/>
          <w:spacing w:val="7"/>
        </w:rPr>
        <w:t>[3]   </w:t>
      </w:r>
      <w:r>
        <w:rPr>
          <w:rFonts w:ascii="Microsoft YaHei" w:hAnsi="Microsoft YaHei" w:eastAsia="Microsoft YaHei" w:cs="Microsoft YaHei"/>
          <w:color w:val="231F20"/>
          <w:spacing w:val="7"/>
        </w:rPr>
        <w:t>刘旭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张宏伟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曹慧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color w:val="231F20"/>
          <w:spacing w:val="7"/>
        </w:rPr>
        <w:t>腹壁吻合器联合经脐单部位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腹腔镜杂交手术在小儿阑尾炎中的应用</w:t>
      </w:r>
      <w:r>
        <w:rPr>
          <w:color w:val="231F20"/>
          <w:spacing w:val="17"/>
        </w:rPr>
        <w:t>[J].</w:t>
      </w:r>
      <w:r>
        <w:rPr>
          <w:rFonts w:ascii="Microsoft YaHei" w:hAnsi="Microsoft YaHei" w:eastAsia="Microsoft YaHei" w:cs="Microsoft YaHei"/>
          <w:color w:val="231F20"/>
          <w:spacing w:val="17"/>
        </w:rPr>
        <w:t>腹腔镜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外科杂志</w:t>
      </w:r>
      <w:r>
        <w:rPr>
          <w:color w:val="231F20"/>
          <w:spacing w:val="5"/>
        </w:rPr>
        <w:t>,2023,28(6):449-45</w:t>
      </w:r>
      <w:r>
        <w:rPr>
          <w:color w:val="231F20"/>
          <w:spacing w:val="4"/>
        </w:rPr>
        <w:t>3.</w:t>
      </w:r>
    </w:p>
    <w:p>
      <w:pPr>
        <w:pStyle w:val="BodyText"/>
        <w:ind w:left="341" w:right="76" w:hanging="334"/>
        <w:spacing w:before="35" w:line="244" w:lineRule="auto"/>
        <w:rPr/>
      </w:pPr>
      <w:r>
        <w:rPr>
          <w:color w:val="231F20"/>
          <w:spacing w:val="8"/>
        </w:rPr>
        <w:t>[4]   </w:t>
      </w:r>
      <w:r>
        <w:rPr>
          <w:rFonts w:ascii="Microsoft YaHei" w:hAnsi="Microsoft YaHei" w:eastAsia="Microsoft YaHei" w:cs="Microsoft YaHei"/>
          <w:color w:val="231F20"/>
          <w:spacing w:val="8"/>
        </w:rPr>
        <w:t>陈亮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伍兵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罗由平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经脐单孔腹腔镜阑尾切除术治疗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小儿复杂性阑尾炎疗效及对血清 </w:t>
      </w:r>
      <w:r>
        <w:rPr>
          <w:color w:val="231F20"/>
        </w:rPr>
        <w:t>CRP </w:t>
      </w:r>
      <w:r>
        <w:rPr>
          <w:rFonts w:ascii="Microsoft YaHei" w:hAnsi="Microsoft YaHei" w:eastAsia="Microsoft YaHei" w:cs="Microsoft YaHei"/>
          <w:color w:val="231F20"/>
          <w:spacing w:val="14"/>
        </w:rPr>
        <w:t>、</w:t>
      </w:r>
      <w:r>
        <w:rPr>
          <w:color w:val="231F20"/>
        </w:rPr>
        <w:t>IL</w:t>
      </w:r>
      <w:r>
        <w:rPr>
          <w:color w:val="231F20"/>
          <w:spacing w:val="14"/>
        </w:rPr>
        <w:t>-6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、</w:t>
      </w:r>
      <w:r>
        <w:rPr>
          <w:color w:val="231F20"/>
        </w:rPr>
        <w:t>PCT </w:t>
      </w:r>
      <w:r>
        <w:rPr>
          <w:rFonts w:ascii="Microsoft YaHei" w:hAnsi="Microsoft YaHei" w:eastAsia="Microsoft YaHei" w:cs="Microsoft YaHei"/>
          <w:color w:val="231F20"/>
          <w:spacing w:val="11"/>
        </w:rPr>
        <w:t>和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</w:rPr>
        <w:t>Alvarado</w:t>
      </w:r>
      <w:r>
        <w:rPr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评分的影响</w:t>
      </w:r>
      <w:r>
        <w:rPr>
          <w:color w:val="231F20"/>
          <w:spacing w:val="11"/>
        </w:rPr>
        <w:t>[J].</w:t>
      </w:r>
      <w:r>
        <w:rPr>
          <w:rFonts w:ascii="Microsoft YaHei" w:hAnsi="Microsoft YaHei" w:eastAsia="Microsoft YaHei" w:cs="Microsoft YaHei"/>
          <w:color w:val="231F20"/>
          <w:spacing w:val="11"/>
        </w:rPr>
        <w:t>川北医学院学报</w:t>
      </w:r>
      <w:r>
        <w:rPr>
          <w:color w:val="231F20"/>
          <w:spacing w:val="11"/>
        </w:rPr>
        <w:t>,2022,37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(10):1264-1267.</w:t>
      </w:r>
    </w:p>
    <w:p>
      <w:pPr>
        <w:pStyle w:val="BodyText"/>
        <w:ind w:left="7"/>
        <w:spacing w:before="79" w:line="214" w:lineRule="auto"/>
        <w:rPr/>
      </w:pPr>
      <w:r>
        <w:rPr>
          <w:color w:val="231F20"/>
          <w:spacing w:val="3"/>
        </w:rPr>
        <w:t>[5]   </w:t>
      </w:r>
      <w:r>
        <w:rPr>
          <w:rFonts w:ascii="Microsoft YaHei" w:hAnsi="Microsoft YaHei" w:eastAsia="Microsoft YaHei" w:cs="Microsoft YaHei"/>
          <w:color w:val="231F20"/>
          <w:spacing w:val="3"/>
        </w:rPr>
        <w:t>陈志芳</w:t>
      </w:r>
      <w:r>
        <w:rPr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color w:val="231F20"/>
          <w:spacing w:val="3"/>
        </w:rPr>
        <w:t>赵斌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3"/>
        </w:rPr>
        <w:t>.2015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年急</w:t>
      </w:r>
      <w:r>
        <w:rPr>
          <w:rFonts w:ascii="Microsoft YaHei" w:hAnsi="Microsoft YaHei" w:eastAsia="Microsoft YaHei" w:cs="Microsoft YaHei"/>
          <w:color w:val="231F20"/>
          <w:spacing w:val="2"/>
        </w:rPr>
        <w:t>腹症基本临床实践指南解读</w:t>
      </w:r>
      <w:r>
        <w:rPr>
          <w:color w:val="231F20"/>
          <w:spacing w:val="2"/>
        </w:rPr>
        <w:t>[J].</w:t>
      </w:r>
    </w:p>
    <w:p>
      <w:pPr>
        <w:pStyle w:val="BodyText"/>
        <w:ind w:left="361"/>
        <w:spacing w:before="32" w:line="212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中国医刊</w:t>
      </w:r>
      <w:r>
        <w:rPr>
          <w:color w:val="231F20"/>
          <w:spacing w:val="4"/>
        </w:rPr>
        <w:t>,2017,52(6):9-13.</w:t>
      </w:r>
    </w:p>
    <w:p>
      <w:pPr>
        <w:pStyle w:val="BodyText"/>
        <w:ind w:left="342" w:right="78" w:hanging="335"/>
        <w:spacing w:before="36" w:line="230" w:lineRule="auto"/>
        <w:rPr/>
      </w:pPr>
      <w:r>
        <w:rPr>
          <w:color w:val="231F20"/>
          <w:spacing w:val="8"/>
        </w:rPr>
        <w:t>[6]   </w:t>
      </w:r>
      <w:r>
        <w:rPr>
          <w:rFonts w:ascii="Microsoft YaHei" w:hAnsi="Microsoft YaHei" w:eastAsia="Microsoft YaHei" w:cs="Microsoft YaHei"/>
          <w:color w:val="231F20"/>
          <w:spacing w:val="8"/>
        </w:rPr>
        <w:t>尹腾飞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王磊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李从军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</w:t>
      </w:r>
      <w:r>
        <w:rPr>
          <w:rFonts w:ascii="Microsoft YaHei" w:hAnsi="Microsoft YaHei" w:eastAsia="Microsoft YaHei" w:cs="Microsoft YaHei"/>
          <w:color w:val="231F20"/>
          <w:spacing w:val="7"/>
        </w:rPr>
        <w:t>孔腹腔镜联合频谱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照射治疗小儿阑尾炎的疗效及对血清 </w:t>
      </w:r>
      <w:r>
        <w:rPr>
          <w:color w:val="231F20"/>
        </w:rPr>
        <w:t>CRP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、</w:t>
      </w:r>
      <w:r>
        <w:rPr>
          <w:color w:val="231F20"/>
        </w:rPr>
        <w:t>PCT</w:t>
      </w:r>
      <w:r>
        <w:rPr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水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平的影响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医学综述</w:t>
      </w:r>
      <w:r>
        <w:rPr>
          <w:color w:val="231F20"/>
          <w:spacing w:val="4"/>
        </w:rPr>
        <w:t>,2021,27(15):3111-3115.</w:t>
      </w:r>
    </w:p>
    <w:p>
      <w:pPr>
        <w:pStyle w:val="BodyText"/>
        <w:ind w:left="342" w:right="75" w:hanging="335"/>
        <w:spacing w:before="37" w:line="220" w:lineRule="auto"/>
        <w:rPr/>
      </w:pPr>
      <w:r>
        <w:rPr>
          <w:color w:val="231F20"/>
          <w:spacing w:val="7"/>
        </w:rPr>
        <w:t>[7]   </w:t>
      </w:r>
      <w:r>
        <w:rPr>
          <w:rFonts w:ascii="Microsoft YaHei" w:hAnsi="Microsoft YaHei" w:eastAsia="Microsoft YaHei" w:cs="Microsoft YaHei"/>
          <w:color w:val="231F20"/>
          <w:spacing w:val="7"/>
        </w:rPr>
        <w:t>方静静</w:t>
      </w:r>
      <w:r>
        <w:rPr>
          <w:color w:val="231F20"/>
          <w:spacing w:val="7"/>
        </w:rPr>
        <w:t>,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陈伟飞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黄敏燕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经脐单孔腹腔镜阑尾切除术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对急性复杂性阑尾炎患儿术后肠道功能的影</w:t>
      </w:r>
      <w:r>
        <w:rPr>
          <w:rFonts w:ascii="Microsoft YaHei" w:hAnsi="Microsoft YaHei" w:eastAsia="Microsoft YaHei" w:cs="Microsoft YaHei"/>
          <w:color w:val="231F20"/>
          <w:spacing w:val="17"/>
        </w:rPr>
        <w:t>响</w:t>
      </w:r>
      <w:r>
        <w:rPr>
          <w:color w:val="231F20"/>
          <w:spacing w:val="17"/>
        </w:rPr>
        <w:t>[J].</w:t>
      </w:r>
    </w:p>
    <w:p>
      <w:pPr>
        <w:pStyle w:val="BodyText"/>
        <w:ind w:left="361"/>
        <w:spacing w:before="48" w:line="212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中国妇幼保健</w:t>
      </w:r>
      <w:r>
        <w:rPr>
          <w:color w:val="231F20"/>
          <w:spacing w:val="4"/>
        </w:rPr>
        <w:t>,2023,38(1):175-178.</w:t>
      </w:r>
    </w:p>
    <w:p>
      <w:pPr>
        <w:pStyle w:val="BodyText"/>
        <w:ind w:left="342" w:right="75" w:hanging="335"/>
        <w:spacing w:before="35" w:line="230" w:lineRule="auto"/>
        <w:rPr/>
      </w:pPr>
      <w:r>
        <w:rPr>
          <w:color w:val="231F20"/>
          <w:spacing w:val="8"/>
        </w:rPr>
        <w:t>[8]   </w:t>
      </w:r>
      <w:r>
        <w:rPr>
          <w:rFonts w:ascii="Microsoft YaHei" w:hAnsi="Microsoft YaHei" w:eastAsia="Microsoft YaHei" w:cs="Microsoft YaHei"/>
          <w:color w:val="231F20"/>
          <w:spacing w:val="8"/>
        </w:rPr>
        <w:t>沈刚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李功俊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周立军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经脐单孔腹腔镜</w:t>
      </w:r>
      <w:r>
        <w:rPr>
          <w:rFonts w:ascii="Microsoft YaHei" w:hAnsi="Microsoft YaHei" w:eastAsia="Microsoft YaHei" w:cs="Microsoft YaHei"/>
          <w:color w:val="231F20"/>
          <w:spacing w:val="7"/>
        </w:rPr>
        <w:t>辅助与传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统腹腔镜手术治疗小儿复杂性阑尾炎的对比分析</w:t>
      </w:r>
      <w:r>
        <w:rPr>
          <w:color w:val="231F20"/>
          <w:spacing w:val="10"/>
        </w:rPr>
        <w:t>[</w:t>
      </w:r>
      <w:r>
        <w:rPr>
          <w:color w:val="231F20"/>
          <w:spacing w:val="9"/>
        </w:rPr>
        <w:t>J].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腹腔镜外科杂志</w:t>
      </w:r>
      <w:r>
        <w:rPr>
          <w:color w:val="231F20"/>
          <w:spacing w:val="5"/>
        </w:rPr>
        <w:t>,2020,25(6):447-450.</w:t>
      </w:r>
    </w:p>
    <w:p>
      <w:pPr>
        <w:pStyle w:val="BodyText"/>
        <w:ind w:left="344" w:right="78" w:hanging="337"/>
        <w:spacing w:before="37" w:line="225" w:lineRule="auto"/>
        <w:rPr/>
      </w:pPr>
      <w:r>
        <w:rPr>
          <w:color w:val="231F20"/>
          <w:spacing w:val="8"/>
        </w:rPr>
        <w:t>[9]   </w:t>
      </w:r>
      <w:r>
        <w:rPr>
          <w:rFonts w:ascii="Microsoft YaHei" w:hAnsi="Microsoft YaHei" w:eastAsia="Microsoft YaHei" w:cs="Microsoft YaHei"/>
          <w:color w:val="231F20"/>
          <w:spacing w:val="8"/>
        </w:rPr>
        <w:t>王文卿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王磊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刘绪舜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经脐单孔腹腔镜治疗急性阑尾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炎的临床效果观察</w:t>
      </w:r>
      <w:r>
        <w:rPr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color w:val="231F20"/>
          <w:spacing w:val="5"/>
        </w:rPr>
        <w:t>中国医刊</w:t>
      </w:r>
      <w:r>
        <w:rPr>
          <w:color w:val="231F20"/>
          <w:spacing w:val="5"/>
        </w:rPr>
        <w:t>,2020,55(2):178</w:t>
      </w:r>
      <w:r>
        <w:rPr>
          <w:color w:val="231F20"/>
          <w:spacing w:val="4"/>
        </w:rPr>
        <w:t>-180.</w:t>
      </w:r>
    </w:p>
    <w:p>
      <w:pPr>
        <w:pStyle w:val="BodyText"/>
        <w:spacing w:before="72" w:line="162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（下转第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5"/>
        </w:rPr>
        <w:t>22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页）</w:t>
      </w:r>
    </w:p>
    <w:p>
      <w:pPr>
        <w:spacing w:line="162" w:lineRule="auto"/>
        <w:sectPr>
          <w:type w:val="continuous"/>
          <w:pgSz w:w="11906" w:h="16838"/>
          <w:pgMar w:top="400" w:right="1057" w:bottom="824" w:left="424" w:header="0" w:footer="630" w:gutter="0"/>
          <w:cols w:equalWidth="0" w:num="2">
            <w:col w:w="5643" w:space="100"/>
            <w:col w:w="468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9"/>
        <w:rPr/>
      </w:pPr>
      <w:r>
        <w:pict>
          <v:shape id="_x0000_s26" style="position:absolute;margin-left:108.746pt;margin-top:36.885pt;mso-position-vertical-relative:page;mso-position-horizontal-relative:page;width:94.65pt;height:17.7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3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2024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>NO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.28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u w:val="single" w:color="auto"/>
                      <w:color w:val="231F20"/>
                    </w:rPr>
                    <w:t xml:space="preserve">   </w:t>
                  </w:r>
                </w:p>
                <w:p>
                  <w:pPr>
                    <w:pStyle w:val="BodyText"/>
                    <w:ind w:left="20"/>
                    <w:spacing w:before="41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8"/>
                    </w:rPr>
                    <w:t>China &amp;Foreign</w:t>
                  </w:r>
                  <w:r>
                    <w:rPr>
                      <w:sz w:val="11"/>
                      <w:szCs w:val="11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8"/>
                    </w:rPr>
                    <w:t>Medical Treatment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10"/>
          <w:footerReference w:type="default" r:id="rId11"/>
          <w:pgSz w:w="11906" w:h="16838"/>
          <w:pgMar w:top="400" w:right="1065" w:bottom="824" w:left="424" w:header="0" w:footer="630" w:gutter="0"/>
          <w:cols w:equalWidth="0" w:num="1">
            <w:col w:w="10416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1022" w:type="dxa"/>
        <w:tblInd w:w="70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2"/>
      </w:tblGrid>
      <w:tr>
        <w:trPr>
          <w:trHeight w:val="300" w:hRule="atLeast"/>
        </w:trPr>
        <w:tc>
          <w:tcPr>
            <w:tcW w:w="1022" w:type="dxa"/>
            <w:vAlign w:val="top"/>
          </w:tcPr>
          <w:p>
            <w:pPr>
              <w:ind w:left="59"/>
              <w:spacing w:before="22" w:line="215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hd w:val="clear" w:fill="231F20"/>
                <w:rFonts w:ascii="SimHei" w:hAnsi="SimHei" w:eastAsia="SimHei" w:cs="SimHei"/>
                <w:sz w:val="23"/>
                <w:szCs w:val="23"/>
                <w:color w:val="FFFFFF"/>
                <w:spacing w:val="1"/>
              </w:rPr>
              <w:t>中外医疗</w:t>
            </w:r>
          </w:p>
        </w:tc>
      </w:tr>
    </w:tbl>
    <w:p>
      <w:pPr>
        <w:spacing w:line="239" w:lineRule="exact"/>
        <w:rPr>
          <w:rFonts w:ascii="Arial"/>
          <w:sz w:val="20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15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著</w:t>
      </w:r>
    </w:p>
    <w:p>
      <w:pPr>
        <w:spacing w:line="187" w:lineRule="auto"/>
        <w:sectPr>
          <w:type w:val="continuous"/>
          <w:pgSz w:w="11906" w:h="16838"/>
          <w:pgMar w:top="400" w:right="1065" w:bottom="824" w:left="424" w:header="0" w:footer="630" w:gutter="0"/>
          <w:cols w:equalWidth="0" w:num="2">
            <w:col w:w="8722" w:space="100"/>
            <w:col w:w="1595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34" w:lineRule="exact"/>
        <w:rPr/>
      </w:pPr>
      <w:r/>
    </w:p>
    <w:p>
      <w:pPr>
        <w:spacing w:line="34" w:lineRule="exact"/>
        <w:sectPr>
          <w:type w:val="continuous"/>
          <w:pgSz w:w="11906" w:h="16838"/>
          <w:pgMar w:top="400" w:right="1065" w:bottom="824" w:left="424" w:header="0" w:footer="630" w:gutter="0"/>
          <w:cols w:equalWidth="0" w:num="1">
            <w:col w:w="10416" w:space="0"/>
          </w:cols>
        </w:sectPr>
        <w:rPr/>
      </w:pPr>
    </w:p>
    <w:p>
      <w:pPr>
        <w:pStyle w:val="BodyText"/>
        <w:ind w:left="1060"/>
        <w:spacing w:before="45" w:line="212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功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能 的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影 响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临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床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和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实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验 医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学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杂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志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2020, 19(17):</w:t>
      </w:r>
    </w:p>
    <w:p>
      <w:pPr>
        <w:pStyle w:val="BodyText"/>
        <w:ind w:left="1073"/>
        <w:spacing w:before="101" w:line="192" w:lineRule="auto"/>
        <w:rPr/>
      </w:pPr>
      <w:r>
        <w:rPr>
          <w:color w:val="231F20"/>
          <w:spacing w:val="4"/>
        </w:rPr>
        <w:t>1891-1894.</w:t>
      </w:r>
    </w:p>
    <w:p>
      <w:pPr>
        <w:pStyle w:val="BodyText"/>
        <w:ind w:left="1055" w:right="329" w:hanging="335"/>
        <w:spacing w:before="86" w:line="232" w:lineRule="auto"/>
        <w:rPr/>
      </w:pPr>
      <w:r>
        <w:rPr>
          <w:color w:val="231F20"/>
          <w:spacing w:val="8"/>
        </w:rPr>
        <w:t>[5]   </w:t>
      </w:r>
      <w:r>
        <w:rPr>
          <w:rFonts w:ascii="Microsoft YaHei" w:hAnsi="Microsoft YaHei" w:eastAsia="Microsoft YaHei" w:cs="Microsoft YaHei"/>
          <w:color w:val="231F20"/>
          <w:spacing w:val="8"/>
        </w:rPr>
        <w:t>李增沛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马宁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轮廓化鼻内镜</w:t>
      </w:r>
      <w:r>
        <w:rPr>
          <w:rFonts w:ascii="Microsoft YaHei" w:hAnsi="Microsoft YaHei" w:eastAsia="Microsoft YaHei" w:cs="Microsoft YaHei"/>
          <w:color w:val="231F20"/>
          <w:spacing w:val="7"/>
        </w:rPr>
        <w:t>手术后经鼻脉冲雾化吸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入布地奈德治疗慢性鼻窦炎的临床效果</w:t>
      </w:r>
      <w:r>
        <w:rPr>
          <w:color w:val="231F20"/>
          <w:spacing w:val="15"/>
        </w:rPr>
        <w:t>[J]. </w:t>
      </w:r>
      <w:r>
        <w:rPr>
          <w:rFonts w:ascii="Microsoft YaHei" w:hAnsi="Microsoft YaHei" w:eastAsia="Microsoft YaHei" w:cs="Microsoft YaHei"/>
          <w:color w:val="231F20"/>
          <w:spacing w:val="15"/>
        </w:rPr>
        <w:t>中国现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代医药杂志</w:t>
      </w:r>
      <w:r>
        <w:rPr>
          <w:color w:val="231F20"/>
          <w:spacing w:val="5"/>
        </w:rPr>
        <w:t>,2023,25(2):68-71.</w:t>
      </w:r>
    </w:p>
    <w:p>
      <w:pPr>
        <w:pStyle w:val="BodyText"/>
        <w:ind w:left="1053" w:right="330" w:hanging="334"/>
        <w:spacing w:before="39" w:line="235" w:lineRule="auto"/>
        <w:rPr/>
      </w:pPr>
      <w:r>
        <w:rPr>
          <w:color w:val="231F20"/>
          <w:spacing w:val="8"/>
        </w:rPr>
        <w:t>[6]   </w:t>
      </w:r>
      <w:r>
        <w:rPr>
          <w:rFonts w:ascii="Microsoft YaHei" w:hAnsi="Microsoft YaHei" w:eastAsia="Microsoft YaHei" w:cs="Microsoft YaHei"/>
          <w:color w:val="231F20"/>
          <w:spacing w:val="8"/>
        </w:rPr>
        <w:t>张颖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刘勇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龙表利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功能性鼻内镜手术联合布地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奈德浸润治疗慢性鼻窦炎伴鼻息肉的效果及对嗅觉 </w:t>
      </w:r>
      <w:r>
        <w:rPr>
          <w:rFonts w:ascii="Microsoft YaHei" w:hAnsi="Microsoft YaHei" w:eastAsia="Microsoft YaHei" w:cs="Microsoft YaHei"/>
          <w:color w:val="231F20"/>
          <w:spacing w:val="17"/>
        </w:rPr>
        <w:t>功能、鼻腔通气功能、复发的影响</w:t>
      </w:r>
      <w:r>
        <w:rPr>
          <w:color w:val="231F20"/>
          <w:spacing w:val="17"/>
        </w:rPr>
        <w:t>[J].</w:t>
      </w:r>
      <w:r>
        <w:rPr>
          <w:rFonts w:ascii="Microsoft YaHei" w:hAnsi="Microsoft YaHei" w:eastAsia="Microsoft YaHei" w:cs="Microsoft YaHei"/>
          <w:color w:val="231F20"/>
          <w:spacing w:val="17"/>
        </w:rPr>
        <w:t>解放军医药 </w:t>
      </w:r>
      <w:r>
        <w:rPr>
          <w:rFonts w:ascii="Microsoft YaHei" w:hAnsi="Microsoft YaHei" w:eastAsia="Microsoft YaHei" w:cs="Microsoft YaHei"/>
          <w:color w:val="231F20"/>
          <w:spacing w:val="4"/>
        </w:rPr>
        <w:t>杂志</w:t>
      </w:r>
      <w:r>
        <w:rPr>
          <w:color w:val="231F20"/>
          <w:spacing w:val="4"/>
        </w:rPr>
        <w:t>,2022,34(1):101-104.</w:t>
      </w:r>
    </w:p>
    <w:p>
      <w:pPr>
        <w:pStyle w:val="BodyText"/>
        <w:ind w:left="1062" w:right="329" w:hanging="342"/>
        <w:spacing w:before="41" w:line="232" w:lineRule="auto"/>
        <w:rPr/>
      </w:pPr>
      <w:r>
        <w:rPr>
          <w:color w:val="231F20"/>
          <w:spacing w:val="7"/>
        </w:rPr>
        <w:t>[7]   </w:t>
      </w:r>
      <w:r>
        <w:rPr>
          <w:rFonts w:ascii="Microsoft YaHei" w:hAnsi="Microsoft YaHei" w:eastAsia="Microsoft YaHei" w:cs="Microsoft YaHei"/>
          <w:color w:val="231F20"/>
          <w:spacing w:val="7"/>
        </w:rPr>
        <w:t>中华耳鼻咽喉头颈外科杂志编委会</w:t>
      </w:r>
      <w:r>
        <w:rPr>
          <w:color w:val="231F20"/>
          <w:spacing w:val="7"/>
        </w:rPr>
        <w:t>,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中华医学会耳鼻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咽喉头颈外科学分会鼻科学组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color w:val="231F20"/>
          <w:spacing w:val="12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慢性鼻</w:t>
      </w:r>
      <w:r>
        <w:rPr>
          <w:color w:val="231F20"/>
          <w:spacing w:val="12"/>
        </w:rPr>
        <w:t>-</w:t>
      </w:r>
      <w:r>
        <w:rPr>
          <w:rFonts w:ascii="Microsoft YaHei" w:hAnsi="Microsoft YaHei" w:eastAsia="Microsoft YaHei" w:cs="Microsoft YaHei"/>
          <w:color w:val="231F20"/>
          <w:spacing w:val="12"/>
        </w:rPr>
        <w:t>鼻窦炎诊断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和治疗指南</w:t>
      </w:r>
      <w:r>
        <w:rPr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color w:val="231F20"/>
          <w:spacing w:val="5"/>
        </w:rPr>
        <w:t>中国临床医生杂志</w:t>
      </w:r>
      <w:r>
        <w:rPr>
          <w:color w:val="231F20"/>
          <w:spacing w:val="5"/>
        </w:rPr>
        <w:t>,2010,38(4):73-74.</w:t>
      </w:r>
    </w:p>
    <w:p>
      <w:pPr>
        <w:pStyle w:val="BodyText"/>
        <w:ind w:left="1054" w:right="330" w:hanging="335"/>
        <w:spacing w:before="42" w:line="232" w:lineRule="auto"/>
        <w:rPr/>
      </w:pPr>
      <w:r>
        <w:rPr>
          <w:color w:val="231F20"/>
          <w:spacing w:val="5"/>
        </w:rPr>
        <w:t>[8]   </w:t>
      </w:r>
      <w:r>
        <w:rPr>
          <w:rFonts w:ascii="Microsoft YaHei" w:hAnsi="Microsoft YaHei" w:eastAsia="Microsoft YaHei" w:cs="Microsoft YaHei"/>
          <w:color w:val="231F20"/>
          <w:spacing w:val="5"/>
        </w:rPr>
        <w:t>杨凌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魏永祥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任媛媛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等 </w:t>
      </w:r>
      <w:r>
        <w:rPr>
          <w:color w:val="231F20"/>
          <w:spacing w:val="5"/>
        </w:rPr>
        <w:t>.</w:t>
      </w:r>
      <w:r>
        <w:rPr>
          <w:color w:val="231F20"/>
        </w:rPr>
        <w:t>Sniffin</w:t>
      </w:r>
      <w:r>
        <w:rPr>
          <w:color w:val="231F20"/>
          <w:spacing w:val="5"/>
        </w:rPr>
        <w:t>/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Sticks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嗅觉心理物理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测试方法的临床应用</w:t>
      </w:r>
      <w:r>
        <w:rPr>
          <w:color w:val="231F20"/>
          <w:spacing w:val="15"/>
        </w:rPr>
        <w:t>[J]. </w:t>
      </w:r>
      <w:r>
        <w:rPr>
          <w:rFonts w:ascii="Microsoft YaHei" w:hAnsi="Microsoft YaHei" w:eastAsia="Microsoft YaHei" w:cs="Microsoft YaHei"/>
          <w:color w:val="231F20"/>
          <w:spacing w:val="15"/>
        </w:rPr>
        <w:t>中华耳鼻咽喉头颈外科杂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志</w:t>
      </w:r>
      <w:r>
        <w:rPr>
          <w:color w:val="231F20"/>
          <w:spacing w:val="4"/>
        </w:rPr>
        <w:t>,2013,48(9):741-745.</w:t>
      </w:r>
    </w:p>
    <w:p>
      <w:pPr>
        <w:pStyle w:val="BodyText"/>
        <w:ind w:left="1055" w:right="331" w:hanging="336"/>
        <w:spacing w:before="40" w:line="227" w:lineRule="auto"/>
        <w:rPr/>
      </w:pPr>
      <w:r>
        <w:rPr>
          <w:color w:val="231F20"/>
          <w:spacing w:val="6"/>
        </w:rPr>
        <w:t>[9]   </w:t>
      </w:r>
      <w:r>
        <w:rPr>
          <w:rFonts w:ascii="Microsoft YaHei" w:hAnsi="Microsoft YaHei" w:eastAsia="Microsoft YaHei" w:cs="Microsoft YaHei"/>
          <w:color w:val="231F20"/>
          <w:spacing w:val="6"/>
        </w:rPr>
        <w:t>刘嘉欣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夏萍 </w:t>
      </w:r>
      <w:r>
        <w:rPr>
          <w:color w:val="231F20"/>
          <w:spacing w:val="6"/>
        </w:rPr>
        <w:t>.</w:t>
      </w:r>
      <w:r>
        <w:rPr>
          <w:color w:val="231F20"/>
        </w:rPr>
        <w:t>WHO</w:t>
      </w:r>
      <w:r>
        <w:rPr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生存质量量表在我国患者中的应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用现状</w:t>
      </w:r>
      <w:r>
        <w:rPr>
          <w:color w:val="231F20"/>
          <w:spacing w:val="5"/>
        </w:rPr>
        <w:t>[J]. </w:t>
      </w:r>
      <w:r>
        <w:rPr>
          <w:rFonts w:ascii="Microsoft YaHei" w:hAnsi="Microsoft YaHei" w:eastAsia="Microsoft YaHei" w:cs="Microsoft YaHei"/>
          <w:color w:val="231F20"/>
          <w:spacing w:val="5"/>
        </w:rPr>
        <w:t>中国社会医学杂志</w:t>
      </w:r>
      <w:r>
        <w:rPr>
          <w:color w:val="231F20"/>
          <w:spacing w:val="5"/>
        </w:rPr>
        <w:t>,2013,30(</w:t>
      </w:r>
      <w:r>
        <w:rPr>
          <w:color w:val="231F20"/>
          <w:spacing w:val="4"/>
        </w:rPr>
        <w:t>3):203-206.</w:t>
      </w:r>
    </w:p>
    <w:p>
      <w:pPr>
        <w:pStyle w:val="BodyText"/>
        <w:ind w:left="1147" w:right="330" w:hanging="428"/>
        <w:spacing w:before="41" w:line="232" w:lineRule="auto"/>
        <w:rPr/>
      </w:pPr>
      <w:r>
        <w:rPr>
          <w:color w:val="231F20"/>
          <w:spacing w:val="7"/>
        </w:rPr>
        <w:t>[10]   </w:t>
      </w:r>
      <w:r>
        <w:rPr>
          <w:rFonts w:ascii="Microsoft YaHei" w:hAnsi="Microsoft YaHei" w:eastAsia="Microsoft YaHei" w:cs="Microsoft YaHei"/>
          <w:color w:val="231F20"/>
          <w:spacing w:val="7"/>
        </w:rPr>
        <w:t>房红娟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霍云峰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鼻内镜下鼻中隔矫正术联合鼻窦开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放术治疗慢性鼻窦炎患者的疗效评价</w:t>
      </w:r>
      <w:r>
        <w:rPr>
          <w:color w:val="231F20"/>
          <w:spacing w:val="11"/>
        </w:rPr>
        <w:t>[J]. </w:t>
      </w:r>
      <w:r>
        <w:rPr>
          <w:rFonts w:ascii="Microsoft YaHei" w:hAnsi="Microsoft YaHei" w:eastAsia="Microsoft YaHei" w:cs="Microsoft YaHei"/>
          <w:color w:val="231F20"/>
          <w:spacing w:val="11"/>
        </w:rPr>
        <w:t>中国药物 </w:t>
      </w:r>
      <w:r>
        <w:rPr>
          <w:rFonts w:ascii="Microsoft YaHei" w:hAnsi="Microsoft YaHei" w:eastAsia="Microsoft YaHei" w:cs="Microsoft YaHei"/>
          <w:color w:val="231F20"/>
          <w:spacing w:val="4"/>
        </w:rPr>
        <w:t>与临床</w:t>
      </w:r>
      <w:r>
        <w:rPr>
          <w:color w:val="231F20"/>
          <w:spacing w:val="4"/>
        </w:rPr>
        <w:t>,2020,20(23):3985-3987.</w:t>
      </w:r>
    </w:p>
    <w:p>
      <w:pPr>
        <w:pStyle w:val="BodyText"/>
        <w:ind w:left="1167" w:right="331" w:hanging="448"/>
        <w:spacing w:before="40" w:line="225" w:lineRule="auto"/>
        <w:rPr>
          <w:rFonts w:ascii="Microsoft YaHei" w:hAnsi="Microsoft YaHei" w:eastAsia="Microsoft YaHei" w:cs="Microsoft YaHei"/>
        </w:rPr>
      </w:pPr>
      <w:r>
        <w:pict>
          <v:shape id="_x0000_s28" style="position:absolute;margin-left:149.063pt;margin-top:41.7001pt;mso-position-vertical-relative:text;mso-position-horizontal-relative:text;width:255.15pt;height:0.4pt;z-index:251672576;" filled="false" strokecolor="#231F20" strokeweight="0.37pt" coordsize="5102,8" coordorigin="0,0" path="m0,3l5102,3e">
            <v:stroke joinstyle="miter" miterlimit="4"/>
          </v:shape>
        </w:pict>
      </w:r>
      <w:r>
        <w:rPr>
          <w:color w:val="231F20"/>
          <w:spacing w:val="6"/>
        </w:rPr>
        <w:t>[11]   </w:t>
      </w:r>
      <w:r>
        <w:rPr>
          <w:rFonts w:ascii="Microsoft YaHei" w:hAnsi="Microsoft YaHei" w:eastAsia="Microsoft YaHei" w:cs="Microsoft YaHei"/>
          <w:color w:val="231F20"/>
          <w:spacing w:val="6"/>
        </w:rPr>
        <w:t>刘成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李国伟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胡金旺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color w:val="231F20"/>
          <w:spacing w:val="6"/>
        </w:rPr>
        <w:t>曲安奈德鼻喷雾剂联合鼻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内镜手术治疗慢性鼻窦炎伴鼻息肉患者的临床研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9"/>
        <w:spacing w:before="44" w:line="212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究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中国临床药理学杂志</w:t>
      </w:r>
      <w:r>
        <w:rPr>
          <w:color w:val="231F20"/>
          <w:spacing w:val="4"/>
        </w:rPr>
        <w:t>,2022,38(22):2664-2667.</w:t>
      </w:r>
    </w:p>
    <w:p>
      <w:pPr>
        <w:pStyle w:val="BodyText"/>
        <w:ind w:left="429" w:right="72" w:hanging="428"/>
        <w:spacing w:before="41" w:line="232" w:lineRule="auto"/>
        <w:rPr/>
      </w:pPr>
      <w:r>
        <w:rPr>
          <w:color w:val="231F20"/>
          <w:spacing w:val="8"/>
        </w:rPr>
        <w:t>[12]   </w:t>
      </w:r>
      <w:r>
        <w:rPr>
          <w:rFonts w:ascii="Microsoft YaHei" w:hAnsi="Microsoft YaHei" w:eastAsia="Microsoft YaHei" w:cs="Microsoft YaHei"/>
          <w:color w:val="231F20"/>
          <w:spacing w:val="8"/>
        </w:rPr>
        <w:t>朱谦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马婕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石崧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鼻内镜手术联合糖皮</w:t>
      </w:r>
      <w:r>
        <w:rPr>
          <w:rFonts w:ascii="Microsoft YaHei" w:hAnsi="Microsoft YaHei" w:eastAsia="Microsoft YaHei" w:cs="Microsoft YaHei"/>
          <w:color w:val="231F20"/>
          <w:spacing w:val="7"/>
        </w:rPr>
        <w:t>质激素浸润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对慢性鼻窦炎伴鼻息肉患者远期疗效及鼻功能的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影响</w:t>
      </w:r>
      <w:r>
        <w:rPr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color w:val="231F20"/>
          <w:spacing w:val="5"/>
        </w:rPr>
        <w:t>贵州医药</w:t>
      </w:r>
      <w:r>
        <w:rPr>
          <w:color w:val="231F20"/>
          <w:spacing w:val="5"/>
        </w:rPr>
        <w:t>,2023,47(2):213-214.</w:t>
      </w:r>
    </w:p>
    <w:p>
      <w:pPr>
        <w:pStyle w:val="BodyText"/>
        <w:ind w:left="428" w:right="69" w:hanging="427"/>
        <w:spacing w:before="39" w:line="246" w:lineRule="auto"/>
        <w:rPr/>
      </w:pPr>
      <w:r>
        <w:rPr>
          <w:color w:val="231F20"/>
          <w:spacing w:val="8"/>
        </w:rPr>
        <w:t>[13]   </w:t>
      </w:r>
      <w:r>
        <w:rPr>
          <w:rFonts w:ascii="Microsoft YaHei" w:hAnsi="Microsoft YaHei" w:eastAsia="Microsoft YaHei" w:cs="Microsoft YaHei"/>
          <w:color w:val="231F20"/>
          <w:spacing w:val="8"/>
        </w:rPr>
        <w:t>邵长宝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李晓丽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马琳娟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鼻后神经下鼻甲</w:t>
      </w:r>
      <w:r>
        <w:rPr>
          <w:rFonts w:ascii="Microsoft YaHei" w:hAnsi="Microsoft YaHei" w:eastAsia="Microsoft YaHei" w:cs="Microsoft YaHei"/>
          <w:color w:val="231F20"/>
          <w:spacing w:val="7"/>
        </w:rPr>
        <w:t>支切断术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联合玉屏风颗粒治疗慢性鼻</w:t>
      </w:r>
      <w:r>
        <w:rPr>
          <w:color w:val="231F20"/>
          <w:spacing w:val="15"/>
        </w:rPr>
        <w:t>-</w:t>
      </w:r>
      <w:r>
        <w:rPr>
          <w:rFonts w:ascii="Microsoft YaHei" w:hAnsi="Microsoft YaHei" w:eastAsia="Microsoft YaHei" w:cs="Microsoft YaHei"/>
          <w:color w:val="231F20"/>
          <w:spacing w:val="15"/>
        </w:rPr>
        <w:t>鼻窦炎伴有鼻</w:t>
      </w:r>
      <w:r>
        <w:rPr>
          <w:rFonts w:ascii="Microsoft YaHei" w:hAnsi="Microsoft YaHei" w:eastAsia="Microsoft YaHei" w:cs="Microsoft YaHei"/>
          <w:color w:val="231F20"/>
          <w:spacing w:val="14"/>
        </w:rPr>
        <w:t>息肉合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并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哮 喘 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效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析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 国 内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镜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杂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志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2020,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26(7):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68-71.</w:t>
      </w:r>
    </w:p>
    <w:p>
      <w:pPr>
        <w:pStyle w:val="BodyText"/>
        <w:ind w:left="427" w:right="70" w:hanging="427"/>
        <w:spacing w:before="85" w:line="247" w:lineRule="auto"/>
        <w:rPr/>
      </w:pPr>
      <w:r>
        <w:rPr>
          <w:color w:val="231F20"/>
          <w:spacing w:val="7"/>
        </w:rPr>
        <w:t>[14]   </w:t>
      </w:r>
      <w:r>
        <w:rPr>
          <w:rFonts w:ascii="Microsoft YaHei" w:hAnsi="Microsoft YaHei" w:eastAsia="Microsoft YaHei" w:cs="Microsoft YaHei"/>
          <w:color w:val="231F20"/>
          <w:spacing w:val="7"/>
        </w:rPr>
        <w:t>张淑霞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卫平存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王刚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鼻内镜术前</w:t>
      </w:r>
      <w:r>
        <w:rPr>
          <w:rFonts w:ascii="Microsoft YaHei" w:hAnsi="Microsoft YaHei" w:eastAsia="Microsoft YaHei" w:cs="Microsoft YaHei"/>
          <w:color w:val="231F20"/>
          <w:spacing w:val="6"/>
        </w:rPr>
        <w:t>应用枸地氯雷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他定对慢性鼻窦炎的治疗效果及对患者嗅觉功能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和鼻黏膜形态的影响</w:t>
      </w:r>
      <w:r>
        <w:rPr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color w:val="231F20"/>
          <w:spacing w:val="8"/>
        </w:rPr>
        <w:t>现代生物医学进展</w:t>
      </w:r>
      <w:r>
        <w:rPr>
          <w:color w:val="231F20"/>
          <w:spacing w:val="8"/>
        </w:rPr>
        <w:t>,2023,23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(15):2894-2898.</w:t>
      </w:r>
    </w:p>
    <w:p>
      <w:pPr>
        <w:pStyle w:val="BodyText"/>
        <w:ind w:left="428" w:right="72" w:hanging="428"/>
        <w:spacing w:before="84" w:line="232" w:lineRule="auto"/>
        <w:rPr/>
      </w:pPr>
      <w:r>
        <w:rPr>
          <w:color w:val="231F20"/>
          <w:spacing w:val="8"/>
        </w:rPr>
        <w:t>[15]   </w:t>
      </w:r>
      <w:r>
        <w:rPr>
          <w:rFonts w:ascii="Microsoft YaHei" w:hAnsi="Microsoft YaHei" w:eastAsia="Microsoft YaHei" w:cs="Microsoft YaHei"/>
          <w:color w:val="231F20"/>
          <w:spacing w:val="8"/>
        </w:rPr>
        <w:t>郑坚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功能性鼻内镜手</w:t>
      </w:r>
      <w:r>
        <w:rPr>
          <w:rFonts w:ascii="Microsoft YaHei" w:hAnsi="Microsoft YaHei" w:eastAsia="Microsoft YaHei" w:cs="Microsoft YaHei"/>
          <w:color w:val="231F20"/>
          <w:spacing w:val="7"/>
        </w:rPr>
        <w:t>术与轮廓化鼻内镜手术治疗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难治性鼻窦炎的临床效果比较</w:t>
      </w:r>
      <w:r>
        <w:rPr>
          <w:color w:val="231F20"/>
          <w:spacing w:val="14"/>
        </w:rPr>
        <w:t>[J].</w:t>
      </w:r>
      <w:r>
        <w:rPr>
          <w:rFonts w:ascii="Microsoft YaHei" w:hAnsi="Microsoft YaHei" w:eastAsia="Microsoft YaHei" w:cs="Microsoft YaHei"/>
          <w:color w:val="231F20"/>
          <w:spacing w:val="14"/>
        </w:rPr>
        <w:t>临床合</w:t>
      </w:r>
      <w:r>
        <w:rPr>
          <w:rFonts w:ascii="Microsoft YaHei" w:hAnsi="Microsoft YaHei" w:eastAsia="Microsoft YaHei" w:cs="Microsoft YaHei"/>
          <w:color w:val="231F20"/>
          <w:spacing w:val="13"/>
        </w:rPr>
        <w:t>理用药杂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志</w:t>
      </w:r>
      <w:r>
        <w:rPr>
          <w:color w:val="231F20"/>
          <w:spacing w:val="4"/>
        </w:rPr>
        <w:t>,2021,14(17):165-16</w:t>
      </w:r>
      <w:r>
        <w:rPr>
          <w:color w:val="231F20"/>
          <w:spacing w:val="3"/>
        </w:rPr>
        <w:t>7.</w:t>
      </w:r>
    </w:p>
    <w:p>
      <w:pPr>
        <w:pStyle w:val="BodyText"/>
        <w:ind w:left="430" w:right="73" w:hanging="430"/>
        <w:spacing w:before="41" w:line="232" w:lineRule="auto"/>
        <w:rPr/>
      </w:pPr>
      <w:r>
        <w:rPr>
          <w:color w:val="231F20"/>
          <w:spacing w:val="6"/>
        </w:rPr>
        <w:t>[16]   </w:t>
      </w:r>
      <w:r>
        <w:rPr>
          <w:rFonts w:ascii="Microsoft YaHei" w:hAnsi="Microsoft YaHei" w:eastAsia="Microsoft YaHei" w:cs="Microsoft YaHei"/>
          <w:color w:val="231F20"/>
          <w:spacing w:val="6"/>
        </w:rPr>
        <w:t>王旭平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刘金梅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杨培培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color w:val="231F20"/>
          <w:spacing w:val="6"/>
        </w:rPr>
        <w:t>功能性鼻内镜手术治疗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鼻</w:t>
      </w:r>
      <w:r>
        <w:rPr>
          <w:color w:val="231F20"/>
          <w:spacing w:val="18"/>
        </w:rPr>
        <w:t>-</w:t>
      </w:r>
      <w:r>
        <w:rPr>
          <w:rFonts w:ascii="Microsoft YaHei" w:hAnsi="Microsoft YaHei" w:eastAsia="Microsoft YaHei" w:cs="Microsoft YaHei"/>
          <w:color w:val="231F20"/>
          <w:spacing w:val="18"/>
        </w:rPr>
        <w:t>鼻窦炎的疗效及对生活质量的影响</w:t>
      </w:r>
      <w:r>
        <w:rPr>
          <w:color w:val="231F20"/>
          <w:spacing w:val="18"/>
        </w:rPr>
        <w:t>[J].</w:t>
      </w:r>
      <w:r>
        <w:rPr>
          <w:rFonts w:ascii="Microsoft YaHei" w:hAnsi="Microsoft YaHei" w:eastAsia="Microsoft YaHei" w:cs="Microsoft YaHei"/>
          <w:color w:val="231F20"/>
          <w:spacing w:val="18"/>
        </w:rPr>
        <w:t>湖南师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范大学学报</w:t>
      </w:r>
      <w:r>
        <w:rPr>
          <w:color w:val="231F20"/>
          <w:spacing w:val="6"/>
        </w:rPr>
        <w:t>:</w:t>
      </w:r>
      <w:r>
        <w:rPr>
          <w:rFonts w:ascii="Microsoft YaHei" w:hAnsi="Microsoft YaHei" w:eastAsia="Microsoft YaHei" w:cs="Microsoft YaHei"/>
          <w:color w:val="231F20"/>
          <w:spacing w:val="6"/>
        </w:rPr>
        <w:t>医学版</w:t>
      </w:r>
      <w:r>
        <w:rPr>
          <w:color w:val="231F20"/>
          <w:spacing w:val="6"/>
        </w:rPr>
        <w:t>,2020,17(2</w:t>
      </w:r>
      <w:r>
        <w:rPr>
          <w:color w:val="231F20"/>
          <w:spacing w:val="5"/>
        </w:rPr>
        <w:t>):181-183.</w:t>
      </w:r>
    </w:p>
    <w:p>
      <w:pPr>
        <w:pStyle w:val="BodyText"/>
        <w:ind w:left="429" w:right="73" w:hanging="429"/>
        <w:spacing w:before="40" w:line="232" w:lineRule="auto"/>
        <w:rPr/>
      </w:pPr>
      <w:r>
        <w:rPr>
          <w:color w:val="231F20"/>
          <w:spacing w:val="6"/>
        </w:rPr>
        <w:t>[17]   </w:t>
      </w:r>
      <w:r>
        <w:rPr>
          <w:rFonts w:ascii="Microsoft YaHei" w:hAnsi="Microsoft YaHei" w:eastAsia="Microsoft YaHei" w:cs="Microsoft YaHei"/>
          <w:color w:val="231F20"/>
          <w:spacing w:val="6"/>
        </w:rPr>
        <w:t>邰旭辉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郝微微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刘文惠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color w:val="231F20"/>
          <w:spacing w:val="6"/>
        </w:rPr>
        <w:t>功能性鼻内镜手术九步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法标准化治疗慢性鼻窦炎临床效果及其相关影响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因素分析</w:t>
      </w:r>
      <w:r>
        <w:rPr>
          <w:color w:val="231F20"/>
          <w:spacing w:val="4"/>
        </w:rPr>
        <w:t>[J]. </w:t>
      </w:r>
      <w:r>
        <w:rPr>
          <w:rFonts w:ascii="Microsoft YaHei" w:hAnsi="Microsoft YaHei" w:eastAsia="Microsoft YaHei" w:cs="Microsoft YaHei"/>
          <w:color w:val="231F20"/>
          <w:spacing w:val="4"/>
        </w:rPr>
        <w:t>临床军医杂志</w:t>
      </w:r>
      <w:r>
        <w:rPr>
          <w:color w:val="231F20"/>
          <w:spacing w:val="4"/>
        </w:rPr>
        <w:t>,2022,50(6):608-611.</w:t>
      </w:r>
    </w:p>
    <w:p>
      <w:pPr>
        <w:pStyle w:val="BodyText"/>
        <w:spacing w:before="68" w:line="199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（收稿日期：</w:t>
      </w:r>
      <w:r>
        <w:rPr>
          <w:color w:val="231F20"/>
          <w:spacing w:val="3"/>
        </w:rPr>
        <w:t>2024-07-04</w:t>
      </w:r>
      <w:r>
        <w:rPr>
          <w:rFonts w:ascii="Microsoft YaHei" w:hAnsi="Microsoft YaHei" w:eastAsia="Microsoft YaHei" w:cs="Microsoft YaHei"/>
          <w:color w:val="231F20"/>
          <w:spacing w:val="3"/>
        </w:rPr>
        <w:t>）</w:t>
      </w:r>
    </w:p>
    <w:p>
      <w:pPr>
        <w:spacing w:line="199" w:lineRule="auto"/>
        <w:sectPr>
          <w:type w:val="continuous"/>
          <w:pgSz w:w="11906" w:h="16838"/>
          <w:pgMar w:top="400" w:right="1065" w:bottom="824" w:left="424" w:header="0" w:footer="630" w:gutter="0"/>
          <w:cols w:equalWidth="0" w:num="2">
            <w:col w:w="5647" w:space="100"/>
            <w:col w:w="467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382" w:lineRule="auto"/>
        <w:rPr>
          <w:rFonts w:ascii="Arial"/>
          <w:sz w:val="21"/>
        </w:rPr>
      </w:pPr>
      <w:r>
        <w:pict>
          <v:shape id="_x0000_s30" style="position:absolute;margin-left:35.9179pt;margin-top:-354.53pt;mso-position-vertical-relative:text;mso-position-horizontal-relative:text;width:383.95pt;height:0.85pt;z-index:251671552;" filled="false" strokecolor="#231F20" strokeweight="0.85pt" coordsize="7679,17" coordorigin="0,0" path="m0,8l7678,8e">
            <v:stroke joinstyle="miter" miterlimit="4"/>
          </v:shape>
        </w:pict>
      </w:r>
      <w:r/>
    </w:p>
    <w:p>
      <w:pPr>
        <w:pStyle w:val="BodyText"/>
        <w:ind w:left="632"/>
        <w:spacing w:before="86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（上接第 </w:t>
      </w:r>
      <w:r>
        <w:rPr>
          <w:sz w:val="20"/>
          <w:szCs w:val="20"/>
          <w:color w:val="231F20"/>
          <w:spacing w:val="-5"/>
        </w:rPr>
        <w:t>17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页）</w:t>
      </w:r>
    </w:p>
    <w:p>
      <w:pPr>
        <w:spacing w:line="87" w:lineRule="exact"/>
        <w:rPr/>
      </w:pPr>
      <w:r/>
    </w:p>
    <w:p>
      <w:pPr>
        <w:spacing w:line="87" w:lineRule="exact"/>
        <w:sectPr>
          <w:type w:val="continuous"/>
          <w:pgSz w:w="11906" w:h="16838"/>
          <w:pgMar w:top="400" w:right="1065" w:bottom="824" w:left="424" w:header="0" w:footer="630" w:gutter="0"/>
          <w:cols w:equalWidth="0" w:num="1">
            <w:col w:w="10416" w:space="0"/>
          </w:cols>
        </w:sectPr>
        <w:rPr/>
      </w:pPr>
    </w:p>
    <w:p>
      <w:pPr>
        <w:pStyle w:val="BodyText"/>
        <w:ind w:left="1149" w:right="329" w:hanging="429"/>
        <w:spacing w:before="36" w:line="248" w:lineRule="auto"/>
        <w:rPr/>
      </w:pPr>
      <w:r>
        <w:rPr>
          <w:color w:val="231F20"/>
          <w:spacing w:val="7"/>
        </w:rPr>
        <w:t>[10]   </w:t>
      </w:r>
      <w:r>
        <w:rPr>
          <w:rFonts w:ascii="Microsoft YaHei" w:hAnsi="Microsoft YaHei" w:eastAsia="Microsoft YaHei" w:cs="Microsoft YaHei"/>
          <w:color w:val="231F20"/>
          <w:spacing w:val="7"/>
        </w:rPr>
        <w:t>郭小刚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罗培燕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经脐单孔腹腔镜手术在儿童急性阑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尾炎治疗中的应用效果观察</w:t>
      </w:r>
      <w:r>
        <w:rPr>
          <w:color w:val="231F20"/>
          <w:spacing w:val="7"/>
        </w:rPr>
        <w:t>[J]. </w:t>
      </w:r>
      <w:r>
        <w:rPr>
          <w:rFonts w:ascii="Microsoft YaHei" w:hAnsi="Microsoft YaHei" w:eastAsia="Microsoft YaHei" w:cs="Microsoft YaHei"/>
          <w:color w:val="231F20"/>
          <w:spacing w:val="7"/>
        </w:rPr>
        <w:t>中国急救医学</w:t>
      </w:r>
      <w:r>
        <w:rPr>
          <w:color w:val="231F20"/>
          <w:spacing w:val="7"/>
        </w:rPr>
        <w:t>,</w:t>
      </w:r>
      <w:r>
        <w:rPr>
          <w:color w:val="231F20"/>
          <w:spacing w:val="6"/>
        </w:rPr>
        <w:t>2018,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38(2):121-122.</w:t>
      </w:r>
    </w:p>
    <w:p>
      <w:pPr>
        <w:pStyle w:val="BodyText"/>
        <w:ind w:left="1148" w:right="331" w:hanging="428"/>
        <w:spacing w:before="85" w:line="232" w:lineRule="auto"/>
        <w:rPr/>
      </w:pPr>
      <w:r>
        <w:rPr>
          <w:color w:val="231F20"/>
          <w:spacing w:val="9"/>
        </w:rPr>
        <w:t>[11]   </w:t>
      </w:r>
      <w:r>
        <w:rPr>
          <w:rFonts w:ascii="Microsoft YaHei" w:hAnsi="Microsoft YaHei" w:eastAsia="Microsoft YaHei" w:cs="Microsoft YaHei"/>
          <w:color w:val="231F20"/>
          <w:spacing w:val="9"/>
        </w:rPr>
        <w:t>梁文杰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黎然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冯疆勉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改良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</w:rPr>
        <w:t>Karl</w:t>
      </w:r>
      <w:r>
        <w:rPr>
          <w:color w:val="231F20"/>
          <w:spacing w:val="8"/>
        </w:rPr>
        <w:t>-</w:t>
      </w:r>
      <w:r>
        <w:rPr>
          <w:color w:val="231F20"/>
        </w:rPr>
        <w:t>storz</w:t>
      </w:r>
      <w:r>
        <w:rPr>
          <w:rFonts w:ascii="Microsoft YaHei" w:hAnsi="Microsoft YaHei" w:eastAsia="Microsoft YaHei" w:cs="Microsoft YaHei"/>
          <w:color w:val="231F20"/>
          <w:spacing w:val="8"/>
        </w:rPr>
        <w:t>单孔腹腔镜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手术治疗急性阑尾炎的疗效及对免疫功能和炎症反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应的影响</w:t>
      </w:r>
      <w:r>
        <w:rPr>
          <w:color w:val="231F20"/>
          <w:spacing w:val="4"/>
        </w:rPr>
        <w:t>[J].</w:t>
      </w:r>
      <w:r>
        <w:rPr>
          <w:rFonts w:ascii="Microsoft YaHei" w:hAnsi="Microsoft YaHei" w:eastAsia="Microsoft YaHei" w:cs="Microsoft YaHei"/>
          <w:color w:val="231F20"/>
          <w:spacing w:val="4"/>
        </w:rPr>
        <w:t>临床外科杂志</w:t>
      </w:r>
      <w:r>
        <w:rPr>
          <w:color w:val="231F20"/>
          <w:spacing w:val="4"/>
        </w:rPr>
        <w:t>,2022,30(12):1155-1158.</w:t>
      </w:r>
    </w:p>
    <w:p>
      <w:pPr>
        <w:pStyle w:val="BodyText"/>
        <w:ind w:left="1150" w:right="331" w:hanging="430"/>
        <w:spacing w:before="41" w:line="232" w:lineRule="auto"/>
        <w:rPr/>
      </w:pPr>
      <w:r>
        <w:rPr>
          <w:color w:val="231F20"/>
          <w:spacing w:val="7"/>
        </w:rPr>
        <w:t>[12]   </w:t>
      </w:r>
      <w:r>
        <w:rPr>
          <w:rFonts w:ascii="Microsoft YaHei" w:hAnsi="Microsoft YaHei" w:eastAsia="Microsoft YaHei" w:cs="Microsoft YaHei"/>
          <w:color w:val="231F20"/>
          <w:spacing w:val="7"/>
        </w:rPr>
        <w:t>杜冬梅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刘铭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不同手术方法治疗小儿穿孔性阑尾炎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的效果及对炎症应激反应和免疫功能的影响</w:t>
      </w:r>
      <w:r>
        <w:rPr>
          <w:color w:val="231F20"/>
          <w:spacing w:val="13"/>
        </w:rPr>
        <w:t>[J].</w:t>
      </w:r>
      <w:r>
        <w:rPr>
          <w:rFonts w:ascii="Microsoft YaHei" w:hAnsi="Microsoft YaHei" w:eastAsia="Microsoft YaHei" w:cs="Microsoft YaHei"/>
          <w:color w:val="231F20"/>
          <w:spacing w:val="13"/>
        </w:rPr>
        <w:t>临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床与病理杂志</w:t>
      </w:r>
      <w:r>
        <w:rPr>
          <w:color w:val="231F20"/>
          <w:spacing w:val="5"/>
        </w:rPr>
        <w:t>,2022,42(3):641-646.</w:t>
      </w:r>
    </w:p>
    <w:p>
      <w:pPr>
        <w:pStyle w:val="BodyText"/>
        <w:ind w:left="1147" w:right="330" w:hanging="427"/>
        <w:spacing w:before="41" w:line="248" w:lineRule="auto"/>
        <w:rPr/>
      </w:pPr>
      <w:r>
        <w:rPr>
          <w:color w:val="231F20"/>
          <w:spacing w:val="8"/>
        </w:rPr>
        <w:t>[13]   </w:t>
      </w:r>
      <w:r>
        <w:rPr>
          <w:rFonts w:ascii="Microsoft YaHei" w:hAnsi="Microsoft YaHei" w:eastAsia="Microsoft YaHei" w:cs="Microsoft YaHei"/>
          <w:color w:val="231F20"/>
          <w:spacing w:val="8"/>
        </w:rPr>
        <w:t>丁萌 </w:t>
      </w:r>
      <w:r>
        <w:rPr>
          <w:color w:val="231F20"/>
          <w:spacing w:val="8"/>
        </w:rPr>
        <w:t>.</w:t>
      </w:r>
      <w:r>
        <w:rPr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经脐单孔腔镜手术对急性阑尾炎患儿胃肠功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能恢复及并发症的影响</w:t>
      </w:r>
      <w:r>
        <w:rPr>
          <w:color w:val="231F20"/>
          <w:spacing w:val="13"/>
        </w:rPr>
        <w:t>[J]. </w:t>
      </w:r>
      <w:r>
        <w:rPr>
          <w:rFonts w:ascii="Microsoft YaHei" w:hAnsi="Microsoft YaHei" w:eastAsia="Microsoft YaHei" w:cs="Microsoft YaHei"/>
          <w:color w:val="231F20"/>
          <w:spacing w:val="13"/>
        </w:rPr>
        <w:t>山西医药杂志</w:t>
      </w:r>
      <w:r>
        <w:rPr>
          <w:color w:val="231F20"/>
          <w:spacing w:val="13"/>
        </w:rPr>
        <w:t>,2020,49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(7):839-841.</w:t>
      </w:r>
    </w:p>
    <w:p>
      <w:pPr>
        <w:pStyle w:val="BodyText"/>
        <w:ind w:left="1150" w:right="329" w:hanging="430"/>
        <w:spacing w:before="83" w:line="248" w:lineRule="auto"/>
        <w:rPr/>
      </w:pPr>
      <w:r>
        <w:rPr>
          <w:color w:val="231F20"/>
          <w:spacing w:val="8"/>
        </w:rPr>
        <w:t>[14]   </w:t>
      </w:r>
      <w:r>
        <w:rPr>
          <w:rFonts w:ascii="Microsoft YaHei" w:hAnsi="Microsoft YaHei" w:eastAsia="Microsoft YaHei" w:cs="Microsoft YaHei"/>
          <w:color w:val="231F20"/>
          <w:spacing w:val="8"/>
        </w:rPr>
        <w:t>岳亮 </w:t>
      </w:r>
      <w:r>
        <w:rPr>
          <w:color w:val="231F20"/>
          <w:spacing w:val="8"/>
        </w:rPr>
        <w:t>.</w:t>
      </w:r>
      <w:r>
        <w:rPr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腹腔镜手术与开腹手术治疗小儿穿孔性阑尾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炎的临床疗效比较</w:t>
      </w:r>
      <w:r>
        <w:rPr>
          <w:color w:val="231F20"/>
          <w:spacing w:val="6"/>
        </w:rPr>
        <w:t>[J]. </w:t>
      </w:r>
      <w:r>
        <w:rPr>
          <w:rFonts w:ascii="Microsoft YaHei" w:hAnsi="Microsoft YaHei" w:eastAsia="Microsoft YaHei" w:cs="Microsoft YaHei"/>
          <w:color w:val="231F20"/>
          <w:spacing w:val="6"/>
        </w:rPr>
        <w:t>中国药物与临床</w:t>
      </w:r>
      <w:r>
        <w:rPr>
          <w:color w:val="231F20"/>
          <w:spacing w:val="6"/>
        </w:rPr>
        <w:t>,2021,21(11):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1910-1911.</w:t>
      </w:r>
    </w:p>
    <w:p>
      <w:pPr>
        <w:pStyle w:val="BodyText"/>
        <w:ind w:left="720"/>
        <w:spacing w:before="86" w:line="18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[15]   </w:t>
      </w:r>
      <w:r>
        <w:rPr>
          <w:rFonts w:ascii="Microsoft YaHei" w:hAnsi="Microsoft YaHei" w:eastAsia="Microsoft YaHei" w:cs="Microsoft YaHei"/>
          <w:color w:val="231F20"/>
          <w:spacing w:val="6"/>
        </w:rPr>
        <w:t>李凤珠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山长婷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庄博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腹腔镜与开腹手术治疗穿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8" w:right="68"/>
        <w:spacing w:before="67" w:line="257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15"/>
        </w:rPr>
        <w:t>孔性阑尾炎患儿的临床疗效及对血清 </w:t>
      </w:r>
      <w:r>
        <w:rPr>
          <w:color w:val="231F20"/>
        </w:rPr>
        <w:t>CRP</w:t>
      </w:r>
      <w:r>
        <w:rPr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PCT </w:t>
      </w:r>
      <w:r>
        <w:rPr>
          <w:rFonts w:ascii="Microsoft YaHei" w:hAnsi="Microsoft YaHei" w:eastAsia="Microsoft YaHei" w:cs="Microsoft YaHei"/>
          <w:color w:val="231F20"/>
          <w:spacing w:val="11"/>
        </w:rPr>
        <w:t>水平的影响比较</w:t>
      </w:r>
      <w:r>
        <w:rPr>
          <w:color w:val="231F20"/>
          <w:spacing w:val="11"/>
        </w:rPr>
        <w:t>[J].</w:t>
      </w:r>
      <w:r>
        <w:rPr>
          <w:rFonts w:ascii="Microsoft YaHei" w:hAnsi="Microsoft YaHei" w:eastAsia="Microsoft YaHei" w:cs="Microsoft YaHei"/>
          <w:color w:val="231F20"/>
          <w:spacing w:val="11"/>
        </w:rPr>
        <w:t>现代生物医学进展</w:t>
      </w:r>
      <w:r>
        <w:rPr>
          <w:color w:val="231F20"/>
          <w:spacing w:val="11"/>
        </w:rPr>
        <w:t>,2018,18(7):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1322-1325.</w:t>
      </w:r>
    </w:p>
    <w:p>
      <w:pPr>
        <w:pStyle w:val="BodyText"/>
        <w:ind w:left="427" w:right="70" w:hanging="427"/>
        <w:spacing w:before="21" w:line="232" w:lineRule="auto"/>
        <w:rPr/>
      </w:pPr>
      <w:r>
        <w:rPr>
          <w:color w:val="231F20"/>
          <w:spacing w:val="8"/>
        </w:rPr>
        <w:t>[16]   </w:t>
      </w:r>
      <w:r>
        <w:rPr>
          <w:rFonts w:ascii="Microsoft YaHei" w:hAnsi="Microsoft YaHei" w:eastAsia="Microsoft YaHei" w:cs="Microsoft YaHei"/>
          <w:color w:val="231F20"/>
          <w:spacing w:val="8"/>
        </w:rPr>
        <w:t>王祎波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胡江涛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张小坤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经脐单孔腹腔镜治</w:t>
      </w:r>
      <w:r>
        <w:rPr>
          <w:rFonts w:ascii="Microsoft YaHei" w:hAnsi="Microsoft YaHei" w:eastAsia="Microsoft YaHei" w:cs="Microsoft YaHei"/>
          <w:color w:val="231F20"/>
          <w:spacing w:val="7"/>
        </w:rPr>
        <w:t>疗对小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儿复杂性阑尾炎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7"/>
        </w:rPr>
        <w:t>-6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</w:t>
      </w:r>
      <w:r>
        <w:rPr>
          <w:color w:val="231F20"/>
        </w:rPr>
        <w:t>Cor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及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</w:rPr>
        <w:t>ACTH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的影响</w:t>
      </w:r>
      <w:r>
        <w:rPr>
          <w:color w:val="231F20"/>
          <w:spacing w:val="7"/>
        </w:rPr>
        <w:t>[J].</w:t>
      </w:r>
      <w:r>
        <w:rPr>
          <w:rFonts w:ascii="Microsoft YaHei" w:hAnsi="Microsoft YaHei" w:eastAsia="Microsoft YaHei" w:cs="Microsoft YaHei"/>
          <w:color w:val="231F20"/>
          <w:spacing w:val="6"/>
        </w:rPr>
        <w:t>分子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诊断与治疗杂志</w:t>
      </w:r>
      <w:r>
        <w:rPr>
          <w:color w:val="231F20"/>
          <w:spacing w:val="5"/>
        </w:rPr>
        <w:t>,2023,15(9):1636-1640.</w:t>
      </w:r>
    </w:p>
    <w:p>
      <w:pPr>
        <w:pStyle w:val="BodyText"/>
        <w:ind w:left="430" w:right="70" w:hanging="430"/>
        <w:spacing w:before="40" w:line="232" w:lineRule="auto"/>
        <w:rPr/>
      </w:pPr>
      <w:r>
        <w:rPr>
          <w:color w:val="231F20"/>
          <w:spacing w:val="6"/>
        </w:rPr>
        <w:t>[17]   </w:t>
      </w:r>
      <w:r>
        <w:rPr>
          <w:rFonts w:ascii="Microsoft YaHei" w:hAnsi="Microsoft YaHei" w:eastAsia="Microsoft YaHei" w:cs="Microsoft YaHei"/>
          <w:color w:val="231F20"/>
          <w:spacing w:val="6"/>
        </w:rPr>
        <w:t>崔凯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苏泽满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张鹏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color w:val="231F20"/>
          <w:spacing w:val="6"/>
        </w:rPr>
        <w:t>经脐单孔腹腔镜</w:t>
      </w:r>
      <w:r>
        <w:rPr>
          <w:rFonts w:ascii="Microsoft YaHei" w:hAnsi="Microsoft YaHei" w:eastAsia="Microsoft YaHei" w:cs="Microsoft YaHei"/>
          <w:color w:val="231F20"/>
          <w:spacing w:val="5"/>
        </w:rPr>
        <w:t>与开腹手术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治疗老年化脓性阑尾炎的疗效比较</w:t>
      </w:r>
      <w:r>
        <w:rPr>
          <w:color w:val="231F20"/>
          <w:spacing w:val="13"/>
        </w:rPr>
        <w:t>[J].</w:t>
      </w:r>
      <w:r>
        <w:rPr>
          <w:rFonts w:ascii="Microsoft YaHei" w:hAnsi="Microsoft YaHei" w:eastAsia="Microsoft YaHei" w:cs="Microsoft YaHei"/>
          <w:color w:val="231F20"/>
          <w:spacing w:val="13"/>
        </w:rPr>
        <w:t>广西医科大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学学报</w:t>
      </w:r>
      <w:r>
        <w:rPr>
          <w:color w:val="231F20"/>
          <w:spacing w:val="4"/>
        </w:rPr>
        <w:t>,2019,36(11):1829-1833.</w:t>
      </w:r>
    </w:p>
    <w:p>
      <w:pPr>
        <w:pStyle w:val="BodyText"/>
        <w:ind w:left="430" w:right="70" w:hanging="430"/>
        <w:spacing w:before="41" w:line="232" w:lineRule="auto"/>
        <w:rPr/>
      </w:pPr>
      <w:r>
        <w:rPr>
          <w:color w:val="231F20"/>
          <w:spacing w:val="7"/>
        </w:rPr>
        <w:t>[18]   </w:t>
      </w:r>
      <w:r>
        <w:rPr>
          <w:rFonts w:ascii="Microsoft YaHei" w:hAnsi="Microsoft YaHei" w:eastAsia="Microsoft YaHei" w:cs="Microsoft YaHei"/>
          <w:color w:val="231F20"/>
          <w:spacing w:val="7"/>
        </w:rPr>
        <w:t>刘洋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王星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高明太 </w:t>
      </w:r>
      <w:r>
        <w:rPr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color w:val="231F20"/>
          <w:spacing w:val="7"/>
        </w:rPr>
        <w:t>经脐单孔腹腔镜与传统腹腔镜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手术治疗小儿急性阑尾炎疗效的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分析</w:t>
      </w:r>
      <w:r>
        <w:rPr>
          <w:color w:val="231F20"/>
          <w:spacing w:val="8"/>
        </w:rPr>
        <w:t>[J]. </w:t>
      </w:r>
      <w:r>
        <w:rPr>
          <w:rFonts w:ascii="Microsoft YaHei" w:hAnsi="Microsoft YaHei" w:eastAsia="Microsoft YaHei" w:cs="Microsoft YaHei"/>
          <w:color w:val="231F20"/>
          <w:spacing w:val="8"/>
        </w:rPr>
        <w:t>中华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内分泌外科杂志</w:t>
      </w:r>
      <w:r>
        <w:rPr>
          <w:color w:val="231F20"/>
          <w:spacing w:val="5"/>
        </w:rPr>
        <w:t>,2023,17(1):110-116.</w:t>
      </w:r>
    </w:p>
    <w:p>
      <w:pPr>
        <w:pStyle w:val="BodyText"/>
        <w:ind w:left="427" w:right="68" w:hanging="427"/>
        <w:spacing w:before="40" w:line="248" w:lineRule="auto"/>
        <w:rPr/>
      </w:pPr>
      <w:r>
        <w:rPr>
          <w:color w:val="231F20"/>
          <w:spacing w:val="8"/>
        </w:rPr>
        <w:t>[19]   </w:t>
      </w:r>
      <w:r>
        <w:rPr>
          <w:rFonts w:ascii="Microsoft YaHei" w:hAnsi="Microsoft YaHei" w:eastAsia="Microsoft YaHei" w:cs="Microsoft YaHei"/>
          <w:color w:val="231F20"/>
          <w:spacing w:val="8"/>
        </w:rPr>
        <w:t>刘强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赵晓波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苗家园 </w:t>
      </w:r>
      <w:r>
        <w:rPr>
          <w:color w:val="231F20"/>
          <w:spacing w:val="8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腹腔镜手术治疗</w:t>
      </w:r>
      <w:r>
        <w:rPr>
          <w:rFonts w:ascii="Microsoft YaHei" w:hAnsi="Microsoft YaHei" w:eastAsia="Microsoft YaHei" w:cs="Microsoft YaHei"/>
          <w:color w:val="231F20"/>
          <w:spacing w:val="7"/>
        </w:rPr>
        <w:t>小儿重症阑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尾炎的有效性与安全性分析</w:t>
      </w:r>
      <w:r>
        <w:rPr>
          <w:color w:val="231F20"/>
          <w:spacing w:val="13"/>
        </w:rPr>
        <w:t>[J]. </w:t>
      </w:r>
      <w:r>
        <w:rPr>
          <w:rFonts w:ascii="Microsoft YaHei" w:hAnsi="Microsoft YaHei" w:eastAsia="Microsoft YaHei" w:cs="Microsoft YaHei"/>
          <w:color w:val="231F20"/>
          <w:spacing w:val="13"/>
        </w:rPr>
        <w:t>医学综述</w:t>
      </w:r>
      <w:r>
        <w:rPr>
          <w:color w:val="231F20"/>
          <w:spacing w:val="13"/>
        </w:rPr>
        <w:t>,2021,27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(23):4759-4763.</w:t>
      </w:r>
    </w:p>
    <w:p>
      <w:pPr>
        <w:pStyle w:val="BodyText"/>
        <w:spacing w:before="112" w:line="166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（收稿日期：</w:t>
      </w:r>
      <w:r>
        <w:rPr>
          <w:color w:val="231F20"/>
          <w:spacing w:val="3"/>
        </w:rPr>
        <w:t>2024-07-09</w:t>
      </w:r>
      <w:r>
        <w:rPr>
          <w:rFonts w:ascii="Microsoft YaHei" w:hAnsi="Microsoft YaHei" w:eastAsia="Microsoft YaHei" w:cs="Microsoft YaHei"/>
          <w:color w:val="231F20"/>
          <w:spacing w:val="3"/>
        </w:rPr>
        <w:t>）</w:t>
      </w:r>
    </w:p>
    <w:sectPr>
      <w:type w:val="continuous"/>
      <w:pgSz w:w="11906" w:h="16838"/>
      <w:pgMar w:top="400" w:right="1065" w:bottom="824" w:left="424" w:header="0" w:footer="630" w:gutter="0"/>
      <w:cols w:equalWidth="0" w:num="2">
        <w:col w:w="5649" w:space="100"/>
        <w:col w:w="46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9"/>
      <w:spacing w:line="217" w:lineRule="auto"/>
      <w:rPr>
        <w:rFonts w:ascii="Arial" w:hAnsi="Arial" w:eastAsia="Arial" w:cs="Arial"/>
        <w:sz w:val="15"/>
        <w:szCs w:val="15"/>
      </w:rPr>
    </w:pPr>
    <w:r>
      <w:rPr>
        <w:sz w:val="17"/>
        <w:szCs w:val="17"/>
        <w:color w:val="231F20"/>
        <w:spacing w:val="10"/>
      </w:rPr>
      <w:t>16       </w:t>
    </w:r>
    <w:r>
      <w:rPr>
        <w:rFonts w:ascii="SimHei" w:hAnsi="SimHei" w:eastAsia="SimHei" w:cs="SimHei"/>
        <w:sz w:val="15"/>
        <w:szCs w:val="15"/>
        <w:color w:val="231F20"/>
        <w:spacing w:val="10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24"/>
      </w:rPr>
      <w:t xml:space="preserve">  </w:t>
    </w:r>
    <w:r>
      <w:rPr>
        <w:rFonts w:ascii="Arial" w:hAnsi="Arial" w:eastAsia="Arial" w:cs="Arial"/>
        <w:sz w:val="15"/>
        <w:szCs w:val="15"/>
        <w:color w:val="231F20"/>
      </w:rPr>
      <w:t>China</w:t>
    </w:r>
    <w:r>
      <w:rPr>
        <w:rFonts w:ascii="Arial" w:hAnsi="Arial" w:eastAsia="Arial" w:cs="Arial"/>
        <w:sz w:val="15"/>
        <w:szCs w:val="15"/>
        <w:color w:val="231F20"/>
        <w:spacing w:val="10"/>
      </w:rPr>
      <w:t xml:space="preserve"> &amp;</w:t>
    </w:r>
    <w:r>
      <w:rPr>
        <w:rFonts w:ascii="Arial" w:hAnsi="Arial" w:eastAsia="Arial" w:cs="Arial"/>
        <w:sz w:val="15"/>
        <w:szCs w:val="15"/>
        <w:color w:val="231F20"/>
      </w:rPr>
      <w:t>Foreign</w:t>
    </w:r>
    <w:r>
      <w:rPr>
        <w:rFonts w:ascii="Arial" w:hAnsi="Arial" w:eastAsia="Arial" w:cs="Arial"/>
        <w:sz w:val="15"/>
        <w:szCs w:val="15"/>
        <w:color w:val="231F20"/>
        <w:spacing w:val="20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Medical</w:t>
    </w:r>
    <w:r>
      <w:rPr>
        <w:rFonts w:ascii="Arial" w:hAnsi="Arial" w:eastAsia="Arial" w:cs="Arial"/>
        <w:sz w:val="15"/>
        <w:szCs w:val="15"/>
        <w:color w:val="231F20"/>
        <w:spacing w:val="10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Treatment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94"/>
      <w:spacing w:line="217" w:lineRule="auto"/>
      <w:rPr>
        <w:sz w:val="17"/>
        <w:szCs w:val="17"/>
      </w:rPr>
    </w:pPr>
    <w:r>
      <w:rPr>
        <w:rFonts w:ascii="Arial" w:hAnsi="Arial" w:eastAsia="Arial" w:cs="Arial"/>
        <w:sz w:val="15"/>
        <w:szCs w:val="15"/>
        <w:color w:val="231F20"/>
      </w:rPr>
      <w:t>China</w:t>
    </w:r>
    <w:r>
      <w:rPr>
        <w:rFonts w:ascii="Arial" w:hAnsi="Arial" w:eastAsia="Arial" w:cs="Arial"/>
        <w:sz w:val="15"/>
        <w:szCs w:val="15"/>
        <w:color w:val="231F20"/>
        <w:spacing w:val="13"/>
      </w:rPr>
      <w:t xml:space="preserve"> &amp;</w:t>
    </w:r>
    <w:r>
      <w:rPr>
        <w:rFonts w:ascii="Arial" w:hAnsi="Arial" w:eastAsia="Arial" w:cs="Arial"/>
        <w:sz w:val="15"/>
        <w:szCs w:val="15"/>
        <w:color w:val="231F20"/>
      </w:rPr>
      <w:t>Foreign</w:t>
    </w:r>
    <w:r>
      <w:rPr>
        <w:rFonts w:ascii="Arial" w:hAnsi="Arial" w:eastAsia="Arial" w:cs="Arial"/>
        <w:sz w:val="15"/>
        <w:szCs w:val="15"/>
        <w:color w:val="231F20"/>
        <w:spacing w:val="22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Medical</w:t>
    </w:r>
    <w:r>
      <w:rPr>
        <w:rFonts w:ascii="Arial" w:hAnsi="Arial" w:eastAsia="Arial" w:cs="Arial"/>
        <w:sz w:val="15"/>
        <w:szCs w:val="15"/>
        <w:color w:val="231F20"/>
        <w:spacing w:val="13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Treatment</w:t>
    </w:r>
    <w:r>
      <w:rPr>
        <w:rFonts w:ascii="Arial" w:hAnsi="Arial" w:eastAsia="Arial" w:cs="Arial"/>
        <w:sz w:val="15"/>
        <w:szCs w:val="15"/>
        <w:color w:val="231F20"/>
        <w:spacing w:val="8"/>
      </w:rPr>
      <w:t xml:space="preserve">    </w:t>
    </w:r>
    <w:r>
      <w:rPr>
        <w:rFonts w:ascii="SimHei" w:hAnsi="SimHei" w:eastAsia="SimHei" w:cs="SimHei"/>
        <w:sz w:val="15"/>
        <w:szCs w:val="15"/>
        <w:color w:val="231F20"/>
        <w:spacing w:val="13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13"/>
      </w:rPr>
      <w:t xml:space="preserve">    </w:t>
    </w:r>
    <w:r>
      <w:rPr>
        <w:sz w:val="17"/>
        <w:szCs w:val="17"/>
        <w:color w:val="231F20"/>
        <w:spacing w:val="13"/>
      </w:rPr>
      <w:t>17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4"/>
      <w:spacing w:line="217" w:lineRule="auto"/>
      <w:rPr>
        <w:rFonts w:ascii="Arial" w:hAnsi="Arial" w:eastAsia="Arial" w:cs="Arial"/>
        <w:sz w:val="15"/>
        <w:szCs w:val="15"/>
      </w:rPr>
    </w:pPr>
    <w:r>
      <w:rPr>
        <w:sz w:val="17"/>
        <w:szCs w:val="17"/>
        <w:color w:val="231F20"/>
        <w:spacing w:val="10"/>
      </w:rPr>
      <w:t>22       </w:t>
    </w:r>
    <w:r>
      <w:rPr>
        <w:rFonts w:ascii="SimHei" w:hAnsi="SimHei" w:eastAsia="SimHei" w:cs="SimHei"/>
        <w:sz w:val="15"/>
        <w:szCs w:val="15"/>
        <w:color w:val="231F20"/>
        <w:spacing w:val="10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26"/>
      </w:rPr>
      <w:t xml:space="preserve">  </w:t>
    </w:r>
    <w:r>
      <w:rPr>
        <w:rFonts w:ascii="Arial" w:hAnsi="Arial" w:eastAsia="Arial" w:cs="Arial"/>
        <w:sz w:val="15"/>
        <w:szCs w:val="15"/>
        <w:color w:val="231F20"/>
      </w:rPr>
      <w:t>China</w:t>
    </w:r>
    <w:r>
      <w:rPr>
        <w:rFonts w:ascii="Arial" w:hAnsi="Arial" w:eastAsia="Arial" w:cs="Arial"/>
        <w:sz w:val="15"/>
        <w:szCs w:val="15"/>
        <w:color w:val="231F20"/>
        <w:spacing w:val="10"/>
      </w:rPr>
      <w:t xml:space="preserve"> &amp;</w:t>
    </w:r>
    <w:r>
      <w:rPr>
        <w:rFonts w:ascii="Arial" w:hAnsi="Arial" w:eastAsia="Arial" w:cs="Arial"/>
        <w:sz w:val="15"/>
        <w:szCs w:val="15"/>
        <w:color w:val="231F20"/>
      </w:rPr>
      <w:t>Foreign</w:t>
    </w:r>
    <w:r>
      <w:rPr>
        <w:rFonts w:ascii="Arial" w:hAnsi="Arial" w:eastAsia="Arial" w:cs="Arial"/>
        <w:sz w:val="15"/>
        <w:szCs w:val="15"/>
        <w:color w:val="231F20"/>
        <w:spacing w:val="21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Medical</w:t>
    </w:r>
    <w:r>
      <w:rPr>
        <w:rFonts w:ascii="Arial" w:hAnsi="Arial" w:eastAsia="Arial" w:cs="Arial"/>
        <w:sz w:val="15"/>
        <w:szCs w:val="15"/>
        <w:color w:val="231F20"/>
        <w:spacing w:val="10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Treatment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4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3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2024-12-08T05:30:23Z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2025-10-28T21:32:41</vt:filetime>
  </property>
</Properties>
</file>