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80" w:firstLine="7"/>
        <w:spacing w:before="56" w:line="42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系统医学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 </w:t>
      </w:r>
      <w:r>
        <w:rPr>
          <w:sz w:val="17"/>
          <w:szCs w:val="17"/>
          <w:color w:val="231F20"/>
          <w:spacing w:val="-4"/>
        </w:rPr>
        <w:t>2024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4"/>
        </w:rPr>
        <w:t>12</w:t>
      </w:r>
      <w:r>
        <w:rPr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月第 </w:t>
      </w:r>
      <w:r>
        <w:rPr>
          <w:sz w:val="17"/>
          <w:szCs w:val="17"/>
          <w:color w:val="231F20"/>
          <w:spacing w:val="-4"/>
        </w:rPr>
        <w:t>9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卷第 </w:t>
      </w:r>
      <w:r>
        <w:rPr>
          <w:sz w:val="17"/>
          <w:szCs w:val="17"/>
          <w:color w:val="231F20"/>
          <w:spacing w:val="-4"/>
        </w:rPr>
        <w:t>23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期   </w:t>
      </w:r>
      <w:r>
        <w:rPr>
          <w:rFonts w:ascii="Microsoft YaHei" w:hAnsi="Microsoft YaHei" w:eastAsia="Microsoft YaHei" w:cs="Microsoft YaHei"/>
          <w:sz w:val="17"/>
          <w:szCs w:val="17"/>
          <w:strike/>
          <w:color w:val="231F20"/>
          <w:spacing w:val="1"/>
        </w:rPr>
        <w:t xml:space="preserve">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strike/>
          <w:color w:val="231F20"/>
        </w:rPr>
        <w:t xml:space="preserve">                  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 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-2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71"/>
          <w:position w:val="-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论著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-2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position w:val="-2"/>
        </w:rPr>
        <w:t xml:space="preserve"> </w:t>
      </w:r>
      <w:r>
        <w:rPr>
          <w:sz w:val="17"/>
          <w:szCs w:val="17"/>
          <w:color w:val="231F20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：</w:t>
      </w:r>
      <w:r>
        <w:rPr>
          <w:sz w:val="17"/>
          <w:szCs w:val="17"/>
          <w:color w:val="231F20"/>
          <w:spacing w:val="3"/>
        </w:rPr>
        <w:t>10.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3"/>
        </w:rPr>
        <w:t>19368/j.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3"/>
        </w:rPr>
        <w:t>.2096-1</w:t>
      </w:r>
      <w:r>
        <w:rPr>
          <w:sz w:val="17"/>
          <w:szCs w:val="17"/>
          <w:color w:val="231F20"/>
          <w:spacing w:val="2"/>
        </w:rPr>
        <w:t>782.2024.23.015</w:t>
      </w:r>
    </w:p>
    <w:p>
      <w:pPr>
        <w:ind w:left="1096"/>
        <w:spacing w:before="248" w:line="183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7"/>
        </w:rPr>
        <w:t>肝素结合蛋白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7"/>
        </w:rPr>
        <w:t>、血常规在急性阑尾炎中的早期</w:t>
      </w:r>
    </w:p>
    <w:p>
      <w:pPr>
        <w:ind w:left="4766"/>
        <w:spacing w:before="22" w:line="183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15"/>
        </w:rPr>
        <w:t>诊断价值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4958"/>
        <w:spacing w:before="73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沈雯，冯晓斌，高蕾</w:t>
      </w:r>
    </w:p>
    <w:p>
      <w:pPr>
        <w:pStyle w:val="BodyText"/>
        <w:ind w:left="3608"/>
        <w:spacing w:before="83" w:line="203" w:lineRule="auto"/>
        <w:rPr/>
      </w:pPr>
      <w:r>
        <w:rPr>
          <w:rFonts w:ascii="Microsoft YaHei" w:hAnsi="Microsoft YaHei" w:eastAsia="Microsoft YaHei" w:cs="Microsoft YaHei"/>
          <w:color w:val="231F20"/>
          <w:spacing w:val="7"/>
        </w:rPr>
        <w:t>江南大学附属儿童医院检验科，江苏 无锡</w:t>
      </w:r>
      <w:r>
        <w:rPr>
          <w:rFonts w:ascii="Microsoft YaHei" w:hAnsi="Microsoft YaHei" w:eastAsia="Microsoft YaHei" w:cs="Microsoft YaHei"/>
          <w:color w:val="231F20"/>
          <w:spacing w:val="30"/>
          <w:w w:val="101"/>
        </w:rPr>
        <w:t xml:space="preserve">  </w:t>
      </w:r>
      <w:r>
        <w:rPr>
          <w:color w:val="231F20"/>
          <w:spacing w:val="7"/>
        </w:rPr>
        <w:t>214000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222" w:right="402" w:firstLine="82"/>
        <w:spacing w:before="78" w:line="262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color w:val="231F20"/>
          <w:spacing w:val="-1"/>
        </w:rPr>
        <w:t>摘要</w:t>
      </w:r>
      <w:r>
        <w:rPr>
          <w:color w:val="231F20"/>
          <w:spacing w:val="-1"/>
        </w:rPr>
        <w:t>]  </w:t>
      </w:r>
      <w:r>
        <w:rPr>
          <w:rFonts w:ascii="SimHei" w:hAnsi="SimHei" w:eastAsia="SimHei" w:cs="SimHei"/>
          <w:color w:val="231F20"/>
          <w:spacing w:val="-1"/>
        </w:rPr>
        <w:t>目的</w:t>
      </w:r>
      <w:r>
        <w:rPr>
          <w:rFonts w:ascii="SimHei" w:hAnsi="SimHei" w:eastAsia="SimHei" w:cs="Sim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探讨肝素结合蛋白（</w:t>
      </w:r>
      <w:r>
        <w:rPr>
          <w:color w:val="231F20"/>
          <w:spacing w:val="-1"/>
        </w:rPr>
        <w:t>heparin-binding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protei</w:t>
      </w:r>
      <w:r>
        <w:rPr>
          <w:color w:val="231F20"/>
          <w:spacing w:val="-2"/>
        </w:rPr>
        <w:t>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HBP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</w:t>
      </w:r>
      <w:r>
        <w:rPr>
          <w:color w:val="231F20"/>
          <w:spacing w:val="-2"/>
        </w:rPr>
        <w:t>C </w:t>
      </w:r>
      <w:r>
        <w:rPr>
          <w:rFonts w:ascii="Microsoft YaHei" w:hAnsi="Microsoft YaHei" w:eastAsia="Microsoft YaHei" w:cs="Microsoft YaHei"/>
          <w:color w:val="231F20"/>
          <w:spacing w:val="-2"/>
        </w:rPr>
        <w:t>反应蛋白（</w:t>
      </w:r>
      <w:r>
        <w:rPr>
          <w:color w:val="231F20"/>
          <w:spacing w:val="-2"/>
        </w:rPr>
        <w:t>C-reactive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protein,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）、白细胞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white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cell,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WBC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）、中性粒细胞百分比（</w:t>
      </w:r>
      <w:r>
        <w:rPr>
          <w:color w:val="231F20"/>
          <w:spacing w:val="-2"/>
        </w:rPr>
        <w:t>neutrophilic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granulocyte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percentage,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NE</w:t>
      </w:r>
      <w:r>
        <w:rPr>
          <w:rFonts w:ascii="Microsoft YaHei" w:hAnsi="Microsoft YaHei" w:eastAsia="Microsoft YaHei" w:cs="Microsoft YaHei"/>
          <w:color w:val="231F20"/>
          <w:spacing w:val="-2"/>
        </w:rPr>
        <w:t>）、淋巴细胞百分比（</w:t>
      </w:r>
      <w:r>
        <w:rPr>
          <w:color w:val="231F20"/>
          <w:spacing w:val="-2"/>
        </w:rPr>
        <w:t>lym⁃</w:t>
      </w:r>
      <w:r>
        <w:rPr>
          <w:color w:val="231F20"/>
        </w:rPr>
        <w:t xml:space="preserve">  </w:t>
      </w:r>
      <w:r>
        <w:rPr>
          <w:color w:val="231F20"/>
        </w:rPr>
        <w:t>phocyte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percentage</w:t>
      </w:r>
      <w:r>
        <w:rPr>
          <w:color w:val="231F20"/>
          <w:spacing w:val="4"/>
        </w:rPr>
        <w:t>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LY</w:t>
      </w:r>
      <w:r>
        <w:rPr>
          <w:rFonts w:ascii="Microsoft YaHei" w:hAnsi="Microsoft YaHei" w:eastAsia="Microsoft YaHei" w:cs="Microsoft YaHei"/>
          <w:color w:val="231F20"/>
          <w:spacing w:val="4"/>
        </w:rPr>
        <w:t>）对儿童急性阑尾炎的早期诊断价值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。</w:t>
      </w:r>
      <w:r>
        <w:rPr>
          <w:rFonts w:ascii="SimHei" w:hAnsi="SimHei" w:eastAsia="SimHei" w:cs="SimHei"/>
          <w:color w:val="231F20"/>
          <w:spacing w:val="4"/>
        </w:rPr>
        <w:t>方法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回顾性选取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4"/>
        </w:rPr>
        <w:t>2022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年 </w:t>
      </w:r>
      <w:r>
        <w:rPr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color w:val="231F20"/>
          <w:spacing w:val="4"/>
        </w:rPr>
        <w:t>月—</w:t>
      </w:r>
      <w:r>
        <w:rPr>
          <w:color w:val="231F20"/>
          <w:spacing w:val="4"/>
        </w:rPr>
        <w:t>2023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4"/>
        </w:rPr>
        <w:t>6 </w:t>
      </w:r>
      <w:r>
        <w:rPr>
          <w:rFonts w:ascii="Microsoft YaHei" w:hAnsi="Microsoft YaHei" w:eastAsia="Microsoft YaHei" w:cs="Microsoft YaHei"/>
          <w:color w:val="231F20"/>
          <w:spacing w:val="4"/>
        </w:rPr>
        <w:t>月江南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大学附属儿童医院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6"/>
        </w:rPr>
        <w:t>210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例因腹痛住院患儿的临床资料，根据患儿病情分为急性阑尾炎组（</w:t>
      </w:r>
      <w:r>
        <w:rPr>
          <w:color w:val="231F20"/>
          <w:spacing w:val="5"/>
        </w:rPr>
        <w:t>110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例）、健康人群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6"/>
        </w:rPr>
        <w:t>组（</w:t>
      </w:r>
      <w:r>
        <w:rPr>
          <w:color w:val="231F20"/>
          <w:spacing w:val="-6"/>
        </w:rPr>
        <w:t>100 </w:t>
      </w:r>
      <w:r>
        <w:rPr>
          <w:rFonts w:ascii="Microsoft YaHei" w:hAnsi="Microsoft YaHei" w:eastAsia="Microsoft YaHei" w:cs="Microsoft YaHei"/>
          <w:color w:val="231F20"/>
          <w:spacing w:val="-6"/>
        </w:rPr>
        <w:t>例）。  比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较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两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患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儿 </w:t>
      </w:r>
      <w:r>
        <w:rPr>
          <w:color w:val="231F20"/>
          <w:spacing w:val="-6"/>
        </w:rPr>
        <w:t>HBP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CRP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WBC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NE</w:t>
      </w:r>
      <w:r>
        <w:rPr>
          <w:rFonts w:ascii="Microsoft YaHei" w:hAnsi="Microsoft YaHei" w:eastAsia="Microsoft YaHei" w:cs="Microsoft YaHei"/>
          <w:color w:val="231F20"/>
          <w:spacing w:val="-6"/>
        </w:rPr>
        <w:t>、</w:t>
      </w:r>
      <w:r>
        <w:rPr>
          <w:color w:val="231F20"/>
          <w:spacing w:val="-6"/>
        </w:rPr>
        <w:t>LY </w:t>
      </w:r>
      <w:r>
        <w:rPr>
          <w:rFonts w:ascii="Microsoft YaHei" w:hAnsi="Microsoft YaHei" w:eastAsia="Microsoft YaHei" w:cs="Microsoft YaHei"/>
          <w:color w:val="231F20"/>
          <w:spacing w:val="-6"/>
        </w:rPr>
        <w:t>及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红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细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胞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分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布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宽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度（</w:t>
      </w:r>
      <w:r>
        <w:rPr>
          <w:color w:val="231F20"/>
          <w:spacing w:val="-6"/>
        </w:rPr>
        <w:t>red  blood </w:t>
      </w:r>
      <w:r>
        <w:rPr>
          <w:color w:val="231F20"/>
          <w:spacing w:val="-7"/>
        </w:rPr>
        <w:t xml:space="preserve"> cell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distribution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width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4"/>
        </w:rPr>
        <w:t>RDW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）、血小板分布宽度（</w:t>
      </w:r>
      <w:r>
        <w:rPr>
          <w:color w:val="231F20"/>
          <w:spacing w:val="-4"/>
        </w:rPr>
        <w:t>platelet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distribution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width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PDW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）、平均血小板体积（</w:t>
      </w:r>
      <w:r>
        <w:rPr>
          <w:color w:val="231F20"/>
          <w:spacing w:val="-4"/>
        </w:rPr>
        <w:t>mean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platelet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volume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5"/>
        </w:rPr>
        <w:t>MPV</w:t>
      </w:r>
      <w:r>
        <w:rPr>
          <w:rFonts w:ascii="Microsoft YaHei" w:hAnsi="Microsoft YaHei" w:eastAsia="Microsoft YaHei" w:cs="Microsoft YaHei"/>
          <w:color w:val="231F20"/>
          <w:spacing w:val="-5"/>
        </w:rPr>
        <w:t>）水平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的差异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，评估上述指标和联合指标对儿童急性阑尾炎的早期</w:t>
      </w:r>
      <w:r>
        <w:rPr>
          <w:rFonts w:ascii="Microsoft YaHei" w:hAnsi="Microsoft YaHei" w:eastAsia="Microsoft YaHei" w:cs="Microsoft YaHei"/>
          <w:color w:val="231F20"/>
          <w:spacing w:val="15"/>
        </w:rPr>
        <w:t>诊断价值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。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5"/>
        </w:rPr>
        <w:t>结果</w:t>
      </w:r>
      <w:r>
        <w:rPr>
          <w:rFonts w:ascii="SimHei" w:hAnsi="SimHei" w:eastAsia="SimHei" w:cs="Sim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急性阑尾炎组 </w:t>
      </w:r>
      <w:r>
        <w:rPr>
          <w:color w:val="231F20"/>
        </w:rPr>
        <w:t>HBP</w:t>
      </w:r>
      <w:r>
        <w:rPr>
          <w:rFonts w:ascii="Microsoft YaHei" w:hAnsi="Microsoft YaHei" w:eastAsia="Microsoft YaHei" w:cs="Microsoft YaHei"/>
          <w:color w:val="231F20"/>
          <w:spacing w:val="15"/>
        </w:rPr>
        <w:t>、</w:t>
      </w:r>
      <w:r>
        <w:rPr>
          <w:color w:val="231F20"/>
        </w:rPr>
        <w:t>CRP</w:t>
      </w:r>
      <w:r>
        <w:rPr>
          <w:rFonts w:ascii="Microsoft YaHei" w:hAnsi="Microsoft YaHei" w:eastAsia="Microsoft YaHei" w:cs="Microsoft YaHei"/>
          <w:color w:val="231F20"/>
          <w:spacing w:val="15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WBC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color w:val="231F20"/>
        </w:rPr>
        <w:t>NE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水平高于健康人群组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，急性阑尾炎组 </w:t>
      </w:r>
      <w:r>
        <w:rPr>
          <w:color w:val="231F20"/>
        </w:rPr>
        <w:t>LY</w:t>
      </w:r>
      <w:r>
        <w:rPr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水平低于健康人群组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，差异有统计学意义（</w:t>
      </w:r>
      <w:r>
        <w:rPr>
          <w:rFonts w:ascii="Arial" w:hAnsi="Arial" w:eastAsia="Arial" w:cs="Arial"/>
          <w:i/>
          <w:iCs/>
          <w:color w:val="231F20"/>
          <w:spacing w:val="5"/>
        </w:rPr>
        <w:t>P </w:t>
      </w:r>
      <w:r>
        <w:rPr>
          <w:rFonts w:ascii="Microsoft YaHei" w:hAnsi="Microsoft YaHei" w:eastAsia="Microsoft YaHei" w:cs="Microsoft YaHei"/>
          <w:color w:val="231F20"/>
          <w:spacing w:val="5"/>
        </w:rPr>
        <w:t>均</w:t>
      </w:r>
      <w:r>
        <w:rPr>
          <w:color w:val="231F20"/>
          <w:spacing w:val="5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5"/>
        </w:rPr>
        <w:t>）。</w:t>
      </w:r>
    </w:p>
    <w:p>
      <w:pPr>
        <w:pStyle w:val="BodyText"/>
        <w:ind w:left="1296" w:right="416" w:firstLine="4"/>
        <w:spacing w:line="260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ROC</w:t>
      </w:r>
      <w:r>
        <w:rPr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曲线显示，</w:t>
      </w:r>
      <w:r>
        <w:rPr>
          <w:color w:val="231F20"/>
          <w:spacing w:val="-4"/>
        </w:rPr>
        <w:t>HBP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CRP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WBC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NE</w:t>
      </w:r>
      <w:r>
        <w:rPr>
          <w:rFonts w:ascii="Microsoft YaHei" w:hAnsi="Microsoft YaHei" w:eastAsia="Microsoft YaHei" w:cs="Microsoft YaHei"/>
          <w:color w:val="231F20"/>
          <w:spacing w:val="-4"/>
        </w:rPr>
        <w:t>、</w:t>
      </w:r>
      <w:r>
        <w:rPr>
          <w:color w:val="231F20"/>
          <w:spacing w:val="-4"/>
        </w:rPr>
        <w:t>LY </w:t>
      </w:r>
      <w:r>
        <w:rPr>
          <w:rFonts w:ascii="Microsoft YaHei" w:hAnsi="Microsoft YaHei" w:eastAsia="Microsoft YaHei" w:cs="Microsoft YaHei"/>
          <w:color w:val="231F20"/>
          <w:spacing w:val="-4"/>
        </w:rPr>
        <w:t>联合检测在所有检测中诊断急性阑尾炎的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4"/>
        </w:rPr>
        <w:t>AUC </w:t>
      </w:r>
      <w:r>
        <w:rPr>
          <w:rFonts w:ascii="Microsoft YaHei" w:hAnsi="Microsoft YaHei" w:eastAsia="Microsoft YaHei" w:cs="Microsoft YaHei"/>
          <w:color w:val="231F20"/>
          <w:spacing w:val="-4"/>
        </w:rPr>
        <w:t>最高，</w:t>
      </w:r>
      <w:r>
        <w:rPr>
          <w:color w:val="231F20"/>
          <w:spacing w:val="-4"/>
        </w:rPr>
        <w:t>AU</w:t>
      </w:r>
      <w:r>
        <w:rPr>
          <w:color w:val="231F20"/>
          <w:spacing w:val="-5"/>
        </w:rPr>
        <w:t>C </w:t>
      </w:r>
      <w:r>
        <w:rPr>
          <w:rFonts w:ascii="Microsoft YaHei" w:hAnsi="Microsoft YaHei" w:eastAsia="Microsoft YaHei" w:cs="Microsoft YaHei"/>
          <w:color w:val="231F20"/>
          <w:spacing w:val="-5"/>
        </w:rPr>
        <w:t>为</w:t>
      </w:r>
      <w:r>
        <w:rPr>
          <w:color w:val="231F20"/>
          <w:spacing w:val="-5"/>
        </w:rPr>
        <w:t>0.933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灵敏度为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color w:val="231F20"/>
          <w:spacing w:val="-5"/>
        </w:rPr>
        <w:t>84.5%</w:t>
      </w:r>
      <w:r>
        <w:rPr>
          <w:rFonts w:ascii="Microsoft YaHei" w:hAnsi="Microsoft YaHei" w:eastAsia="Microsoft YaHei" w:cs="Microsoft YaHei"/>
          <w:color w:val="231F20"/>
          <w:spacing w:val="-5"/>
        </w:rPr>
        <w:t>，特异度为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5"/>
        </w:rPr>
        <w:t>90.0%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。</w:t>
      </w:r>
      <w:r>
        <w:rPr>
          <w:rFonts w:ascii="SimHei" w:hAnsi="SimHei" w:eastAsia="SimHei" w:cs="SimHei"/>
          <w:color w:val="231F20"/>
          <w:spacing w:val="-5"/>
        </w:rPr>
        <w:t>结论</w:t>
      </w:r>
      <w:r>
        <w:rPr>
          <w:rFonts w:ascii="SimHei" w:hAnsi="SimHei" w:eastAsia="SimHei" w:cs="Sim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急性阑尾炎患儿中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-5"/>
        </w:rPr>
        <w:t>HBP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CRP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WBC</w:t>
      </w:r>
      <w:r>
        <w:rPr>
          <w:rFonts w:ascii="Microsoft YaHei" w:hAnsi="Microsoft YaHei" w:eastAsia="Microsoft YaHei" w:cs="Microsoft YaHei"/>
          <w:color w:val="231F20"/>
          <w:spacing w:val="-5"/>
        </w:rPr>
        <w:t>、</w:t>
      </w:r>
      <w:r>
        <w:rPr>
          <w:color w:val="231F20"/>
          <w:spacing w:val="-5"/>
        </w:rPr>
        <w:t>NE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在体内呈高水平状态，</w:t>
      </w:r>
      <w:r>
        <w:rPr>
          <w:color w:val="231F20"/>
          <w:spacing w:val="-5"/>
        </w:rPr>
        <w:t>LY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在体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内呈低水平状态，</w:t>
      </w:r>
      <w:r>
        <w:rPr>
          <w:color w:val="231F20"/>
          <w:spacing w:val="4"/>
        </w:rPr>
        <w:t>5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项指标联合检测对患儿急性阑尾炎的早期诊治具有重要的指导意义。</w:t>
      </w:r>
    </w:p>
    <w:p>
      <w:pPr>
        <w:pStyle w:val="BodyText"/>
        <w:ind w:left="1305"/>
        <w:spacing w:before="2" w:line="195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[</w:t>
      </w:r>
      <w:r>
        <w:rPr>
          <w:rFonts w:ascii="SimHei" w:hAnsi="SimHei" w:eastAsia="SimHei" w:cs="SimHei"/>
          <w:color w:val="231F20"/>
        </w:rPr>
        <w:t>关键词</w:t>
      </w:r>
      <w:r>
        <w:rPr>
          <w:color w:val="231F20"/>
        </w:rPr>
        <w:t>]</w:t>
      </w:r>
      <w:r>
        <w:rPr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急性阑尾炎；肝素结合蛋白；</w:t>
      </w:r>
      <w:r>
        <w:rPr>
          <w:color w:val="231F20"/>
        </w:rPr>
        <w:t>C</w:t>
      </w:r>
      <w:r>
        <w:rPr>
          <w:rFonts w:ascii="Microsoft YaHei" w:hAnsi="Microsoft YaHei" w:eastAsia="Microsoft YaHei" w:cs="Microsoft YaHei"/>
          <w:color w:val="231F20"/>
        </w:rPr>
        <w:t>反</w:t>
      </w:r>
      <w:r>
        <w:rPr>
          <w:rFonts w:ascii="Microsoft YaHei" w:hAnsi="Microsoft YaHei" w:eastAsia="Microsoft YaHei" w:cs="Microsoft YaHei"/>
          <w:color w:val="231F20"/>
          <w:spacing w:val="-1"/>
        </w:rPr>
        <w:t>应蛋白；白细胞</w:t>
      </w:r>
    </w:p>
    <w:p>
      <w:pPr>
        <w:pStyle w:val="BodyText"/>
        <w:ind w:left="1305"/>
        <w:spacing w:before="84" w:line="224" w:lineRule="auto"/>
        <w:rPr/>
      </w:pPr>
      <w:r>
        <w:rPr>
          <w:color w:val="231F20"/>
          <w:spacing w:val="7"/>
        </w:rPr>
        <w:t>[</w:t>
      </w:r>
      <w:r>
        <w:rPr>
          <w:rFonts w:ascii="SimHei" w:hAnsi="SimHei" w:eastAsia="SimHei" w:cs="SimHei"/>
          <w:color w:val="231F20"/>
          <w:spacing w:val="7"/>
        </w:rPr>
        <w:t>中图分类号</w:t>
      </w:r>
      <w:r>
        <w:rPr>
          <w:color w:val="231F20"/>
          <w:spacing w:val="7"/>
        </w:rPr>
        <w:t>]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R4           [</w:t>
      </w:r>
      <w:r>
        <w:rPr>
          <w:rFonts w:ascii="SimHei" w:hAnsi="SimHei" w:eastAsia="SimHei" w:cs="SimHei"/>
          <w:color w:val="231F20"/>
          <w:spacing w:val="7"/>
        </w:rPr>
        <w:t>文献标识码</w:t>
      </w:r>
      <w:r>
        <w:rPr>
          <w:color w:val="231F20"/>
          <w:spacing w:val="6"/>
        </w:rPr>
        <w:t>] A           [</w:t>
      </w:r>
      <w:r>
        <w:rPr>
          <w:rFonts w:ascii="SimHei" w:hAnsi="SimHei" w:eastAsia="SimHei" w:cs="SimHei"/>
          <w:color w:val="231F20"/>
          <w:spacing w:val="6"/>
        </w:rPr>
        <w:t>文章编号</w:t>
      </w:r>
      <w:r>
        <w:rPr>
          <w:color w:val="231F20"/>
          <w:spacing w:val="6"/>
        </w:rPr>
        <w:t>] 2096-1782</w:t>
      </w:r>
      <w:r>
        <w:rPr>
          <w:rFonts w:ascii="SimHei" w:hAnsi="SimHei" w:eastAsia="SimHei" w:cs="SimHei"/>
          <w:color w:val="231F20"/>
          <w:spacing w:val="6"/>
        </w:rPr>
        <w:t>（</w:t>
      </w:r>
      <w:r>
        <w:rPr>
          <w:color w:val="231F20"/>
          <w:spacing w:val="6"/>
        </w:rPr>
        <w:t>2024</w:t>
      </w:r>
      <w:r>
        <w:rPr>
          <w:rFonts w:ascii="SimHei" w:hAnsi="SimHei" w:eastAsia="SimHei" w:cs="SimHei"/>
          <w:color w:val="231F20"/>
          <w:spacing w:val="6"/>
        </w:rPr>
        <w:t>）</w:t>
      </w:r>
      <w:r>
        <w:rPr>
          <w:color w:val="231F20"/>
          <w:spacing w:val="6"/>
        </w:rPr>
        <w:t>12(a)-0015-04</w:t>
      </w:r>
    </w:p>
    <w:p>
      <w:pPr>
        <w:spacing w:line="458" w:lineRule="auto"/>
        <w:rPr>
          <w:rFonts w:ascii="Arial"/>
          <w:sz w:val="21"/>
        </w:rPr>
      </w:pPr>
      <w:r/>
    </w:p>
    <w:p>
      <w:pPr>
        <w:pStyle w:val="BodyText"/>
        <w:ind w:left="1300" w:right="477" w:hanging="2"/>
        <w:spacing w:before="75" w:line="321" w:lineRule="auto"/>
        <w:rPr>
          <w:sz w:val="26"/>
          <w:szCs w:val="26"/>
        </w:rPr>
      </w:pPr>
      <w:r>
        <w:rPr>
          <w:sz w:val="26"/>
          <w:szCs w:val="26"/>
          <w:color w:val="231F20"/>
          <w:spacing w:val="13"/>
        </w:rPr>
        <w:t>Early  Diagnostic  Value  of  Heparin-binding  Protein,  C-reactive  Pro</w:t>
      </w:r>
      <w:r>
        <w:rPr>
          <w:sz w:val="26"/>
          <w:szCs w:val="26"/>
          <w:color w:val="231F20"/>
          <w:spacing w:val="12"/>
        </w:rPr>
        <w:t>tein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1"/>
        </w:rPr>
        <w:t>and Blood Routine</w:t>
      </w:r>
      <w:r>
        <w:rPr>
          <w:sz w:val="26"/>
          <w:szCs w:val="26"/>
          <w:color w:val="231F20"/>
          <w:spacing w:val="17"/>
        </w:rPr>
        <w:t xml:space="preserve"> </w:t>
      </w:r>
      <w:r>
        <w:rPr>
          <w:sz w:val="26"/>
          <w:szCs w:val="26"/>
          <w:color w:val="231F20"/>
          <w:spacing w:val="11"/>
        </w:rPr>
        <w:t>in Acute</w:t>
      </w:r>
      <w:r>
        <w:rPr>
          <w:sz w:val="26"/>
          <w:szCs w:val="26"/>
          <w:color w:val="231F20"/>
          <w:spacing w:val="15"/>
        </w:rPr>
        <w:t xml:space="preserve"> </w:t>
      </w:r>
      <w:r>
        <w:rPr>
          <w:sz w:val="26"/>
          <w:szCs w:val="26"/>
          <w:color w:val="231F20"/>
          <w:spacing w:val="11"/>
        </w:rPr>
        <w:t>Ap</w:t>
      </w:r>
      <w:r>
        <w:rPr>
          <w:sz w:val="26"/>
          <w:szCs w:val="26"/>
          <w:color w:val="231F20"/>
          <w:spacing w:val="10"/>
        </w:rPr>
        <w:t>pendicitis</w:t>
      </w:r>
    </w:p>
    <w:p>
      <w:pPr>
        <w:ind w:left="1294"/>
        <w:spacing w:before="27" w:line="19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SHEN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Wen,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  <w:w w:val="97"/>
        </w:rPr>
        <w:t>FENG Xiaobin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  <w:w w:val="97"/>
        </w:rPr>
        <w:t>,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  <w:w w:val="97"/>
        </w:rPr>
        <w:t>GAO Lei</w:t>
      </w:r>
    </w:p>
    <w:p>
      <w:pPr>
        <w:pStyle w:val="BodyText"/>
        <w:ind w:left="1300"/>
        <w:spacing w:before="137" w:line="232" w:lineRule="auto"/>
        <w:rPr/>
      </w:pPr>
      <w:r>
        <w:rPr>
          <w:color w:val="231F20"/>
        </w:rPr>
        <w:t>Laboratory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Department,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Affiliated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Children/s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 Jiangnan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Univer</w:t>
      </w:r>
      <w:r>
        <w:rPr>
          <w:color w:val="231F20"/>
          <w:spacing w:val="-1"/>
        </w:rPr>
        <w:t>sity,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Wuxi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214000, Jiangsu,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China</w:t>
      </w:r>
    </w:p>
    <w:p>
      <w:pPr>
        <w:pStyle w:val="BodyText"/>
        <w:ind w:left="1297" w:right="472" w:firstLine="8"/>
        <w:spacing w:before="135" w:line="387" w:lineRule="auto"/>
        <w:rPr/>
      </w:pPr>
      <w:r>
        <w:pict>
          <v:shape id="_x0000_s2" style="position:absolute;margin-left:43.7941pt;margin-top:217.316pt;mso-position-vertical-relative:text;mso-position-horizontal-relative:text;width:173.3pt;height:0.4pt;z-index:251658240;" filled="false" strokecolor="#231F20" strokeweight="0.37pt" coordsize="3466,8" coordorigin="0,0" path="m0,3l3465,3e">
            <v:stroke joinstyle="miter" miterlimit="4"/>
          </v:shape>
        </w:pict>
      </w:r>
      <w:r>
        <w:rPr>
          <w:color w:val="231F20"/>
          <w:spacing w:val="4"/>
        </w:rPr>
        <w:t>[</w:t>
      </w:r>
      <w:r>
        <w:rPr>
          <w:color w:val="231F20"/>
        </w:rPr>
        <w:t>Abstract</w:t>
      </w:r>
      <w:r>
        <w:rPr>
          <w:color w:val="231F20"/>
          <w:spacing w:val="4"/>
        </w:rPr>
        <w:t>]  </w:t>
      </w:r>
      <w:r>
        <w:rPr>
          <w:color w:val="231F20"/>
        </w:rPr>
        <w:t>Objective</w:t>
      </w:r>
      <w:r>
        <w:rPr>
          <w:color w:val="231F20"/>
          <w:spacing w:val="6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investigate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value  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binding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4"/>
        </w:rPr>
        <w:t xml:space="preserve">  (</w:t>
      </w:r>
      <w:r>
        <w:rPr>
          <w:color w:val="231F20"/>
        </w:rPr>
        <w:t>HBP</w:t>
      </w:r>
      <w:r>
        <w:rPr>
          <w:color w:val="231F20"/>
          <w:spacing w:val="4"/>
        </w:rPr>
        <w:t>),  C-</w:t>
      </w:r>
      <w:r>
        <w:rPr>
          <w:color w:val="231F20"/>
        </w:rPr>
        <w:t>reactive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protein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4"/>
        </w:rPr>
        <w:t>(</w:t>
      </w:r>
      <w:r>
        <w:rPr>
          <w:color w:val="231F20"/>
        </w:rPr>
        <w:t>CRP</w:t>
      </w:r>
      <w:r>
        <w:rPr>
          <w:color w:val="231F20"/>
          <w:spacing w:val="4"/>
        </w:rPr>
        <w:t>),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white </w:t>
      </w:r>
      <w:r>
        <w:rPr>
          <w:color w:val="231F20"/>
          <w:spacing w:val="-1"/>
        </w:rPr>
        <w:t>blood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cell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(WBC),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neutrophil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percentage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(NE)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lymphocyte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percentage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(LY)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of 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>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210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hospitalized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abdominal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>/</w:t>
      </w:r>
      <w:r>
        <w:rPr>
          <w:color w:val="231F20"/>
        </w:rPr>
        <w:t>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Affili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ated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Jiangnan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University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January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"/>
        </w:rPr>
        <w:t>022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June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2023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retrospectively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collected,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divided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(110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cases)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(100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cases)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their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condition.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levels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HBP,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WBC,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NE,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LY,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blood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cell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width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(RDW),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platelet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width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(PDW)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mean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platelet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vol⁃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ume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1"/>
        </w:rPr>
        <w:t>(MPV)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groups.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Evaluate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1"/>
        </w:rPr>
        <w:t>valu</w:t>
      </w:r>
      <w:r>
        <w:rPr>
          <w:color w:val="231F20"/>
          <w:spacing w:val="-2"/>
        </w:rPr>
        <w:t>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2"/>
        </w:rPr>
        <w:t>above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combined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indicators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early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5"/>
        </w:rPr>
        <w:t>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HBP</w:t>
      </w:r>
      <w:r>
        <w:rPr>
          <w:color w:val="231F20"/>
          <w:spacing w:val="5"/>
        </w:rPr>
        <w:t>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5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WBC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appendicitis </w:t>
      </w:r>
      <w:r>
        <w:rPr>
          <w:color w:val="231F20"/>
          <w:spacing w:val="-1"/>
        </w:rPr>
        <w:t>group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healthy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people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group,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people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group,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differences 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statistically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(all 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ROC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curve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com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bined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detection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HBP,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WBC,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NE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highest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AUC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appendicitis,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an</w:t>
      </w:r>
      <w:r>
        <w:rPr>
          <w:color w:val="231F20"/>
        </w:rPr>
        <w:t xml:space="preserve"> </w:t>
      </w:r>
      <w:r>
        <w:rPr>
          <w:color w:val="231F20"/>
        </w:rPr>
        <w:t>area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curve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(AUC)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0.933,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sensitivity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84.5%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specificity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 90.0%.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-1"/>
        </w:rPr>
        <w:t>nclusion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HBP,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CRP,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WBC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and</w:t>
      </w:r>
    </w:p>
    <w:p>
      <w:pPr>
        <w:pStyle w:val="BodyText"/>
        <w:ind w:left="885"/>
        <w:spacing w:before="235" w:line="22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color w:val="231F20"/>
          <w:spacing w:val="-1"/>
        </w:rPr>
        <w:t>作者简介</w:t>
      </w:r>
      <w:r>
        <w:rPr>
          <w:color w:val="231F20"/>
          <w:spacing w:val="-1"/>
        </w:rPr>
        <w:t>]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沈雯（</w:t>
      </w:r>
      <w:r>
        <w:rPr>
          <w:color w:val="231F20"/>
          <w:spacing w:val="-1"/>
        </w:rPr>
        <w:t>1999-</w:t>
      </w:r>
      <w:r>
        <w:rPr>
          <w:rFonts w:ascii="Microsoft YaHei" w:hAnsi="Microsoft YaHei" w:eastAsia="Microsoft YaHei" w:cs="Microsoft YaHei"/>
          <w:color w:val="231F20"/>
          <w:spacing w:val="-28"/>
          <w:w w:val="65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女，本科，技师，研究方向为临床检验诊断。</w:t>
      </w:r>
    </w:p>
    <w:p>
      <w:pPr>
        <w:pStyle w:val="BodyText"/>
        <w:ind w:left="885"/>
        <w:spacing w:before="1" w:line="22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[</w:t>
      </w:r>
      <w:r>
        <w:rPr>
          <w:rFonts w:ascii="SimHei" w:hAnsi="SimHei" w:eastAsia="SimHei" w:cs="SimHei"/>
          <w:color w:val="231F20"/>
          <w:spacing w:val="-4"/>
        </w:rPr>
        <w:t>通信作者</w:t>
      </w:r>
      <w:r>
        <w:rPr>
          <w:color w:val="231F20"/>
          <w:spacing w:val="-4"/>
        </w:rPr>
        <w:t>]</w:t>
      </w:r>
      <w:r>
        <w:rPr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高蕾（</w:t>
      </w:r>
      <w:r>
        <w:rPr>
          <w:color w:val="231F20"/>
          <w:spacing w:val="-4"/>
        </w:rPr>
        <w:t>1989-</w:t>
      </w:r>
      <w:r>
        <w:rPr>
          <w:rFonts w:ascii="Microsoft YaHei" w:hAnsi="Microsoft YaHei" w:eastAsia="Microsoft YaHei" w:cs="Microsoft YaHei"/>
          <w:color w:val="231F20"/>
          <w:spacing w:val="-28"/>
          <w:w w:val="66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女，本科，主管技师，研究方向为血液、分子诊断，</w:t>
      </w:r>
      <w:r>
        <w:rPr>
          <w:color w:val="231F20"/>
          <w:spacing w:val="-4"/>
        </w:rPr>
        <w:t>E-mail</w:t>
      </w:r>
      <w:r>
        <w:rPr>
          <w:rFonts w:ascii="Microsoft YaHei" w:hAnsi="Microsoft YaHei" w:eastAsia="Microsoft YaHei" w:cs="Microsoft YaHei"/>
          <w:color w:val="231F20"/>
          <w:spacing w:val="-4"/>
        </w:rPr>
        <w:t>：</w:t>
      </w:r>
      <w:r>
        <w:rPr>
          <w:color w:val="231F20"/>
          <w:spacing w:val="-4"/>
        </w:rPr>
        <w:t>jswxetgl@163.com</w:t>
      </w:r>
      <w:r>
        <w:rPr>
          <w:rFonts w:ascii="Microsoft YaHei" w:hAnsi="Microsoft YaHei" w:eastAsia="Microsoft YaHei" w:cs="Microsoft YaHei"/>
          <w:color w:val="231F20"/>
          <w:spacing w:val="-4"/>
        </w:rPr>
        <w:t>。</w:t>
      </w:r>
    </w:p>
    <w:p>
      <w:pPr>
        <w:pStyle w:val="BodyText"/>
        <w:ind w:left="7502"/>
        <w:spacing w:before="273" w:line="210" w:lineRule="auto"/>
        <w:rPr>
          <w:sz w:val="17"/>
          <w:szCs w:val="17"/>
        </w:rPr>
      </w:pP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</w:rPr>
        <w:t>MEDICINE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</w:rPr>
        <w:t>系统医学       </w:t>
      </w:r>
      <w:r>
        <w:rPr>
          <w:sz w:val="17"/>
          <w:szCs w:val="17"/>
          <w:color w:val="231F20"/>
          <w:spacing w:val="11"/>
        </w:rPr>
        <w:t>15</w:t>
      </w:r>
    </w:p>
    <w:p>
      <w:pPr>
        <w:spacing w:before="127" w:line="240" w:lineRule="exact"/>
        <w:rPr>
          <w:rFonts w:ascii="Arial" w:hAnsi="Arial" w:eastAsia="Arial" w:cs="Arial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pgSz w:w="12246" w:h="17178"/>
          <w:pgMar w:top="928" w:right="1246" w:bottom="0" w:left="432" w:header="0" w:footer="0" w:gutter="0"/>
        </w:sectPr>
        <w:rPr>
          <w:rFonts w:ascii="Arial" w:hAnsi="Arial" w:eastAsia="Arial" w:cs="Arial"/>
          <w:sz w:val="23"/>
          <w:szCs w:val="23"/>
        </w:rPr>
      </w:pPr>
    </w:p>
    <w:p>
      <w:pPr>
        <w:pStyle w:val="BodyText"/>
        <w:ind w:left="909"/>
        <w:spacing w:before="56" w:line="344" w:lineRule="exac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60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2"/>
        </w:rPr>
        <w:t>论著</w:t>
      </w:r>
      <w:r>
        <w:rPr>
          <w:rFonts w:ascii="SimHei" w:hAnsi="SimHei" w:eastAsia="SimHei" w:cs="SimHei"/>
          <w:sz w:val="23"/>
          <w:szCs w:val="23"/>
          <w:color w:val="231F20"/>
          <w:spacing w:val="-4"/>
          <w:position w:val="2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>·</w:t>
      </w:r>
      <w:r>
        <w:rPr>
          <w:rFonts w:ascii="SimHei" w:hAnsi="SimHei" w:eastAsia="SimHei" w:cs="SimHei"/>
          <w:sz w:val="23"/>
          <w:szCs w:val="23"/>
          <w:color w:val="231F20"/>
          <w:spacing w:val="-81"/>
        </w:rPr>
        <w:t xml:space="preserve"> </w:t>
      </w:r>
      <w:r>
        <w:rPr>
          <w:rFonts w:ascii="SimHei" w:hAnsi="SimHei" w:eastAsia="SimHei" w:cs="SimHei"/>
          <w:sz w:val="23"/>
          <w:szCs w:val="23"/>
          <w:strike/>
          <w:color w:val="231F20"/>
        </w:rPr>
        <w:t xml:space="preserve">                                               </w:t>
      </w:r>
      <w:r>
        <w:rPr>
          <w:rFonts w:ascii="SimHei" w:hAnsi="SimHei" w:eastAsia="SimHei" w:cs="SimHei"/>
          <w:sz w:val="23"/>
          <w:szCs w:val="23"/>
          <w:color w:val="231F20"/>
          <w:spacing w:val="-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系统医学   </w:t>
      </w:r>
      <w:r>
        <w:rPr>
          <w:sz w:val="17"/>
          <w:szCs w:val="17"/>
          <w:color w:val="231F20"/>
          <w:spacing w:val="-4"/>
          <w:position w:val="2"/>
        </w:rPr>
        <w:t>2024</w:t>
      </w:r>
      <w:r>
        <w:rPr>
          <w:sz w:val="17"/>
          <w:szCs w:val="17"/>
          <w:color w:val="231F20"/>
          <w:spacing w:val="22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  <w:position w:val="2"/>
        </w:rPr>
        <w:t xml:space="preserve"> </w:t>
      </w:r>
      <w:r>
        <w:rPr>
          <w:sz w:val="17"/>
          <w:szCs w:val="17"/>
          <w:color w:val="231F20"/>
          <w:spacing w:val="-4"/>
          <w:position w:val="2"/>
        </w:rPr>
        <w:t>12</w:t>
      </w:r>
      <w:r>
        <w:rPr>
          <w:sz w:val="17"/>
          <w:szCs w:val="17"/>
          <w:color w:val="231F20"/>
          <w:spacing w:val="10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月第 </w:t>
      </w:r>
      <w:r>
        <w:rPr>
          <w:sz w:val="17"/>
          <w:szCs w:val="17"/>
          <w:color w:val="231F20"/>
          <w:spacing w:val="-4"/>
          <w:position w:val="2"/>
        </w:rPr>
        <w:t>9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卷第 </w:t>
      </w:r>
      <w:r>
        <w:rPr>
          <w:sz w:val="17"/>
          <w:szCs w:val="17"/>
          <w:color w:val="231F20"/>
          <w:spacing w:val="-4"/>
          <w:position w:val="2"/>
        </w:rPr>
        <w:t>23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position w:val="2"/>
        </w:rPr>
        <w:t>期</w:t>
      </w:r>
    </w:p>
    <w:p>
      <w:pPr>
        <w:pStyle w:val="BodyText"/>
        <w:ind w:left="1297" w:right="498" w:firstLine="3"/>
        <w:spacing w:before="258" w:line="392" w:lineRule="auto"/>
        <w:jc w:val="both"/>
        <w:rPr/>
      </w:pPr>
      <w:r>
        <w:rPr>
          <w:color w:val="231F20"/>
          <w:spacing w:val="-1"/>
        </w:rPr>
        <w:t>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appendicitis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vi</w:t>
      </w:r>
      <w:r>
        <w:rPr>
          <w:color w:val="231F20"/>
          <w:spacing w:val="-2"/>
        </w:rPr>
        <w:t>vo,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low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level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vivo.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combined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de⁃</w:t>
      </w:r>
      <w:r>
        <w:rPr>
          <w:color w:val="231F20"/>
        </w:rPr>
        <w:t xml:space="preserve"> </w:t>
      </w:r>
      <w:r>
        <w:rPr>
          <w:color w:val="231F20"/>
        </w:rPr>
        <w:t>tection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 these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indexes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guiding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significance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fo</w:t>
      </w:r>
      <w:r>
        <w:rPr>
          <w:color w:val="231F20"/>
          <w:spacing w:val="-1"/>
        </w:rPr>
        <w:t>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of acute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appendi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citis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1"/>
        </w:rPr>
        <w:t>children.</w:t>
      </w:r>
    </w:p>
    <w:p>
      <w:pPr>
        <w:pStyle w:val="BodyText"/>
        <w:ind w:left="1306"/>
        <w:spacing w:line="231" w:lineRule="auto"/>
        <w:rPr/>
      </w:pPr>
      <w:r>
        <w:rPr>
          <w:color w:val="231F20"/>
          <w:spacing w:val="16"/>
        </w:rPr>
        <w:t>[</w:t>
      </w:r>
      <w:r>
        <w:rPr>
          <w:color w:val="231F20"/>
        </w:rPr>
        <w:t>Key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words</w:t>
      </w:r>
      <w:r>
        <w:rPr>
          <w:color w:val="231F20"/>
          <w:spacing w:val="16"/>
        </w:rPr>
        <w:t>] </w:t>
      </w:r>
      <w:r>
        <w:rPr>
          <w:color w:val="231F20"/>
        </w:rPr>
        <w:t>Acute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16"/>
        </w:rPr>
        <w:t>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Heparin</w:t>
      </w:r>
      <w:r>
        <w:rPr>
          <w:color w:val="231F20"/>
          <w:spacing w:val="16"/>
        </w:rPr>
        <w:t>-</w:t>
      </w:r>
      <w:r>
        <w:rPr>
          <w:color w:val="231F20"/>
        </w:rPr>
        <w:t>binding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6"/>
        </w:rPr>
        <w:t>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6"/>
        </w:rPr>
        <w:t>C-</w:t>
      </w:r>
      <w:r>
        <w:rPr>
          <w:color w:val="231F20"/>
        </w:rPr>
        <w:t>reactive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protein</w:t>
      </w:r>
      <w:r>
        <w:rPr>
          <w:color w:val="231F20"/>
          <w:spacing w:val="16"/>
        </w:rPr>
        <w:t>; </w:t>
      </w:r>
      <w:r>
        <w:rPr>
          <w:color w:val="231F20"/>
        </w:rPr>
        <w:t>White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cell</w:t>
      </w:r>
    </w:p>
    <w:p>
      <w:pPr>
        <w:spacing w:before="105"/>
        <w:rPr/>
      </w:pPr>
      <w:r/>
    </w:p>
    <w:p>
      <w:pPr>
        <w:sectPr>
          <w:footerReference w:type="default" r:id="rId1"/>
          <w:pgSz w:w="12246" w:h="17178"/>
          <w:pgMar w:top="928" w:right="1223" w:bottom="600" w:left="432" w:header="0" w:footer="360" w:gutter="0"/>
          <w:cols w:equalWidth="0" w:num="1">
            <w:col w:w="10590" w:space="0"/>
          </w:cols>
        </w:sectPr>
        <w:rPr/>
      </w:pPr>
    </w:p>
    <w:p>
      <w:pPr>
        <w:pStyle w:val="BodyText"/>
        <w:ind w:left="877" w:right="242" w:firstLine="415"/>
        <w:spacing w:before="46" w:line="26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急性阑尾炎是一种很常见的消化系统疾病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全球每百万人中有 </w:t>
      </w:r>
      <w:r>
        <w:rPr>
          <w:sz w:val="20"/>
          <w:szCs w:val="20"/>
          <w:color w:val="231F20"/>
          <w:spacing w:val="10"/>
        </w:rPr>
        <w:t>57~570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人受累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学龄儿童和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青少年中的发病率最高</w:t>
      </w:r>
      <w:r>
        <w:rPr>
          <w:sz w:val="12"/>
          <w:szCs w:val="12"/>
          <w:color w:val="231F20"/>
          <w:spacing w:val="9"/>
          <w:position w:val="7"/>
        </w:rPr>
        <w:t>[1]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，有研究指出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，儿童急性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阑尾炎发病率是总人群平均水平的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11"/>
        </w:rPr>
        <w:t>4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倍</w:t>
      </w:r>
      <w:r>
        <w:rPr>
          <w:sz w:val="12"/>
          <w:szCs w:val="12"/>
          <w:color w:val="231F20"/>
          <w:spacing w:val="11"/>
          <w:position w:val="7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，占小儿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急腹症的 </w:t>
      </w:r>
      <w:r>
        <w:rPr>
          <w:sz w:val="20"/>
          <w:szCs w:val="20"/>
          <w:color w:val="231F20"/>
          <w:spacing w:val="11"/>
        </w:rPr>
        <w:t>15%~20%</w:t>
      </w:r>
      <w:r>
        <w:rPr>
          <w:sz w:val="12"/>
          <w:szCs w:val="12"/>
          <w:color w:val="231F20"/>
          <w:spacing w:val="11"/>
          <w:position w:val="7"/>
        </w:rPr>
        <w:t>[3]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因为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儿童急性阑尾炎的诊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断具有查体不易配合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、表达不清晰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、症状不典型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不同年龄组患儿的临床表现不尽相同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，相对缺乏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特定的症状和体征等特点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，因此准确诊断的难度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比成人要大很多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，这就导致儿童阑尾发生穿孔的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占比更高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，所以儿童急性阑尾炎的准确诊断具有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挑战性</w:t>
      </w:r>
      <w:r>
        <w:rPr>
          <w:sz w:val="12"/>
          <w:szCs w:val="12"/>
          <w:color w:val="231F20"/>
          <w:spacing w:val="18"/>
          <w:position w:val="7"/>
        </w:rPr>
        <w:t>[4]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。超声探查作为急性阑尾炎的主要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依据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，具有高感性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、特异性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，但其诊断容易受人为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因素干扰，容易漏诊</w:t>
      </w:r>
      <w:r>
        <w:rPr>
          <w:sz w:val="12"/>
          <w:szCs w:val="12"/>
          <w:color w:val="231F20"/>
          <w:spacing w:val="5"/>
          <w:position w:val="7"/>
        </w:rPr>
        <w:t>[5-6]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。在临床上，诊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断急性阑尾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炎的血液指标的研究较少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，尽管有研究显示了不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同方式组合的价值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，但目前它们在儿童群体中仍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没有明确的指导方针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，最准确组合仍有待确定</w:t>
      </w:r>
      <w:r>
        <w:rPr>
          <w:sz w:val="12"/>
          <w:szCs w:val="12"/>
          <w:color w:val="231F20"/>
          <w:spacing w:val="12"/>
          <w:position w:val="7"/>
        </w:rPr>
        <w:t>[7]</w:t>
      </w:r>
      <w:r>
        <w:rPr>
          <w:sz w:val="12"/>
          <w:szCs w:val="12"/>
          <w:color w:val="231F20"/>
          <w:spacing w:val="-8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>本研究旨在筛选出与急性阑尾炎相关的血液指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，为急性阑尾炎的早期筛查提供诊疗依据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报道如下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</w:p>
    <w:p>
      <w:pPr>
        <w:pStyle w:val="BodyText"/>
        <w:ind w:left="894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1"/>
        </w:rPr>
        <w:t>1  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资料与方法</w:t>
      </w:r>
    </w:p>
    <w:p>
      <w:pPr>
        <w:pStyle w:val="BodyText"/>
        <w:ind w:left="891"/>
        <w:spacing w:before="122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1.1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一般资料</w:t>
      </w:r>
    </w:p>
    <w:p>
      <w:pPr>
        <w:pStyle w:val="BodyText"/>
        <w:ind w:left="794" w:right="245" w:firstLine="519"/>
        <w:spacing w:before="97" w:line="26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回顾性选取 </w:t>
      </w:r>
      <w:r>
        <w:rPr>
          <w:sz w:val="20"/>
          <w:szCs w:val="20"/>
          <w:color w:val="231F20"/>
          <w:spacing w:val="6"/>
        </w:rPr>
        <w:t>2022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年 </w:t>
      </w:r>
      <w:r>
        <w:rPr>
          <w:sz w:val="20"/>
          <w:szCs w:val="20"/>
          <w:color w:val="231F20"/>
          <w:spacing w:val="6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月—</w:t>
      </w:r>
      <w:r>
        <w:rPr>
          <w:sz w:val="20"/>
          <w:szCs w:val="20"/>
          <w:color w:val="231F20"/>
          <w:spacing w:val="6"/>
        </w:rPr>
        <w:t>202</w:t>
      </w:r>
      <w:r>
        <w:rPr>
          <w:sz w:val="20"/>
          <w:szCs w:val="20"/>
          <w:color w:val="231F20"/>
          <w:spacing w:val="5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年 </w:t>
      </w:r>
      <w:r>
        <w:rPr>
          <w:sz w:val="20"/>
          <w:szCs w:val="20"/>
          <w:color w:val="231F20"/>
          <w:spacing w:val="5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月江南大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学附属儿童医院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21"/>
        </w:rPr>
        <w:t>210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>例因腹痛住院患儿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的临床资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，其 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126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84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；年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2~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0"/>
        </w:rPr>
        <w:t>17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</w:t>
      </w:r>
      <w:r>
        <w:rPr>
          <w:sz w:val="20"/>
          <w:szCs w:val="20"/>
          <w:color w:val="231F20"/>
          <w:spacing w:val="1"/>
        </w:rPr>
        <w:t>9.60±3.29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。根据病情分为急性阑尾炎组（临床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最终诊断为急性阑尾炎的腹痛患儿）、健康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人群组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（临床最终诊断为非急性阑尾炎的患儿）。 急性阑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尾炎组共 </w:t>
      </w:r>
      <w:r>
        <w:rPr>
          <w:sz w:val="20"/>
          <w:szCs w:val="20"/>
          <w:color w:val="231F20"/>
          <w:spacing w:val="-3"/>
        </w:rPr>
        <w:t>110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，其中男 </w:t>
      </w:r>
      <w:r>
        <w:rPr>
          <w:sz w:val="20"/>
          <w:szCs w:val="20"/>
          <w:color w:val="231F20"/>
          <w:spacing w:val="-3"/>
        </w:rPr>
        <w:t>72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，女 </w:t>
      </w:r>
      <w:r>
        <w:rPr>
          <w:sz w:val="20"/>
          <w:szCs w:val="20"/>
          <w:color w:val="231F20"/>
          <w:spacing w:val="-3"/>
        </w:rPr>
        <w:t>38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年龄 </w:t>
      </w:r>
      <w:r>
        <w:rPr>
          <w:sz w:val="20"/>
          <w:szCs w:val="20"/>
          <w:color w:val="231F20"/>
          <w:spacing w:val="-4"/>
        </w:rPr>
        <w:t>2~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4"/>
        </w:rPr>
        <w:t>16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岁，平均（</w:t>
      </w:r>
      <w:r>
        <w:rPr>
          <w:sz w:val="20"/>
          <w:szCs w:val="20"/>
          <w:color w:val="231F20"/>
          <w:spacing w:val="-5"/>
        </w:rPr>
        <w:t>9.28±3.05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。健康人群组共 </w:t>
      </w:r>
      <w:r>
        <w:rPr>
          <w:sz w:val="20"/>
          <w:szCs w:val="20"/>
          <w:color w:val="231F20"/>
          <w:spacing w:val="-5"/>
        </w:rPr>
        <w:t>100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例，其中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男 </w:t>
      </w:r>
      <w:r>
        <w:rPr>
          <w:sz w:val="20"/>
          <w:szCs w:val="20"/>
          <w:color w:val="231F20"/>
          <w:spacing w:val="-7"/>
        </w:rPr>
        <w:t>54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，女 </w:t>
      </w:r>
      <w:r>
        <w:rPr>
          <w:sz w:val="20"/>
          <w:szCs w:val="20"/>
          <w:color w:val="231F20"/>
          <w:spacing w:val="-7"/>
        </w:rPr>
        <w:t>46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；年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龄 </w:t>
      </w:r>
      <w:r>
        <w:rPr>
          <w:sz w:val="20"/>
          <w:szCs w:val="20"/>
          <w:color w:val="231F20"/>
          <w:spacing w:val="-7"/>
        </w:rPr>
        <w:t>3~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7"/>
        </w:rPr>
        <w:t>17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均（</w:t>
      </w:r>
      <w:r>
        <w:rPr>
          <w:sz w:val="20"/>
          <w:szCs w:val="20"/>
          <w:color w:val="231F20"/>
          <w:spacing w:val="-7"/>
        </w:rPr>
        <w:t>9.96±3.51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。两组患儿的性别构成和年龄分布对比，差异无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统计学意义（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均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9"/>
        </w:rPr>
        <w:t>&gt;</w:t>
      </w:r>
      <w:r>
        <w:rPr>
          <w:sz w:val="20"/>
          <w:szCs w:val="20"/>
          <w:color w:val="231F20"/>
          <w:spacing w:val="9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具有可比性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。本研究已获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得 江 南 大 学 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员 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审 批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</w:t>
      </w:r>
      <w:r>
        <w:rPr>
          <w:sz w:val="20"/>
          <w:szCs w:val="20"/>
          <w:color w:val="231F20"/>
          <w:spacing w:val="-1"/>
        </w:rPr>
        <w:t>WXCH2023-12-096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/>
        <w:spacing w:before="43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1.2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纳入与排除标准</w:t>
      </w:r>
    </w:p>
    <w:p>
      <w:pPr>
        <w:pStyle w:val="BodyText"/>
        <w:ind w:left="22" w:right="82" w:firstLine="396"/>
        <w:spacing w:before="76" w:line="25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纳入标准：年龄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-6"/>
        </w:rPr>
        <w:t>0~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17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岁；因腹痛收治住院；家属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同意参与研究。</w:t>
      </w:r>
    </w:p>
    <w:p>
      <w:pPr>
        <w:pStyle w:val="BodyText"/>
        <w:ind w:left="3" w:right="82" w:firstLine="412"/>
        <w:spacing w:before="6" w:line="25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排除标准：临床诊疗数据收集不全者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；住院时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间</w:t>
      </w:r>
      <w:r>
        <w:rPr>
          <w:sz w:val="20"/>
          <w:szCs w:val="20"/>
          <w:color w:val="231F20"/>
        </w:rPr>
        <w:t>&lt;24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者；合并肝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、心等重要脏器功能障碍性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疾病者。</w:t>
      </w:r>
    </w:p>
    <w:p>
      <w:pPr>
        <w:pStyle w:val="BodyText"/>
        <w:ind w:left="17"/>
        <w:spacing w:before="21" w:line="16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1.3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方法</w:t>
      </w:r>
    </w:p>
    <w:p>
      <w:pPr>
        <w:pStyle w:val="BodyText"/>
        <w:ind w:left="1" w:firstLine="421"/>
        <w:spacing w:before="115" w:line="25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收集患儿入院后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5"/>
        </w:rPr>
        <w:t>24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5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内的静脉血，分别进行肝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素结合蛋白（</w:t>
      </w:r>
      <w:r>
        <w:rPr>
          <w:sz w:val="20"/>
          <w:szCs w:val="20"/>
          <w:color w:val="231F20"/>
          <w:spacing w:val="-1"/>
        </w:rPr>
        <w:t>heparin-binding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protein,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）、</w:t>
      </w:r>
      <w:r>
        <w:rPr>
          <w:sz w:val="20"/>
          <w:szCs w:val="20"/>
          <w:color w:val="231F20"/>
          <w:spacing w:val="-1"/>
        </w:rPr>
        <w:t>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蛋 白（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8"/>
        </w:rPr>
        <w:t>C-reactive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protein,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）、白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胞（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cell,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）、中性粒细胞百分比（</w:t>
      </w:r>
      <w:r>
        <w:rPr>
          <w:sz w:val="20"/>
          <w:szCs w:val="20"/>
          <w:color w:val="231F20"/>
          <w:spacing w:val="-4"/>
        </w:rPr>
        <w:t>neutrophili</w:t>
      </w:r>
      <w:r>
        <w:rPr>
          <w:sz w:val="20"/>
          <w:szCs w:val="20"/>
          <w:color w:val="231F20"/>
          <w:spacing w:val="-5"/>
        </w:rPr>
        <w:t>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granulo⁃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cyte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percentage,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）、淋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分 比（</w:t>
      </w:r>
      <w:r>
        <w:rPr>
          <w:sz w:val="20"/>
          <w:szCs w:val="20"/>
          <w:color w:val="231F20"/>
          <w:spacing w:val="-8"/>
        </w:rPr>
        <w:t>lymphocyte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percentage,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）、红细胞分布宽度（</w:t>
      </w:r>
      <w:r>
        <w:rPr>
          <w:sz w:val="20"/>
          <w:szCs w:val="20"/>
          <w:color w:val="231F20"/>
          <w:spacing w:val="-4"/>
        </w:rPr>
        <w:t>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blood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cell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d</w:t>
      </w:r>
      <w:r>
        <w:rPr>
          <w:sz w:val="20"/>
          <w:szCs w:val="20"/>
          <w:color w:val="231F20"/>
          <w:spacing w:val="-5"/>
        </w:rPr>
        <w:t>is⁃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tribution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width,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）、血小板分布宽度（</w:t>
      </w:r>
      <w:r>
        <w:rPr>
          <w:sz w:val="20"/>
          <w:szCs w:val="20"/>
          <w:color w:val="231F20"/>
          <w:spacing w:val="-4"/>
        </w:rPr>
        <w:t>platelet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dis⁃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tribution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width,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平均血小板体积（</w:t>
      </w:r>
      <w:r>
        <w:rPr>
          <w:sz w:val="20"/>
          <w:szCs w:val="20"/>
          <w:color w:val="231F20"/>
          <w:spacing w:val="-4"/>
        </w:rPr>
        <w:t>mean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4"/>
        </w:rPr>
        <w:t>plate⁃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let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volume,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MPV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）的检测，其中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3"/>
        </w:rPr>
        <w:t>HBP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检测所用仪器型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号为 </w:t>
      </w:r>
      <w:r>
        <w:rPr>
          <w:sz w:val="20"/>
          <w:szCs w:val="20"/>
          <w:color w:val="231F20"/>
          <w:spacing w:val="-7"/>
        </w:rPr>
        <w:t>JS3000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（杭州中翰盛泰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1"/>
        </w:rPr>
        <w:t>）；</w:t>
      </w:r>
      <w:r>
        <w:rPr>
          <w:sz w:val="20"/>
          <w:szCs w:val="20"/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MPV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5"/>
        </w:rPr>
        <w:t>BC-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0"/>
        </w:rPr>
        <w:t>7500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（深圳迈瑞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7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所用试剂均为仪器配套原装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试剂。</w:t>
      </w:r>
    </w:p>
    <w:p>
      <w:pPr>
        <w:pStyle w:val="BodyText"/>
        <w:ind w:left="17"/>
        <w:spacing w:before="17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1.4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统计方法</w:t>
      </w:r>
    </w:p>
    <w:p>
      <w:pPr>
        <w:pStyle w:val="BodyText"/>
        <w:ind w:left="2" w:firstLine="412"/>
        <w:spacing w:before="83" w:line="25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应用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10"/>
        </w:rPr>
        <w:t>23.0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统计学软件对数据进行统计分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析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计 量 资 料（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3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3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、</w:t>
      </w:r>
      <w:r>
        <w:rPr>
          <w:sz w:val="20"/>
          <w:szCs w:val="20"/>
          <w:color w:val="231F20"/>
          <w:spacing w:val="-14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MPV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）经 </w:t>
      </w:r>
      <w:r>
        <w:rPr>
          <w:sz w:val="20"/>
          <w:szCs w:val="20"/>
          <w:color w:val="231F20"/>
          <w:spacing w:val="-3"/>
        </w:rPr>
        <w:t>Shapiro-Wilk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检验满足正态分布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63997" cy="14023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97" cy="1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color w:val="231F20"/>
        </w:rPr>
        <w:t>±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）表示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，组间比较采用两独立样本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检验；通过 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曲线评价各指标及联合指标对急性阑尾炎的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诊断价值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6"/>
        </w:rPr>
        <w:t>P</w:t>
      </w:r>
      <w:r>
        <w:rPr>
          <w:sz w:val="20"/>
          <w:szCs w:val="20"/>
          <w:color w:val="231F20"/>
          <w:spacing w:val="6"/>
        </w:rPr>
        <w:t>&lt;0.05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为差异有统计学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意义。</w:t>
      </w:r>
    </w:p>
    <w:p>
      <w:pPr>
        <w:pStyle w:val="BodyText"/>
        <w:ind w:left="5"/>
        <w:spacing w:line="273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1"/>
        </w:rPr>
        <w:t>2</w:t>
      </w:r>
      <w:r>
        <w:rPr>
          <w:sz w:val="20"/>
          <w:szCs w:val="20"/>
          <w:color w:val="231F20"/>
          <w:spacing w:val="4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结果</w:t>
      </w:r>
    </w:p>
    <w:p>
      <w:pPr>
        <w:pStyle w:val="BodyText"/>
        <w:ind w:right="1" w:firstLine="5"/>
        <w:spacing w:before="105" w:line="25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2.1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急 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阑 尾 炎 组 与 健 康 人 群 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3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LY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RDW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PDW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</w:t>
      </w:r>
      <w:r>
        <w:rPr>
          <w:sz w:val="20"/>
          <w:szCs w:val="20"/>
          <w:color w:val="231F20"/>
          <w:spacing w:val="-11"/>
        </w:rPr>
        <w:t>MPV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水平比较</w:t>
      </w:r>
    </w:p>
    <w:p>
      <w:pPr>
        <w:pStyle w:val="BodyText"/>
        <w:ind w:left="3" w:firstLine="415"/>
        <w:spacing w:before="3" w:line="26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性 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组 </w:t>
      </w:r>
      <w:r>
        <w:rPr>
          <w:sz w:val="20"/>
          <w:szCs w:val="20"/>
          <w:color w:val="231F20"/>
          <w:spacing w:val="-14"/>
        </w:rPr>
        <w:t>HBP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CRP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WBC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健康人群组，急性阑尾炎组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水平低于健康人群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8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8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6"/>
          <w:w w:val="96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 </w:t>
      </w:r>
      <w:r>
        <w:rPr>
          <w:sz w:val="20"/>
          <w:szCs w:val="20"/>
          <w:color w:val="231F20"/>
          <w:spacing w:val="-8"/>
        </w:rPr>
        <w:t>RDW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PDW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MPV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水 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比 较 ，差 异 无 统 计 学 意 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9"/>
        </w:rPr>
        <w:t>P</w:t>
      </w:r>
      <w:r>
        <w:rPr>
          <w:sz w:val="20"/>
          <w:szCs w:val="20"/>
          <w:color w:val="231F20"/>
          <w:spacing w:val="-9"/>
        </w:rPr>
        <w:t>&gt;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）。见表 </w:t>
      </w:r>
      <w:r>
        <w:rPr>
          <w:sz w:val="20"/>
          <w:szCs w:val="20"/>
          <w:color w:val="231F20"/>
          <w:spacing w:val="-5"/>
        </w:rPr>
        <w:t>1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</w:t>
      </w:r>
    </w:p>
    <w:p>
      <w:pPr>
        <w:spacing w:line="261" w:lineRule="auto"/>
        <w:sectPr>
          <w:type w:val="continuous"/>
          <w:pgSz w:w="12246" w:h="17178"/>
          <w:pgMar w:top="928" w:right="1223" w:bottom="600" w:left="432" w:header="0" w:footer="360" w:gutter="0"/>
          <w:cols w:equalWidth="0" w:num="2">
            <w:col w:w="5804" w:space="100"/>
            <w:col w:w="468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1013"/>
        <w:spacing w:before="146" w:line="164" w:lineRule="auto"/>
        <w:rPr>
          <w:sz w:val="15"/>
          <w:szCs w:val="15"/>
        </w:rPr>
      </w:pPr>
      <w:r>
        <w:rPr>
          <w:sz w:val="17"/>
          <w:szCs w:val="17"/>
          <w:color w:val="231F20"/>
          <w:spacing w:val="8"/>
        </w:rPr>
        <w:t>16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系统医学     </w:t>
      </w: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</w:rPr>
        <w:t>MEDICINE</w:t>
      </w:r>
    </w:p>
    <w:p>
      <w:pPr>
        <w:spacing w:line="164" w:lineRule="auto"/>
        <w:sectPr>
          <w:type w:val="continuous"/>
          <w:pgSz w:w="12246" w:h="17178"/>
          <w:pgMar w:top="928" w:right="1223" w:bottom="600" w:left="432" w:header="0" w:footer="360" w:gutter="0"/>
          <w:cols w:equalWidth="0" w:num="1">
            <w:col w:w="10590" w:space="0"/>
          </w:cols>
        </w:sectPr>
        <w:rPr>
          <w:sz w:val="15"/>
          <w:szCs w:val="15"/>
        </w:rPr>
      </w:pP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3"/>
          <w:pgSz w:w="12246" w:h="17178"/>
          <w:pgMar w:top="1306" w:right="1223" w:bottom="600" w:left="432" w:header="944" w:footer="360" w:gutter="0"/>
          <w:cols w:equalWidth="0" w:num="1">
            <w:col w:w="10590" w:space="0"/>
          </w:cols>
        </w:sectPr>
        <w:rPr/>
      </w:pPr>
    </w:p>
    <w:p>
      <w:pPr>
        <w:pStyle w:val="BodyText"/>
        <w:ind w:left="1095"/>
        <w:spacing w:before="48" w:line="242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2"/>
        </w:rPr>
        <w:t>1    </w:t>
      </w:r>
      <w:r>
        <w:rPr>
          <w:rFonts w:ascii="SimHei" w:hAnsi="SimHei" w:eastAsia="SimHei" w:cs="SimHei"/>
          <w:sz w:val="15"/>
          <w:szCs w:val="15"/>
          <w:color w:val="231F20"/>
          <w:spacing w:val="-2"/>
        </w:rPr>
        <w:t>急性阑尾炎组与健康人群组</w:t>
      </w:r>
      <w:r>
        <w:rPr>
          <w:rFonts w:ascii="SimHei" w:hAnsi="SimHei" w:eastAsia="SimHei" w:cs="SimHei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"/>
        </w:rPr>
        <w:t>H</w:t>
      </w:r>
      <w:r>
        <w:rPr>
          <w:sz w:val="15"/>
          <w:szCs w:val="15"/>
          <w:color w:val="231F20"/>
          <w:spacing w:val="-3"/>
        </w:rPr>
        <w:t>BP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CRP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WBC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NE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  <w:r>
        <w:rPr>
          <w:sz w:val="15"/>
          <w:szCs w:val="15"/>
          <w:color w:val="231F20"/>
          <w:spacing w:val="-3"/>
        </w:rPr>
        <w:t>LY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、</w:t>
      </w:r>
    </w:p>
    <w:p>
      <w:pPr>
        <w:pStyle w:val="BodyText"/>
        <w:ind w:left="2059"/>
        <w:spacing w:before="61" w:line="20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RDW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、</w:t>
      </w:r>
      <w:r>
        <w:rPr>
          <w:sz w:val="15"/>
          <w:szCs w:val="15"/>
          <w:color w:val="231F20"/>
          <w:spacing w:val="-10"/>
        </w:rPr>
        <w:t>PDW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、</w:t>
      </w:r>
      <w:r>
        <w:rPr>
          <w:sz w:val="15"/>
          <w:szCs w:val="15"/>
          <w:color w:val="231F20"/>
          <w:spacing w:val="-10"/>
        </w:rPr>
        <w:t>MPV 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水平比较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>x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30"/>
        </w:rPr>
        <w:t xml:space="preserve"> </w:t>
      </w:r>
      <w:r>
        <w:rPr>
          <w:sz w:val="15"/>
          <w:szCs w:val="15"/>
          <w:color w:val="231F20"/>
          <w:spacing w:val="-10"/>
        </w:rPr>
        <w:t>±</w:t>
      </w:r>
      <w:r>
        <w:rPr>
          <w:rFonts w:ascii="Arial" w:hAnsi="Arial" w:eastAsia="Arial" w:cs="Arial"/>
          <w:sz w:val="15"/>
          <w:szCs w:val="15"/>
          <w:i/>
          <w:iCs/>
          <w:color w:val="231F20"/>
          <w:spacing w:val="-10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>）</w:t>
      </w:r>
    </w:p>
    <w:p>
      <w:pPr>
        <w:spacing w:line="34" w:lineRule="exact"/>
        <w:rPr/>
      </w:pPr>
      <w:r/>
    </w:p>
    <w:tbl>
      <w:tblPr>
        <w:tblStyle w:val="TableNormal"/>
        <w:tblW w:w="4603" w:type="dxa"/>
        <w:tblInd w:w="8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4"/>
        <w:gridCol w:w="1079"/>
        <w:gridCol w:w="1000"/>
        <w:gridCol w:w="799"/>
        <w:gridCol w:w="751"/>
      </w:tblGrid>
      <w:tr>
        <w:trPr>
          <w:trHeight w:val="505" w:hRule="atLeast"/>
        </w:trPr>
        <w:tc>
          <w:tcPr>
            <w:tcW w:w="9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"/>
              <w:spacing w:before="17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指标</w:t>
            </w:r>
          </w:p>
        </w:tc>
        <w:tc>
          <w:tcPr>
            <w:tcW w:w="107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6"/>
              <w:spacing w:before="51" w:line="17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急性阑尾炎组</w:t>
            </w:r>
          </w:p>
          <w:p>
            <w:pPr>
              <w:pStyle w:val="TableText"/>
              <w:ind w:left="197"/>
              <w:spacing w:before="63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=110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1"/>
              <w:spacing w:before="48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健康人群组</w:t>
            </w:r>
          </w:p>
          <w:p>
            <w:pPr>
              <w:pStyle w:val="TableText"/>
              <w:ind w:left="135"/>
              <w:spacing w:before="60" w:line="17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2"/>
              </w:rPr>
              <w:t>n</w:t>
            </w:r>
            <w:r>
              <w:rPr>
                <w:color w:val="231F20"/>
                <w:spacing w:val="-2"/>
              </w:rPr>
              <w:t>=100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）</w:t>
            </w:r>
          </w:p>
        </w:tc>
        <w:tc>
          <w:tcPr>
            <w:tcW w:w="79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81"/>
              <w:spacing w:before="178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2"/>
              </w:rPr>
              <w:t>t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-2"/>
              </w:rPr>
              <w:t>值</w:t>
            </w:r>
          </w:p>
        </w:tc>
        <w:tc>
          <w:tcPr>
            <w:tcW w:w="7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39"/>
              <w:spacing w:before="178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0"/>
              </w:rPr>
              <w:t>值</w:t>
            </w:r>
          </w:p>
        </w:tc>
      </w:tr>
      <w:tr>
        <w:trPr>
          <w:trHeight w:val="255" w:hRule="atLeast"/>
        </w:trPr>
        <w:tc>
          <w:tcPr>
            <w:tcW w:w="9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5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</w:rPr>
              <w:t>HBP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（</w:t>
            </w:r>
            <w:r>
              <w:rPr>
                <w:color w:val="231F20"/>
                <w:spacing w:val="-9"/>
              </w:rPr>
              <w:t>ng/mL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10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9"/>
              <w:spacing w:before="47" w:line="196" w:lineRule="exact"/>
              <w:rPr/>
            </w:pPr>
            <w:r>
              <w:rPr>
                <w:color w:val="231F20"/>
                <w:spacing w:val="1"/>
                <w:position w:val="1"/>
              </w:rPr>
              <w:t>77.08±65.31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44" w:line="196" w:lineRule="exact"/>
              <w:rPr/>
            </w:pPr>
            <w:r>
              <w:rPr>
                <w:color w:val="231F20"/>
                <w:spacing w:val="-2"/>
                <w:position w:val="1"/>
              </w:rPr>
              <w:t>14.36±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12.77</w:t>
            </w:r>
          </w:p>
        </w:tc>
        <w:tc>
          <w:tcPr>
            <w:tcW w:w="7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/>
              <w:spacing w:before="44" w:line="196" w:lineRule="exact"/>
              <w:rPr/>
            </w:pPr>
            <w:r>
              <w:rPr>
                <w:color w:val="231F20"/>
                <w:position w:val="1"/>
              </w:rPr>
              <w:t>9.866</w:t>
            </w:r>
          </w:p>
        </w:tc>
        <w:tc>
          <w:tcPr>
            <w:tcW w:w="7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44" w:line="196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3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5"/>
              <w:spacing w:before="45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0"/>
                <w:w w:val="99"/>
              </w:rPr>
              <w:t>CRP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  <w:w w:val="99"/>
              </w:rPr>
              <w:t>（</w:t>
            </w:r>
            <w:r>
              <w:rPr>
                <w:color w:val="231F20"/>
                <w:spacing w:val="-10"/>
                <w:w w:val="99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  <w:spacing w:val="-10"/>
                <w:w w:val="99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48"/>
              <w:spacing w:before="47" w:line="196" w:lineRule="exact"/>
              <w:rPr/>
            </w:pPr>
            <w:r>
              <w:rPr>
                <w:color w:val="231F20"/>
                <w:spacing w:val="1"/>
                <w:position w:val="1"/>
              </w:rPr>
              <w:t>40.75±50.11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65"/>
              <w:spacing w:before="45" w:line="195" w:lineRule="exact"/>
              <w:rPr/>
            </w:pPr>
            <w:r>
              <w:rPr>
                <w:color w:val="231F20"/>
                <w:spacing w:val="-1"/>
                <w:position w:val="1"/>
              </w:rPr>
              <w:t>4.75±</w:t>
            </w:r>
            <w:r>
              <w:rPr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15.04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219"/>
              <w:spacing w:before="45" w:line="195" w:lineRule="exact"/>
              <w:rPr/>
            </w:pPr>
            <w:r>
              <w:rPr>
                <w:color w:val="231F20"/>
                <w:position w:val="1"/>
              </w:rPr>
              <w:t>7.187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45" w:line="195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47" w:hRule="atLeast"/>
        </w:trPr>
        <w:tc>
          <w:tcPr>
            <w:tcW w:w="974" w:type="dxa"/>
            <w:vAlign w:val="top"/>
          </w:tcPr>
          <w:p>
            <w:pPr>
              <w:pStyle w:val="TableText"/>
              <w:spacing w:before="33" w:line="190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3"/>
              </w:rPr>
              <w:t>WBC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(</w:t>
            </w:r>
            <w:r>
              <w:rPr>
                <w:color w:val="231F20"/>
                <w:spacing w:val="-3"/>
              </w:rPr>
              <w:t>×10</w:t>
            </w:r>
            <w:r>
              <w:rPr>
                <w:sz w:val="9"/>
                <w:szCs w:val="9"/>
                <w:color w:val="231F20"/>
                <w:spacing w:val="-3"/>
                <w:position w:val="6"/>
              </w:rPr>
              <w:t>9</w:t>
            </w:r>
            <w:r>
              <w:rPr>
                <w:color w:val="231F20"/>
                <w:spacing w:val="-3"/>
              </w:rPr>
              <w:t>/L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49" w:line="187" w:lineRule="exact"/>
              <w:rPr/>
            </w:pPr>
            <w:r>
              <w:rPr>
                <w:color w:val="231F20"/>
                <w:position w:val="1"/>
              </w:rPr>
              <w:t>13.50±5.55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64"/>
              <w:spacing w:before="47" w:line="189" w:lineRule="exact"/>
              <w:rPr/>
            </w:pPr>
            <w:r>
              <w:rPr>
                <w:color w:val="231F20"/>
                <w:spacing w:val="1"/>
                <w:position w:val="1"/>
              </w:rPr>
              <w:t>7.12±3.30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4"/>
              <w:spacing w:before="47" w:line="189" w:lineRule="exact"/>
              <w:rPr/>
            </w:pPr>
            <w:r>
              <w:rPr>
                <w:color w:val="231F20"/>
                <w:spacing w:val="-2"/>
                <w:position w:val="1"/>
              </w:rPr>
              <w:t>10.216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47" w:line="189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4"/>
              <w:spacing w:before="55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w w:val="99"/>
              </w:rPr>
              <w:t>NE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9"/>
              </w:rPr>
              <w:t>（</w:t>
            </w:r>
            <w:r>
              <w:rPr>
                <w:color w:val="231F20"/>
                <w:spacing w:val="-14"/>
                <w:w w:val="99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9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228"/>
              <w:spacing w:before="57" w:line="187" w:lineRule="exact"/>
              <w:rPr/>
            </w:pPr>
            <w:r>
              <w:rPr>
                <w:color w:val="231F20"/>
                <w:spacing w:val="-1"/>
                <w:position w:val="1"/>
              </w:rPr>
              <w:t>75.9±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14.62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89"/>
              <w:spacing w:before="55" w:line="189" w:lineRule="exact"/>
              <w:rPr/>
            </w:pPr>
            <w:r>
              <w:rPr>
                <w:color w:val="231F20"/>
                <w:spacing w:val="-1"/>
                <w:position w:val="1"/>
              </w:rPr>
              <w:t>54.62±</w:t>
            </w:r>
            <w:r>
              <w:rPr>
                <w:color w:val="231F20"/>
                <w:spacing w:val="-1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12.57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94"/>
              <w:spacing w:before="55" w:line="189" w:lineRule="exact"/>
              <w:rPr/>
            </w:pPr>
            <w:r>
              <w:rPr>
                <w:color w:val="231F20"/>
                <w:spacing w:val="-2"/>
                <w:position w:val="1"/>
              </w:rPr>
              <w:t>11.251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55" w:line="189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3"/>
              <w:spacing w:before="56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4"/>
                <w:w w:val="98"/>
              </w:rPr>
              <w:t>LY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8"/>
              </w:rPr>
              <w:t>（</w:t>
            </w:r>
            <w:r>
              <w:rPr>
                <w:color w:val="231F20"/>
                <w:spacing w:val="-14"/>
                <w:w w:val="98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4"/>
                <w:w w:val="98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58" w:line="186" w:lineRule="exact"/>
              <w:rPr/>
            </w:pPr>
            <w:r>
              <w:rPr>
                <w:color w:val="231F20"/>
                <w:spacing w:val="-2"/>
                <w:position w:val="1"/>
              </w:rPr>
              <w:t>16.98±</w:t>
            </w:r>
            <w:r>
              <w:rPr>
                <w:color w:val="231F20"/>
                <w:spacing w:val="-15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12.62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91"/>
              <w:spacing w:before="56" w:line="188" w:lineRule="exact"/>
              <w:rPr/>
            </w:pPr>
            <w:r>
              <w:rPr>
                <w:color w:val="231F20"/>
                <w:spacing w:val="-1"/>
                <w:position w:val="1"/>
              </w:rPr>
              <w:t>36.88±</w:t>
            </w:r>
            <w:r>
              <w:rPr>
                <w:color w:val="231F20"/>
                <w:spacing w:val="-16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11.66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41"/>
              <w:spacing w:before="56" w:line="188" w:lineRule="exact"/>
              <w:rPr/>
            </w:pPr>
            <w:r>
              <w:rPr>
                <w:color w:val="231F20"/>
                <w:spacing w:val="5"/>
                <w:position w:val="1"/>
              </w:rPr>
              <w:t>-11.825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166"/>
              <w:spacing w:before="56" w:line="188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4"/>
              <w:spacing w:before="57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RDW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59" w:line="185" w:lineRule="exact"/>
              <w:rPr/>
            </w:pPr>
            <w:r>
              <w:rPr>
                <w:color w:val="231F20"/>
                <w:position w:val="1"/>
              </w:rPr>
              <w:t>12.99±0.88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00"/>
              <w:spacing w:before="57" w:line="187" w:lineRule="exact"/>
              <w:rPr/>
            </w:pPr>
            <w:r>
              <w:rPr>
                <w:color w:val="231F20"/>
                <w:position w:val="1"/>
              </w:rPr>
              <w:t>12.34±2.09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80"/>
              <w:spacing w:before="57" w:line="187" w:lineRule="exact"/>
              <w:rPr/>
            </w:pPr>
            <w:r>
              <w:rPr>
                <w:color w:val="231F20"/>
                <w:spacing w:val="5"/>
                <w:position w:val="1"/>
              </w:rPr>
              <w:t>-1.589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06"/>
              <w:spacing w:before="57" w:line="187" w:lineRule="exact"/>
              <w:rPr/>
            </w:pPr>
            <w:r>
              <w:rPr>
                <w:color w:val="231F20"/>
                <w:position w:val="1"/>
              </w:rPr>
              <w:t>0.114</w:t>
            </w:r>
          </w:p>
        </w:tc>
      </w:tr>
      <w:tr>
        <w:trPr>
          <w:trHeight w:val="254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22"/>
              <w:spacing w:before="58"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3"/>
              </w:rPr>
              <w:t>PDW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（</w:t>
            </w:r>
            <w:r>
              <w:rPr>
                <w:color w:val="231F20"/>
                <w:spacing w:val="-1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13"/>
              </w:rPr>
              <w:t>）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163"/>
              <w:spacing w:before="61" w:line="183" w:lineRule="exact"/>
              <w:rPr/>
            </w:pPr>
            <w:r>
              <w:rPr>
                <w:color w:val="231F20"/>
                <w:spacing w:val="-2"/>
                <w:position w:val="1"/>
              </w:rPr>
              <w:t>15.78±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1.04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00"/>
              <w:spacing w:before="58" w:line="186" w:lineRule="exact"/>
              <w:rPr/>
            </w:pPr>
            <w:r>
              <w:rPr>
                <w:color w:val="231F20"/>
                <w:position w:val="1"/>
              </w:rPr>
              <w:t>15.96±0.32</w:t>
            </w:r>
          </w:p>
        </w:tc>
        <w:tc>
          <w:tcPr>
            <w:tcW w:w="799" w:type="dxa"/>
            <w:vAlign w:val="top"/>
          </w:tcPr>
          <w:p>
            <w:pPr>
              <w:pStyle w:val="TableText"/>
              <w:ind w:left="180"/>
              <w:spacing w:before="58" w:line="186" w:lineRule="exact"/>
              <w:rPr/>
            </w:pPr>
            <w:r>
              <w:rPr>
                <w:color w:val="231F20"/>
                <w:spacing w:val="5"/>
                <w:position w:val="1"/>
              </w:rPr>
              <w:t>-1.738</w:t>
            </w:r>
          </w:p>
        </w:tc>
        <w:tc>
          <w:tcPr>
            <w:tcW w:w="751" w:type="dxa"/>
            <w:vAlign w:val="top"/>
          </w:tcPr>
          <w:p>
            <w:pPr>
              <w:pStyle w:val="TableText"/>
              <w:ind w:left="206"/>
              <w:spacing w:before="58" w:line="186" w:lineRule="exact"/>
              <w:rPr/>
            </w:pPr>
            <w:r>
              <w:rPr>
                <w:color w:val="231F20"/>
                <w:position w:val="1"/>
              </w:rPr>
              <w:t>0.085</w:t>
            </w:r>
          </w:p>
        </w:tc>
      </w:tr>
      <w:tr>
        <w:trPr>
          <w:trHeight w:val="264" w:hRule="atLeast"/>
        </w:trPr>
        <w:tc>
          <w:tcPr>
            <w:tcW w:w="97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"/>
              <w:spacing w:before="59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9"/>
                <w:w w:val="95"/>
              </w:rPr>
              <w:t>MPV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  <w:w w:val="95"/>
              </w:rPr>
              <w:t>（</w:t>
            </w:r>
            <w:r>
              <w:rPr>
                <w:color w:val="231F20"/>
                <w:spacing w:val="-9"/>
                <w:w w:val="95"/>
              </w:rPr>
              <w:t>fl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  <w:w w:val="95"/>
              </w:rPr>
              <w:t>）</w:t>
            </w:r>
          </w:p>
        </w:tc>
        <w:tc>
          <w:tcPr>
            <w:tcW w:w="107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3"/>
              <w:spacing w:before="62" w:line="192" w:lineRule="exact"/>
              <w:rPr/>
            </w:pPr>
            <w:r>
              <w:rPr>
                <w:color w:val="231F20"/>
                <w:spacing w:val="-2"/>
                <w:position w:val="1"/>
              </w:rPr>
              <w:t>10.03±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1.26</w:t>
            </w:r>
          </w:p>
        </w:tc>
        <w:tc>
          <w:tcPr>
            <w:tcW w:w="100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0"/>
              <w:spacing w:before="59" w:line="195" w:lineRule="exact"/>
              <w:rPr/>
            </w:pPr>
            <w:r>
              <w:rPr>
                <w:color w:val="231F20"/>
                <w:spacing w:val="-2"/>
                <w:position w:val="1"/>
              </w:rPr>
              <w:t>10.11±</w:t>
            </w:r>
            <w:r>
              <w:rPr>
                <w:color w:val="231F20"/>
                <w:spacing w:val="-19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1.24</w:t>
            </w:r>
          </w:p>
        </w:tc>
        <w:tc>
          <w:tcPr>
            <w:tcW w:w="79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0"/>
              <w:spacing w:before="59" w:line="195" w:lineRule="exact"/>
              <w:rPr/>
            </w:pPr>
            <w:r>
              <w:rPr>
                <w:color w:val="231F20"/>
                <w:spacing w:val="5"/>
                <w:position w:val="1"/>
              </w:rPr>
              <w:t>-0.452</w:t>
            </w:r>
          </w:p>
        </w:tc>
        <w:tc>
          <w:tcPr>
            <w:tcW w:w="7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6"/>
              <w:spacing w:before="59" w:line="195" w:lineRule="exact"/>
              <w:rPr/>
            </w:pPr>
            <w:r>
              <w:rPr>
                <w:color w:val="231F20"/>
                <w:position w:val="1"/>
              </w:rPr>
              <w:t>0.652</w:t>
            </w:r>
          </w:p>
        </w:tc>
      </w:tr>
    </w:tbl>
    <w:p>
      <w:pPr>
        <w:pStyle w:val="BodyText"/>
        <w:ind w:left="876" w:right="276" w:firstLine="157"/>
        <w:spacing w:before="79" w:line="318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注：</w:t>
      </w:r>
      <w:r>
        <w:rPr>
          <w:sz w:val="15"/>
          <w:szCs w:val="15"/>
          <w:color w:val="231F20"/>
          <w:spacing w:val="-11"/>
        </w:rPr>
        <w:t>HBP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：肝素结合蛋白，</w:t>
      </w:r>
      <w:r>
        <w:rPr>
          <w:sz w:val="15"/>
          <w:szCs w:val="15"/>
          <w:color w:val="231F20"/>
          <w:spacing w:val="-11"/>
        </w:rPr>
        <w:t>CRP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C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反应蛋白，</w:t>
      </w:r>
      <w:r>
        <w:rPr>
          <w:sz w:val="15"/>
          <w:szCs w:val="15"/>
          <w:color w:val="231F20"/>
          <w:spacing w:val="-11"/>
        </w:rPr>
        <w:t>WBC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：白细胞，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-12"/>
        </w:rPr>
        <w:t>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：中性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粒细胞百分比，</w:t>
      </w:r>
      <w:r>
        <w:rPr>
          <w:sz w:val="15"/>
          <w:szCs w:val="15"/>
          <w:color w:val="231F20"/>
          <w:spacing w:val="-4"/>
        </w:rPr>
        <w:t>LY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：淋巴细胞百分比，</w:t>
      </w:r>
      <w:r>
        <w:rPr>
          <w:sz w:val="15"/>
          <w:szCs w:val="15"/>
          <w:color w:val="231F20"/>
          <w:spacing w:val="-4"/>
        </w:rPr>
        <w:t>RDW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：红细胞分布宽度；</w:t>
      </w:r>
      <w:r>
        <w:rPr>
          <w:sz w:val="15"/>
          <w:szCs w:val="15"/>
          <w:color w:val="231F20"/>
          <w:spacing w:val="-4"/>
        </w:rPr>
        <w:t>PDW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：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血小板分布宽度，</w:t>
      </w:r>
      <w:r>
        <w:rPr>
          <w:sz w:val="15"/>
          <w:szCs w:val="15"/>
          <w:color w:val="231F20"/>
          <w:spacing w:val="-2"/>
        </w:rPr>
        <w:t>MPV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：平均血小板体积。</w:t>
      </w:r>
    </w:p>
    <w:p>
      <w:pPr>
        <w:pStyle w:val="BodyText"/>
        <w:ind w:left="874" w:right="325" w:firstLine="5"/>
        <w:spacing w:before="261" w:line="23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16"/>
        </w:rPr>
        <w:t>2.2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单项指标检测和联合检测对急性阑尾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炎早期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诊断价值比较</w:t>
      </w:r>
    </w:p>
    <w:p>
      <w:pPr>
        <w:pStyle w:val="BodyText"/>
        <w:ind w:left="876" w:right="243" w:firstLine="412"/>
        <w:spacing w:before="7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单项指标中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对儿童急性阑尾炎的诊断价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值最高，</w:t>
      </w:r>
      <w:r>
        <w:rPr>
          <w:sz w:val="20"/>
          <w:szCs w:val="20"/>
          <w:color w:val="231F20"/>
          <w:spacing w:val="-4"/>
        </w:rPr>
        <w:t>AUC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4"/>
        </w:rPr>
        <w:t>0.915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，其灵敏度为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4"/>
        </w:rPr>
        <w:t>77.3%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特异度为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92.0%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，最 佳 截 断 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29.74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</w:rPr>
        <w:t>ng/mL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；</w:t>
      </w:r>
      <w:r>
        <w:rPr>
          <w:sz w:val="20"/>
          <w:szCs w:val="20"/>
          <w:color w:val="231F20"/>
          <w:spacing w:val="-3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sz w:val="20"/>
          <w:szCs w:val="20"/>
          <w:color w:val="231F20"/>
          <w:spacing w:val="-3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</w:t>
      </w:r>
      <w:r>
        <w:rPr>
          <w:sz w:val="20"/>
          <w:szCs w:val="20"/>
          <w:color w:val="231F20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联合检测诊断急性阑尾炎的 </w:t>
      </w:r>
      <w:r>
        <w:rPr>
          <w:sz w:val="20"/>
          <w:szCs w:val="20"/>
          <w:color w:val="231F20"/>
        </w:rPr>
        <w:t>AUC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高 ，</w:t>
      </w:r>
      <w:r>
        <w:rPr>
          <w:sz w:val="20"/>
          <w:szCs w:val="20"/>
          <w:color w:val="231F20"/>
          <w:spacing w:val="-8"/>
        </w:rPr>
        <w:t>AUC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0.933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灵 敏 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84.5%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90.0%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。见图 </w:t>
      </w:r>
      <w:r>
        <w:rPr>
          <w:sz w:val="20"/>
          <w:szCs w:val="20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。</w:t>
      </w:r>
    </w:p>
    <w:p>
      <w:pPr>
        <w:pStyle w:val="BodyText"/>
        <w:ind w:left="991"/>
        <w:spacing w:before="171" w:line="242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7"/>
        </w:rPr>
        <w:t>2    </w:t>
      </w: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单项指标和联合检测对儿童急性阑尾炎早期诊断价值比较</w:t>
      </w:r>
    </w:p>
    <w:p>
      <w:pPr>
        <w:spacing w:line="59" w:lineRule="exact"/>
        <w:rPr/>
      </w:pPr>
      <w:r/>
    </w:p>
    <w:tbl>
      <w:tblPr>
        <w:tblStyle w:val="TableNormal"/>
        <w:tblW w:w="4603" w:type="dxa"/>
        <w:tblInd w:w="8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4"/>
        <w:gridCol w:w="452"/>
        <w:gridCol w:w="844"/>
        <w:gridCol w:w="560"/>
        <w:gridCol w:w="516"/>
        <w:gridCol w:w="501"/>
        <w:gridCol w:w="517"/>
        <w:gridCol w:w="519"/>
      </w:tblGrid>
      <w:tr>
        <w:trPr>
          <w:trHeight w:val="380" w:hRule="atLeast"/>
        </w:trPr>
        <w:tc>
          <w:tcPr>
            <w:tcW w:w="69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22"/>
              <w:spacing w:before="64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检测方法</w:t>
            </w:r>
          </w:p>
        </w:tc>
        <w:tc>
          <w:tcPr>
            <w:tcW w:w="45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4" w:line="191" w:lineRule="auto"/>
              <w:rPr/>
            </w:pPr>
            <w:r>
              <w:rPr>
                <w:color w:val="231F20"/>
                <w:spacing w:val="-5"/>
                <w:w w:val="99"/>
              </w:rPr>
              <w:t>AUC</w:t>
            </w:r>
          </w:p>
        </w:tc>
        <w:tc>
          <w:tcPr>
            <w:tcW w:w="84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08"/>
              <w:spacing w:before="179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最佳截断</w:t>
            </w:r>
          </w:p>
          <w:p>
            <w:pPr>
              <w:ind w:left="344"/>
              <w:spacing w:before="65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</w:rPr>
              <w:t>值</w:t>
            </w:r>
          </w:p>
        </w:tc>
        <w:tc>
          <w:tcPr>
            <w:tcW w:w="56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34"/>
              <w:spacing w:before="64" w:line="18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0"/>
              </w:rPr>
              <w:t>值</w:t>
            </w:r>
          </w:p>
        </w:tc>
        <w:tc>
          <w:tcPr>
            <w:tcW w:w="1017" w:type="dxa"/>
            <w:vAlign w:val="top"/>
            <w:gridSpan w:val="2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6"/>
              <w:spacing w:before="179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3"/>
              </w:rPr>
              <w:t>95%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3"/>
              </w:rPr>
              <w:t>置信区间</w:t>
            </w:r>
          </w:p>
        </w:tc>
        <w:tc>
          <w:tcPr>
            <w:tcW w:w="1036" w:type="dxa"/>
            <w:vAlign w:val="top"/>
            <w:gridSpan w:val="2"/>
            <w:tcBorders>
              <w:top w:val="single" w:color="231F20" w:sz="4" w:space="0"/>
            </w:tcBorders>
          </w:tcPr>
          <w:p>
            <w:pPr>
              <w:ind w:left="27"/>
              <w:spacing w:before="180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灵敏度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特异度</w:t>
            </w:r>
          </w:p>
        </w:tc>
      </w:tr>
      <w:tr>
        <w:trPr>
          <w:trHeight w:val="133" w:hRule="atLeast"/>
        </w:trPr>
        <w:tc>
          <w:tcPr>
            <w:tcW w:w="69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7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4"/>
              <w:spacing w:before="53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/>
              <w:spacing w:before="53" w:line="20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3"/>
              </w:rPr>
              <w:t>）</w:t>
            </w:r>
          </w:p>
        </w:tc>
      </w:tr>
      <w:tr>
        <w:trPr>
          <w:trHeight w:val="244" w:hRule="atLeast"/>
        </w:trPr>
        <w:tc>
          <w:tcPr>
            <w:tcW w:w="69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11"/>
              <w:spacing w:before="52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下限</w:t>
            </w:r>
          </w:p>
        </w:tc>
        <w:tc>
          <w:tcPr>
            <w:tcW w:w="5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103"/>
              <w:spacing w:before="52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上限</w:t>
            </w:r>
          </w:p>
        </w:tc>
        <w:tc>
          <w:tcPr>
            <w:tcW w:w="51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6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75" w:line="188" w:lineRule="auto"/>
              <w:rPr/>
            </w:pPr>
            <w:r>
              <w:rPr>
                <w:color w:val="231F20"/>
                <w:spacing w:val="-4"/>
              </w:rPr>
              <w:t>HBP</w:t>
            </w:r>
          </w:p>
        </w:tc>
        <w:tc>
          <w:tcPr>
            <w:tcW w:w="4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0.915</w:t>
            </w:r>
          </w:p>
        </w:tc>
        <w:tc>
          <w:tcPr>
            <w:tcW w:w="8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47" w:line="230" w:lineRule="auto"/>
              <w:rPr/>
            </w:pPr>
            <w:r>
              <w:rPr>
                <w:color w:val="231F20"/>
                <w:spacing w:val="-1"/>
              </w:rPr>
              <w:t>29.74ng/mL</w:t>
            </w:r>
          </w:p>
        </w:tc>
        <w:tc>
          <w:tcPr>
            <w:tcW w:w="5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4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0.879</w:t>
            </w:r>
          </w:p>
        </w:tc>
        <w:tc>
          <w:tcPr>
            <w:tcW w:w="5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0.950</w:t>
            </w:r>
          </w:p>
        </w:tc>
        <w:tc>
          <w:tcPr>
            <w:tcW w:w="5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8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77.3</w:t>
            </w:r>
          </w:p>
        </w:tc>
        <w:tc>
          <w:tcPr>
            <w:tcW w:w="5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0"/>
              <w:spacing w:before="46" w:line="196" w:lineRule="exact"/>
              <w:rPr/>
            </w:pPr>
            <w:r>
              <w:rPr>
                <w:color w:val="231F20"/>
                <w:position w:val="1"/>
              </w:rPr>
              <w:t>92.0</w:t>
            </w:r>
          </w:p>
        </w:tc>
      </w:tr>
      <w:tr>
        <w:trPr>
          <w:trHeight w:val="238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5"/>
              <w:spacing w:before="60" w:line="191" w:lineRule="auto"/>
              <w:rPr/>
            </w:pPr>
            <w:r>
              <w:rPr>
                <w:color w:val="231F20"/>
                <w:spacing w:val="-4"/>
              </w:rPr>
              <w:t>CRP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0.878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35"/>
              <w:spacing w:before="34" w:line="230" w:lineRule="auto"/>
              <w:rPr/>
            </w:pPr>
            <w:r>
              <w:rPr>
                <w:color w:val="231F20"/>
                <w:spacing w:val="-2"/>
              </w:rPr>
              <w:t>6.95mg/L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0.828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0.927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28"/>
              <w:spacing w:before="34" w:line="193" w:lineRule="exact"/>
              <w:rPr/>
            </w:pPr>
            <w:r>
              <w:rPr>
                <w:color w:val="231F20"/>
                <w:position w:val="1"/>
              </w:rPr>
              <w:t>79.1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34" w:line="193" w:lineRule="exact"/>
              <w:rPr/>
            </w:pPr>
            <w:r>
              <w:rPr>
                <w:color w:val="231F20"/>
                <w:spacing w:val="-1"/>
                <w:position w:val="1"/>
              </w:rPr>
              <w:t>89.0</w:t>
            </w:r>
          </w:p>
        </w:tc>
      </w:tr>
      <w:tr>
        <w:trPr>
          <w:trHeight w:val="245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1"/>
              <w:spacing w:before="73" w:line="191" w:lineRule="auto"/>
              <w:rPr/>
            </w:pPr>
            <w:r>
              <w:rPr>
                <w:color w:val="231F20"/>
                <w:spacing w:val="-6"/>
              </w:rPr>
              <w:t>WBC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0.850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5"/>
              <w:spacing w:before="32" w:line="180" w:lineRule="exact"/>
              <w:rPr/>
            </w:pPr>
            <w:r>
              <w:rPr>
                <w:color w:val="231F20"/>
                <w:position w:val="-1"/>
              </w:rPr>
              <w:t>8.43×10</w:t>
            </w:r>
            <w:r>
              <w:rPr>
                <w:sz w:val="9"/>
                <w:szCs w:val="9"/>
                <w:color w:val="231F20"/>
                <w:position w:val="5"/>
              </w:rPr>
              <w:t>9</w:t>
            </w:r>
            <w:r>
              <w:rPr>
                <w:color w:val="231F20"/>
                <w:position w:val="-1"/>
              </w:rPr>
              <w:t>/L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0.797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0.902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28"/>
              <w:spacing w:before="46" w:line="188" w:lineRule="exact"/>
              <w:rPr/>
            </w:pPr>
            <w:r>
              <w:rPr>
                <w:color w:val="231F20"/>
                <w:position w:val="1"/>
              </w:rPr>
              <w:t>77.3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6" w:line="188" w:lineRule="exact"/>
              <w:rPr/>
            </w:pPr>
            <w:r>
              <w:rPr>
                <w:color w:val="231F20"/>
                <w:spacing w:val="-1"/>
                <w:position w:val="1"/>
              </w:rPr>
              <w:t>82.0</w:t>
            </w:r>
          </w:p>
        </w:tc>
      </w:tr>
      <w:tr>
        <w:trPr>
          <w:trHeight w:val="250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4"/>
              <w:spacing w:before="80" w:line="188" w:lineRule="auto"/>
              <w:rPr/>
            </w:pPr>
            <w:r>
              <w:rPr>
                <w:color w:val="231F20"/>
                <w:spacing w:val="-2"/>
                <w:w w:val="96"/>
              </w:rPr>
              <w:t>NE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0.860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87"/>
              <w:spacing w:before="52" w:line="187" w:lineRule="exact"/>
              <w:rPr/>
            </w:pPr>
            <w:r>
              <w:rPr>
                <w:color w:val="231F20"/>
                <w:spacing w:val="-3"/>
                <w:position w:val="1"/>
              </w:rPr>
              <w:t>64.</w:t>
            </w:r>
            <w:r>
              <w:rPr>
                <w:color w:val="231F20"/>
                <w:spacing w:val="-1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15%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0.808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52" w:line="187" w:lineRule="exact"/>
              <w:rPr/>
            </w:pPr>
            <w:r>
              <w:rPr>
                <w:color w:val="231F20"/>
                <w:position w:val="1"/>
              </w:rPr>
              <w:t>0.912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33"/>
              <w:spacing w:before="52" w:line="187" w:lineRule="exact"/>
              <w:rPr/>
            </w:pPr>
            <w:r>
              <w:rPr>
                <w:color w:val="231F20"/>
                <w:spacing w:val="-1"/>
                <w:position w:val="1"/>
              </w:rPr>
              <w:t>80.9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2" w:line="187" w:lineRule="exact"/>
              <w:rPr/>
            </w:pPr>
            <w:r>
              <w:rPr>
                <w:color w:val="231F20"/>
                <w:spacing w:val="-1"/>
                <w:position w:val="1"/>
              </w:rPr>
              <w:t>84.0</w:t>
            </w:r>
          </w:p>
        </w:tc>
      </w:tr>
      <w:tr>
        <w:trPr>
          <w:trHeight w:val="239" w:hRule="atLeast"/>
        </w:trPr>
        <w:tc>
          <w:tcPr>
            <w:tcW w:w="694" w:type="dxa"/>
            <w:vAlign w:val="top"/>
          </w:tcPr>
          <w:p>
            <w:pPr>
              <w:pStyle w:val="TableText"/>
              <w:ind w:left="23"/>
              <w:spacing w:before="80" w:line="188" w:lineRule="auto"/>
              <w:rPr/>
            </w:pPr>
            <w:r>
              <w:rPr>
                <w:color w:val="231F20"/>
                <w:spacing w:val="-4"/>
                <w:w w:val="97"/>
              </w:rPr>
              <w:t>LY</w:t>
            </w:r>
          </w:p>
        </w:tc>
        <w:tc>
          <w:tcPr>
            <w:tcW w:w="452" w:type="dxa"/>
            <w:vAlign w:val="top"/>
          </w:tcPr>
          <w:p>
            <w:pPr>
              <w:pStyle w:val="TableText"/>
              <w:ind w:left="54"/>
              <w:spacing w:before="52" w:line="177" w:lineRule="exact"/>
              <w:rPr/>
            </w:pPr>
            <w:r>
              <w:rPr>
                <w:color w:val="231F20"/>
              </w:rPr>
              <w:t>0.869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86"/>
              <w:spacing w:before="52" w:line="177" w:lineRule="exact"/>
              <w:rPr/>
            </w:pPr>
            <w:r>
              <w:rPr>
                <w:color w:val="231F20"/>
              </w:rPr>
              <w:t>27.47%</w:t>
            </w:r>
          </w:p>
        </w:tc>
        <w:tc>
          <w:tcPr>
            <w:tcW w:w="560" w:type="dxa"/>
            <w:vAlign w:val="top"/>
          </w:tcPr>
          <w:p>
            <w:pPr>
              <w:pStyle w:val="TableText"/>
              <w:ind w:left="62"/>
              <w:spacing w:before="52" w:line="177" w:lineRule="exact"/>
              <w:rPr/>
            </w:pPr>
            <w:r>
              <w:rPr>
                <w:color w:val="231F20"/>
              </w:rPr>
              <w:t>&lt;0.001</w:t>
            </w:r>
          </w:p>
        </w:tc>
        <w:tc>
          <w:tcPr>
            <w:tcW w:w="516" w:type="dxa"/>
            <w:vAlign w:val="top"/>
          </w:tcPr>
          <w:p>
            <w:pPr>
              <w:pStyle w:val="TableText"/>
              <w:ind w:left="94"/>
              <w:spacing w:before="52" w:line="177" w:lineRule="exact"/>
              <w:rPr/>
            </w:pPr>
            <w:r>
              <w:rPr>
                <w:color w:val="231F20"/>
              </w:rPr>
              <w:t>0.818</w:t>
            </w:r>
          </w:p>
        </w:tc>
        <w:tc>
          <w:tcPr>
            <w:tcW w:w="501" w:type="dxa"/>
            <w:vAlign w:val="top"/>
          </w:tcPr>
          <w:p>
            <w:pPr>
              <w:pStyle w:val="TableText"/>
              <w:ind w:left="87"/>
              <w:spacing w:before="52" w:line="177" w:lineRule="exact"/>
              <w:rPr/>
            </w:pPr>
            <w:r>
              <w:rPr>
                <w:color w:val="231F20"/>
              </w:rPr>
              <w:t>0.919</w:t>
            </w:r>
          </w:p>
        </w:tc>
        <w:tc>
          <w:tcPr>
            <w:tcW w:w="517" w:type="dxa"/>
            <w:vAlign w:val="top"/>
          </w:tcPr>
          <w:p>
            <w:pPr>
              <w:pStyle w:val="TableText"/>
              <w:ind w:left="133"/>
              <w:spacing w:before="52" w:line="177" w:lineRule="exact"/>
              <w:rPr/>
            </w:pPr>
            <w:r>
              <w:rPr>
                <w:color w:val="231F20"/>
                <w:spacing w:val="-1"/>
              </w:rPr>
              <w:t>80.9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2" w:line="177" w:lineRule="exact"/>
              <w:rPr/>
            </w:pPr>
            <w:r>
              <w:rPr>
                <w:color w:val="231F20"/>
                <w:spacing w:val="-1"/>
              </w:rPr>
              <w:t>84.0</w:t>
            </w:r>
          </w:p>
        </w:tc>
      </w:tr>
      <w:tr>
        <w:trPr>
          <w:trHeight w:val="522" w:hRule="atLeast"/>
        </w:trPr>
        <w:tc>
          <w:tcPr>
            <w:tcW w:w="6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"/>
              <w:spacing w:before="64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2"/>
              </w:rPr>
              <w:t>5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2"/>
              </w:rPr>
              <w:t>项指标</w:t>
            </w:r>
          </w:p>
          <w:p>
            <w:pPr>
              <w:ind w:left="21"/>
              <w:spacing w:before="49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联合检测</w:t>
            </w:r>
          </w:p>
        </w:tc>
        <w:tc>
          <w:tcPr>
            <w:tcW w:w="45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4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0.933</w:t>
            </w:r>
          </w:p>
        </w:tc>
        <w:tc>
          <w:tcPr>
            <w:tcW w:w="84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&lt;0.001</w:t>
            </w:r>
          </w:p>
        </w:tc>
        <w:tc>
          <w:tcPr>
            <w:tcW w:w="51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4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0.899</w:t>
            </w:r>
          </w:p>
        </w:tc>
        <w:tc>
          <w:tcPr>
            <w:tcW w:w="5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7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0.966</w:t>
            </w:r>
          </w:p>
        </w:tc>
        <w:tc>
          <w:tcPr>
            <w:tcW w:w="5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3"/>
              <w:spacing w:before="63" w:line="196" w:lineRule="exact"/>
              <w:rPr/>
            </w:pPr>
            <w:r>
              <w:rPr>
                <w:color w:val="231F20"/>
                <w:spacing w:val="-1"/>
                <w:position w:val="1"/>
              </w:rPr>
              <w:t>84.5</w:t>
            </w:r>
          </w:p>
        </w:tc>
        <w:tc>
          <w:tcPr>
            <w:tcW w:w="51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0"/>
              <w:spacing w:before="63" w:line="196" w:lineRule="exact"/>
              <w:rPr/>
            </w:pPr>
            <w:r>
              <w:rPr>
                <w:color w:val="231F20"/>
                <w:position w:val="1"/>
              </w:rPr>
              <w:t>90.0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561545</wp:posOffset>
                </wp:positionH>
                <wp:positionV relativeFrom="paragraph">
                  <wp:posOffset>152564</wp:posOffset>
                </wp:positionV>
                <wp:extent cx="235584" cy="122554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561545" y="152564"/>
                          <a:ext cx="235584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8" w:line="134" w:lineRule="exact"/>
                              <w:tabs>
                                <w:tab w:val="left" w:pos="39"/>
                              </w:tabs>
                              <w:rPr>
                                <w:rFonts w:ascii="SimHei" w:hAnsi="SimHei" w:eastAsia="SimHei" w:cs="Sim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10"/>
                                <w:szCs w:val="10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shd w:val="clear" w:fill="FFFFFE"/>
                                <w:rFonts w:ascii="SimHei" w:hAnsi="SimHei" w:eastAsia="SimHei" w:cs="Sim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敏感度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44.2162pt;margin-top:12.0129pt;mso-position-vertical-relative:text;mso-position-horizontal-relative:text;width:18.55pt;height:9.65pt;z-index:251661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8" w:line="134" w:lineRule="exact"/>
                        <w:tabs>
                          <w:tab w:val="left" w:pos="39"/>
                        </w:tabs>
                        <w:rPr>
                          <w:rFonts w:ascii="SimHei" w:hAnsi="SimHei" w:eastAsia="SimHei" w:cs="SimHei"/>
                          <w:sz w:val="10"/>
                          <w:szCs w:val="10"/>
                        </w:rPr>
                      </w:pPr>
                      <w:r>
                        <w:rPr>
                          <w:rFonts w:ascii="SimHei" w:hAnsi="SimHei" w:eastAsia="SimHei" w:cs="SimHei"/>
                          <w:sz w:val="10"/>
                          <w:szCs w:val="10"/>
                          <w:color w:val="231F20"/>
                        </w:rPr>
                        <w:tab/>
                      </w:r>
                      <w:r>
                        <w:rPr>
                          <w:shd w:val="clear" w:fill="FFFFFE"/>
                          <w:rFonts w:ascii="SimHei" w:hAnsi="SimHei" w:eastAsia="SimHei" w:cs="SimHei"/>
                          <w:sz w:val="10"/>
                          <w:szCs w:val="10"/>
                          <w:color w:val="231F20"/>
                          <w:spacing w:val="3"/>
                        </w:rPr>
                        <w:t>敏感度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932"/>
        <w:spacing w:before="36" w:line="153" w:lineRule="exact"/>
        <w:rPr>
          <w:rFonts w:ascii="SimHei" w:hAnsi="SimHei" w:eastAsia="SimHei" w:cs="SimHei"/>
          <w:sz w:val="11"/>
          <w:szCs w:val="11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559950</wp:posOffset>
            </wp:positionH>
            <wp:positionV relativeFrom="paragraph">
              <wp:posOffset>-2092516</wp:posOffset>
            </wp:positionV>
            <wp:extent cx="2913530" cy="224328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3530" cy="2243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FFFFE"/>
          <w:rFonts w:ascii="SimHei" w:hAnsi="SimHei" w:eastAsia="SimHei" w:cs="SimHei"/>
          <w:sz w:val="11"/>
          <w:szCs w:val="11"/>
          <w:color w:val="231F20"/>
          <w:spacing w:val="2"/>
          <w:position w:val="1"/>
        </w:rPr>
        <w:t>度</w:t>
      </w:r>
    </w:p>
    <w:p>
      <w:pPr>
        <w:pStyle w:val="BodyText"/>
        <w:ind w:left="922"/>
        <w:spacing w:before="150" w:line="242" w:lineRule="auto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6"/>
        </w:rPr>
        <w:t>1    </w:t>
      </w: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单项指标检测和联合检测对儿童急性阑尾炎早期诊断价值的</w:t>
      </w:r>
    </w:p>
    <w:p>
      <w:pPr>
        <w:pStyle w:val="BodyText"/>
        <w:ind w:left="2851"/>
        <w:spacing w:before="62" w:line="241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color w:val="231F20"/>
        </w:rPr>
        <w:t>ROC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2"/>
        </w:rPr>
        <w:t>曲线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4"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7"/>
          <w:position w:val="1"/>
        </w:rPr>
        <w:t>3</w:t>
      </w:r>
      <w:r>
        <w:rPr>
          <w:sz w:val="20"/>
          <w:szCs w:val="20"/>
          <w:color w:val="231F20"/>
          <w:spacing w:val="2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讨论</w:t>
      </w:r>
    </w:p>
    <w:p>
      <w:pPr>
        <w:pStyle w:val="BodyText"/>
        <w:ind w:right="80" w:firstLine="417"/>
        <w:spacing w:before="105" w:line="25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急性阑尾炎是儿童常见急腹症之一，在新生儿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中发病率较低，随着年龄增长发病率逐渐增高，</w:t>
      </w:r>
      <w:r>
        <w:rPr>
          <w:sz w:val="20"/>
          <w:szCs w:val="20"/>
          <w:color w:val="231F20"/>
          <w:spacing w:val="8"/>
        </w:rPr>
        <w:t>6~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14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岁为发病高峰期</w:t>
      </w:r>
      <w:r>
        <w:rPr>
          <w:sz w:val="12"/>
          <w:szCs w:val="12"/>
          <w:color w:val="231F20"/>
          <w:spacing w:val="14"/>
          <w:position w:val="7"/>
        </w:rPr>
        <w:t>[8]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。儿童急性阑尾炎因小儿腹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部面积小，其疼痛多表现为“颠簸痛”，相对缺乏特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异性，很容易出现误诊、漏诊或延迟诊断</w:t>
      </w:r>
      <w:r>
        <w:rPr>
          <w:sz w:val="12"/>
          <w:szCs w:val="12"/>
          <w:color w:val="231F20"/>
          <w:spacing w:val="1"/>
          <w:position w:val="7"/>
        </w:rPr>
        <w:t>[9]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。有研究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表明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，儿童急性阑尾炎漏诊率高达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7"/>
        </w:rPr>
        <w:t>28%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，其漏诊的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独立危险因素之一就是患儿的年龄较小</w:t>
      </w:r>
      <w:r>
        <w:rPr>
          <w:sz w:val="12"/>
          <w:szCs w:val="12"/>
          <w:color w:val="231F20"/>
          <w:spacing w:val="13"/>
          <w:position w:val="7"/>
        </w:rPr>
        <w:t>[10]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由于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儿童自身免疫功能尚未发育成熟，自身抵抗力一般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较弱，若发生急性阑尾炎病情基本较重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、发展也十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分迅速</w:t>
      </w:r>
      <w:r>
        <w:rPr>
          <w:sz w:val="12"/>
          <w:szCs w:val="12"/>
          <w:color w:val="231F20"/>
          <w:spacing w:val="6"/>
          <w:position w:val="7"/>
        </w:rPr>
        <w:t>[11]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因此，临床上迫切需要一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种简便安全的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快速筛查急性阑尾炎患儿的诊断方法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预先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存储于中性粒细胞嗜苯胺蓝颗粒和分泌囊泡中，在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中性粒细胞收到炎症刺激信号后，半数以上的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</w:rPr>
        <w:t>HBP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可通过外泌的形式迅速释放到血液中</w:t>
      </w:r>
      <w:r>
        <w:rPr>
          <w:sz w:val="12"/>
          <w:szCs w:val="12"/>
          <w:color w:val="231F20"/>
          <w:spacing w:val="8"/>
          <w:position w:val="7"/>
        </w:rPr>
        <w:t>[12]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，这种特性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作为炎症性疾病的早期诊断指标奠定了基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是一种急性时相反应蛋白，当机体有炎症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反应时，</w:t>
      </w:r>
      <w:r>
        <w:rPr>
          <w:sz w:val="20"/>
          <w:szCs w:val="20"/>
          <w:color w:val="231F20"/>
        </w:rPr>
        <w:t>CRP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水平可在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</w:rPr>
        <w:t>4~6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内迅速上升，并在 </w:t>
      </w:r>
      <w:r>
        <w:rPr>
          <w:sz w:val="20"/>
          <w:szCs w:val="20"/>
          <w:color w:val="231F20"/>
        </w:rPr>
        <w:t>36~ </w:t>
      </w:r>
      <w:r>
        <w:rPr>
          <w:sz w:val="20"/>
          <w:szCs w:val="20"/>
          <w:color w:val="231F20"/>
          <w:spacing w:val="4"/>
        </w:rPr>
        <w:t>50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4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达到高峰水平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，有研究发现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水平与患者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机体炎症反应强度呈正相关，在炎症反应强度中具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有较好的应用价值</w:t>
      </w:r>
      <w:r>
        <w:rPr>
          <w:sz w:val="12"/>
          <w:szCs w:val="12"/>
          <w:color w:val="231F20"/>
          <w:spacing w:val="3"/>
          <w:position w:val="7"/>
        </w:rPr>
        <w:t>[13]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是三大常规之一，因其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检测时间短且费用低廉，在临床应用最多，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平升高，往往提示机体受到感染、组织损伤、手术创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4"/>
        </w:rPr>
        <w:t>伤等</w:t>
      </w:r>
      <w:r>
        <w:rPr>
          <w:sz w:val="12"/>
          <w:szCs w:val="12"/>
          <w:color w:val="231F20"/>
          <w:spacing w:val="2"/>
          <w:position w:val="4"/>
        </w:rPr>
        <w:t>[14]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  <w:position w:val="-4"/>
        </w:rPr>
        <w:t>。</w:t>
      </w:r>
    </w:p>
    <w:p>
      <w:pPr>
        <w:pStyle w:val="BodyText"/>
        <w:ind w:firstLine="412"/>
        <w:spacing w:before="9" w:line="25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>本研究选取了临床上易于开展的肝素结合蛋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C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反应蛋白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、血常规的一些指标，发现急性阑尾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炎组 </w:t>
      </w:r>
      <w:r>
        <w:rPr>
          <w:sz w:val="20"/>
          <w:szCs w:val="20"/>
          <w:color w:val="231F20"/>
          <w:spacing w:val="-7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水平高于健康人群组，急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性 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 </w:t>
      </w:r>
      <w:r>
        <w:rPr>
          <w:sz w:val="20"/>
          <w:szCs w:val="20"/>
          <w:color w:val="231F20"/>
          <w:spacing w:val="-6"/>
        </w:rPr>
        <w:t>LY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P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均</w:t>
      </w:r>
      <w:r>
        <w:rPr>
          <w:sz w:val="20"/>
          <w:szCs w:val="20"/>
          <w:color w:val="231F20"/>
          <w:spacing w:val="-6"/>
        </w:rPr>
        <w:t>&lt;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两组 </w:t>
      </w:r>
      <w:r>
        <w:rPr>
          <w:sz w:val="20"/>
          <w:szCs w:val="20"/>
          <w:color w:val="231F20"/>
          <w:spacing w:val="-1"/>
        </w:rPr>
        <w:t>RDW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PDW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sz w:val="20"/>
          <w:szCs w:val="20"/>
          <w:color w:val="231F20"/>
          <w:spacing w:val="-1"/>
        </w:rPr>
        <w:t>MPV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水平比较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，差异无统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计学意义（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3"/>
        </w:rPr>
        <w:t>P</w:t>
      </w:r>
      <w:r>
        <w:rPr>
          <w:sz w:val="20"/>
          <w:szCs w:val="20"/>
          <w:color w:val="231F20"/>
          <w:spacing w:val="3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与儿童急性阑尾炎的关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系暂未发现有研究报道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，雷周满</w:t>
      </w:r>
      <w:r>
        <w:rPr>
          <w:sz w:val="12"/>
          <w:szCs w:val="12"/>
          <w:color w:val="231F20"/>
          <w:spacing w:val="9"/>
          <w:position w:val="7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的研究中 </w:t>
      </w:r>
      <w:r>
        <w:rPr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的结果与本研究结果一致；申艳敏</w:t>
      </w:r>
      <w:r>
        <w:rPr>
          <w:sz w:val="12"/>
          <w:szCs w:val="12"/>
          <w:color w:val="231F20"/>
          <w:spacing w:val="4"/>
          <w:position w:val="7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的研究中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的结果与本研究结果一致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。本文进一步构建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了 </w:t>
      </w:r>
      <w:r>
        <w:rPr>
          <w:sz w:val="20"/>
          <w:szCs w:val="20"/>
          <w:color w:val="231F20"/>
          <w:spacing w:val="-7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联合指标的预测概率，并对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上述单项及联合指标进行了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曲线分析，结果显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示，单项指标中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</w:rPr>
        <w:t>HBP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对儿童急性阑尾炎的诊断价值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</w:t>
      </w:r>
      <w:r>
        <w:rPr>
          <w:sz w:val="20"/>
          <w:szCs w:val="20"/>
          <w:color w:val="231F20"/>
          <w:spacing w:val="-9"/>
        </w:rPr>
        <w:t>AUC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</w:t>
      </w:r>
      <w:r>
        <w:rPr>
          <w:sz w:val="20"/>
          <w:szCs w:val="20"/>
          <w:color w:val="231F20"/>
          <w:spacing w:val="-9"/>
        </w:rPr>
        <w:t>0.915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 </w:t>
      </w:r>
      <w:r>
        <w:rPr>
          <w:sz w:val="20"/>
          <w:szCs w:val="20"/>
          <w:color w:val="231F20"/>
          <w:spacing w:val="-9"/>
        </w:rPr>
        <w:t>77.3%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，特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92.0%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为 </w:t>
      </w:r>
      <w:r>
        <w:rPr>
          <w:sz w:val="20"/>
          <w:szCs w:val="20"/>
          <w:color w:val="231F20"/>
          <w:spacing w:val="-8"/>
        </w:rPr>
        <w:t>29.74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ng/mL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sz w:val="20"/>
          <w:szCs w:val="20"/>
          <w:color w:val="231F20"/>
          <w:spacing w:val="-8"/>
        </w:rPr>
        <w:t>WBC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的 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为 </w:t>
      </w:r>
      <w:r>
        <w:rPr>
          <w:sz w:val="20"/>
          <w:szCs w:val="20"/>
          <w:color w:val="231F20"/>
          <w:spacing w:val="-7"/>
        </w:rPr>
        <w:t>0.850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</w:rPr>
        <w:t>CRP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的 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为 </w:t>
      </w:r>
      <w:r>
        <w:rPr>
          <w:sz w:val="20"/>
          <w:szCs w:val="20"/>
          <w:color w:val="231F20"/>
          <w:spacing w:val="-7"/>
        </w:rPr>
        <w:t>0.878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；而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满</w:t>
      </w:r>
      <w:r>
        <w:rPr>
          <w:sz w:val="12"/>
          <w:szCs w:val="12"/>
          <w:color w:val="231F20"/>
          <w:spacing w:val="5"/>
          <w:position w:val="7"/>
        </w:rPr>
        <w:t>[15]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在单项指标的 </w:t>
      </w:r>
      <w:r>
        <w:rPr>
          <w:sz w:val="20"/>
          <w:szCs w:val="20"/>
          <w:color w:val="231F20"/>
        </w:rPr>
        <w:t>ROC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曲线分析中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WBC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的曲线</w:t>
      </w:r>
    </w:p>
    <w:p>
      <w:pPr>
        <w:spacing w:line="250" w:lineRule="auto"/>
        <w:sectPr>
          <w:type w:val="continuous"/>
          <w:pgSz w:w="12246" w:h="17178"/>
          <w:pgMar w:top="1306" w:right="1223" w:bottom="600" w:left="432" w:header="944" w:footer="360" w:gutter="0"/>
          <w:cols w:equalWidth="0" w:num="2">
            <w:col w:w="5805" w:space="100"/>
            <w:col w:w="4686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7502"/>
        <w:spacing w:before="219" w:line="164" w:lineRule="auto"/>
        <w:rPr>
          <w:sz w:val="17"/>
          <w:szCs w:val="17"/>
        </w:rPr>
      </w:pP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MEDICINE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系统医学      </w:t>
      </w:r>
      <w:r>
        <w:rPr>
          <w:sz w:val="17"/>
          <w:szCs w:val="17"/>
          <w:color w:val="231F20"/>
          <w:spacing w:val="12"/>
        </w:rPr>
        <w:t>17</w:t>
      </w:r>
    </w:p>
    <w:p>
      <w:pPr>
        <w:spacing w:line="164" w:lineRule="auto"/>
        <w:sectPr>
          <w:type w:val="continuous"/>
          <w:pgSz w:w="12246" w:h="17178"/>
          <w:pgMar w:top="1306" w:right="1223" w:bottom="600" w:left="432" w:header="944" w:footer="360" w:gutter="0"/>
          <w:cols w:equalWidth="0" w:num="1">
            <w:col w:w="10590" w:space="0"/>
          </w:cols>
        </w:sectPr>
        <w:rPr>
          <w:sz w:val="17"/>
          <w:szCs w:val="17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5"/>
          <w:footerReference w:type="default" r:id="rId6"/>
          <w:pgSz w:w="12246" w:h="17178"/>
          <w:pgMar w:top="1306" w:right="1235" w:bottom="600" w:left="432" w:header="944" w:footer="360" w:gutter="0"/>
          <w:cols w:equalWidth="0" w:num="1">
            <w:col w:w="10578" w:space="0"/>
          </w:cols>
        </w:sectPr>
        <w:rPr/>
      </w:pPr>
    </w:p>
    <w:p>
      <w:pPr>
        <w:pStyle w:val="BodyText"/>
        <w:ind w:left="878" w:right="250"/>
        <w:spacing w:before="42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下面积最高，为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4"/>
        </w:rPr>
        <w:t>0.941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的曲线下面积为</w:t>
      </w:r>
      <w:r>
        <w:rPr>
          <w:sz w:val="20"/>
          <w:szCs w:val="20"/>
          <w:color w:val="231F20"/>
          <w:spacing w:val="4"/>
        </w:rPr>
        <w:t>0.</w:t>
      </w:r>
      <w:r>
        <w:rPr>
          <w:sz w:val="20"/>
          <w:szCs w:val="20"/>
          <w:color w:val="231F20"/>
          <w:spacing w:val="3"/>
        </w:rPr>
        <w:t>863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与本研究中白细胞的曲线下面积有差异，考虑可能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为抽样误差导致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。本研究中 </w:t>
      </w:r>
      <w:r>
        <w:rPr>
          <w:sz w:val="20"/>
          <w:szCs w:val="20"/>
          <w:color w:val="231F20"/>
          <w:spacing w:val="-4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sz w:val="20"/>
          <w:szCs w:val="20"/>
          <w:color w:val="231F20"/>
          <w:spacing w:val="-4"/>
        </w:rPr>
        <w:t>NE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LY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联合检测在所有检测中诊断急性阑尾炎的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</w:rPr>
        <w:t>AUC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最高，为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5"/>
        </w:rPr>
        <w:t>0.933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，其灵敏度为 </w:t>
      </w:r>
      <w:r>
        <w:rPr>
          <w:sz w:val="20"/>
          <w:szCs w:val="20"/>
          <w:color w:val="231F20"/>
          <w:spacing w:val="-5"/>
        </w:rPr>
        <w:t>84.5%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，特异度为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5"/>
        </w:rPr>
        <w:t>9</w:t>
      </w:r>
      <w:r>
        <w:rPr>
          <w:sz w:val="20"/>
          <w:szCs w:val="20"/>
          <w:color w:val="231F20"/>
          <w:spacing w:val="-6"/>
        </w:rPr>
        <w:t>0.0%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因此，若患儿腹痛并同时伴有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9"/>
        </w:rPr>
        <w:t>HBP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WBC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sz w:val="20"/>
          <w:szCs w:val="20"/>
          <w:color w:val="231F20"/>
          <w:spacing w:val="-9"/>
        </w:rPr>
        <w:t>N</w:t>
      </w:r>
      <w:r>
        <w:rPr>
          <w:sz w:val="20"/>
          <w:szCs w:val="20"/>
          <w:color w:val="231F20"/>
          <w:spacing w:val="-10"/>
        </w:rPr>
        <w:t>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指标异常，临床医生应给予重视，避免儿童急性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2"/>
        </w:rPr>
        <w:t>阑尾炎的漏诊</w:t>
      </w:r>
      <w:r>
        <w:rPr>
          <w:sz w:val="12"/>
          <w:szCs w:val="12"/>
          <w:color w:val="231F20"/>
          <w:spacing w:val="5"/>
          <w:position w:val="6"/>
        </w:rPr>
        <w:t>[16]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2"/>
        </w:rPr>
        <w:t>。</w:t>
      </w:r>
    </w:p>
    <w:p>
      <w:pPr>
        <w:pStyle w:val="BodyText"/>
        <w:ind w:left="881" w:right="265" w:firstLine="407"/>
        <w:spacing w:before="4" w:line="25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综上所述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，与健康人群患儿相比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，急性阑尾炎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患儿中 </w:t>
      </w:r>
      <w:r>
        <w:rPr>
          <w:sz w:val="20"/>
          <w:szCs w:val="20"/>
          <w:color w:val="231F20"/>
          <w:spacing w:val="-7"/>
        </w:rPr>
        <w:t>HBP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CRP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WBC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sz w:val="20"/>
          <w:szCs w:val="20"/>
          <w:color w:val="231F20"/>
          <w:spacing w:val="-7"/>
        </w:rPr>
        <w:t>NE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在体内呈高水平状态，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在体内呈低水平状态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，这五种指标联合检测对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>患儿急性阑尾炎的早期诊治具有重要的指导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</w:p>
    <w:p>
      <w:pPr>
        <w:pStyle w:val="BodyText"/>
        <w:ind w:left="2713"/>
        <w:spacing w:before="177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参考文献</w:t>
      </w:r>
      <w:r>
        <w:rPr>
          <w:sz w:val="20"/>
          <w:szCs w:val="20"/>
          <w:color w:val="231F20"/>
          <w:spacing w:val="2"/>
        </w:rPr>
        <w:t>]</w:t>
      </w:r>
    </w:p>
    <w:p>
      <w:pPr>
        <w:pStyle w:val="BodyText"/>
        <w:ind w:left="1216" w:right="330" w:hanging="334"/>
        <w:spacing w:before="219" w:line="350" w:lineRule="auto"/>
        <w:rPr/>
      </w:pPr>
      <w:r>
        <w:rPr>
          <w:color w:val="231F20"/>
          <w:spacing w:val="-1"/>
        </w:rPr>
        <w:t>[1]   Gorter  RR,  Eker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HH,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Gorter-Stam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MA,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</w:t>
      </w:r>
      <w:r>
        <w:rPr>
          <w:color w:val="231F20"/>
          <w:spacing w:val="-2"/>
        </w:rPr>
        <w:t>t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Diagnosis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6"/>
        </w:rPr>
        <w:t>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EAES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consensus </w:t>
      </w:r>
      <w:r>
        <w:rPr>
          <w:color w:val="231F20"/>
        </w:rPr>
        <w:t>development   conference  2015[J]. Surg  Endosc, 2016, </w:t>
      </w:r>
      <w:r>
        <w:rPr>
          <w:color w:val="231F20"/>
          <w:spacing w:val="-1"/>
        </w:rPr>
        <w:t>30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(11):4668-4690.</w:t>
      </w:r>
    </w:p>
    <w:p>
      <w:pPr>
        <w:pStyle w:val="BodyText"/>
        <w:ind w:left="1220" w:right="330" w:hanging="338"/>
        <w:spacing w:before="136" w:line="336" w:lineRule="auto"/>
        <w:rPr/>
      </w:pPr>
      <w:r>
        <w:rPr>
          <w:color w:val="231F20"/>
          <w:spacing w:val="-2"/>
        </w:rPr>
        <w:t>[2]   Willis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ZI,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Duggan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Bucher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BT,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Effect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of 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clini⁃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practice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guideline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pediatr</w:t>
      </w:r>
      <w:r>
        <w:rPr>
          <w:color w:val="231F20"/>
        </w:rPr>
        <w:t>ic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complicated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appendi⁃ </w:t>
      </w:r>
      <w:r>
        <w:rPr>
          <w:color w:val="231F20"/>
          <w:spacing w:val="-1"/>
        </w:rPr>
        <w:t>citis[J].JAMA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Surg,2016,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151(5):e160194.</w:t>
      </w:r>
    </w:p>
    <w:p>
      <w:pPr>
        <w:pStyle w:val="BodyText"/>
        <w:ind w:left="1217" w:right="329" w:hanging="335"/>
        <w:spacing w:before="135" w:line="360" w:lineRule="auto"/>
        <w:rPr/>
      </w:pPr>
      <w:r>
        <w:rPr>
          <w:color w:val="231F20"/>
          <w:spacing w:val="-1"/>
        </w:rPr>
        <w:t>[3]   Fall  M,  Gueye  D,  Well</w:t>
      </w:r>
      <w:r>
        <w:rPr>
          <w:color w:val="231F20"/>
          <w:spacing w:val="-2"/>
        </w:rPr>
        <w:t>é  IB,  et  al.  Laparoscopic  appen⁃</w:t>
      </w:r>
      <w:r>
        <w:rPr>
          <w:color w:val="231F20"/>
        </w:rPr>
        <w:t xml:space="preserve"> </w:t>
      </w:r>
      <w:r>
        <w:rPr>
          <w:color w:val="231F20"/>
        </w:rPr>
        <w:t>dectomy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children: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preliminary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hospi⁃</w:t>
      </w:r>
      <w:r>
        <w:rPr>
          <w:color w:val="231F20"/>
        </w:rPr>
        <w:t xml:space="preserve"> </w:t>
      </w:r>
      <w:r>
        <w:rPr>
          <w:color w:val="231F20"/>
        </w:rPr>
        <w:t>tal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</w:rPr>
        <w:t>albert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royer,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dakar[J].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Gastroenterol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Res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-1"/>
        </w:rPr>
        <w:t>ract,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2015: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878372.</w:t>
      </w:r>
    </w:p>
    <w:p>
      <w:pPr>
        <w:pStyle w:val="BodyText"/>
        <w:ind w:left="1217" w:right="329" w:hanging="335"/>
        <w:spacing w:before="100" w:line="336" w:lineRule="auto"/>
        <w:rPr/>
      </w:pPr>
      <w:r>
        <w:rPr>
          <w:color w:val="231F20"/>
          <w:spacing w:val="-2"/>
        </w:rPr>
        <w:t>[4]   Childers  CP,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Dworsky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2"/>
        </w:rPr>
        <w:t>JQ,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Ma</w:t>
      </w:r>
      <w:r>
        <w:rPr>
          <w:color w:val="231F20"/>
          <w:spacing w:val="-3"/>
        </w:rPr>
        <w:t>ssoumi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RL,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con⁃</w:t>
      </w:r>
      <w:r>
        <w:rPr>
          <w:color w:val="231F20"/>
        </w:rPr>
        <w:t xml:space="preserve"> </w:t>
      </w:r>
      <w:r>
        <w:rPr>
          <w:color w:val="231F20"/>
        </w:rPr>
        <w:t>temporary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appendectomy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fo</w:t>
      </w:r>
      <w:r>
        <w:rPr>
          <w:color w:val="231F20"/>
          <w:spacing w:val="-1"/>
        </w:rPr>
        <w:t>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uncomplicated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appen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⁃</w:t>
      </w:r>
      <w:r>
        <w:rPr>
          <w:color w:val="231F20"/>
        </w:rPr>
        <w:t xml:space="preserve"> </w:t>
      </w:r>
      <w:r>
        <w:rPr>
          <w:color w:val="231F20"/>
        </w:rPr>
        <w:t>dicitis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"/>
        </w:rPr>
        <w:t>[J].</w:t>
      </w:r>
      <w:r>
        <w:rPr>
          <w:color w:val="231F20"/>
        </w:rPr>
        <w:t>Surgery</w:t>
      </w:r>
      <w:r>
        <w:rPr>
          <w:color w:val="231F20"/>
          <w:spacing w:val="2"/>
        </w:rPr>
        <w:t>,2019,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165(5):1027-1034.</w:t>
      </w:r>
    </w:p>
    <w:p>
      <w:pPr>
        <w:pStyle w:val="BodyText"/>
        <w:ind w:left="1216" w:right="330" w:hanging="334"/>
        <w:spacing w:before="137" w:line="253" w:lineRule="auto"/>
        <w:rPr/>
      </w:pPr>
      <w:r>
        <w:rPr>
          <w:color w:val="231F20"/>
          <w:spacing w:val="5"/>
        </w:rPr>
        <w:t>[5]   </w:t>
      </w:r>
      <w:r>
        <w:rPr>
          <w:rFonts w:ascii="Microsoft YaHei" w:hAnsi="Microsoft YaHei" w:eastAsia="Microsoft YaHei" w:cs="Microsoft YaHei"/>
          <w:color w:val="231F20"/>
          <w:spacing w:val="5"/>
        </w:rPr>
        <w:t>张静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梁羽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color w:val="231F20"/>
          <w:spacing w:val="5"/>
        </w:rPr>
        <w:t>,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陈琴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color w:val="231F20"/>
          <w:spacing w:val="5"/>
        </w:rPr>
        <w:t>等 </w:t>
      </w:r>
      <w:r>
        <w:rPr>
          <w:color w:val="231F20"/>
          <w:spacing w:val="5"/>
        </w:rPr>
        <w:t>.</w:t>
      </w:r>
      <w:r>
        <w:rPr>
          <w:color w:val="231F20"/>
        </w:rPr>
        <w:t>AIR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评分联合超声预测小儿急性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阑尾炎发生坏疽穿孔</w:t>
      </w:r>
      <w:r>
        <w:rPr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color w:val="231F20"/>
          <w:spacing w:val="9"/>
        </w:rPr>
        <w:t>中国超声医学杂志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9"/>
        </w:rPr>
        <w:t>,2022,</w:t>
      </w:r>
      <w:r>
        <w:rPr>
          <w:color w:val="231F20"/>
          <w:spacing w:val="8"/>
        </w:rPr>
        <w:t>38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(10):1161-1165.</w:t>
      </w:r>
    </w:p>
    <w:p>
      <w:pPr>
        <w:pStyle w:val="BodyText"/>
        <w:ind w:left="882"/>
        <w:spacing w:before="134" w:line="19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8"/>
        </w:rPr>
        <w:t>[6]   </w:t>
      </w:r>
      <w:r>
        <w:rPr>
          <w:rFonts w:ascii="Microsoft YaHei" w:hAnsi="Microsoft YaHei" w:eastAsia="Microsoft YaHei" w:cs="Microsoft YaHei"/>
          <w:color w:val="231F20"/>
          <w:spacing w:val="8"/>
        </w:rPr>
        <w:t>林丽萍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钟晓红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李胜利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color w:val="231F20"/>
          <w:spacing w:val="8"/>
        </w:rPr>
        <w:t>儿童急性阑尾</w:t>
      </w:r>
      <w:r>
        <w:rPr>
          <w:rFonts w:ascii="Microsoft YaHei" w:hAnsi="Microsoft YaHei" w:eastAsia="Microsoft YaHei" w:cs="Microsoft YaHei"/>
          <w:color w:val="231F20"/>
          <w:spacing w:val="7"/>
        </w:rPr>
        <w:t>炎的病理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 w:right="67" w:hanging="1"/>
        <w:spacing w:before="41" w:line="295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型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与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超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声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声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像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对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照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析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超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声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杂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志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2020,36(7):646-650.</w:t>
      </w:r>
    </w:p>
    <w:p>
      <w:pPr>
        <w:pStyle w:val="BodyText"/>
        <w:ind w:left="340" w:right="68" w:hanging="340"/>
        <w:spacing w:before="32" w:line="309" w:lineRule="auto"/>
        <w:rPr/>
      </w:pPr>
      <w:r>
        <w:rPr>
          <w:color w:val="231F20"/>
        </w:rPr>
        <w:t>[7]   Rentea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RM,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Peter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SDS.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Pediatric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appendicitis[J].Sur</w:t>
      </w:r>
      <w:r>
        <w:rPr>
          <w:color w:val="231F20"/>
          <w:spacing w:val="-1"/>
        </w:rPr>
        <w:t>gical</w:t>
      </w:r>
      <w:r>
        <w:rPr>
          <w:color w:val="231F20"/>
        </w:rPr>
        <w:t xml:space="preserve"> </w:t>
      </w:r>
      <w:r>
        <w:rPr>
          <w:color w:val="231F20"/>
        </w:rPr>
        <w:t>Clinics</w:t>
      </w:r>
      <w:r>
        <w:rPr>
          <w:color w:val="231F20"/>
          <w:spacing w:val="3"/>
        </w:rPr>
        <w:t>,2017,97(1):93-112.</w:t>
      </w:r>
    </w:p>
    <w:p>
      <w:pPr>
        <w:pStyle w:val="BodyText"/>
        <w:ind w:left="337" w:right="66" w:hanging="338"/>
        <w:spacing w:before="132" w:line="335" w:lineRule="auto"/>
        <w:rPr/>
      </w:pPr>
      <w:r>
        <w:rPr>
          <w:color w:val="231F20"/>
          <w:spacing w:val="-1"/>
        </w:rPr>
        <w:t>[8]   MarzuilloP,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"/>
        </w:rPr>
        <w:t>Germani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C,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Krauss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Appendicitis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yearsold: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challenge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1"/>
        </w:rPr>
        <w:t>gen⁃</w:t>
      </w:r>
      <w:r>
        <w:rPr>
          <w:color w:val="231F20"/>
        </w:rPr>
        <w:t xml:space="preserve"> </w:t>
      </w:r>
      <w:r>
        <w:rPr>
          <w:color w:val="231F20"/>
        </w:rPr>
        <w:t>eral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practitioner</w:t>
      </w:r>
      <w:r>
        <w:rPr>
          <w:color w:val="231F20"/>
          <w:spacing w:val="4"/>
        </w:rPr>
        <w:t>[J].</w:t>
      </w:r>
      <w:r>
        <w:rPr>
          <w:color w:val="231F20"/>
        </w:rPr>
        <w:t>World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JClin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Pdiatre</w:t>
      </w:r>
      <w:r>
        <w:rPr>
          <w:color w:val="231F20"/>
          <w:spacing w:val="4"/>
        </w:rPr>
        <w:t>,2019,4(2):19-24.</w:t>
      </w:r>
    </w:p>
    <w:p>
      <w:pPr>
        <w:pStyle w:val="BodyText"/>
        <w:ind w:left="335" w:right="67" w:hanging="336"/>
        <w:spacing w:before="133" w:line="252" w:lineRule="auto"/>
        <w:rPr/>
      </w:pPr>
      <w:r>
        <w:rPr>
          <w:color w:val="231F20"/>
          <w:spacing w:val="7"/>
        </w:rPr>
        <w:t>[9]   </w:t>
      </w:r>
      <w:r>
        <w:rPr>
          <w:rFonts w:ascii="Microsoft YaHei" w:hAnsi="Microsoft YaHei" w:eastAsia="Microsoft YaHei" w:cs="Microsoft YaHei"/>
          <w:color w:val="231F20"/>
          <w:spacing w:val="7"/>
        </w:rPr>
        <w:t>刘瑜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王城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周柯均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color w:val="231F20"/>
          <w:spacing w:val="7"/>
        </w:rPr>
        <w:t>儿童急性化脓性阑尾炎术后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切口感染及治疗效果分析</w:t>
      </w:r>
      <w:r>
        <w:rPr>
          <w:color w:val="231F20"/>
          <w:spacing w:val="12"/>
        </w:rPr>
        <w:t>[J]. </w:t>
      </w:r>
      <w:r>
        <w:rPr>
          <w:rFonts w:ascii="Microsoft YaHei" w:hAnsi="Microsoft YaHei" w:eastAsia="Microsoft YaHei" w:cs="Microsoft YaHei"/>
          <w:color w:val="231F20"/>
          <w:spacing w:val="12"/>
        </w:rPr>
        <w:t>中国病原生物学杂志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12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2023,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18(3):323-326,331.</w:t>
      </w:r>
    </w:p>
    <w:p>
      <w:pPr>
        <w:pStyle w:val="BodyText"/>
        <w:ind w:left="430" w:right="67" w:hanging="430"/>
        <w:spacing w:before="131" w:line="348" w:lineRule="auto"/>
        <w:rPr/>
      </w:pPr>
      <w:r>
        <w:rPr>
          <w:color w:val="231F20"/>
        </w:rPr>
        <w:t>[10]   Drapkin</w:t>
      </w:r>
      <w:r>
        <w:rPr>
          <w:color w:val="231F20"/>
          <w:spacing w:val="12"/>
        </w:rPr>
        <w:t xml:space="preserve">  </w:t>
      </w:r>
      <w:r>
        <w:rPr>
          <w:color w:val="231F20"/>
        </w:rPr>
        <w:t>Z,   Dunnick</w:t>
      </w:r>
      <w:r>
        <w:rPr>
          <w:color w:val="231F20"/>
          <w:spacing w:val="-1"/>
        </w:rPr>
        <w:t xml:space="preserve">  J,   Madsen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"/>
        </w:rPr>
        <w:t>TE,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et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al.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"/>
        </w:rPr>
        <w:t>Pediatric</w:t>
      </w:r>
      <w:r>
        <w:rPr>
          <w:color w:val="231F20"/>
        </w:rPr>
        <w:t xml:space="preserve"> </w:t>
      </w:r>
      <w:r>
        <w:rPr>
          <w:color w:val="231F20"/>
        </w:rPr>
        <w:t>appendicitis:    association    of    chief    complaint </w:t>
      </w:r>
      <w:r>
        <w:rPr>
          <w:color w:val="231F20"/>
          <w:spacing w:val="-1"/>
        </w:rPr>
        <w:t xml:space="preserve">   with</w:t>
      </w:r>
      <w:r>
        <w:rPr>
          <w:color w:val="231F20"/>
        </w:rPr>
        <w:t xml:space="preserve"> </w:t>
      </w:r>
      <w:r>
        <w:rPr>
          <w:color w:val="231F20"/>
        </w:rPr>
        <w:t>missed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appendicitis</w:t>
      </w:r>
      <w:r>
        <w:rPr>
          <w:color w:val="231F20"/>
          <w:spacing w:val="2"/>
        </w:rPr>
        <w:t>[J].</w:t>
      </w:r>
      <w:r>
        <w:rPr>
          <w:color w:val="231F20"/>
        </w:rPr>
        <w:t>Pediatric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Emergency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Care</w:t>
      </w:r>
      <w:r>
        <w:rPr>
          <w:color w:val="231F20"/>
          <w:spacing w:val="2"/>
        </w:rPr>
        <w:t>,2020,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36(4):e204-e207.</w:t>
      </w:r>
    </w:p>
    <w:p>
      <w:pPr>
        <w:pStyle w:val="BodyText"/>
        <w:ind w:left="430" w:right="67" w:hanging="431"/>
        <w:spacing w:before="132" w:line="263" w:lineRule="auto"/>
        <w:rPr/>
      </w:pPr>
      <w:r>
        <w:rPr>
          <w:color w:val="231F20"/>
          <w:spacing w:val="7"/>
        </w:rPr>
        <w:t>[11]   </w:t>
      </w:r>
      <w:r>
        <w:rPr>
          <w:rFonts w:ascii="Microsoft YaHei" w:hAnsi="Microsoft YaHei" w:eastAsia="Microsoft YaHei" w:cs="Microsoft YaHei"/>
          <w:color w:val="231F20"/>
          <w:spacing w:val="7"/>
        </w:rPr>
        <w:t>牛臻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宋晓峰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孙静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等 </w:t>
      </w:r>
      <w:r>
        <w:rPr>
          <w:color w:val="231F20"/>
          <w:spacing w:val="7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小儿急性阑尾炎临</w:t>
      </w:r>
      <w:r>
        <w:rPr>
          <w:rFonts w:ascii="Microsoft YaHei" w:hAnsi="Microsoft YaHei" w:eastAsia="Microsoft YaHei" w:cs="Microsoft YaHei"/>
          <w:color w:val="231F20"/>
          <w:spacing w:val="6"/>
        </w:rPr>
        <w:t>床诊疗特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点及病原学分析</w:t>
      </w:r>
      <w:r>
        <w:rPr>
          <w:color w:val="231F20"/>
          <w:spacing w:val="7"/>
        </w:rPr>
        <w:t>[J].</w:t>
      </w:r>
      <w:r>
        <w:rPr>
          <w:rFonts w:ascii="Microsoft YaHei" w:hAnsi="Microsoft YaHei" w:eastAsia="Microsoft YaHei" w:cs="Microsoft YaHei"/>
          <w:color w:val="231F20"/>
          <w:spacing w:val="7"/>
        </w:rPr>
        <w:t>第三军医大学学报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7"/>
        </w:rPr>
        <w:t>,2020,42(14):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1449-1455.</w:t>
      </w:r>
    </w:p>
    <w:p>
      <w:pPr>
        <w:pStyle w:val="BodyText"/>
        <w:ind w:left="427" w:right="67" w:hanging="427"/>
        <w:spacing w:before="97" w:line="252" w:lineRule="auto"/>
        <w:rPr/>
      </w:pPr>
      <w:r>
        <w:rPr>
          <w:color w:val="231F20"/>
          <w:spacing w:val="8"/>
        </w:rPr>
        <w:t>[12]   </w:t>
      </w:r>
      <w:r>
        <w:rPr>
          <w:rFonts w:ascii="Microsoft YaHei" w:hAnsi="Microsoft YaHei" w:eastAsia="Microsoft YaHei" w:cs="Microsoft YaHei"/>
          <w:color w:val="231F20"/>
          <w:spacing w:val="8"/>
        </w:rPr>
        <w:t>邓俊超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赵芳丽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乔莉娜 </w:t>
      </w:r>
      <w:r>
        <w:rPr>
          <w:color w:val="231F20"/>
          <w:spacing w:val="8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肝素结合蛋白对儿童重症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感染诊断价值的前瞻性研究</w:t>
      </w:r>
      <w:r>
        <w:rPr>
          <w:color w:val="231F20"/>
          <w:spacing w:val="9"/>
        </w:rPr>
        <w:t>[J]. </w:t>
      </w:r>
      <w:r>
        <w:rPr>
          <w:rFonts w:ascii="Microsoft YaHei" w:hAnsi="Microsoft YaHei" w:eastAsia="Microsoft YaHei" w:cs="Microsoft YaHei"/>
          <w:color w:val="231F20"/>
          <w:spacing w:val="9"/>
        </w:rPr>
        <w:t>中国当代儿科杂志</w:t>
      </w:r>
      <w:r>
        <w:rPr>
          <w:color w:val="231F20"/>
          <w:spacing w:val="9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2022,24(1):85-89.</w:t>
      </w:r>
    </w:p>
    <w:p>
      <w:pPr>
        <w:pStyle w:val="BodyText"/>
        <w:ind w:left="430" w:right="67" w:hanging="430"/>
        <w:spacing w:before="131" w:line="263" w:lineRule="auto"/>
        <w:rPr/>
      </w:pPr>
      <w:r>
        <w:rPr>
          <w:color w:val="231F20"/>
          <w:spacing w:val="6"/>
        </w:rPr>
        <w:t>[13]   </w:t>
      </w:r>
      <w:r>
        <w:rPr>
          <w:rFonts w:ascii="Microsoft YaHei" w:hAnsi="Microsoft YaHei" w:eastAsia="Microsoft YaHei" w:cs="Microsoft YaHei"/>
          <w:color w:val="231F20"/>
          <w:spacing w:val="6"/>
        </w:rPr>
        <w:t>华科俊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胡贤杰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张星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炎性指标在阑尾炎穿孔诊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断 中 的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价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值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研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究 </w:t>
      </w:r>
      <w:r>
        <w:rPr>
          <w:color w:val="231F20"/>
          <w:spacing w:val="-4"/>
        </w:rPr>
        <w:t>[J].  </w:t>
      </w:r>
      <w:r>
        <w:rPr>
          <w:rFonts w:ascii="Microsoft YaHei" w:hAnsi="Microsoft YaHei" w:eastAsia="Microsoft YaHei" w:cs="Microsoft YaHei"/>
          <w:color w:val="231F20"/>
          <w:spacing w:val="-4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全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科 医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学 </w:t>
      </w:r>
      <w:r>
        <w:rPr>
          <w:color w:val="231F20"/>
          <w:spacing w:val="-4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2017,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20(17):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2139-2142.</w:t>
      </w:r>
    </w:p>
    <w:p>
      <w:pPr>
        <w:pStyle w:val="BodyText"/>
        <w:ind w:left="427" w:right="67" w:hanging="427"/>
        <w:spacing w:before="96" w:line="256" w:lineRule="auto"/>
        <w:rPr/>
      </w:pPr>
      <w:r>
        <w:rPr>
          <w:color w:val="231F20"/>
          <w:spacing w:val="7"/>
        </w:rPr>
        <w:t>[14]   </w:t>
      </w:r>
      <w:r>
        <w:rPr>
          <w:rFonts w:ascii="Microsoft YaHei" w:hAnsi="Microsoft YaHei" w:eastAsia="Microsoft YaHei" w:cs="Microsoft YaHei"/>
          <w:color w:val="231F20"/>
          <w:spacing w:val="7"/>
        </w:rPr>
        <w:t>张永生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徐礼治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伍阳阳 </w:t>
      </w:r>
      <w:r>
        <w:rPr>
          <w:color w:val="231F20"/>
          <w:spacing w:val="7"/>
        </w:rPr>
        <w:t>.</w:t>
      </w:r>
      <w:r>
        <w:rPr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白细胞计数和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7"/>
        </w:rPr>
        <w:t>C</w:t>
      </w:r>
      <w:r>
        <w:rPr>
          <w:color w:val="231F20"/>
          <w:spacing w:val="6"/>
        </w:rPr>
        <w:t>-</w:t>
      </w:r>
      <w:r>
        <w:rPr>
          <w:rFonts w:ascii="Microsoft YaHei" w:hAnsi="Microsoft YaHei" w:eastAsia="Microsoft YaHei" w:cs="Microsoft YaHei"/>
          <w:color w:val="231F20"/>
          <w:spacing w:val="6"/>
        </w:rPr>
        <w:t>反应蛋白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诊断急性阑尾炎的准确性与患者症状持续时间关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联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性 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探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讨 </w:t>
      </w:r>
      <w:r>
        <w:rPr>
          <w:color w:val="231F20"/>
          <w:spacing w:val="-4"/>
        </w:rPr>
        <w:t>[J].</w:t>
      </w:r>
      <w:r>
        <w:rPr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中 国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卫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生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检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验 杂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志 </w:t>
      </w:r>
      <w:r>
        <w:rPr>
          <w:color w:val="231F20"/>
          <w:spacing w:val="-4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2017,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27(10):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1467-1470,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1473.</w:t>
      </w:r>
    </w:p>
    <w:p>
      <w:pPr>
        <w:pStyle w:val="BodyText"/>
        <w:ind w:left="427" w:right="67" w:hanging="427"/>
        <w:spacing w:before="124" w:line="252" w:lineRule="auto"/>
        <w:rPr/>
      </w:pPr>
      <w:r>
        <w:rPr>
          <w:color w:val="231F20"/>
          <w:spacing w:val="5"/>
        </w:rPr>
        <w:t>[15]   </w:t>
      </w:r>
      <w:r>
        <w:rPr>
          <w:rFonts w:ascii="Microsoft YaHei" w:hAnsi="Microsoft YaHei" w:eastAsia="Microsoft YaHei" w:cs="Microsoft YaHei"/>
          <w:color w:val="231F20"/>
          <w:spacing w:val="5"/>
        </w:rPr>
        <w:t>雷周满 </w:t>
      </w:r>
      <w:r>
        <w:rPr>
          <w:color w:val="231F20"/>
          <w:spacing w:val="5"/>
        </w:rPr>
        <w:t>.</w:t>
      </w:r>
      <w:r>
        <w:rPr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白细胞计数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、</w:t>
      </w:r>
      <w:r>
        <w:rPr>
          <w:color w:val="231F20"/>
          <w:spacing w:val="5"/>
        </w:rPr>
        <w:t>C </w:t>
      </w:r>
      <w:r>
        <w:rPr>
          <w:rFonts w:ascii="Microsoft YaHei" w:hAnsi="Microsoft YaHei" w:eastAsia="Microsoft YaHei" w:cs="Microsoft YaHei"/>
          <w:color w:val="231F20"/>
          <w:spacing w:val="5"/>
        </w:rPr>
        <w:t>反应蛋白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</w:t>
      </w:r>
      <w:r>
        <w:rPr>
          <w:color w:val="231F20"/>
        </w:rPr>
        <w:t>PCT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检测在小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儿急性阑尾炎诊断中的应用价值</w:t>
      </w:r>
      <w:r>
        <w:rPr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color w:val="231F20"/>
          <w:spacing w:val="9"/>
        </w:rPr>
        <w:t>临床医</w:t>
      </w:r>
      <w:r>
        <w:rPr>
          <w:rFonts w:ascii="Microsoft YaHei" w:hAnsi="Microsoft YaHei" w:eastAsia="Microsoft YaHei" w:cs="Microsoft YaHei"/>
          <w:color w:val="231F20"/>
          <w:spacing w:val="8"/>
        </w:rPr>
        <w:t>学</w:t>
      </w:r>
      <w:r>
        <w:rPr>
          <w:color w:val="231F20"/>
          <w:spacing w:val="8"/>
        </w:rPr>
        <w:t>,2020,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40(3):20-22.</w:t>
      </w:r>
    </w:p>
    <w:p>
      <w:pPr>
        <w:pStyle w:val="BodyText"/>
        <w:ind w:left="430" w:right="68" w:hanging="431"/>
        <w:spacing w:before="134" w:line="225" w:lineRule="auto"/>
        <w:rPr/>
      </w:pPr>
      <w:r>
        <w:rPr>
          <w:color w:val="231F20"/>
          <w:spacing w:val="7"/>
        </w:rPr>
        <w:t>[16]   </w:t>
      </w:r>
      <w:r>
        <w:rPr>
          <w:rFonts w:ascii="Microsoft YaHei" w:hAnsi="Microsoft YaHei" w:eastAsia="Microsoft YaHei" w:cs="Microsoft YaHei"/>
          <w:color w:val="231F20"/>
          <w:spacing w:val="7"/>
        </w:rPr>
        <w:t>申艳敏 </w:t>
      </w:r>
      <w:r>
        <w:rPr>
          <w:color w:val="231F20"/>
          <w:spacing w:val="7"/>
        </w:rPr>
        <w:t>.C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反应蛋白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、降钙素原及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7"/>
        </w:rPr>
        <w:t>D-</w:t>
      </w:r>
      <w:r>
        <w:rPr>
          <w:rFonts w:ascii="Microsoft YaHei" w:hAnsi="Microsoft YaHei" w:eastAsia="Microsoft YaHei" w:cs="Microsoft YaHei"/>
          <w:color w:val="231F20"/>
          <w:spacing w:val="7"/>
        </w:rPr>
        <w:t>二聚体检测在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急性阑尾炎患者中的评价价值</w:t>
      </w:r>
      <w:r>
        <w:rPr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color w:val="231F20"/>
          <w:spacing w:val="8"/>
        </w:rPr>
        <w:t>临床研究</w:t>
      </w:r>
      <w:r>
        <w:rPr>
          <w:color w:val="231F20"/>
          <w:spacing w:val="8"/>
        </w:rPr>
        <w:t>,2023,31</w:t>
      </w:r>
    </w:p>
    <w:p>
      <w:pPr>
        <w:pStyle w:val="BodyText"/>
        <w:ind w:left="427"/>
        <w:spacing w:before="86" w:line="232" w:lineRule="auto"/>
        <w:rPr/>
      </w:pPr>
      <w:r>
        <w:rPr>
          <w:color w:val="231F20"/>
          <w:spacing w:val="4"/>
        </w:rPr>
        <w:t>(6):127-129.</w:t>
      </w:r>
    </w:p>
    <w:p>
      <w:pPr>
        <w:pStyle w:val="BodyText"/>
        <w:spacing w:before="133" w:line="200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（收稿日期：</w:t>
      </w:r>
      <w:r>
        <w:rPr>
          <w:color w:val="231F20"/>
          <w:spacing w:val="5"/>
        </w:rPr>
        <w:t>2024-09-06</w:t>
      </w:r>
      <w:r>
        <w:rPr>
          <w:rFonts w:ascii="Microsoft YaHei" w:hAnsi="Microsoft YaHei" w:eastAsia="Microsoft YaHei" w:cs="Microsoft YaHei"/>
          <w:color w:val="231F20"/>
          <w:spacing w:val="5"/>
        </w:rPr>
        <w:t>）</w:t>
      </w:r>
    </w:p>
    <w:p>
      <w:pPr>
        <w:spacing w:line="200" w:lineRule="auto"/>
        <w:sectPr>
          <w:type w:val="continuous"/>
          <w:pgSz w:w="12246" w:h="17178"/>
          <w:pgMar w:top="1306" w:right="1235" w:bottom="600" w:left="432" w:header="944" w:footer="360" w:gutter="0"/>
          <w:cols w:equalWidth="0" w:num="2">
            <w:col w:w="5812" w:space="100"/>
            <w:col w:w="4667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013"/>
        <w:spacing w:before="65" w:line="164" w:lineRule="auto"/>
        <w:rPr>
          <w:sz w:val="15"/>
          <w:szCs w:val="15"/>
        </w:rPr>
      </w:pPr>
      <w:r>
        <w:rPr>
          <w:sz w:val="17"/>
          <w:szCs w:val="17"/>
          <w:color w:val="231F20"/>
          <w:spacing w:val="8"/>
        </w:rPr>
        <w:t>18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系统医学     </w:t>
      </w:r>
      <w:r>
        <w:rPr>
          <w:sz w:val="15"/>
          <w:szCs w:val="15"/>
          <w:color w:val="231F20"/>
        </w:rPr>
        <w:t>SYSTEMS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</w:rPr>
        <w:t>MEDICINE</w:t>
      </w:r>
    </w:p>
    <w:sectPr>
      <w:type w:val="continuous"/>
      <w:pgSz w:w="12246" w:h="17178"/>
      <w:pgMar w:top="1306" w:right="1235" w:bottom="600" w:left="432" w:header="944" w:footer="360" w:gutter="0"/>
      <w:cols w:equalWidth="0" w:num="1">
        <w:col w:w="105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0" w:line="234" w:lineRule="auto"/>
      <w:jc w:val="right"/>
      <w:rPr>
        <w:rFonts w:ascii="SimHei" w:hAnsi="SimHei" w:eastAsia="SimHei" w:cs="SimHei"/>
        <w:sz w:val="23"/>
        <w:szCs w:val="23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系统医学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3"/>
      </w:rPr>
      <w:t xml:space="preserve">  </w:t>
    </w:r>
    <w:r>
      <w:rPr>
        <w:sz w:val="17"/>
        <w:szCs w:val="17"/>
        <w:color w:val="231F20"/>
        <w:spacing w:val="-4"/>
      </w:rPr>
      <w:t>2024</w:t>
    </w:r>
    <w:r>
      <w:rPr>
        <w:sz w:val="17"/>
        <w:szCs w:val="17"/>
        <w:color w:val="231F20"/>
        <w:spacing w:val="10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</w:rPr>
      <w:t xml:space="preserve"> </w:t>
    </w:r>
    <w:r>
      <w:rPr>
        <w:sz w:val="17"/>
        <w:szCs w:val="17"/>
        <w:color w:val="231F20"/>
        <w:spacing w:val="-4"/>
      </w:rPr>
      <w:t>12</w:t>
    </w:r>
    <w:r>
      <w:rPr>
        <w:sz w:val="17"/>
        <w:szCs w:val="17"/>
        <w:color w:val="231F20"/>
        <w:spacing w:val="10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月第 </w:t>
    </w:r>
    <w:r>
      <w:rPr>
        <w:sz w:val="17"/>
        <w:szCs w:val="17"/>
        <w:color w:val="231F20"/>
        <w:spacing w:val="-4"/>
      </w:rPr>
      <w:t>9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卷第 </w:t>
    </w:r>
    <w:r>
      <w:rPr>
        <w:sz w:val="17"/>
        <w:szCs w:val="17"/>
        <w:color w:val="231F20"/>
        <w:spacing w:val="-4"/>
      </w:rPr>
      <w:t>23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期   </w:t>
    </w:r>
    <w:r>
      <w:rPr>
        <w:sz w:val="17"/>
        <w:szCs w:val="17"/>
        <w:position w:val="7"/>
      </w:rPr>
      <w:drawing>
        <wp:inline distT="0" distB="0" distL="0" distR="0">
          <wp:extent cx="3440313" cy="3599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40313" cy="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hd w:val="clear" w:fill="FFFFFE"/>
        <w:rFonts w:ascii="Microsoft YaHei" w:hAnsi="Microsoft YaHei" w:eastAsia="Microsoft YaHei" w:cs="Microsoft YaHei"/>
        <w:sz w:val="17"/>
        <w:szCs w:val="17"/>
        <w:color w:val="231F20"/>
        <w:spacing w:val="10"/>
      </w:rPr>
      <w:t xml:space="preserve">  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9"/>
        <w:position w:val="-2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>论著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9"/>
      <w:spacing w:before="40" w:line="234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61"/>
        <w:position w:val="-2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>论著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</w:rPr>
      <w:t xml:space="preserve"> 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4"/>
        <w:position w:val="-2"/>
      </w:rPr>
      <w:t>·</w:t>
    </w:r>
    <w:r>
      <w:rPr>
        <w:shd w:val="clear" w:fill="FFFFFE"/>
        <w:rFonts w:ascii="SimHei" w:hAnsi="SimHei" w:eastAsia="SimHei" w:cs="SimHei"/>
        <w:sz w:val="23"/>
        <w:szCs w:val="23"/>
        <w:color w:val="231F20"/>
        <w:spacing w:val="-82"/>
        <w:position w:val="-2"/>
      </w:rPr>
      <w:t xml:space="preserve"> </w:t>
    </w:r>
    <w:r>
      <w:rPr>
        <w:sz w:val="23"/>
        <w:szCs w:val="23"/>
        <w:position w:val="7"/>
      </w:rPr>
      <w:drawing>
        <wp:inline distT="0" distB="0" distL="0" distR="0">
          <wp:extent cx="3440313" cy="3599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40313" cy="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3"/>
        <w:szCs w:val="23"/>
        <w:color w:val="231F20"/>
        <w:spacing w:val="108"/>
        <w:position w:val="-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系统医学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4"/>
        <w:w w:val="101"/>
      </w:rPr>
      <w:t xml:space="preserve">  </w:t>
    </w:r>
    <w:r>
      <w:rPr>
        <w:sz w:val="17"/>
        <w:szCs w:val="17"/>
        <w:color w:val="231F20"/>
        <w:spacing w:val="-4"/>
      </w:rPr>
      <w:t>2024</w:t>
    </w:r>
    <w:r>
      <w:rPr>
        <w:sz w:val="17"/>
        <w:szCs w:val="17"/>
        <w:color w:val="231F20"/>
        <w:spacing w:val="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1"/>
      </w:rPr>
      <w:t xml:space="preserve"> </w:t>
    </w:r>
    <w:r>
      <w:rPr>
        <w:sz w:val="17"/>
        <w:szCs w:val="17"/>
        <w:color w:val="231F20"/>
        <w:spacing w:val="-4"/>
      </w:rPr>
      <w:t>12</w:t>
    </w:r>
    <w:r>
      <w:rPr>
        <w:sz w:val="17"/>
        <w:szCs w:val="17"/>
        <w:color w:val="231F20"/>
        <w:spacing w:val="10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月第 </w:t>
    </w:r>
    <w:r>
      <w:rPr>
        <w:sz w:val="17"/>
        <w:szCs w:val="17"/>
        <w:color w:val="231F20"/>
        <w:spacing w:val="-4"/>
      </w:rPr>
      <w:t>9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卷第 </w:t>
    </w:r>
    <w:r>
      <w:rPr>
        <w:sz w:val="17"/>
        <w:szCs w:val="17"/>
        <w:color w:val="231F20"/>
        <w:spacing w:val="-4"/>
      </w:rPr>
      <w:t>23</w:t>
    </w:r>
    <w:r>
      <w:rPr>
        <w:sz w:val="17"/>
        <w:szCs w:val="17"/>
        <w:color w:val="231F20"/>
        <w:spacing w:val="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4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3.png"/><Relationship Id="rId3" Type="http://schemas.openxmlformats.org/officeDocument/2006/relationships/header" Target="header1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2025-02-10T17:36:19Z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2025-10-28T21:32:31</vt:filetime>
  </property>
</Properties>
</file>