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88" w:firstLine="7"/>
        <w:spacing w:before="56" w:line="426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系统医学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3"/>
        </w:rPr>
        <w:t xml:space="preserve">  </w:t>
      </w:r>
      <w:r>
        <w:rPr>
          <w:sz w:val="17"/>
          <w:szCs w:val="17"/>
          <w:color w:val="231F20"/>
          <w:spacing w:val="-4"/>
        </w:rPr>
        <w:t>2024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4"/>
        </w:rPr>
        <w:t>12</w:t>
      </w:r>
      <w:r>
        <w:rPr>
          <w:sz w:val="17"/>
          <w:szCs w:val="17"/>
          <w:color w:val="231F20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月第 </w:t>
      </w:r>
      <w:r>
        <w:rPr>
          <w:sz w:val="17"/>
          <w:szCs w:val="17"/>
          <w:color w:val="231F20"/>
          <w:spacing w:val="-4"/>
        </w:rPr>
        <w:t>9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卷第 </w:t>
      </w:r>
      <w:r>
        <w:rPr>
          <w:sz w:val="17"/>
          <w:szCs w:val="17"/>
          <w:color w:val="231F20"/>
          <w:spacing w:val="-4"/>
        </w:rPr>
        <w:t>23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期   </w:t>
      </w:r>
      <w:r>
        <w:rPr>
          <w:rFonts w:ascii="Microsoft YaHei" w:hAnsi="Microsoft YaHei" w:eastAsia="Microsoft YaHei" w:cs="Microsoft YaHei"/>
          <w:sz w:val="17"/>
          <w:szCs w:val="17"/>
          <w:strike/>
          <w:color w:val="231F20"/>
          <w:spacing w:val="1"/>
        </w:rPr>
        <w:t xml:space="preserve">                                  </w:t>
      </w:r>
      <w:r>
        <w:rPr>
          <w:rFonts w:ascii="Microsoft YaHei" w:hAnsi="Microsoft YaHei" w:eastAsia="Microsoft YaHei" w:cs="Microsoft YaHei"/>
          <w:sz w:val="17"/>
          <w:szCs w:val="17"/>
          <w:strike/>
          <w:color w:val="231F20"/>
        </w:rPr>
        <w:t xml:space="preserve">                                                                      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 xml:space="preserve">   </w:t>
      </w:r>
      <w:r>
        <w:rPr>
          <w:rFonts w:ascii="SimHei" w:hAnsi="SimHei" w:eastAsia="SimHei" w:cs="SimHei"/>
          <w:sz w:val="23"/>
          <w:szCs w:val="23"/>
          <w:color w:val="231F20"/>
          <w:spacing w:val="-4"/>
          <w:position w:val="-2"/>
        </w:rPr>
        <w:t>·</w:t>
      </w:r>
      <w:r>
        <w:rPr>
          <w:rFonts w:ascii="SimHei" w:hAnsi="SimHei" w:eastAsia="SimHei" w:cs="SimHei"/>
          <w:sz w:val="23"/>
          <w:szCs w:val="23"/>
          <w:color w:val="231F20"/>
          <w:spacing w:val="-71"/>
          <w:position w:val="-2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31F20"/>
          <w:spacing w:val="-4"/>
        </w:rPr>
        <w:t>论著</w:t>
      </w:r>
      <w:r>
        <w:rPr>
          <w:rFonts w:ascii="SimHei" w:hAnsi="SimHei" w:eastAsia="SimHei" w:cs="SimHei"/>
          <w:sz w:val="23"/>
          <w:szCs w:val="23"/>
          <w:color w:val="231F20"/>
          <w:spacing w:val="-4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31F20"/>
          <w:spacing w:val="-4"/>
          <w:position w:val="-2"/>
        </w:rPr>
        <w:t>·</w:t>
      </w:r>
      <w:r>
        <w:rPr>
          <w:rFonts w:ascii="SimHei" w:hAnsi="SimHei" w:eastAsia="SimHei" w:cs="SimHei"/>
          <w:sz w:val="23"/>
          <w:szCs w:val="23"/>
          <w:color w:val="231F20"/>
          <w:position w:val="-2"/>
        </w:rPr>
        <w:t xml:space="preserve"> </w:t>
      </w:r>
      <w:r>
        <w:rPr>
          <w:sz w:val="17"/>
          <w:szCs w:val="17"/>
          <w:color w:val="231F20"/>
        </w:rPr>
        <w:t>DOI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：</w:t>
      </w:r>
      <w:r>
        <w:rPr>
          <w:sz w:val="17"/>
          <w:szCs w:val="17"/>
          <w:color w:val="231F20"/>
          <w:spacing w:val="3"/>
        </w:rPr>
        <w:t>10.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3"/>
        </w:rPr>
        <w:t>19368/j.</w:t>
      </w:r>
      <w:r>
        <w:rPr>
          <w:sz w:val="17"/>
          <w:szCs w:val="17"/>
          <w:color w:val="231F20"/>
        </w:rPr>
        <w:t>cnki</w:t>
      </w:r>
      <w:r>
        <w:rPr>
          <w:sz w:val="17"/>
          <w:szCs w:val="17"/>
          <w:color w:val="231F20"/>
          <w:spacing w:val="3"/>
        </w:rPr>
        <w:t>.2096-1</w:t>
      </w:r>
      <w:r>
        <w:rPr>
          <w:sz w:val="17"/>
          <w:szCs w:val="17"/>
          <w:color w:val="231F20"/>
          <w:spacing w:val="2"/>
        </w:rPr>
        <w:t>782.2024.23.015</w:t>
      </w:r>
    </w:p>
    <w:p>
      <w:pPr>
        <w:ind w:left="1104"/>
        <w:spacing w:before="248" w:line="183" w:lineRule="auto"/>
        <w:outlineLvl w:val="0"/>
        <w:rPr>
          <w:rFonts w:ascii="Microsoft YaHei" w:hAnsi="Microsoft YaHei" w:eastAsia="Microsoft YaHei" w:cs="Microsoft YaHei"/>
          <w:sz w:val="45"/>
          <w:szCs w:val="45"/>
        </w:rPr>
      </w:pPr>
      <w:r>
        <w:rPr>
          <w:rFonts w:ascii="Microsoft YaHei" w:hAnsi="Microsoft YaHei" w:eastAsia="Microsoft YaHei" w:cs="Microsoft YaHei"/>
          <w:sz w:val="45"/>
          <w:szCs w:val="45"/>
          <w:color w:val="231F20"/>
          <w:spacing w:val="7"/>
        </w:rPr>
        <w:t>肝素结合蛋白</w:t>
      </w:r>
      <w:r>
        <w:rPr>
          <w:rFonts w:ascii="Microsoft YaHei" w:hAnsi="Microsoft YaHei" w:eastAsia="Microsoft YaHei" w:cs="Microsoft YaHei"/>
          <w:sz w:val="45"/>
          <w:szCs w:val="45"/>
          <w:color w:val="231F2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45"/>
          <w:szCs w:val="45"/>
          <w:color w:val="231F20"/>
          <w:spacing w:val="7"/>
        </w:rPr>
        <w:t>、血常规在急性阑尾炎中的早期</w:t>
      </w:r>
    </w:p>
    <w:p>
      <w:pPr>
        <w:ind w:left="4774"/>
        <w:spacing w:before="22" w:line="183" w:lineRule="auto"/>
        <w:outlineLvl w:val="0"/>
        <w:rPr>
          <w:rFonts w:ascii="Microsoft YaHei" w:hAnsi="Microsoft YaHei" w:eastAsia="Microsoft YaHei" w:cs="Microsoft YaHei"/>
          <w:sz w:val="45"/>
          <w:szCs w:val="45"/>
        </w:rPr>
      </w:pPr>
      <w:r>
        <w:rPr>
          <w:rFonts w:ascii="Microsoft YaHei" w:hAnsi="Microsoft YaHei" w:eastAsia="Microsoft YaHei" w:cs="Microsoft YaHei"/>
          <w:sz w:val="45"/>
          <w:szCs w:val="45"/>
          <w:color w:val="231F20"/>
          <w:spacing w:val="15"/>
        </w:rPr>
        <w:t>诊断价值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ind w:left="4966"/>
        <w:spacing w:before="73" w:line="20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沈雯，冯晓斌，高蕾</w:t>
      </w:r>
    </w:p>
    <w:p>
      <w:pPr>
        <w:pStyle w:val="BodyText"/>
        <w:ind w:left="3616"/>
        <w:spacing w:before="83" w:line="203" w:lineRule="auto"/>
        <w:rPr/>
      </w:pPr>
      <w:r>
        <w:rPr>
          <w:rFonts w:ascii="Microsoft YaHei" w:hAnsi="Microsoft YaHei" w:eastAsia="Microsoft YaHei" w:cs="Microsoft YaHei"/>
          <w:color w:val="231F20"/>
          <w:spacing w:val="7"/>
        </w:rPr>
        <w:t>江南大学附属儿童医院检验科，江苏 无锡</w:t>
      </w:r>
      <w:r>
        <w:rPr>
          <w:rFonts w:ascii="Microsoft YaHei" w:hAnsi="Microsoft YaHei" w:eastAsia="Microsoft YaHei" w:cs="Microsoft YaHei"/>
          <w:color w:val="231F20"/>
          <w:spacing w:val="30"/>
          <w:w w:val="101"/>
        </w:rPr>
        <w:t xml:space="preserve">  </w:t>
      </w:r>
      <w:r>
        <w:rPr>
          <w:color w:val="231F20"/>
          <w:spacing w:val="7"/>
        </w:rPr>
        <w:t>214000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1230" w:right="402" w:firstLine="82"/>
        <w:spacing w:before="78" w:line="262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1"/>
        </w:rPr>
        <w:t>[</w:t>
      </w:r>
      <w:r>
        <w:rPr>
          <w:rFonts w:ascii="SimHei" w:hAnsi="SimHei" w:eastAsia="SimHei" w:cs="SimHei"/>
          <w:color w:val="231F20"/>
          <w:spacing w:val="-1"/>
        </w:rPr>
        <w:t>摘要</w:t>
      </w:r>
      <w:r>
        <w:rPr>
          <w:color w:val="231F20"/>
          <w:spacing w:val="-1"/>
        </w:rPr>
        <w:t>]  </w:t>
      </w:r>
      <w:r>
        <w:rPr>
          <w:rFonts w:ascii="SimHei" w:hAnsi="SimHei" w:eastAsia="SimHei" w:cs="SimHei"/>
          <w:color w:val="231F20"/>
          <w:spacing w:val="-1"/>
        </w:rPr>
        <w:t>目的</w:t>
      </w:r>
      <w:r>
        <w:rPr>
          <w:rFonts w:ascii="SimHei" w:hAnsi="SimHei" w:eastAsia="SimHei" w:cs="Sim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探讨肝素结合蛋白（</w:t>
      </w:r>
      <w:r>
        <w:rPr>
          <w:color w:val="231F20"/>
          <w:spacing w:val="-1"/>
        </w:rPr>
        <w:t>heparin-binding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protei</w:t>
      </w:r>
      <w:r>
        <w:rPr>
          <w:color w:val="231F20"/>
          <w:spacing w:val="-2"/>
        </w:rPr>
        <w:t>n,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HBP</w:t>
      </w:r>
      <w:r>
        <w:rPr>
          <w:rFonts w:ascii="Microsoft YaHei" w:hAnsi="Microsoft YaHei" w:eastAsia="Microsoft YaHei" w:cs="Microsoft YaHei"/>
          <w:color w:val="231F20"/>
          <w:spacing w:val="-2"/>
        </w:rPr>
        <w:t>）、</w:t>
      </w:r>
      <w:r>
        <w:rPr>
          <w:color w:val="231F20"/>
          <w:spacing w:val="-2"/>
        </w:rPr>
        <w:t>C </w:t>
      </w:r>
      <w:r>
        <w:rPr>
          <w:rFonts w:ascii="Microsoft YaHei" w:hAnsi="Microsoft YaHei" w:eastAsia="Microsoft YaHei" w:cs="Microsoft YaHei"/>
          <w:color w:val="231F20"/>
          <w:spacing w:val="-2"/>
        </w:rPr>
        <w:t>反应蛋白（</w:t>
      </w:r>
      <w:r>
        <w:rPr>
          <w:color w:val="231F20"/>
          <w:spacing w:val="-2"/>
        </w:rPr>
        <w:t>C-reactive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protein,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CRP</w:t>
      </w:r>
      <w:r>
        <w:rPr>
          <w:rFonts w:ascii="Microsoft YaHei" w:hAnsi="Microsoft YaHei" w:eastAsia="Microsoft YaHei" w:cs="Microsoft YaHei"/>
          <w:color w:val="231F20"/>
          <w:spacing w:val="-2"/>
        </w:rPr>
        <w:t>）、白细胞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（</w:t>
      </w:r>
      <w:r>
        <w:rPr>
          <w:color w:val="231F20"/>
          <w:spacing w:val="-2"/>
        </w:rPr>
        <w:t>white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blood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cell,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WBC</w:t>
      </w:r>
      <w:r>
        <w:rPr>
          <w:rFonts w:ascii="Microsoft YaHei" w:hAnsi="Microsoft YaHei" w:eastAsia="Microsoft YaHei" w:cs="Microsoft YaHei"/>
          <w:color w:val="231F20"/>
          <w:spacing w:val="-2"/>
        </w:rPr>
        <w:t>）、中性粒细胞百分比（</w:t>
      </w:r>
      <w:r>
        <w:rPr>
          <w:color w:val="231F20"/>
          <w:spacing w:val="-2"/>
        </w:rPr>
        <w:t>neutrophilic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granulocyte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percentage,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NE</w:t>
      </w:r>
      <w:r>
        <w:rPr>
          <w:rFonts w:ascii="Microsoft YaHei" w:hAnsi="Microsoft YaHei" w:eastAsia="Microsoft YaHei" w:cs="Microsoft YaHei"/>
          <w:color w:val="231F20"/>
          <w:spacing w:val="-2"/>
        </w:rPr>
        <w:t>）、淋巴细胞百分比（</w:t>
      </w:r>
      <w:r>
        <w:rPr>
          <w:color w:val="231F20"/>
          <w:spacing w:val="-2"/>
        </w:rPr>
        <w:t>lym⁃</w:t>
      </w:r>
      <w:r>
        <w:rPr>
          <w:color w:val="231F20"/>
        </w:rPr>
        <w:t xml:space="preserve">  </w:t>
      </w:r>
      <w:r>
        <w:rPr>
          <w:color w:val="231F20"/>
        </w:rPr>
        <w:t>phocyte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percentage</w:t>
      </w:r>
      <w:r>
        <w:rPr>
          <w:color w:val="231F20"/>
          <w:spacing w:val="4"/>
        </w:rPr>
        <w:t>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LY</w:t>
      </w:r>
      <w:r>
        <w:rPr>
          <w:rFonts w:ascii="Microsoft YaHei" w:hAnsi="Microsoft YaHei" w:eastAsia="Microsoft YaHei" w:cs="Microsoft YaHei"/>
          <w:color w:val="231F20"/>
          <w:spacing w:val="4"/>
        </w:rPr>
        <w:t>）对儿童急性阑尾炎的早期诊断价值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。</w:t>
      </w:r>
      <w:r>
        <w:rPr>
          <w:rFonts w:ascii="SimHei" w:hAnsi="SimHei" w:eastAsia="SimHei" w:cs="SimHei"/>
          <w:color w:val="231F20"/>
          <w:spacing w:val="4"/>
        </w:rPr>
        <w:t>方法</w:t>
      </w:r>
      <w:r>
        <w:rPr>
          <w:rFonts w:ascii="SimHei" w:hAnsi="SimHei" w:eastAsia="SimHei" w:cs="SimHei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回顾性选取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  <w:spacing w:val="4"/>
        </w:rPr>
        <w:t>2022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年 </w:t>
      </w:r>
      <w:r>
        <w:rPr>
          <w:color w:val="231F20"/>
          <w:spacing w:val="4"/>
        </w:rPr>
        <w:t>1 </w:t>
      </w:r>
      <w:r>
        <w:rPr>
          <w:rFonts w:ascii="Microsoft YaHei" w:hAnsi="Microsoft YaHei" w:eastAsia="Microsoft YaHei" w:cs="Microsoft YaHei"/>
          <w:color w:val="231F20"/>
          <w:spacing w:val="4"/>
        </w:rPr>
        <w:t>月—</w:t>
      </w:r>
      <w:r>
        <w:rPr>
          <w:color w:val="231F20"/>
          <w:spacing w:val="4"/>
        </w:rPr>
        <w:t>2023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年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  <w:spacing w:val="4"/>
        </w:rPr>
        <w:t>6 </w:t>
      </w:r>
      <w:r>
        <w:rPr>
          <w:rFonts w:ascii="Microsoft YaHei" w:hAnsi="Microsoft YaHei" w:eastAsia="Microsoft YaHei" w:cs="Microsoft YaHei"/>
          <w:color w:val="231F20"/>
          <w:spacing w:val="4"/>
        </w:rPr>
        <w:t>月江南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大学附属儿童医院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  <w:spacing w:val="6"/>
        </w:rPr>
        <w:t>210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例因腹痛住院患儿的临床资料，根据患儿病情分为急性阑尾炎组（</w:t>
      </w:r>
      <w:r>
        <w:rPr>
          <w:color w:val="231F20"/>
          <w:spacing w:val="5"/>
        </w:rPr>
        <w:t>110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例）、健康人群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6"/>
        </w:rPr>
        <w:t>组（</w:t>
      </w:r>
      <w:r>
        <w:rPr>
          <w:color w:val="231F20"/>
          <w:spacing w:val="-6"/>
        </w:rPr>
        <w:t>100 </w:t>
      </w:r>
      <w:r>
        <w:rPr>
          <w:rFonts w:ascii="Microsoft YaHei" w:hAnsi="Microsoft YaHei" w:eastAsia="Microsoft YaHei" w:cs="Microsoft YaHei"/>
          <w:color w:val="231F20"/>
          <w:spacing w:val="-6"/>
        </w:rPr>
        <w:t>例）。  比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较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两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组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患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儿 </w:t>
      </w:r>
      <w:r>
        <w:rPr>
          <w:color w:val="231F20"/>
          <w:spacing w:val="-6"/>
        </w:rPr>
        <w:t>HBP</w:t>
      </w:r>
      <w:r>
        <w:rPr>
          <w:rFonts w:ascii="Microsoft YaHei" w:hAnsi="Microsoft YaHei" w:eastAsia="Microsoft YaHei" w:cs="Microsoft YaHei"/>
          <w:color w:val="231F20"/>
          <w:spacing w:val="-6"/>
        </w:rPr>
        <w:t>、</w:t>
      </w:r>
      <w:r>
        <w:rPr>
          <w:color w:val="231F20"/>
          <w:spacing w:val="-6"/>
        </w:rPr>
        <w:t>CRP</w:t>
      </w:r>
      <w:r>
        <w:rPr>
          <w:rFonts w:ascii="Microsoft YaHei" w:hAnsi="Microsoft YaHei" w:eastAsia="Microsoft YaHei" w:cs="Microsoft YaHei"/>
          <w:color w:val="231F20"/>
          <w:spacing w:val="-6"/>
        </w:rPr>
        <w:t>、</w:t>
      </w:r>
      <w:r>
        <w:rPr>
          <w:color w:val="231F20"/>
          <w:spacing w:val="-6"/>
        </w:rPr>
        <w:t>WBC</w:t>
      </w:r>
      <w:r>
        <w:rPr>
          <w:rFonts w:ascii="Microsoft YaHei" w:hAnsi="Microsoft YaHei" w:eastAsia="Microsoft YaHei" w:cs="Microsoft YaHei"/>
          <w:color w:val="231F20"/>
          <w:spacing w:val="-6"/>
        </w:rPr>
        <w:t>、</w:t>
      </w:r>
      <w:r>
        <w:rPr>
          <w:color w:val="231F20"/>
          <w:spacing w:val="-6"/>
        </w:rPr>
        <w:t>NE</w:t>
      </w:r>
      <w:r>
        <w:rPr>
          <w:rFonts w:ascii="Microsoft YaHei" w:hAnsi="Microsoft YaHei" w:eastAsia="Microsoft YaHei" w:cs="Microsoft YaHei"/>
          <w:color w:val="231F20"/>
          <w:spacing w:val="-6"/>
        </w:rPr>
        <w:t>、</w:t>
      </w:r>
      <w:r>
        <w:rPr>
          <w:color w:val="231F20"/>
          <w:spacing w:val="-6"/>
        </w:rPr>
        <w:t>LY </w:t>
      </w:r>
      <w:r>
        <w:rPr>
          <w:rFonts w:ascii="Microsoft YaHei" w:hAnsi="Microsoft YaHei" w:eastAsia="Microsoft YaHei" w:cs="Microsoft YaHei"/>
          <w:color w:val="231F20"/>
          <w:spacing w:val="-6"/>
        </w:rPr>
        <w:t>及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红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细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胞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分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布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宽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度（</w:t>
      </w:r>
      <w:r>
        <w:rPr>
          <w:color w:val="231F20"/>
          <w:spacing w:val="-6"/>
        </w:rPr>
        <w:t>red  blood </w:t>
      </w:r>
      <w:r>
        <w:rPr>
          <w:color w:val="231F20"/>
          <w:spacing w:val="-7"/>
        </w:rPr>
        <w:t xml:space="preserve"> cell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distribution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width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-4"/>
        </w:rPr>
        <w:t>RDW</w:t>
      </w:r>
      <w:r>
        <w:rPr>
          <w:rFonts w:ascii="Microsoft YaHei" w:hAnsi="Microsoft YaHei" w:eastAsia="Microsoft YaHei" w:cs="Microsoft YaHei"/>
          <w:color w:val="231F20"/>
          <w:spacing w:val="-4"/>
        </w:rPr>
        <w:t>）、血小板分布宽度（</w:t>
      </w:r>
      <w:r>
        <w:rPr>
          <w:color w:val="231F20"/>
          <w:spacing w:val="-4"/>
        </w:rPr>
        <w:t>platelet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distribution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width</w:t>
      </w:r>
      <w:r>
        <w:rPr>
          <w:rFonts w:ascii="Microsoft YaHei" w:hAnsi="Microsoft YaHei" w:eastAsia="Microsoft YaHei" w:cs="Microsoft YaHei"/>
          <w:color w:val="231F20"/>
          <w:spacing w:val="-4"/>
        </w:rPr>
        <w:t>，</w:t>
      </w:r>
      <w:r>
        <w:rPr>
          <w:color w:val="231F20"/>
          <w:spacing w:val="-4"/>
        </w:rPr>
        <w:t>PDW</w:t>
      </w:r>
      <w:r>
        <w:rPr>
          <w:rFonts w:ascii="Microsoft YaHei" w:hAnsi="Microsoft YaHei" w:eastAsia="Microsoft YaHei" w:cs="Microsoft YaHei"/>
          <w:color w:val="231F20"/>
          <w:spacing w:val="-4"/>
        </w:rPr>
        <w:t>）、平均血小板体积（</w:t>
      </w:r>
      <w:r>
        <w:rPr>
          <w:color w:val="231F20"/>
          <w:spacing w:val="-4"/>
        </w:rPr>
        <w:t>mean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platelet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volume</w:t>
      </w:r>
      <w:r>
        <w:rPr>
          <w:rFonts w:ascii="Microsoft YaHei" w:hAnsi="Microsoft YaHei" w:eastAsia="Microsoft YaHei" w:cs="Microsoft YaHei"/>
          <w:color w:val="231F20"/>
          <w:spacing w:val="-4"/>
        </w:rPr>
        <w:t>，</w:t>
      </w:r>
      <w:r>
        <w:rPr>
          <w:color w:val="231F20"/>
          <w:spacing w:val="-5"/>
        </w:rPr>
        <w:t>MPV</w:t>
      </w:r>
      <w:r>
        <w:rPr>
          <w:rFonts w:ascii="Microsoft YaHei" w:hAnsi="Microsoft YaHei" w:eastAsia="Microsoft YaHei" w:cs="Microsoft YaHei"/>
          <w:color w:val="231F20"/>
          <w:spacing w:val="-5"/>
        </w:rPr>
        <w:t>）水平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6"/>
        </w:rPr>
        <w:t>的差异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，评估上述指标和联合指标对儿童急性阑尾炎的早期</w:t>
      </w:r>
      <w:r>
        <w:rPr>
          <w:rFonts w:ascii="Microsoft YaHei" w:hAnsi="Microsoft YaHei" w:eastAsia="Microsoft YaHei" w:cs="Microsoft YaHei"/>
          <w:color w:val="231F20"/>
          <w:spacing w:val="15"/>
        </w:rPr>
        <w:t>诊断价值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。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rFonts w:ascii="SimHei" w:hAnsi="SimHei" w:eastAsia="SimHei" w:cs="SimHei"/>
          <w:color w:val="231F20"/>
          <w:spacing w:val="15"/>
        </w:rPr>
        <w:t>结果</w:t>
      </w:r>
      <w:r>
        <w:rPr>
          <w:rFonts w:ascii="SimHei" w:hAnsi="SimHei" w:eastAsia="SimHei" w:cs="Sim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急性阑尾炎组 </w:t>
      </w:r>
      <w:r>
        <w:rPr>
          <w:color w:val="231F20"/>
        </w:rPr>
        <w:t>HBP</w:t>
      </w:r>
      <w:r>
        <w:rPr>
          <w:rFonts w:ascii="Microsoft YaHei" w:hAnsi="Microsoft YaHei" w:eastAsia="Microsoft YaHei" w:cs="Microsoft YaHei"/>
          <w:color w:val="231F20"/>
          <w:spacing w:val="15"/>
        </w:rPr>
        <w:t>、</w:t>
      </w:r>
      <w:r>
        <w:rPr>
          <w:color w:val="231F20"/>
        </w:rPr>
        <w:t>CRP</w:t>
      </w:r>
      <w:r>
        <w:rPr>
          <w:rFonts w:ascii="Microsoft YaHei" w:hAnsi="Microsoft YaHei" w:eastAsia="Microsoft YaHei" w:cs="Microsoft YaHei"/>
          <w:color w:val="231F20"/>
          <w:spacing w:val="15"/>
        </w:rPr>
        <w:t>、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</w:rPr>
        <w:t>WBC</w:t>
      </w:r>
      <w:r>
        <w:rPr>
          <w:rFonts w:ascii="Microsoft YaHei" w:hAnsi="Microsoft YaHei" w:eastAsia="Microsoft YaHei" w:cs="Microsoft YaHei"/>
          <w:color w:val="231F20"/>
          <w:spacing w:val="5"/>
        </w:rPr>
        <w:t>、</w:t>
      </w:r>
      <w:r>
        <w:rPr>
          <w:color w:val="231F20"/>
        </w:rPr>
        <w:t>NE</w:t>
      </w:r>
      <w:r>
        <w:rPr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水平高于健康人群组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，急性阑尾炎组 </w:t>
      </w:r>
      <w:r>
        <w:rPr>
          <w:color w:val="231F20"/>
        </w:rPr>
        <w:t>LY</w:t>
      </w:r>
      <w:r>
        <w:rPr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水平低于健康人群组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，差异有统计学意义（</w:t>
      </w:r>
      <w:r>
        <w:rPr>
          <w:rFonts w:ascii="Arial" w:hAnsi="Arial" w:eastAsia="Arial" w:cs="Arial"/>
          <w:i/>
          <w:iCs/>
          <w:color w:val="231F20"/>
          <w:spacing w:val="5"/>
        </w:rPr>
        <w:t>P </w:t>
      </w:r>
      <w:r>
        <w:rPr>
          <w:rFonts w:ascii="Microsoft YaHei" w:hAnsi="Microsoft YaHei" w:eastAsia="Microsoft YaHei" w:cs="Microsoft YaHei"/>
          <w:color w:val="231F20"/>
          <w:spacing w:val="5"/>
        </w:rPr>
        <w:t>均</w:t>
      </w:r>
      <w:r>
        <w:rPr>
          <w:color w:val="231F20"/>
          <w:spacing w:val="5"/>
        </w:rPr>
        <w:t>&lt;0.05</w:t>
      </w:r>
      <w:r>
        <w:rPr>
          <w:rFonts w:ascii="Microsoft YaHei" w:hAnsi="Microsoft YaHei" w:eastAsia="Microsoft YaHei" w:cs="Microsoft YaHei"/>
          <w:color w:val="231F20"/>
          <w:spacing w:val="5"/>
        </w:rPr>
        <w:t>）。</w:t>
      </w:r>
    </w:p>
    <w:p>
      <w:pPr>
        <w:pStyle w:val="BodyText"/>
        <w:ind w:left="1304" w:right="416" w:firstLine="4"/>
        <w:spacing w:line="260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4"/>
        </w:rPr>
        <w:t>ROC</w:t>
      </w:r>
      <w:r>
        <w:rPr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曲线显示，</w:t>
      </w:r>
      <w:r>
        <w:rPr>
          <w:color w:val="231F20"/>
          <w:spacing w:val="-4"/>
        </w:rPr>
        <w:t>HBP</w:t>
      </w:r>
      <w:r>
        <w:rPr>
          <w:rFonts w:ascii="Microsoft YaHei" w:hAnsi="Microsoft YaHei" w:eastAsia="Microsoft YaHei" w:cs="Microsoft YaHei"/>
          <w:color w:val="231F20"/>
          <w:spacing w:val="-4"/>
        </w:rPr>
        <w:t>、</w:t>
      </w:r>
      <w:r>
        <w:rPr>
          <w:color w:val="231F20"/>
          <w:spacing w:val="-4"/>
        </w:rPr>
        <w:t>CRP</w:t>
      </w:r>
      <w:r>
        <w:rPr>
          <w:rFonts w:ascii="Microsoft YaHei" w:hAnsi="Microsoft YaHei" w:eastAsia="Microsoft YaHei" w:cs="Microsoft YaHei"/>
          <w:color w:val="231F20"/>
          <w:spacing w:val="-4"/>
        </w:rPr>
        <w:t>、</w:t>
      </w:r>
      <w:r>
        <w:rPr>
          <w:color w:val="231F20"/>
          <w:spacing w:val="-4"/>
        </w:rPr>
        <w:t>WBC</w:t>
      </w:r>
      <w:r>
        <w:rPr>
          <w:rFonts w:ascii="Microsoft YaHei" w:hAnsi="Microsoft YaHei" w:eastAsia="Microsoft YaHei" w:cs="Microsoft YaHei"/>
          <w:color w:val="231F20"/>
          <w:spacing w:val="-4"/>
        </w:rPr>
        <w:t>、</w:t>
      </w:r>
      <w:r>
        <w:rPr>
          <w:color w:val="231F20"/>
          <w:spacing w:val="-4"/>
        </w:rPr>
        <w:t>NE</w:t>
      </w:r>
      <w:r>
        <w:rPr>
          <w:rFonts w:ascii="Microsoft YaHei" w:hAnsi="Microsoft YaHei" w:eastAsia="Microsoft YaHei" w:cs="Microsoft YaHei"/>
          <w:color w:val="231F20"/>
          <w:spacing w:val="-4"/>
        </w:rPr>
        <w:t>、</w:t>
      </w:r>
      <w:r>
        <w:rPr>
          <w:color w:val="231F20"/>
          <w:spacing w:val="-4"/>
        </w:rPr>
        <w:t>LY </w:t>
      </w:r>
      <w:r>
        <w:rPr>
          <w:rFonts w:ascii="Microsoft YaHei" w:hAnsi="Microsoft YaHei" w:eastAsia="Microsoft YaHei" w:cs="Microsoft YaHei"/>
          <w:color w:val="231F20"/>
          <w:spacing w:val="-4"/>
        </w:rPr>
        <w:t>联合检测在所有检测中诊断急性阑尾炎的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  <w:spacing w:val="-4"/>
        </w:rPr>
        <w:t>AUC </w:t>
      </w:r>
      <w:r>
        <w:rPr>
          <w:rFonts w:ascii="Microsoft YaHei" w:hAnsi="Microsoft YaHei" w:eastAsia="Microsoft YaHei" w:cs="Microsoft YaHei"/>
          <w:color w:val="231F20"/>
          <w:spacing w:val="-4"/>
        </w:rPr>
        <w:t>最高，</w:t>
      </w:r>
      <w:r>
        <w:rPr>
          <w:color w:val="231F20"/>
          <w:spacing w:val="-4"/>
        </w:rPr>
        <w:t>AU</w:t>
      </w:r>
      <w:r>
        <w:rPr>
          <w:color w:val="231F20"/>
          <w:spacing w:val="-5"/>
        </w:rPr>
        <w:t>C </w:t>
      </w:r>
      <w:r>
        <w:rPr>
          <w:rFonts w:ascii="Microsoft YaHei" w:hAnsi="Microsoft YaHei" w:eastAsia="Microsoft YaHei" w:cs="Microsoft YaHei"/>
          <w:color w:val="231F20"/>
          <w:spacing w:val="-5"/>
        </w:rPr>
        <w:t>为</w:t>
      </w:r>
      <w:r>
        <w:rPr>
          <w:color w:val="231F20"/>
          <w:spacing w:val="-5"/>
        </w:rPr>
        <w:t>0.933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灵敏度为</w:t>
      </w:r>
      <w:r>
        <w:rPr>
          <w:rFonts w:ascii="Microsoft YaHei" w:hAnsi="Microsoft YaHei" w:eastAsia="Microsoft YaHei" w:cs="Microsoft YaHei"/>
          <w:color w:val="231F20"/>
          <w:spacing w:val="-2"/>
        </w:rPr>
        <w:t xml:space="preserve"> </w:t>
      </w:r>
      <w:r>
        <w:rPr>
          <w:color w:val="231F20"/>
          <w:spacing w:val="-5"/>
        </w:rPr>
        <w:t>84.5%</w:t>
      </w:r>
      <w:r>
        <w:rPr>
          <w:rFonts w:ascii="Microsoft YaHei" w:hAnsi="Microsoft YaHei" w:eastAsia="Microsoft YaHei" w:cs="Microsoft YaHei"/>
          <w:color w:val="231F20"/>
          <w:spacing w:val="-5"/>
        </w:rPr>
        <w:t>，特异度为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  <w:spacing w:val="-5"/>
        </w:rPr>
        <w:t>90.0%</w:t>
      </w:r>
      <w:r>
        <w:rPr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。</w:t>
      </w:r>
      <w:r>
        <w:rPr>
          <w:rFonts w:ascii="SimHei" w:hAnsi="SimHei" w:eastAsia="SimHei" w:cs="SimHei"/>
          <w:color w:val="231F20"/>
          <w:spacing w:val="-5"/>
        </w:rPr>
        <w:t>结论</w:t>
      </w:r>
      <w:r>
        <w:rPr>
          <w:rFonts w:ascii="SimHei" w:hAnsi="SimHei" w:eastAsia="SimHei" w:cs="Sim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急性阑尾炎患儿中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  <w:spacing w:val="-5"/>
        </w:rPr>
        <w:t>HBP</w:t>
      </w:r>
      <w:r>
        <w:rPr>
          <w:rFonts w:ascii="Microsoft YaHei" w:hAnsi="Microsoft YaHei" w:eastAsia="Microsoft YaHei" w:cs="Microsoft YaHei"/>
          <w:color w:val="231F20"/>
          <w:spacing w:val="-5"/>
        </w:rPr>
        <w:t>、</w:t>
      </w:r>
      <w:r>
        <w:rPr>
          <w:color w:val="231F20"/>
          <w:spacing w:val="-5"/>
        </w:rPr>
        <w:t>CRP</w:t>
      </w:r>
      <w:r>
        <w:rPr>
          <w:rFonts w:ascii="Microsoft YaHei" w:hAnsi="Microsoft YaHei" w:eastAsia="Microsoft YaHei" w:cs="Microsoft YaHei"/>
          <w:color w:val="231F20"/>
          <w:spacing w:val="-5"/>
        </w:rPr>
        <w:t>、</w:t>
      </w:r>
      <w:r>
        <w:rPr>
          <w:color w:val="231F20"/>
          <w:spacing w:val="-5"/>
        </w:rPr>
        <w:t>WBC</w:t>
      </w:r>
      <w:r>
        <w:rPr>
          <w:rFonts w:ascii="Microsoft YaHei" w:hAnsi="Microsoft YaHei" w:eastAsia="Microsoft YaHei" w:cs="Microsoft YaHei"/>
          <w:color w:val="231F20"/>
          <w:spacing w:val="-5"/>
        </w:rPr>
        <w:t>、</w:t>
      </w:r>
      <w:r>
        <w:rPr>
          <w:color w:val="231F20"/>
          <w:spacing w:val="-5"/>
        </w:rPr>
        <w:t>NE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在体内呈高水平状态，</w:t>
      </w:r>
      <w:r>
        <w:rPr>
          <w:color w:val="231F20"/>
          <w:spacing w:val="-5"/>
        </w:rPr>
        <w:t>LY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在体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内呈低水平状态，</w:t>
      </w:r>
      <w:r>
        <w:rPr>
          <w:color w:val="231F20"/>
          <w:spacing w:val="4"/>
        </w:rPr>
        <w:t>5</w:t>
      </w:r>
      <w:r>
        <w:rPr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项指标联合检测对患儿急性阑尾炎的早期诊治具有重要的指导意义。</w:t>
      </w:r>
    </w:p>
    <w:p>
      <w:pPr>
        <w:pStyle w:val="BodyText"/>
        <w:ind w:left="1313"/>
        <w:spacing w:before="2" w:line="195" w:lineRule="auto"/>
        <w:rPr>
          <w:rFonts w:ascii="Microsoft YaHei" w:hAnsi="Microsoft YaHei" w:eastAsia="Microsoft YaHei" w:cs="Microsoft YaHei"/>
        </w:rPr>
      </w:pPr>
      <w:r>
        <w:rPr>
          <w:color w:val="231F20"/>
        </w:rPr>
        <w:t>[</w:t>
      </w:r>
      <w:r>
        <w:rPr>
          <w:rFonts w:ascii="SimHei" w:hAnsi="SimHei" w:eastAsia="SimHei" w:cs="SimHei"/>
          <w:color w:val="231F20"/>
        </w:rPr>
        <w:t>关键词</w:t>
      </w:r>
      <w:r>
        <w:rPr>
          <w:color w:val="231F20"/>
        </w:rPr>
        <w:t>]</w:t>
      </w:r>
      <w:r>
        <w:rPr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急性阑尾炎；肝素结合蛋白；</w:t>
      </w:r>
      <w:r>
        <w:rPr>
          <w:color w:val="231F20"/>
        </w:rPr>
        <w:t>C</w:t>
      </w:r>
      <w:r>
        <w:rPr>
          <w:rFonts w:ascii="Microsoft YaHei" w:hAnsi="Microsoft YaHei" w:eastAsia="Microsoft YaHei" w:cs="Microsoft YaHei"/>
          <w:color w:val="231F20"/>
        </w:rPr>
        <w:t>反</w:t>
      </w:r>
      <w:r>
        <w:rPr>
          <w:rFonts w:ascii="Microsoft YaHei" w:hAnsi="Microsoft YaHei" w:eastAsia="Microsoft YaHei" w:cs="Microsoft YaHei"/>
          <w:color w:val="231F20"/>
          <w:spacing w:val="-1"/>
        </w:rPr>
        <w:t>应蛋白；白细胞</w:t>
      </w:r>
    </w:p>
    <w:p>
      <w:pPr>
        <w:pStyle w:val="BodyText"/>
        <w:ind w:left="1313"/>
        <w:spacing w:before="84" w:line="224" w:lineRule="auto"/>
        <w:rPr/>
      </w:pPr>
      <w:r>
        <w:rPr>
          <w:color w:val="231F20"/>
          <w:spacing w:val="7"/>
        </w:rPr>
        <w:t>[</w:t>
      </w:r>
      <w:r>
        <w:rPr>
          <w:rFonts w:ascii="SimHei" w:hAnsi="SimHei" w:eastAsia="SimHei" w:cs="SimHei"/>
          <w:color w:val="231F20"/>
          <w:spacing w:val="7"/>
        </w:rPr>
        <w:t>中图分类号</w:t>
      </w:r>
      <w:r>
        <w:rPr>
          <w:color w:val="231F20"/>
          <w:spacing w:val="7"/>
        </w:rPr>
        <w:t>]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7"/>
        </w:rPr>
        <w:t>R4           [</w:t>
      </w:r>
      <w:r>
        <w:rPr>
          <w:rFonts w:ascii="SimHei" w:hAnsi="SimHei" w:eastAsia="SimHei" w:cs="SimHei"/>
          <w:color w:val="231F20"/>
          <w:spacing w:val="7"/>
        </w:rPr>
        <w:t>文献标识码</w:t>
      </w:r>
      <w:r>
        <w:rPr>
          <w:color w:val="231F20"/>
          <w:spacing w:val="6"/>
        </w:rPr>
        <w:t>] A           [</w:t>
      </w:r>
      <w:r>
        <w:rPr>
          <w:rFonts w:ascii="SimHei" w:hAnsi="SimHei" w:eastAsia="SimHei" w:cs="SimHei"/>
          <w:color w:val="231F20"/>
          <w:spacing w:val="6"/>
        </w:rPr>
        <w:t>文章编号</w:t>
      </w:r>
      <w:r>
        <w:rPr>
          <w:color w:val="231F20"/>
          <w:spacing w:val="6"/>
        </w:rPr>
        <w:t>] 2096-1782</w:t>
      </w:r>
      <w:r>
        <w:rPr>
          <w:rFonts w:ascii="SimHei" w:hAnsi="SimHei" w:eastAsia="SimHei" w:cs="SimHei"/>
          <w:color w:val="231F20"/>
          <w:spacing w:val="6"/>
        </w:rPr>
        <w:t>（</w:t>
      </w:r>
      <w:r>
        <w:rPr>
          <w:color w:val="231F20"/>
          <w:spacing w:val="6"/>
        </w:rPr>
        <w:t>2024</w:t>
      </w:r>
      <w:r>
        <w:rPr>
          <w:rFonts w:ascii="SimHei" w:hAnsi="SimHei" w:eastAsia="SimHei" w:cs="SimHei"/>
          <w:color w:val="231F20"/>
          <w:spacing w:val="6"/>
        </w:rPr>
        <w:t>）</w:t>
      </w:r>
      <w:r>
        <w:rPr>
          <w:color w:val="231F20"/>
          <w:spacing w:val="6"/>
        </w:rPr>
        <w:t>12(a)-0015-04</w:t>
      </w:r>
    </w:p>
    <w:p>
      <w:pPr>
        <w:spacing w:line="458" w:lineRule="auto"/>
        <w:rPr>
          <w:rFonts w:ascii="Arial"/>
          <w:sz w:val="21"/>
        </w:rPr>
      </w:pPr>
      <w:r/>
    </w:p>
    <w:p>
      <w:pPr>
        <w:pStyle w:val="BodyText"/>
        <w:ind w:left="1308" w:right="477" w:hanging="2"/>
        <w:spacing w:before="75" w:line="321" w:lineRule="auto"/>
        <w:rPr>
          <w:sz w:val="26"/>
          <w:szCs w:val="26"/>
        </w:rPr>
      </w:pPr>
      <w:r>
        <w:rPr>
          <w:sz w:val="26"/>
          <w:szCs w:val="26"/>
          <w:color w:val="231F20"/>
          <w:spacing w:val="13"/>
        </w:rPr>
        <w:t>Early  Diagnostic  Value  of  Heparin-binding  Protein,  C-reactive  Pro</w:t>
      </w:r>
      <w:r>
        <w:rPr>
          <w:sz w:val="26"/>
          <w:szCs w:val="26"/>
          <w:color w:val="231F20"/>
          <w:spacing w:val="12"/>
        </w:rPr>
        <w:t>tein</w:t>
      </w:r>
      <w:r>
        <w:rPr>
          <w:sz w:val="26"/>
          <w:szCs w:val="26"/>
          <w:color w:val="231F20"/>
        </w:rPr>
        <w:t xml:space="preserve"> </w:t>
      </w:r>
      <w:r>
        <w:rPr>
          <w:sz w:val="26"/>
          <w:szCs w:val="26"/>
          <w:color w:val="231F20"/>
          <w:spacing w:val="11"/>
        </w:rPr>
        <w:t>and Blood Routine</w:t>
      </w:r>
      <w:r>
        <w:rPr>
          <w:sz w:val="26"/>
          <w:szCs w:val="26"/>
          <w:color w:val="231F20"/>
          <w:spacing w:val="17"/>
        </w:rPr>
        <w:t xml:space="preserve"> </w:t>
      </w:r>
      <w:r>
        <w:rPr>
          <w:sz w:val="26"/>
          <w:szCs w:val="26"/>
          <w:color w:val="231F20"/>
          <w:spacing w:val="11"/>
        </w:rPr>
        <w:t>in Acute</w:t>
      </w:r>
      <w:r>
        <w:rPr>
          <w:sz w:val="26"/>
          <w:szCs w:val="26"/>
          <w:color w:val="231F20"/>
          <w:spacing w:val="15"/>
        </w:rPr>
        <w:t xml:space="preserve"> </w:t>
      </w:r>
      <w:r>
        <w:rPr>
          <w:sz w:val="26"/>
          <w:szCs w:val="26"/>
          <w:color w:val="231F20"/>
          <w:spacing w:val="11"/>
        </w:rPr>
        <w:t>Ap</w:t>
      </w:r>
      <w:r>
        <w:rPr>
          <w:sz w:val="26"/>
          <w:szCs w:val="26"/>
          <w:color w:val="231F20"/>
          <w:spacing w:val="10"/>
        </w:rPr>
        <w:t>pendicitis</w:t>
      </w:r>
    </w:p>
    <w:p>
      <w:pPr>
        <w:ind w:left="1302"/>
        <w:spacing w:before="27" w:line="19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i/>
          <w:iCs/>
          <w:color w:val="231F20"/>
          <w:spacing w:val="-7"/>
          <w:w w:val="97"/>
        </w:rPr>
        <w:t>SHEN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7"/>
          <w:w w:val="97"/>
        </w:rPr>
        <w:t>Wen,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7"/>
          <w:w w:val="97"/>
        </w:rPr>
        <w:t>FENG Xiaobin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8"/>
          <w:w w:val="97"/>
        </w:rPr>
        <w:t>,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8"/>
          <w:w w:val="97"/>
        </w:rPr>
        <w:t>GAO Lei</w:t>
      </w:r>
    </w:p>
    <w:p>
      <w:pPr>
        <w:pStyle w:val="BodyText"/>
        <w:ind w:left="1308"/>
        <w:spacing w:before="137" w:line="232" w:lineRule="auto"/>
        <w:rPr/>
      </w:pPr>
      <w:r>
        <w:rPr>
          <w:color w:val="231F20"/>
        </w:rPr>
        <w:t>Laboratory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Department,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Affiliated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Children/s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Hospital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 Jiangnan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Univer</w:t>
      </w:r>
      <w:r>
        <w:rPr>
          <w:color w:val="231F20"/>
          <w:spacing w:val="-1"/>
        </w:rPr>
        <w:t>sity,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Wuxi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214000, Jiangsu,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China</w:t>
      </w:r>
    </w:p>
    <w:p>
      <w:pPr>
        <w:pStyle w:val="BodyText"/>
        <w:ind w:left="1305" w:right="472" w:firstLine="8"/>
        <w:spacing w:before="135" w:line="387" w:lineRule="auto"/>
        <w:rPr/>
      </w:pPr>
      <w:r>
        <w:pict>
          <v:shape id="_x0000_s2" style="position:absolute;margin-left:44.1941pt;margin-top:217.316pt;mso-position-vertical-relative:text;mso-position-horizontal-relative:text;width:173.3pt;height:0.4pt;z-index:251658240;" filled="false" strokecolor="#231F20" strokeweight="0.37pt" coordsize="3466,8" coordorigin="0,0" path="m0,3l3465,3e">
            <v:stroke joinstyle="miter" miterlimit="4"/>
          </v:shape>
        </w:pict>
      </w:r>
      <w:r>
        <w:rPr>
          <w:color w:val="231F20"/>
          <w:spacing w:val="4"/>
        </w:rPr>
        <w:t>[</w:t>
      </w:r>
      <w:r>
        <w:rPr>
          <w:color w:val="231F20"/>
        </w:rPr>
        <w:t>Abstract</w:t>
      </w:r>
      <w:r>
        <w:rPr>
          <w:color w:val="231F20"/>
          <w:spacing w:val="4"/>
        </w:rPr>
        <w:t>]  </w:t>
      </w:r>
      <w:r>
        <w:rPr>
          <w:color w:val="231F20"/>
        </w:rPr>
        <w:t>Objective</w:t>
      </w:r>
      <w:r>
        <w:rPr>
          <w:color w:val="231F20"/>
          <w:spacing w:val="61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investigate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value  of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heparin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binding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protein</w:t>
      </w:r>
      <w:r>
        <w:rPr>
          <w:color w:val="231F20"/>
          <w:spacing w:val="4"/>
        </w:rPr>
        <w:t xml:space="preserve">  (</w:t>
      </w:r>
      <w:r>
        <w:rPr>
          <w:color w:val="231F20"/>
        </w:rPr>
        <w:t>HBP</w:t>
      </w:r>
      <w:r>
        <w:rPr>
          <w:color w:val="231F20"/>
          <w:spacing w:val="4"/>
        </w:rPr>
        <w:t>),  C-</w:t>
      </w:r>
      <w:r>
        <w:rPr>
          <w:color w:val="231F20"/>
        </w:rPr>
        <w:t>reactive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protein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4"/>
        </w:rPr>
        <w:t>(</w:t>
      </w:r>
      <w:r>
        <w:rPr>
          <w:color w:val="231F20"/>
        </w:rPr>
        <w:t>CRP</w:t>
      </w:r>
      <w:r>
        <w:rPr>
          <w:color w:val="231F20"/>
          <w:spacing w:val="4"/>
        </w:rPr>
        <w:t>),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white </w:t>
      </w:r>
      <w:r>
        <w:rPr>
          <w:color w:val="231F20"/>
          <w:spacing w:val="-1"/>
        </w:rPr>
        <w:t>blood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cell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(WBC),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neutrophil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percentage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(NE)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lymphocyte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percentage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(LY)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early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diagnosis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of acute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appendicitis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7"/>
        </w:rPr>
        <w:t>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Methods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210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hospitalized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abdominal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pain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7"/>
        </w:rPr>
        <w:t>/</w:t>
      </w:r>
      <w:r>
        <w:rPr>
          <w:color w:val="231F20"/>
        </w:rPr>
        <w:t>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Hospital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Affili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⁃</w:t>
      </w:r>
      <w:r>
        <w:rPr>
          <w:color w:val="231F20"/>
        </w:rPr>
        <w:t xml:space="preserve"> </w:t>
      </w:r>
      <w:r>
        <w:rPr>
          <w:color w:val="231F20"/>
        </w:rPr>
        <w:t>ated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Jiangnan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University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January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-1"/>
        </w:rPr>
        <w:t>022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June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2023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retrospectively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collected,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they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divided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into</w:t>
      </w:r>
      <w:r>
        <w:rPr>
          <w:color w:val="231F20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appendicitis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(110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cases)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healthy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(100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cases)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according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their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condition.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levels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HBP,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CRP,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WBC,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NE,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LY,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red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blood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cell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distribution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width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(RDW),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platelet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distribution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width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(PDW)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mean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platelet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vol⁃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ume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1"/>
        </w:rPr>
        <w:t>(MPV)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compared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between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two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groups.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Evaluate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1"/>
        </w:rPr>
        <w:t>valu</w:t>
      </w:r>
      <w:r>
        <w:rPr>
          <w:color w:val="231F20"/>
          <w:spacing w:val="-2"/>
        </w:rPr>
        <w:t>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2"/>
        </w:rPr>
        <w:t>above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combined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indicators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early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diagnosis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appendicitis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5"/>
        </w:rPr>
        <w:t>.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levels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HBP</w:t>
      </w:r>
      <w:r>
        <w:rPr>
          <w:color w:val="231F20"/>
          <w:spacing w:val="5"/>
        </w:rPr>
        <w:t>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CRP</w:t>
      </w:r>
      <w:r>
        <w:rPr>
          <w:color w:val="231F20"/>
          <w:spacing w:val="5"/>
        </w:rPr>
        <w:t>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WBC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NE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appendicitis </w:t>
      </w:r>
      <w:r>
        <w:rPr>
          <w:color w:val="231F20"/>
          <w:spacing w:val="-1"/>
        </w:rPr>
        <w:t>group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higher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those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healthy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people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group,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level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LY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acute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appendicitis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lower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healthy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people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group,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differences were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statistically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significant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(all </w:t>
      </w:r>
      <w:r>
        <w:rPr>
          <w:rFonts w:ascii="Arial" w:hAnsi="Arial" w:eastAsia="Arial" w:cs="Arial"/>
          <w:i/>
          <w:iCs/>
          <w:color w:val="231F20"/>
          <w:spacing w:val="-1"/>
        </w:rPr>
        <w:t>P</w:t>
      </w:r>
      <w:r>
        <w:rPr>
          <w:color w:val="231F20"/>
          <w:spacing w:val="-1"/>
        </w:rPr>
        <w:t>&lt;0.05).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1"/>
        </w:rPr>
        <w:t>ROC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curve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showed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com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⁃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bined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detection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HBP,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CRP,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WBC,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NE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1"/>
        </w:rPr>
        <w:t>LY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had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highest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AUC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diagnosis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acute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appendicitis,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an</w:t>
      </w:r>
      <w:r>
        <w:rPr>
          <w:color w:val="231F20"/>
        </w:rPr>
        <w:t xml:space="preserve"> </w:t>
      </w:r>
      <w:r>
        <w:rPr>
          <w:color w:val="231F20"/>
        </w:rPr>
        <w:t>area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under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curve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(AUC)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 0.933,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sensitivity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84.5%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specificity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of 90.0%.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Co</w:t>
      </w:r>
      <w:r>
        <w:rPr>
          <w:color w:val="231F20"/>
          <w:spacing w:val="-1"/>
        </w:rPr>
        <w:t>nclusion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HBP,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CRP,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WBC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and</w:t>
      </w:r>
    </w:p>
    <w:p>
      <w:pPr>
        <w:pStyle w:val="BodyText"/>
        <w:ind w:left="893"/>
        <w:spacing w:before="235" w:line="226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"/>
        </w:rPr>
        <w:t>[</w:t>
      </w:r>
      <w:r>
        <w:rPr>
          <w:rFonts w:ascii="SimHei" w:hAnsi="SimHei" w:eastAsia="SimHei" w:cs="SimHei"/>
          <w:color w:val="231F20"/>
          <w:spacing w:val="-1"/>
        </w:rPr>
        <w:t>作者简介</w:t>
      </w:r>
      <w:r>
        <w:rPr>
          <w:color w:val="231F20"/>
          <w:spacing w:val="-1"/>
        </w:rPr>
        <w:t>]</w:t>
      </w:r>
      <w:r>
        <w:rPr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沈雯（</w:t>
      </w:r>
      <w:r>
        <w:rPr>
          <w:color w:val="231F20"/>
          <w:spacing w:val="-1"/>
        </w:rPr>
        <w:t>1999-</w:t>
      </w:r>
      <w:r>
        <w:rPr>
          <w:rFonts w:ascii="Microsoft YaHei" w:hAnsi="Microsoft YaHei" w:eastAsia="Microsoft YaHei" w:cs="Microsoft YaHei"/>
          <w:color w:val="231F20"/>
          <w:spacing w:val="-28"/>
          <w:w w:val="65"/>
        </w:rPr>
        <w:t>），</w:t>
      </w:r>
      <w:r>
        <w:rPr>
          <w:rFonts w:ascii="Microsoft YaHei" w:hAnsi="Microsoft YaHei" w:eastAsia="Microsoft YaHei" w:cs="Microsoft YaHei"/>
          <w:color w:val="231F20"/>
          <w:spacing w:val="-1"/>
        </w:rPr>
        <w:t>女，本科，技师，研究方向为临床检验诊断。</w:t>
      </w:r>
    </w:p>
    <w:p>
      <w:pPr>
        <w:pStyle w:val="BodyText"/>
        <w:ind w:left="893"/>
        <w:spacing w:before="1" w:line="227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4"/>
        </w:rPr>
        <w:t>[</w:t>
      </w:r>
      <w:r>
        <w:rPr>
          <w:rFonts w:ascii="SimHei" w:hAnsi="SimHei" w:eastAsia="SimHei" w:cs="SimHei"/>
          <w:color w:val="231F20"/>
          <w:spacing w:val="-4"/>
        </w:rPr>
        <w:t>通信作者</w:t>
      </w:r>
      <w:r>
        <w:rPr>
          <w:color w:val="231F20"/>
          <w:spacing w:val="-4"/>
        </w:rPr>
        <w:t>]</w:t>
      </w:r>
      <w:r>
        <w:rPr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高蕾（</w:t>
      </w:r>
      <w:r>
        <w:rPr>
          <w:color w:val="231F20"/>
          <w:spacing w:val="-4"/>
        </w:rPr>
        <w:t>1989-</w:t>
      </w:r>
      <w:r>
        <w:rPr>
          <w:rFonts w:ascii="Microsoft YaHei" w:hAnsi="Microsoft YaHei" w:eastAsia="Microsoft YaHei" w:cs="Microsoft YaHei"/>
          <w:color w:val="231F20"/>
          <w:spacing w:val="-28"/>
          <w:w w:val="66"/>
        </w:rPr>
        <w:t>），</w:t>
      </w:r>
      <w:r>
        <w:rPr>
          <w:rFonts w:ascii="Microsoft YaHei" w:hAnsi="Microsoft YaHei" w:eastAsia="Microsoft YaHei" w:cs="Microsoft YaHei"/>
          <w:color w:val="231F20"/>
          <w:spacing w:val="-4"/>
        </w:rPr>
        <w:t>女，本科，主管技师，研究方向为血液、分子诊断，</w:t>
      </w:r>
      <w:r>
        <w:rPr>
          <w:color w:val="231F20"/>
          <w:spacing w:val="-4"/>
        </w:rPr>
        <w:t>E-mail</w:t>
      </w:r>
      <w:r>
        <w:rPr>
          <w:rFonts w:ascii="Microsoft YaHei" w:hAnsi="Microsoft YaHei" w:eastAsia="Microsoft YaHei" w:cs="Microsoft YaHei"/>
          <w:color w:val="231F20"/>
          <w:spacing w:val="-4"/>
        </w:rPr>
        <w:t>：</w:t>
      </w:r>
      <w:r>
        <w:rPr>
          <w:color w:val="231F20"/>
          <w:spacing w:val="-4"/>
        </w:rPr>
        <w:t>jswxetgl@163.com</w:t>
      </w:r>
      <w:r>
        <w:rPr>
          <w:rFonts w:ascii="Microsoft YaHei" w:hAnsi="Microsoft YaHei" w:eastAsia="Microsoft YaHei" w:cs="Microsoft YaHei"/>
          <w:color w:val="231F20"/>
          <w:spacing w:val="-4"/>
        </w:rPr>
        <w:t>。</w:t>
      </w:r>
    </w:p>
    <w:p>
      <w:pPr>
        <w:pStyle w:val="BodyText"/>
        <w:ind w:left="7510"/>
        <w:spacing w:before="273" w:line="210" w:lineRule="auto"/>
        <w:rPr>
          <w:sz w:val="17"/>
          <w:szCs w:val="17"/>
        </w:rPr>
      </w:pPr>
      <w:r>
        <w:rPr>
          <w:sz w:val="15"/>
          <w:szCs w:val="15"/>
          <w:color w:val="231F20"/>
        </w:rPr>
        <w:t>SYSTEMS</w:t>
      </w:r>
      <w:r>
        <w:rPr>
          <w:sz w:val="15"/>
          <w:szCs w:val="15"/>
          <w:color w:val="231F20"/>
          <w:spacing w:val="38"/>
          <w:w w:val="102"/>
        </w:rPr>
        <w:t xml:space="preserve"> </w:t>
      </w:r>
      <w:r>
        <w:rPr>
          <w:sz w:val="15"/>
          <w:szCs w:val="15"/>
          <w:color w:val="231F20"/>
        </w:rPr>
        <w:t>MEDICINE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系统医学       </w:t>
      </w:r>
      <w:r>
        <w:rPr>
          <w:sz w:val="17"/>
          <w:szCs w:val="17"/>
          <w:color w:val="231F20"/>
          <w:spacing w:val="11"/>
        </w:rPr>
        <w:t>15</w:t>
      </w:r>
    </w:p>
    <w:p>
      <w:pPr>
        <w:spacing w:before="123" w:line="159" w:lineRule="auto"/>
        <w:rPr>
          <w:rFonts w:ascii="Arial" w:hAnsi="Arial" w:eastAsia="Arial" w:cs="Arial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0"/>
          <w:position w:val="-1"/>
        </w:rPr>
        <w:t>中国知网</w:t>
      </w: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"/>
          <w:position w:val="-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-1"/>
        </w:rPr>
        <w:t>:</w:t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net</w:t>
      </w:r>
    </w:p>
    <w:p>
      <w:pPr>
        <w:spacing w:line="159" w:lineRule="auto"/>
        <w:sectPr>
          <w:pgSz w:w="12246" w:h="17178"/>
          <w:pgMar w:top="928" w:right="1246" w:bottom="0" w:left="424" w:header="0" w:footer="0" w:gutter="0"/>
        </w:sectPr>
        <w:rPr>
          <w:rFonts w:ascii="Arial" w:hAnsi="Arial" w:eastAsia="Arial" w:cs="Arial"/>
          <w:sz w:val="22"/>
          <w:szCs w:val="22"/>
        </w:rPr>
      </w:pPr>
    </w:p>
    <w:p>
      <w:pPr>
        <w:pStyle w:val="BodyText"/>
        <w:ind w:left="917"/>
        <w:spacing w:before="56" w:line="344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23"/>
          <w:szCs w:val="23"/>
          <w:color w:val="231F20"/>
          <w:spacing w:val="-4"/>
        </w:rPr>
        <w:t>·</w:t>
      </w:r>
      <w:r>
        <w:rPr>
          <w:rFonts w:ascii="SimHei" w:hAnsi="SimHei" w:eastAsia="SimHei" w:cs="SimHei"/>
          <w:sz w:val="23"/>
          <w:szCs w:val="23"/>
          <w:color w:val="231F20"/>
          <w:spacing w:val="-60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31F20"/>
          <w:spacing w:val="-4"/>
          <w:position w:val="2"/>
        </w:rPr>
        <w:t>论著</w:t>
      </w:r>
      <w:r>
        <w:rPr>
          <w:rFonts w:ascii="SimHei" w:hAnsi="SimHei" w:eastAsia="SimHei" w:cs="SimHei"/>
          <w:sz w:val="23"/>
          <w:szCs w:val="23"/>
          <w:color w:val="231F20"/>
          <w:spacing w:val="-4"/>
          <w:position w:val="2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31F20"/>
          <w:spacing w:val="-4"/>
        </w:rPr>
        <w:t>·</w:t>
      </w:r>
      <w:r>
        <w:rPr>
          <w:rFonts w:ascii="SimHei" w:hAnsi="SimHei" w:eastAsia="SimHei" w:cs="SimHei"/>
          <w:sz w:val="23"/>
          <w:szCs w:val="23"/>
          <w:color w:val="231F20"/>
          <w:spacing w:val="-81"/>
        </w:rPr>
        <w:t xml:space="preserve"> </w:t>
      </w:r>
      <w:r>
        <w:rPr>
          <w:rFonts w:ascii="SimHei" w:hAnsi="SimHei" w:eastAsia="SimHei" w:cs="SimHei"/>
          <w:sz w:val="23"/>
          <w:szCs w:val="23"/>
          <w:strike/>
          <w:color w:val="231F20"/>
        </w:rPr>
        <w:t xml:space="preserve">                                               </w:t>
      </w:r>
      <w:r>
        <w:rPr>
          <w:rFonts w:ascii="SimHei" w:hAnsi="SimHei" w:eastAsia="SimHei" w:cs="SimHei"/>
          <w:sz w:val="23"/>
          <w:szCs w:val="23"/>
          <w:color w:val="231F20"/>
          <w:spacing w:val="-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position w:val="2"/>
        </w:rPr>
        <w:t>系统医学   </w:t>
      </w:r>
      <w:r>
        <w:rPr>
          <w:sz w:val="17"/>
          <w:szCs w:val="17"/>
          <w:color w:val="231F20"/>
          <w:spacing w:val="-4"/>
          <w:position w:val="2"/>
        </w:rPr>
        <w:t>2024</w:t>
      </w:r>
      <w:r>
        <w:rPr>
          <w:sz w:val="17"/>
          <w:szCs w:val="17"/>
          <w:color w:val="231F20"/>
          <w:spacing w:val="22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position w:val="2"/>
        </w:rPr>
        <w:t>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  <w:w w:val="101"/>
          <w:position w:val="2"/>
        </w:rPr>
        <w:t xml:space="preserve"> </w:t>
      </w:r>
      <w:r>
        <w:rPr>
          <w:sz w:val="17"/>
          <w:szCs w:val="17"/>
          <w:color w:val="231F20"/>
          <w:spacing w:val="-4"/>
          <w:position w:val="2"/>
        </w:rPr>
        <w:t>12</w:t>
      </w:r>
      <w:r>
        <w:rPr>
          <w:sz w:val="17"/>
          <w:szCs w:val="17"/>
          <w:color w:val="231F20"/>
          <w:spacing w:val="10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position w:val="2"/>
        </w:rPr>
        <w:t>月第 </w:t>
      </w:r>
      <w:r>
        <w:rPr>
          <w:sz w:val="17"/>
          <w:szCs w:val="17"/>
          <w:color w:val="231F20"/>
          <w:spacing w:val="-4"/>
          <w:position w:val="2"/>
        </w:rPr>
        <w:t>9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position w:val="2"/>
        </w:rPr>
        <w:t>卷第 </w:t>
      </w:r>
      <w:r>
        <w:rPr>
          <w:sz w:val="17"/>
          <w:szCs w:val="17"/>
          <w:color w:val="231F20"/>
          <w:spacing w:val="-4"/>
          <w:position w:val="2"/>
        </w:rPr>
        <w:t>23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position w:val="2"/>
        </w:rPr>
        <w:t>期</w:t>
      </w:r>
    </w:p>
    <w:p>
      <w:pPr>
        <w:pStyle w:val="BodyText"/>
        <w:ind w:left="1305" w:right="498" w:firstLine="3"/>
        <w:spacing w:before="258" w:line="392" w:lineRule="auto"/>
        <w:jc w:val="both"/>
        <w:rPr/>
      </w:pPr>
      <w:r>
        <w:rPr>
          <w:color w:val="231F20"/>
          <w:spacing w:val="-1"/>
        </w:rPr>
        <w:t>NE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children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acute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appendicitis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high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level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vi</w:t>
      </w:r>
      <w:r>
        <w:rPr>
          <w:color w:val="231F20"/>
          <w:spacing w:val="-2"/>
        </w:rPr>
        <w:t>vo,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LY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at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low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level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vivo.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combined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de⁃</w:t>
      </w:r>
      <w:r>
        <w:rPr>
          <w:color w:val="231F20"/>
        </w:rPr>
        <w:t xml:space="preserve"> </w:t>
      </w:r>
      <w:r>
        <w:rPr>
          <w:color w:val="231F20"/>
        </w:rPr>
        <w:t>tection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of these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five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indexes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important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guiding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significance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fo</w:t>
      </w:r>
      <w:r>
        <w:rPr>
          <w:color w:val="231F20"/>
          <w:spacing w:val="-1"/>
        </w:rPr>
        <w:t>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early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diagnosis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treatment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of acute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appendi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⁃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citis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1"/>
        </w:rPr>
        <w:t>children.</w:t>
      </w:r>
    </w:p>
    <w:p>
      <w:pPr>
        <w:pStyle w:val="BodyText"/>
        <w:ind w:left="1314"/>
        <w:spacing w:line="231" w:lineRule="auto"/>
        <w:rPr/>
      </w:pPr>
      <w:r>
        <w:rPr>
          <w:color w:val="231F20"/>
          <w:spacing w:val="16"/>
        </w:rPr>
        <w:t>[</w:t>
      </w:r>
      <w:r>
        <w:rPr>
          <w:color w:val="231F20"/>
        </w:rPr>
        <w:t>Key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words</w:t>
      </w:r>
      <w:r>
        <w:rPr>
          <w:color w:val="231F20"/>
          <w:spacing w:val="16"/>
        </w:rPr>
        <w:t>] </w:t>
      </w:r>
      <w:r>
        <w:rPr>
          <w:color w:val="231F20"/>
        </w:rPr>
        <w:t>Acute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appendicitis</w:t>
      </w:r>
      <w:r>
        <w:rPr>
          <w:color w:val="231F20"/>
          <w:spacing w:val="16"/>
        </w:rPr>
        <w:t>;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Heparin</w:t>
      </w:r>
      <w:r>
        <w:rPr>
          <w:color w:val="231F20"/>
          <w:spacing w:val="16"/>
        </w:rPr>
        <w:t>-</w:t>
      </w:r>
      <w:r>
        <w:rPr>
          <w:color w:val="231F20"/>
        </w:rPr>
        <w:t>binding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protein</w:t>
      </w:r>
      <w:r>
        <w:rPr>
          <w:color w:val="231F20"/>
          <w:spacing w:val="16"/>
        </w:rPr>
        <w:t>;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6"/>
        </w:rPr>
        <w:t>C-</w:t>
      </w:r>
      <w:r>
        <w:rPr>
          <w:color w:val="231F20"/>
        </w:rPr>
        <w:t>reactive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protein</w:t>
      </w:r>
      <w:r>
        <w:rPr>
          <w:color w:val="231F20"/>
          <w:spacing w:val="16"/>
        </w:rPr>
        <w:t>; </w:t>
      </w:r>
      <w:r>
        <w:rPr>
          <w:color w:val="231F20"/>
        </w:rPr>
        <w:t>White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blood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cell</w:t>
      </w:r>
    </w:p>
    <w:p>
      <w:pPr>
        <w:spacing w:before="105"/>
        <w:rPr/>
      </w:pPr>
      <w:r/>
    </w:p>
    <w:p>
      <w:pPr>
        <w:sectPr>
          <w:footerReference w:type="default" r:id="rId3"/>
          <w:pgSz w:w="12246" w:h="17178"/>
          <w:pgMar w:top="928" w:right="1223" w:bottom="604" w:left="424" w:header="0" w:footer="354" w:gutter="0"/>
          <w:cols w:equalWidth="0" w:num="1">
            <w:col w:w="10598" w:space="0"/>
          </w:cols>
        </w:sectPr>
        <w:rPr/>
      </w:pPr>
    </w:p>
    <w:p>
      <w:pPr>
        <w:pStyle w:val="BodyText"/>
        <w:ind w:left="885" w:right="242" w:firstLine="415"/>
        <w:spacing w:before="46" w:line="26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急性阑尾炎是一种很常见的消化系统疾病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全球每百万人中有 </w:t>
      </w:r>
      <w:r>
        <w:rPr>
          <w:sz w:val="20"/>
          <w:szCs w:val="20"/>
          <w:color w:val="231F20"/>
          <w:spacing w:val="10"/>
        </w:rPr>
        <w:t>57~570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人受累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，在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学龄儿童和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青少年中的发病率最高</w:t>
      </w:r>
      <w:r>
        <w:rPr>
          <w:sz w:val="12"/>
          <w:szCs w:val="12"/>
          <w:color w:val="231F20"/>
          <w:spacing w:val="9"/>
          <w:position w:val="7"/>
        </w:rPr>
        <w:t>[1]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，有研究指出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，儿童急性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阑尾炎发病率是总人群平均水平的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  <w:spacing w:val="11"/>
        </w:rPr>
        <w:t>4</w:t>
      </w:r>
      <w:r>
        <w:rPr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倍</w:t>
      </w:r>
      <w:r>
        <w:rPr>
          <w:sz w:val="12"/>
          <w:szCs w:val="12"/>
          <w:color w:val="231F20"/>
          <w:spacing w:val="11"/>
          <w:position w:val="7"/>
        </w:rPr>
        <w:t>[2]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，占小儿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急腹症的 </w:t>
      </w:r>
      <w:r>
        <w:rPr>
          <w:sz w:val="20"/>
          <w:szCs w:val="20"/>
          <w:color w:val="231F20"/>
          <w:spacing w:val="11"/>
        </w:rPr>
        <w:t>15%~20%</w:t>
      </w:r>
      <w:r>
        <w:rPr>
          <w:sz w:val="12"/>
          <w:szCs w:val="12"/>
          <w:color w:val="231F20"/>
          <w:spacing w:val="11"/>
          <w:position w:val="7"/>
        </w:rPr>
        <w:t>[3]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因为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儿童急性阑尾炎的诊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断具有查体不易配合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、表达不清晰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、症状不典型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不同年龄组患儿的临床表现不尽相同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，相对缺乏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特定的症状和体征等特点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，因此准确诊断的难度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比成人要大很多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，这就导致儿童阑尾发生穿孔的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占比更高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，所以儿童急性阑尾炎的准确诊断具有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挑战性</w:t>
      </w:r>
      <w:r>
        <w:rPr>
          <w:sz w:val="12"/>
          <w:szCs w:val="12"/>
          <w:color w:val="231F20"/>
          <w:spacing w:val="18"/>
          <w:position w:val="7"/>
        </w:rPr>
        <w:t>[4]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。超声探查作为急性阑尾炎的主要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诊断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依据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，具有高感性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、特异性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，但其诊断容易受人为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因素干扰，容易漏诊</w:t>
      </w:r>
      <w:r>
        <w:rPr>
          <w:sz w:val="12"/>
          <w:szCs w:val="12"/>
          <w:color w:val="231F20"/>
          <w:spacing w:val="5"/>
          <w:position w:val="7"/>
        </w:rPr>
        <w:t>[5-6]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。在临床上，诊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断急性阑尾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炎的血液指标的研究较少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，尽管有研究显示了不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同方式组合的价值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，但目前它们在儿童群体中仍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没有明确的指导方针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，最准确组合仍有待确定</w:t>
      </w:r>
      <w:r>
        <w:rPr>
          <w:sz w:val="12"/>
          <w:szCs w:val="12"/>
          <w:color w:val="231F20"/>
          <w:spacing w:val="12"/>
          <w:position w:val="7"/>
        </w:rPr>
        <w:t>[7]</w:t>
      </w:r>
      <w:r>
        <w:rPr>
          <w:sz w:val="12"/>
          <w:szCs w:val="12"/>
          <w:color w:val="231F20"/>
          <w:spacing w:val="-8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</w:rPr>
        <w:t>本研究旨在筛选出与急性阑尾炎相关的血液指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，为急性阑尾炎的早期筛查提供诊疗依据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报道如下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</w:t>
      </w:r>
    </w:p>
    <w:p>
      <w:pPr>
        <w:pStyle w:val="BodyText"/>
        <w:ind w:left="902"/>
        <w:spacing w:line="268" w:lineRule="exact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7"/>
          <w:position w:val="1"/>
        </w:rPr>
        <w:t>1   </w:t>
      </w:r>
      <w:r>
        <w:rPr>
          <w:rFonts w:ascii="SimHei" w:hAnsi="SimHei" w:eastAsia="SimHei" w:cs="SimHei"/>
          <w:sz w:val="20"/>
          <w:szCs w:val="20"/>
          <w:color w:val="231F20"/>
          <w:spacing w:val="7"/>
          <w:position w:val="1"/>
        </w:rPr>
        <w:t>资料与方法</w:t>
      </w:r>
    </w:p>
    <w:p>
      <w:pPr>
        <w:pStyle w:val="BodyText"/>
        <w:ind w:left="899"/>
        <w:spacing w:before="122" w:line="19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1.1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一般资料</w:t>
      </w:r>
    </w:p>
    <w:p>
      <w:pPr>
        <w:pStyle w:val="BodyText"/>
        <w:ind w:left="802" w:right="245" w:firstLine="519"/>
        <w:spacing w:before="97" w:line="26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回顾性选取 </w:t>
      </w:r>
      <w:r>
        <w:rPr>
          <w:sz w:val="20"/>
          <w:szCs w:val="20"/>
          <w:color w:val="231F20"/>
          <w:spacing w:val="6"/>
        </w:rPr>
        <w:t>2022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年 </w:t>
      </w:r>
      <w:r>
        <w:rPr>
          <w:sz w:val="20"/>
          <w:szCs w:val="20"/>
          <w:color w:val="231F20"/>
          <w:spacing w:val="6"/>
        </w:rPr>
        <w:t>1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月—</w:t>
      </w:r>
      <w:r>
        <w:rPr>
          <w:sz w:val="20"/>
          <w:szCs w:val="20"/>
          <w:color w:val="231F20"/>
          <w:spacing w:val="6"/>
        </w:rPr>
        <w:t>202</w:t>
      </w:r>
      <w:r>
        <w:rPr>
          <w:sz w:val="20"/>
          <w:szCs w:val="20"/>
          <w:color w:val="231F20"/>
          <w:spacing w:val="5"/>
        </w:rPr>
        <w:t>3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年 </w:t>
      </w:r>
      <w:r>
        <w:rPr>
          <w:sz w:val="20"/>
          <w:szCs w:val="20"/>
          <w:color w:val="231F20"/>
          <w:spacing w:val="5"/>
        </w:rPr>
        <w:t>6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月江南大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>学附属儿童医院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sz w:val="20"/>
          <w:szCs w:val="20"/>
          <w:color w:val="231F20"/>
          <w:spacing w:val="21"/>
        </w:rPr>
        <w:t>210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>例因腹痛住院患儿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的临床资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，其 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126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，女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84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；年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2~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10"/>
        </w:rPr>
        <w:t>17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，平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（</w:t>
      </w:r>
      <w:r>
        <w:rPr>
          <w:sz w:val="20"/>
          <w:szCs w:val="20"/>
          <w:color w:val="231F20"/>
          <w:spacing w:val="1"/>
        </w:rPr>
        <w:t>9.60±3.29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）岁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。根据病情分为急性阑尾炎组（临床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最终诊断为急性阑尾炎的腹痛患儿）、健康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人群组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（临床最终诊断为非急性阑尾炎的患儿）。 急性阑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尾炎组共 </w:t>
      </w:r>
      <w:r>
        <w:rPr>
          <w:sz w:val="20"/>
          <w:szCs w:val="20"/>
          <w:color w:val="231F20"/>
          <w:spacing w:val="-3"/>
        </w:rPr>
        <w:t>110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，其中男 </w:t>
      </w:r>
      <w:r>
        <w:rPr>
          <w:sz w:val="20"/>
          <w:szCs w:val="20"/>
          <w:color w:val="231F20"/>
          <w:spacing w:val="-3"/>
        </w:rPr>
        <w:t>72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，女 </w:t>
      </w:r>
      <w:r>
        <w:rPr>
          <w:sz w:val="20"/>
          <w:szCs w:val="20"/>
          <w:color w:val="231F20"/>
          <w:spacing w:val="-3"/>
        </w:rPr>
        <w:t>38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年龄 </w:t>
      </w:r>
      <w:r>
        <w:rPr>
          <w:sz w:val="20"/>
          <w:szCs w:val="20"/>
          <w:color w:val="231F20"/>
          <w:spacing w:val="-4"/>
        </w:rPr>
        <w:t>2~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4"/>
        </w:rPr>
        <w:t>16</w:t>
      </w:r>
      <w:r>
        <w:rPr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岁，平均（</w:t>
      </w:r>
      <w:r>
        <w:rPr>
          <w:sz w:val="20"/>
          <w:szCs w:val="20"/>
          <w:color w:val="231F20"/>
          <w:spacing w:val="-5"/>
        </w:rPr>
        <w:t>9.28±3.05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）岁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。健康人群组共 </w:t>
      </w:r>
      <w:r>
        <w:rPr>
          <w:sz w:val="20"/>
          <w:szCs w:val="20"/>
          <w:color w:val="231F20"/>
          <w:spacing w:val="-5"/>
        </w:rPr>
        <w:t>100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例，其中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男 </w:t>
      </w:r>
      <w:r>
        <w:rPr>
          <w:sz w:val="20"/>
          <w:szCs w:val="20"/>
          <w:color w:val="231F20"/>
          <w:spacing w:val="-7"/>
        </w:rPr>
        <w:t>54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，女 </w:t>
      </w:r>
      <w:r>
        <w:rPr>
          <w:sz w:val="20"/>
          <w:szCs w:val="20"/>
          <w:color w:val="231F20"/>
          <w:spacing w:val="-7"/>
        </w:rPr>
        <w:t>46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；年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龄 </w:t>
      </w:r>
      <w:r>
        <w:rPr>
          <w:sz w:val="20"/>
          <w:szCs w:val="20"/>
          <w:color w:val="231F20"/>
          <w:spacing w:val="-7"/>
        </w:rPr>
        <w:t>3~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7"/>
        </w:rPr>
        <w:t>17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均（</w:t>
      </w:r>
      <w:r>
        <w:rPr>
          <w:sz w:val="20"/>
          <w:szCs w:val="20"/>
          <w:color w:val="231F20"/>
          <w:spacing w:val="-7"/>
        </w:rPr>
        <w:t>9.96±3.51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。两组患儿的性别构成和年龄分布对比，差异无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统计学意义（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9"/>
        </w:rPr>
        <w:t>P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均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9"/>
        </w:rPr>
        <w:t>&gt;</w:t>
      </w:r>
      <w:r>
        <w:rPr>
          <w:sz w:val="20"/>
          <w:szCs w:val="20"/>
          <w:color w:val="231F20"/>
          <w:spacing w:val="9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61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具有可比性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。本研究已获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得 江 南 大 学 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员 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审 批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（</w:t>
      </w:r>
      <w:r>
        <w:rPr>
          <w:sz w:val="20"/>
          <w:szCs w:val="20"/>
          <w:color w:val="231F20"/>
          <w:spacing w:val="-1"/>
        </w:rPr>
        <w:t>WXCH2023-12-096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7"/>
        <w:spacing w:before="43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1.2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纳入与排除标准</w:t>
      </w:r>
    </w:p>
    <w:p>
      <w:pPr>
        <w:pStyle w:val="BodyText"/>
        <w:ind w:left="22" w:right="82" w:firstLine="396"/>
        <w:spacing w:before="76" w:line="25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纳入标准：年龄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-6"/>
        </w:rPr>
        <w:t>0~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6"/>
        </w:rPr>
        <w:t>17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岁；因腹痛收治住院；家属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同意参与研究。</w:t>
      </w:r>
    </w:p>
    <w:p>
      <w:pPr>
        <w:pStyle w:val="BodyText"/>
        <w:ind w:left="3" w:right="82" w:firstLine="412"/>
        <w:spacing w:before="6" w:line="25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排除标准：临床诊疗数据收集不全者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；住院时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间</w:t>
      </w:r>
      <w:r>
        <w:rPr>
          <w:sz w:val="20"/>
          <w:szCs w:val="20"/>
          <w:color w:val="231F20"/>
        </w:rPr>
        <w:t>&lt;24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</w:rPr>
        <w:t>h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者；合并肝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、肾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、心等重要脏器功能障碍性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疾病者。</w:t>
      </w:r>
    </w:p>
    <w:p>
      <w:pPr>
        <w:pStyle w:val="BodyText"/>
        <w:ind w:left="17"/>
        <w:spacing w:before="21" w:line="16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1.3</w:t>
      </w:r>
      <w:r>
        <w:rPr>
          <w:sz w:val="20"/>
          <w:szCs w:val="20"/>
          <w:color w:val="231F20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方法</w:t>
      </w:r>
    </w:p>
    <w:p>
      <w:pPr>
        <w:pStyle w:val="BodyText"/>
        <w:ind w:left="1" w:firstLine="421"/>
        <w:spacing w:before="115" w:line="25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收集患儿入院后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  <w:spacing w:val="5"/>
        </w:rPr>
        <w:t>24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5"/>
        </w:rPr>
        <w:t>h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内的静脉血，分别进行肝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素结合蛋白（</w:t>
      </w:r>
      <w:r>
        <w:rPr>
          <w:sz w:val="20"/>
          <w:szCs w:val="20"/>
          <w:color w:val="231F20"/>
          <w:spacing w:val="-1"/>
        </w:rPr>
        <w:t>heparin-binding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protein,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"/>
        </w:rPr>
        <w:t>HBP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）、</w:t>
      </w:r>
      <w:r>
        <w:rPr>
          <w:sz w:val="20"/>
          <w:szCs w:val="20"/>
          <w:color w:val="231F20"/>
          <w:spacing w:val="-1"/>
        </w:rPr>
        <w:t>C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反应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蛋 白（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8"/>
        </w:rPr>
        <w:t>C-reactive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protein,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）、白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胞（</w:t>
      </w:r>
      <w:r>
        <w:rPr>
          <w:sz w:val="20"/>
          <w:szCs w:val="20"/>
          <w:color w:val="231F20"/>
          <w:spacing w:val="-8"/>
        </w:rPr>
        <w:t>white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4"/>
        </w:rPr>
        <w:t>cell,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WBC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）、中性粒细胞百分比（</w:t>
      </w:r>
      <w:r>
        <w:rPr>
          <w:sz w:val="20"/>
          <w:szCs w:val="20"/>
          <w:color w:val="231F20"/>
          <w:spacing w:val="-4"/>
        </w:rPr>
        <w:t>neutrophili</w:t>
      </w:r>
      <w:r>
        <w:rPr>
          <w:sz w:val="20"/>
          <w:szCs w:val="20"/>
          <w:color w:val="231F20"/>
          <w:spacing w:val="-5"/>
        </w:rPr>
        <w:t>c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granulo⁃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cyte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percentage,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）、淋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分 比（</w:t>
      </w:r>
      <w:r>
        <w:rPr>
          <w:sz w:val="20"/>
          <w:szCs w:val="20"/>
          <w:color w:val="231F20"/>
          <w:spacing w:val="-8"/>
        </w:rPr>
        <w:t>lymphocyte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4"/>
        </w:rPr>
        <w:t>percentage,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LY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）、红细胞分布宽度（</w:t>
      </w:r>
      <w:r>
        <w:rPr>
          <w:sz w:val="20"/>
          <w:szCs w:val="20"/>
          <w:color w:val="231F20"/>
          <w:spacing w:val="-4"/>
        </w:rPr>
        <w:t>red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blood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cell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d</w:t>
      </w:r>
      <w:r>
        <w:rPr>
          <w:sz w:val="20"/>
          <w:szCs w:val="20"/>
          <w:color w:val="231F20"/>
          <w:spacing w:val="-5"/>
        </w:rPr>
        <w:t>is⁃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4"/>
        </w:rPr>
        <w:t>tribution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width,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RDW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）、血小板分布宽度（</w:t>
      </w:r>
      <w:r>
        <w:rPr>
          <w:sz w:val="20"/>
          <w:szCs w:val="20"/>
          <w:color w:val="231F20"/>
          <w:spacing w:val="-4"/>
        </w:rPr>
        <w:t>platelet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dis⁃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3"/>
        </w:rPr>
        <w:t>tribution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3"/>
        </w:rPr>
        <w:t>width,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3"/>
        </w:rPr>
        <w:t>PDW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）、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平均血小板体积（</w:t>
      </w:r>
      <w:r>
        <w:rPr>
          <w:sz w:val="20"/>
          <w:szCs w:val="20"/>
          <w:color w:val="231F20"/>
          <w:spacing w:val="-4"/>
        </w:rPr>
        <w:t>mean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plate⁃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3"/>
        </w:rPr>
        <w:t>let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volume,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3"/>
        </w:rPr>
        <w:t>MPV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）的检测，其中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3"/>
        </w:rPr>
        <w:t>HBP</w:t>
      </w:r>
      <w:r>
        <w:rPr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检测所用仪器型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号为 </w:t>
      </w:r>
      <w:r>
        <w:rPr>
          <w:sz w:val="20"/>
          <w:szCs w:val="20"/>
          <w:color w:val="231F20"/>
          <w:spacing w:val="-7"/>
        </w:rPr>
        <w:t>JS3000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（杭州中翰盛泰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4"/>
          <w:w w:val="91"/>
        </w:rPr>
        <w:t>）；</w:t>
      </w:r>
      <w:r>
        <w:rPr>
          <w:sz w:val="20"/>
          <w:szCs w:val="20"/>
          <w:color w:val="231F20"/>
          <w:spacing w:val="-7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WBC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NE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LY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4"/>
        </w:rPr>
        <w:t>RDW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</w:t>
      </w:r>
      <w:r>
        <w:rPr>
          <w:sz w:val="20"/>
          <w:szCs w:val="20"/>
          <w:color w:val="231F20"/>
          <w:spacing w:val="-4"/>
        </w:rPr>
        <w:t>PDW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</w:t>
      </w:r>
      <w:r>
        <w:rPr>
          <w:sz w:val="20"/>
          <w:szCs w:val="20"/>
          <w:color w:val="231F20"/>
          <w:spacing w:val="-4"/>
        </w:rPr>
        <w:t>MPV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BC-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10"/>
        </w:rPr>
        <w:t>7500</w:t>
      </w:r>
      <w:r>
        <w:rPr>
          <w:sz w:val="20"/>
          <w:szCs w:val="20"/>
          <w:color w:val="231F20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（深圳迈瑞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  <w:w w:val="70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所用试剂均为仪器配套原装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试剂。</w:t>
      </w:r>
    </w:p>
    <w:p>
      <w:pPr>
        <w:pStyle w:val="BodyText"/>
        <w:ind w:left="17"/>
        <w:spacing w:before="17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1.4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统计方法</w:t>
      </w:r>
    </w:p>
    <w:p>
      <w:pPr>
        <w:pStyle w:val="BodyText"/>
        <w:ind w:left="2" w:firstLine="412"/>
        <w:spacing w:before="83" w:line="25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应用 </w:t>
      </w:r>
      <w:r>
        <w:rPr>
          <w:sz w:val="20"/>
          <w:szCs w:val="20"/>
          <w:color w:val="231F20"/>
        </w:rPr>
        <w:t>SPSS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10"/>
        </w:rPr>
        <w:t>23.0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统计学软件对数据进行统计分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析 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计 量 资 料（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13"/>
        </w:rPr>
        <w:t>HBP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、</w:t>
      </w:r>
      <w:r>
        <w:rPr>
          <w:sz w:val="20"/>
          <w:szCs w:val="20"/>
          <w:color w:val="231F20"/>
          <w:spacing w:val="-13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、</w:t>
      </w:r>
      <w:r>
        <w:rPr>
          <w:sz w:val="20"/>
          <w:szCs w:val="20"/>
          <w:color w:val="231F20"/>
          <w:spacing w:val="-13"/>
        </w:rPr>
        <w:t>WBC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、</w:t>
      </w:r>
      <w:r>
        <w:rPr>
          <w:sz w:val="20"/>
          <w:szCs w:val="20"/>
          <w:color w:val="231F20"/>
          <w:spacing w:val="-13"/>
        </w:rPr>
        <w:t>NE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、</w:t>
      </w:r>
      <w:r>
        <w:rPr>
          <w:sz w:val="20"/>
          <w:szCs w:val="20"/>
          <w:color w:val="231F20"/>
          <w:spacing w:val="-13"/>
        </w:rPr>
        <w:t>LY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、</w:t>
      </w:r>
      <w:r>
        <w:rPr>
          <w:sz w:val="20"/>
          <w:szCs w:val="20"/>
          <w:color w:val="231F20"/>
          <w:spacing w:val="-14"/>
        </w:rPr>
        <w:t>RDW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PDW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、</w:t>
      </w:r>
      <w:r>
        <w:rPr>
          <w:sz w:val="20"/>
          <w:szCs w:val="20"/>
          <w:color w:val="231F20"/>
          <w:spacing w:val="-3"/>
        </w:rPr>
        <w:t>MPV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）经 </w:t>
      </w:r>
      <w:r>
        <w:rPr>
          <w:sz w:val="20"/>
          <w:szCs w:val="20"/>
          <w:color w:val="231F20"/>
          <w:spacing w:val="-3"/>
        </w:rPr>
        <w:t>Shapiro-Wilk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检验满足正态分布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position w:val="-2"/>
        </w:rPr>
        <w:drawing>
          <wp:inline distT="0" distB="0" distL="0" distR="0">
            <wp:extent cx="63997" cy="14023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97" cy="1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color w:val="231F20"/>
        </w:rPr>
        <w:t>±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s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）表示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，组间比较采用两独立样本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t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检验；通过  </w:t>
      </w:r>
      <w:r>
        <w:rPr>
          <w:sz w:val="20"/>
          <w:szCs w:val="20"/>
          <w:color w:val="231F20"/>
        </w:rPr>
        <w:t>ROC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曲线评价各指标及联合指标对急性阑尾炎的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诊断价值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6"/>
        </w:rPr>
        <w:t>P</w:t>
      </w:r>
      <w:r>
        <w:rPr>
          <w:sz w:val="20"/>
          <w:szCs w:val="20"/>
          <w:color w:val="231F20"/>
          <w:spacing w:val="6"/>
        </w:rPr>
        <w:t>&lt;0.05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为差异有统计学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意义。</w:t>
      </w:r>
    </w:p>
    <w:p>
      <w:pPr>
        <w:pStyle w:val="BodyText"/>
        <w:ind w:left="5"/>
        <w:spacing w:line="273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5"/>
          <w:position w:val="1"/>
        </w:rPr>
        <w:t>2</w:t>
      </w:r>
      <w:r>
        <w:rPr>
          <w:sz w:val="20"/>
          <w:szCs w:val="20"/>
          <w:color w:val="231F20"/>
          <w:spacing w:val="4"/>
          <w:position w:val="1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5"/>
          <w:position w:val="1"/>
        </w:rPr>
        <w:t>结果</w:t>
      </w:r>
    </w:p>
    <w:p>
      <w:pPr>
        <w:pStyle w:val="BodyText"/>
        <w:ind w:right="1" w:firstLine="5"/>
        <w:spacing w:before="105" w:line="25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2.1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急 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阑 尾 炎 组 与 健 康 人 群 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3"/>
        </w:rPr>
        <w:t>HBP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、</w:t>
      </w:r>
      <w:r>
        <w:rPr>
          <w:sz w:val="20"/>
          <w:szCs w:val="20"/>
          <w:color w:val="231F20"/>
          <w:spacing w:val="-3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WBC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、</w:t>
      </w:r>
      <w:r>
        <w:rPr>
          <w:sz w:val="20"/>
          <w:szCs w:val="20"/>
          <w:color w:val="231F20"/>
          <w:spacing w:val="-11"/>
        </w:rPr>
        <w:t>NE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、</w:t>
      </w:r>
      <w:r>
        <w:rPr>
          <w:sz w:val="20"/>
          <w:szCs w:val="20"/>
          <w:color w:val="231F20"/>
          <w:spacing w:val="-11"/>
        </w:rPr>
        <w:t>LY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、</w:t>
      </w:r>
      <w:r>
        <w:rPr>
          <w:sz w:val="20"/>
          <w:szCs w:val="20"/>
          <w:color w:val="231F20"/>
          <w:spacing w:val="-11"/>
        </w:rPr>
        <w:t>RDW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、</w:t>
      </w:r>
      <w:r>
        <w:rPr>
          <w:sz w:val="20"/>
          <w:szCs w:val="20"/>
          <w:color w:val="231F20"/>
          <w:spacing w:val="-11"/>
        </w:rPr>
        <w:t>PDW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、</w:t>
      </w:r>
      <w:r>
        <w:rPr>
          <w:sz w:val="20"/>
          <w:szCs w:val="20"/>
          <w:color w:val="231F20"/>
          <w:spacing w:val="-11"/>
        </w:rPr>
        <w:t>MPV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水平比较</w:t>
      </w:r>
    </w:p>
    <w:p>
      <w:pPr>
        <w:pStyle w:val="BodyText"/>
        <w:ind w:left="3" w:firstLine="415"/>
        <w:spacing w:before="3" w:line="26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性 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组 </w:t>
      </w:r>
      <w:r>
        <w:rPr>
          <w:sz w:val="20"/>
          <w:szCs w:val="20"/>
          <w:color w:val="231F20"/>
          <w:spacing w:val="-14"/>
        </w:rPr>
        <w:t>HBP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、</w:t>
      </w:r>
      <w:r>
        <w:rPr>
          <w:sz w:val="20"/>
          <w:szCs w:val="20"/>
          <w:color w:val="231F20"/>
          <w:spacing w:val="-14"/>
        </w:rPr>
        <w:t>CRP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、</w:t>
      </w:r>
      <w:r>
        <w:rPr>
          <w:sz w:val="20"/>
          <w:szCs w:val="20"/>
          <w:color w:val="231F20"/>
          <w:spacing w:val="-14"/>
        </w:rPr>
        <w:t>WBC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、</w:t>
      </w:r>
      <w:r>
        <w:rPr>
          <w:sz w:val="20"/>
          <w:szCs w:val="20"/>
          <w:color w:val="231F20"/>
          <w:spacing w:val="-14"/>
        </w:rPr>
        <w:t>NE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健康人群组，急性阑尾炎组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</w:rPr>
        <w:t>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水平低于健康人群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P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8"/>
        </w:rPr>
        <w:t>&lt;0.05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6"/>
          <w:w w:val="96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组 </w:t>
      </w:r>
      <w:r>
        <w:rPr>
          <w:sz w:val="20"/>
          <w:szCs w:val="20"/>
          <w:color w:val="231F20"/>
          <w:spacing w:val="-8"/>
        </w:rPr>
        <w:t>RDW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PDW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、</w:t>
      </w:r>
      <w:r>
        <w:rPr>
          <w:sz w:val="20"/>
          <w:szCs w:val="20"/>
          <w:color w:val="231F20"/>
          <w:spacing w:val="-9"/>
        </w:rPr>
        <w:t>MPV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水 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比 较 ，差 异 无 统 计 学 意 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9"/>
        </w:rPr>
        <w:t>P</w:t>
      </w:r>
      <w:r>
        <w:rPr>
          <w:sz w:val="20"/>
          <w:szCs w:val="20"/>
          <w:color w:val="231F20"/>
          <w:spacing w:val="-9"/>
        </w:rPr>
        <w:t>&gt;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5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）。见表 </w:t>
      </w:r>
      <w:r>
        <w:rPr>
          <w:sz w:val="20"/>
          <w:szCs w:val="20"/>
          <w:color w:val="231F20"/>
          <w:spacing w:val="-5"/>
        </w:rPr>
        <w:t>1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。</w:t>
      </w:r>
    </w:p>
    <w:p>
      <w:pPr>
        <w:spacing w:line="261" w:lineRule="auto"/>
        <w:sectPr>
          <w:type w:val="continuous"/>
          <w:pgSz w:w="12246" w:h="17178"/>
          <w:pgMar w:top="928" w:right="1223" w:bottom="604" w:left="424" w:header="0" w:footer="354" w:gutter="0"/>
          <w:cols w:equalWidth="0" w:num="2">
            <w:col w:w="5812" w:space="100"/>
            <w:col w:w="4687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left="1021"/>
        <w:spacing w:before="146" w:line="164" w:lineRule="auto"/>
        <w:rPr>
          <w:sz w:val="15"/>
          <w:szCs w:val="15"/>
        </w:rPr>
      </w:pPr>
      <w:r>
        <w:rPr>
          <w:sz w:val="17"/>
          <w:szCs w:val="17"/>
          <w:color w:val="231F20"/>
          <w:spacing w:val="8"/>
        </w:rPr>
        <w:t>16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系统医学     </w:t>
      </w:r>
      <w:r>
        <w:rPr>
          <w:sz w:val="15"/>
          <w:szCs w:val="15"/>
          <w:color w:val="231F20"/>
        </w:rPr>
        <w:t>SYSTEMS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</w:rPr>
        <w:t>MEDICINE</w:t>
      </w:r>
    </w:p>
    <w:p>
      <w:pPr>
        <w:spacing w:line="164" w:lineRule="auto"/>
        <w:sectPr>
          <w:type w:val="continuous"/>
          <w:pgSz w:w="12246" w:h="17178"/>
          <w:pgMar w:top="928" w:right="1223" w:bottom="604" w:left="424" w:header="0" w:footer="354" w:gutter="0"/>
          <w:cols w:equalWidth="0" w:num="1">
            <w:col w:w="10598" w:space="0"/>
          </w:cols>
        </w:sectPr>
        <w:rPr>
          <w:sz w:val="15"/>
          <w:szCs w:val="15"/>
        </w:rPr>
      </w:pPr>
    </w:p>
    <w:p>
      <w:pPr>
        <w:spacing w:line="228" w:lineRule="exact"/>
        <w:rPr/>
      </w:pPr>
      <w:r/>
    </w:p>
    <w:p>
      <w:pPr>
        <w:spacing w:line="228" w:lineRule="exact"/>
        <w:sectPr>
          <w:headerReference w:type="default" r:id="rId5"/>
          <w:pgSz w:w="12246" w:h="17178"/>
          <w:pgMar w:top="1306" w:right="1223" w:bottom="604" w:left="424" w:header="944" w:footer="354" w:gutter="0"/>
          <w:cols w:equalWidth="0" w:num="1">
            <w:col w:w="10598" w:space="0"/>
          </w:cols>
        </w:sectPr>
        <w:rPr/>
      </w:pPr>
    </w:p>
    <w:p>
      <w:pPr>
        <w:pStyle w:val="BodyText"/>
        <w:ind w:left="1103"/>
        <w:spacing w:before="48" w:line="242" w:lineRule="auto"/>
        <w:outlineLvl w:val="1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-2"/>
        </w:rPr>
        <w:t>表</w:t>
      </w:r>
      <w:r>
        <w:rPr>
          <w:rFonts w:ascii="SimHei" w:hAnsi="SimHei" w:eastAsia="SimHei" w:cs="SimHei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2"/>
        </w:rPr>
        <w:t>1    </w:t>
      </w:r>
      <w:r>
        <w:rPr>
          <w:rFonts w:ascii="SimHei" w:hAnsi="SimHei" w:eastAsia="SimHei" w:cs="SimHei"/>
          <w:sz w:val="15"/>
          <w:szCs w:val="15"/>
          <w:color w:val="231F20"/>
          <w:spacing w:val="-2"/>
        </w:rPr>
        <w:t>急性阑尾炎组与健康人群组</w:t>
      </w:r>
      <w:r>
        <w:rPr>
          <w:rFonts w:ascii="SimHei" w:hAnsi="SimHei" w:eastAsia="SimHei" w:cs="SimHei"/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-2"/>
        </w:rPr>
        <w:t>H</w:t>
      </w:r>
      <w:r>
        <w:rPr>
          <w:sz w:val="15"/>
          <w:szCs w:val="15"/>
          <w:color w:val="231F20"/>
          <w:spacing w:val="-3"/>
        </w:rPr>
        <w:t>BP</w:t>
      </w:r>
      <w:r>
        <w:rPr>
          <w:rFonts w:ascii="SimHei" w:hAnsi="SimHei" w:eastAsia="SimHei" w:cs="SimHei"/>
          <w:sz w:val="15"/>
          <w:szCs w:val="15"/>
          <w:color w:val="231F20"/>
          <w:spacing w:val="-3"/>
        </w:rPr>
        <w:t>、</w:t>
      </w:r>
      <w:r>
        <w:rPr>
          <w:sz w:val="15"/>
          <w:szCs w:val="15"/>
          <w:color w:val="231F20"/>
          <w:spacing w:val="-3"/>
        </w:rPr>
        <w:t>CRP</w:t>
      </w:r>
      <w:r>
        <w:rPr>
          <w:rFonts w:ascii="SimHei" w:hAnsi="SimHei" w:eastAsia="SimHei" w:cs="SimHei"/>
          <w:sz w:val="15"/>
          <w:szCs w:val="15"/>
          <w:color w:val="231F20"/>
          <w:spacing w:val="-3"/>
        </w:rPr>
        <w:t>、</w:t>
      </w:r>
      <w:r>
        <w:rPr>
          <w:sz w:val="15"/>
          <w:szCs w:val="15"/>
          <w:color w:val="231F20"/>
          <w:spacing w:val="-3"/>
        </w:rPr>
        <w:t>WBC</w:t>
      </w:r>
      <w:r>
        <w:rPr>
          <w:rFonts w:ascii="SimHei" w:hAnsi="SimHei" w:eastAsia="SimHei" w:cs="SimHei"/>
          <w:sz w:val="15"/>
          <w:szCs w:val="15"/>
          <w:color w:val="231F20"/>
          <w:spacing w:val="-3"/>
        </w:rPr>
        <w:t>、</w:t>
      </w:r>
      <w:r>
        <w:rPr>
          <w:sz w:val="15"/>
          <w:szCs w:val="15"/>
          <w:color w:val="231F20"/>
          <w:spacing w:val="-3"/>
        </w:rPr>
        <w:t>NE</w:t>
      </w:r>
      <w:r>
        <w:rPr>
          <w:rFonts w:ascii="SimHei" w:hAnsi="SimHei" w:eastAsia="SimHei" w:cs="SimHei"/>
          <w:sz w:val="15"/>
          <w:szCs w:val="15"/>
          <w:color w:val="231F20"/>
          <w:spacing w:val="-3"/>
        </w:rPr>
        <w:t>、</w:t>
      </w:r>
      <w:r>
        <w:rPr>
          <w:sz w:val="15"/>
          <w:szCs w:val="15"/>
          <w:color w:val="231F20"/>
          <w:spacing w:val="-3"/>
        </w:rPr>
        <w:t>LY</w:t>
      </w:r>
      <w:r>
        <w:rPr>
          <w:rFonts w:ascii="SimHei" w:hAnsi="SimHei" w:eastAsia="SimHei" w:cs="SimHei"/>
          <w:sz w:val="15"/>
          <w:szCs w:val="15"/>
          <w:color w:val="231F20"/>
          <w:spacing w:val="-3"/>
        </w:rPr>
        <w:t>、</w:t>
      </w:r>
    </w:p>
    <w:p>
      <w:pPr>
        <w:pStyle w:val="BodyText"/>
        <w:ind w:left="2067"/>
        <w:spacing w:before="61" w:line="20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RDW</w:t>
      </w:r>
      <w:r>
        <w:rPr>
          <w:rFonts w:ascii="SimHei" w:hAnsi="SimHei" w:eastAsia="SimHei" w:cs="SimHei"/>
          <w:sz w:val="15"/>
          <w:szCs w:val="15"/>
          <w:color w:val="231F20"/>
          <w:spacing w:val="-10"/>
        </w:rPr>
        <w:t>、</w:t>
      </w:r>
      <w:r>
        <w:rPr>
          <w:sz w:val="15"/>
          <w:szCs w:val="15"/>
          <w:color w:val="231F20"/>
          <w:spacing w:val="-10"/>
        </w:rPr>
        <w:t>PDW</w:t>
      </w:r>
      <w:r>
        <w:rPr>
          <w:rFonts w:ascii="SimHei" w:hAnsi="SimHei" w:eastAsia="SimHei" w:cs="SimHei"/>
          <w:sz w:val="15"/>
          <w:szCs w:val="15"/>
          <w:color w:val="231F20"/>
          <w:spacing w:val="-10"/>
        </w:rPr>
        <w:t>、</w:t>
      </w:r>
      <w:r>
        <w:rPr>
          <w:sz w:val="15"/>
          <w:szCs w:val="15"/>
          <w:color w:val="231F20"/>
          <w:spacing w:val="-10"/>
        </w:rPr>
        <w:t>MPV </w:t>
      </w:r>
      <w:r>
        <w:rPr>
          <w:rFonts w:ascii="SimHei" w:hAnsi="SimHei" w:eastAsia="SimHei" w:cs="SimHei"/>
          <w:sz w:val="15"/>
          <w:szCs w:val="15"/>
          <w:color w:val="231F20"/>
          <w:spacing w:val="-10"/>
        </w:rPr>
        <w:t>水平比较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</w:rPr>
        <w:t>x</w:t>
      </w:r>
      <w:r>
        <w:rPr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10"/>
        </w:rPr>
        <w:t>±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</w:rPr>
        <w:t>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）</w:t>
      </w:r>
    </w:p>
    <w:p>
      <w:pPr>
        <w:spacing w:line="34" w:lineRule="exact"/>
        <w:rPr/>
      </w:pPr>
      <w:r/>
    </w:p>
    <w:tbl>
      <w:tblPr>
        <w:tblStyle w:val="TableNormal"/>
        <w:tblW w:w="4603" w:type="dxa"/>
        <w:tblInd w:w="88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74"/>
        <w:gridCol w:w="1079"/>
        <w:gridCol w:w="1000"/>
        <w:gridCol w:w="799"/>
        <w:gridCol w:w="751"/>
      </w:tblGrid>
      <w:tr>
        <w:trPr>
          <w:trHeight w:val="505" w:hRule="atLeast"/>
        </w:trPr>
        <w:tc>
          <w:tcPr>
            <w:tcW w:w="97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3"/>
              <w:spacing w:before="179" w:line="18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2"/>
              </w:rPr>
              <w:t>指标</w:t>
            </w:r>
          </w:p>
        </w:tc>
        <w:tc>
          <w:tcPr>
            <w:tcW w:w="107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66"/>
              <w:spacing w:before="51" w:line="17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急性阑尾炎组</w:t>
            </w:r>
          </w:p>
          <w:p>
            <w:pPr>
              <w:pStyle w:val="TableText"/>
              <w:ind w:left="197"/>
              <w:spacing w:before="63" w:line="17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2"/>
              </w:rPr>
              <w:t>n</w:t>
            </w:r>
            <w:r>
              <w:rPr>
                <w:color w:val="231F20"/>
                <w:spacing w:val="-2"/>
              </w:rPr>
              <w:t>=110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</w:t>
            </w:r>
          </w:p>
        </w:tc>
        <w:tc>
          <w:tcPr>
            <w:tcW w:w="100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81"/>
              <w:spacing w:before="48" w:line="18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健康人群组</w:t>
            </w:r>
          </w:p>
          <w:p>
            <w:pPr>
              <w:pStyle w:val="TableText"/>
              <w:ind w:left="135"/>
              <w:spacing w:before="60" w:line="17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2"/>
              </w:rPr>
              <w:t>n</w:t>
            </w:r>
            <w:r>
              <w:rPr>
                <w:color w:val="231F20"/>
                <w:spacing w:val="-2"/>
              </w:rPr>
              <w:t>=100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</w:t>
            </w:r>
          </w:p>
        </w:tc>
        <w:tc>
          <w:tcPr>
            <w:tcW w:w="79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81"/>
              <w:spacing w:before="178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-2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2"/>
              </w:rPr>
              <w:t>值</w:t>
            </w:r>
          </w:p>
        </w:tc>
        <w:tc>
          <w:tcPr>
            <w:tcW w:w="75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39"/>
              <w:spacing w:before="178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10"/>
              </w:rPr>
              <w:t>P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10"/>
              </w:rPr>
              <w:t>值</w:t>
            </w:r>
          </w:p>
        </w:tc>
      </w:tr>
      <w:tr>
        <w:trPr>
          <w:trHeight w:val="255" w:hRule="atLeast"/>
        </w:trPr>
        <w:tc>
          <w:tcPr>
            <w:tcW w:w="9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"/>
              <w:spacing w:before="45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9"/>
              </w:rPr>
              <w:t>HBP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（</w:t>
            </w:r>
            <w:r>
              <w:rPr>
                <w:color w:val="231F20"/>
                <w:spacing w:val="-9"/>
              </w:rPr>
              <w:t>ng/mL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）</w:t>
            </w:r>
          </w:p>
        </w:tc>
        <w:tc>
          <w:tcPr>
            <w:tcW w:w="107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9"/>
              <w:spacing w:before="47" w:line="196" w:lineRule="exact"/>
              <w:rPr/>
            </w:pPr>
            <w:r>
              <w:rPr>
                <w:color w:val="231F20"/>
                <w:spacing w:val="1"/>
                <w:position w:val="1"/>
              </w:rPr>
              <w:t>77.08±65.31</w:t>
            </w:r>
          </w:p>
        </w:tc>
        <w:tc>
          <w:tcPr>
            <w:tcW w:w="10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1"/>
              <w:spacing w:before="44" w:line="196" w:lineRule="exact"/>
              <w:rPr/>
            </w:pPr>
            <w:r>
              <w:rPr>
                <w:color w:val="231F20"/>
                <w:spacing w:val="-2"/>
                <w:position w:val="1"/>
              </w:rPr>
              <w:t>14.36±</w:t>
            </w:r>
            <w:r>
              <w:rPr>
                <w:color w:val="231F20"/>
                <w:spacing w:val="-15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12.77</w:t>
            </w:r>
          </w:p>
        </w:tc>
        <w:tc>
          <w:tcPr>
            <w:tcW w:w="79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0"/>
              <w:spacing w:before="44" w:line="196" w:lineRule="exact"/>
              <w:rPr/>
            </w:pPr>
            <w:r>
              <w:rPr>
                <w:color w:val="231F20"/>
                <w:position w:val="1"/>
              </w:rPr>
              <w:t>9.866</w:t>
            </w:r>
          </w:p>
        </w:tc>
        <w:tc>
          <w:tcPr>
            <w:tcW w:w="7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6"/>
              <w:spacing w:before="44" w:line="196" w:lineRule="exact"/>
              <w:rPr/>
            </w:pPr>
            <w:r>
              <w:rPr>
                <w:color w:val="231F20"/>
                <w:position w:val="1"/>
              </w:rPr>
              <w:t>&lt;0.001</w:t>
            </w:r>
          </w:p>
        </w:tc>
      </w:tr>
      <w:tr>
        <w:trPr>
          <w:trHeight w:val="253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25"/>
              <w:spacing w:before="45" w:line="18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0"/>
                <w:w w:val="99"/>
              </w:rPr>
              <w:t>CRP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  <w:w w:val="99"/>
              </w:rPr>
              <w:t>（</w:t>
            </w:r>
            <w:r>
              <w:rPr>
                <w:color w:val="231F20"/>
                <w:spacing w:val="-10"/>
                <w:w w:val="99"/>
              </w:rPr>
              <w:t>mg/L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  <w:w w:val="99"/>
              </w:rPr>
              <w:t>）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148"/>
              <w:spacing w:before="47" w:line="196" w:lineRule="exact"/>
              <w:rPr/>
            </w:pPr>
            <w:r>
              <w:rPr>
                <w:color w:val="231F20"/>
                <w:spacing w:val="1"/>
                <w:position w:val="1"/>
              </w:rPr>
              <w:t>40.75±50.11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165"/>
              <w:spacing w:before="45" w:line="195" w:lineRule="exact"/>
              <w:rPr/>
            </w:pPr>
            <w:r>
              <w:rPr>
                <w:color w:val="231F20"/>
                <w:spacing w:val="-1"/>
                <w:position w:val="1"/>
              </w:rPr>
              <w:t>4.75±</w:t>
            </w:r>
            <w:r>
              <w:rPr>
                <w:color w:val="231F20"/>
                <w:spacing w:val="-14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15.04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219"/>
              <w:spacing w:before="45" w:line="195" w:lineRule="exact"/>
              <w:rPr/>
            </w:pPr>
            <w:r>
              <w:rPr>
                <w:color w:val="231F20"/>
                <w:position w:val="1"/>
              </w:rPr>
              <w:t>7.187</w:t>
            </w:r>
          </w:p>
        </w:tc>
        <w:tc>
          <w:tcPr>
            <w:tcW w:w="751" w:type="dxa"/>
            <w:vAlign w:val="top"/>
          </w:tcPr>
          <w:p>
            <w:pPr>
              <w:pStyle w:val="TableText"/>
              <w:ind w:left="166"/>
              <w:spacing w:before="45" w:line="195" w:lineRule="exact"/>
              <w:rPr/>
            </w:pPr>
            <w:r>
              <w:rPr>
                <w:color w:val="231F20"/>
                <w:position w:val="1"/>
              </w:rPr>
              <w:t>&lt;0.001</w:t>
            </w:r>
          </w:p>
        </w:tc>
      </w:tr>
      <w:tr>
        <w:trPr>
          <w:trHeight w:val="247" w:hRule="atLeast"/>
        </w:trPr>
        <w:tc>
          <w:tcPr>
            <w:tcW w:w="974" w:type="dxa"/>
            <w:vAlign w:val="top"/>
          </w:tcPr>
          <w:p>
            <w:pPr>
              <w:pStyle w:val="TableText"/>
              <w:spacing w:before="33" w:line="190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3"/>
              </w:rPr>
              <w:t>WBC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(</w:t>
            </w:r>
            <w:r>
              <w:rPr>
                <w:color w:val="231F20"/>
                <w:spacing w:val="-3"/>
              </w:rPr>
              <w:t>×10</w:t>
            </w:r>
            <w:r>
              <w:rPr>
                <w:sz w:val="9"/>
                <w:szCs w:val="9"/>
                <w:color w:val="231F20"/>
                <w:spacing w:val="-3"/>
                <w:position w:val="6"/>
              </w:rPr>
              <w:t>9</w:t>
            </w:r>
            <w:r>
              <w:rPr>
                <w:color w:val="231F20"/>
                <w:spacing w:val="-3"/>
              </w:rPr>
              <w:t>/L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163"/>
              <w:spacing w:before="49" w:line="187" w:lineRule="exact"/>
              <w:rPr/>
            </w:pPr>
            <w:r>
              <w:rPr>
                <w:color w:val="231F20"/>
                <w:position w:val="1"/>
              </w:rPr>
              <w:t>13.50±5.55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164"/>
              <w:spacing w:before="47" w:line="189" w:lineRule="exact"/>
              <w:rPr/>
            </w:pPr>
            <w:r>
              <w:rPr>
                <w:color w:val="231F20"/>
                <w:spacing w:val="1"/>
                <w:position w:val="1"/>
              </w:rPr>
              <w:t>7.12±3.30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194"/>
              <w:spacing w:before="47" w:line="189" w:lineRule="exact"/>
              <w:rPr/>
            </w:pPr>
            <w:r>
              <w:rPr>
                <w:color w:val="231F20"/>
                <w:spacing w:val="-2"/>
                <w:position w:val="1"/>
              </w:rPr>
              <w:t>10.216</w:t>
            </w:r>
          </w:p>
        </w:tc>
        <w:tc>
          <w:tcPr>
            <w:tcW w:w="751" w:type="dxa"/>
            <w:vAlign w:val="top"/>
          </w:tcPr>
          <w:p>
            <w:pPr>
              <w:pStyle w:val="TableText"/>
              <w:ind w:left="166"/>
              <w:spacing w:before="47" w:line="189" w:lineRule="exact"/>
              <w:rPr/>
            </w:pPr>
            <w:r>
              <w:rPr>
                <w:color w:val="231F20"/>
                <w:position w:val="1"/>
              </w:rPr>
              <w:t>&lt;0.001</w:t>
            </w:r>
          </w:p>
        </w:tc>
      </w:tr>
      <w:tr>
        <w:trPr>
          <w:trHeight w:val="254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24"/>
              <w:spacing w:before="55" w:line="17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4"/>
                <w:w w:val="99"/>
              </w:rPr>
              <w:t>NE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  <w:w w:val="99"/>
              </w:rPr>
              <w:t>（</w:t>
            </w:r>
            <w:r>
              <w:rPr>
                <w:color w:val="231F20"/>
                <w:spacing w:val="-14"/>
                <w:w w:val="99"/>
              </w:rPr>
              <w:t>%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  <w:w w:val="99"/>
              </w:rPr>
              <w:t>）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228"/>
              <w:spacing w:before="57" w:line="187" w:lineRule="exact"/>
              <w:rPr/>
            </w:pPr>
            <w:r>
              <w:rPr>
                <w:color w:val="231F20"/>
                <w:spacing w:val="-1"/>
                <w:position w:val="1"/>
              </w:rPr>
              <w:t>75.9±</w:t>
            </w:r>
            <w:r>
              <w:rPr>
                <w:color w:val="231F20"/>
                <w:spacing w:val="-15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14.62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89"/>
              <w:spacing w:before="55" w:line="189" w:lineRule="exact"/>
              <w:rPr/>
            </w:pPr>
            <w:r>
              <w:rPr>
                <w:color w:val="231F20"/>
                <w:spacing w:val="-1"/>
                <w:position w:val="1"/>
              </w:rPr>
              <w:t>54.62±</w:t>
            </w:r>
            <w:r>
              <w:rPr>
                <w:color w:val="231F20"/>
                <w:spacing w:val="-14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12.57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194"/>
              <w:spacing w:before="55" w:line="189" w:lineRule="exact"/>
              <w:rPr/>
            </w:pPr>
            <w:r>
              <w:rPr>
                <w:color w:val="231F20"/>
                <w:spacing w:val="-2"/>
                <w:position w:val="1"/>
              </w:rPr>
              <w:t>11.251</w:t>
            </w:r>
          </w:p>
        </w:tc>
        <w:tc>
          <w:tcPr>
            <w:tcW w:w="751" w:type="dxa"/>
            <w:vAlign w:val="top"/>
          </w:tcPr>
          <w:p>
            <w:pPr>
              <w:pStyle w:val="TableText"/>
              <w:ind w:left="166"/>
              <w:spacing w:before="55" w:line="189" w:lineRule="exact"/>
              <w:rPr/>
            </w:pPr>
            <w:r>
              <w:rPr>
                <w:color w:val="231F20"/>
                <w:position w:val="1"/>
              </w:rPr>
              <w:t>&lt;0.001</w:t>
            </w:r>
          </w:p>
        </w:tc>
      </w:tr>
      <w:tr>
        <w:trPr>
          <w:trHeight w:val="254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23"/>
              <w:spacing w:before="56" w:line="17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4"/>
                <w:w w:val="98"/>
              </w:rPr>
              <w:t>LY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  <w:w w:val="98"/>
              </w:rPr>
              <w:t>（</w:t>
            </w:r>
            <w:r>
              <w:rPr>
                <w:color w:val="231F20"/>
                <w:spacing w:val="-14"/>
                <w:w w:val="98"/>
              </w:rPr>
              <w:t>%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  <w:w w:val="98"/>
              </w:rPr>
              <w:t>）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163"/>
              <w:spacing w:before="58" w:line="186" w:lineRule="exact"/>
              <w:rPr/>
            </w:pPr>
            <w:r>
              <w:rPr>
                <w:color w:val="231F20"/>
                <w:spacing w:val="-2"/>
                <w:position w:val="1"/>
              </w:rPr>
              <w:t>16.98±</w:t>
            </w:r>
            <w:r>
              <w:rPr>
                <w:color w:val="231F20"/>
                <w:spacing w:val="-15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12.62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91"/>
              <w:spacing w:before="56" w:line="188" w:lineRule="exact"/>
              <w:rPr/>
            </w:pPr>
            <w:r>
              <w:rPr>
                <w:color w:val="231F20"/>
                <w:spacing w:val="-1"/>
                <w:position w:val="1"/>
              </w:rPr>
              <w:t>36.88±</w:t>
            </w:r>
            <w:r>
              <w:rPr>
                <w:color w:val="231F20"/>
                <w:spacing w:val="-16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11.66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141"/>
              <w:spacing w:before="56" w:line="188" w:lineRule="exact"/>
              <w:rPr/>
            </w:pPr>
            <w:r>
              <w:rPr>
                <w:color w:val="231F20"/>
                <w:spacing w:val="5"/>
                <w:position w:val="1"/>
              </w:rPr>
              <w:t>-11.825</w:t>
            </w:r>
          </w:p>
        </w:tc>
        <w:tc>
          <w:tcPr>
            <w:tcW w:w="751" w:type="dxa"/>
            <w:vAlign w:val="top"/>
          </w:tcPr>
          <w:p>
            <w:pPr>
              <w:pStyle w:val="TableText"/>
              <w:ind w:left="166"/>
              <w:spacing w:before="56" w:line="188" w:lineRule="exact"/>
              <w:rPr/>
            </w:pPr>
            <w:r>
              <w:rPr>
                <w:color w:val="231F20"/>
                <w:position w:val="1"/>
              </w:rPr>
              <w:t>&lt;0.001</w:t>
            </w:r>
          </w:p>
        </w:tc>
      </w:tr>
      <w:tr>
        <w:trPr>
          <w:trHeight w:val="254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24"/>
              <w:spacing w:before="57" w:line="17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3"/>
              </w:rPr>
              <w:t>RDW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%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）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163"/>
              <w:spacing w:before="59" w:line="185" w:lineRule="exact"/>
              <w:rPr/>
            </w:pPr>
            <w:r>
              <w:rPr>
                <w:color w:val="231F20"/>
                <w:position w:val="1"/>
              </w:rPr>
              <w:t>12.99±0.88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100"/>
              <w:spacing w:before="57" w:line="187" w:lineRule="exact"/>
              <w:rPr/>
            </w:pPr>
            <w:r>
              <w:rPr>
                <w:color w:val="231F20"/>
                <w:position w:val="1"/>
              </w:rPr>
              <w:t>12.34±2.09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180"/>
              <w:spacing w:before="57" w:line="187" w:lineRule="exact"/>
              <w:rPr/>
            </w:pPr>
            <w:r>
              <w:rPr>
                <w:color w:val="231F20"/>
                <w:spacing w:val="5"/>
                <w:position w:val="1"/>
              </w:rPr>
              <w:t>-1.589</w:t>
            </w:r>
          </w:p>
        </w:tc>
        <w:tc>
          <w:tcPr>
            <w:tcW w:w="751" w:type="dxa"/>
            <w:vAlign w:val="top"/>
          </w:tcPr>
          <w:p>
            <w:pPr>
              <w:pStyle w:val="TableText"/>
              <w:ind w:left="206"/>
              <w:spacing w:before="57" w:line="187" w:lineRule="exact"/>
              <w:rPr/>
            </w:pPr>
            <w:r>
              <w:rPr>
                <w:color w:val="231F20"/>
                <w:position w:val="1"/>
              </w:rPr>
              <w:t>0.114</w:t>
            </w:r>
          </w:p>
        </w:tc>
      </w:tr>
      <w:tr>
        <w:trPr>
          <w:trHeight w:val="254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22"/>
              <w:spacing w:before="58" w:line="17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3"/>
              </w:rPr>
              <w:t>PDW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%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）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163"/>
              <w:spacing w:before="61" w:line="183" w:lineRule="exact"/>
              <w:rPr/>
            </w:pPr>
            <w:r>
              <w:rPr>
                <w:color w:val="231F20"/>
                <w:spacing w:val="-2"/>
                <w:position w:val="1"/>
              </w:rPr>
              <w:t>15.78±</w:t>
            </w:r>
            <w:r>
              <w:rPr>
                <w:color w:val="231F20"/>
                <w:spacing w:val="-19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1.04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100"/>
              <w:spacing w:before="58" w:line="186" w:lineRule="exact"/>
              <w:rPr/>
            </w:pPr>
            <w:r>
              <w:rPr>
                <w:color w:val="231F20"/>
                <w:position w:val="1"/>
              </w:rPr>
              <w:t>15.96±0.32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180"/>
              <w:spacing w:before="58" w:line="186" w:lineRule="exact"/>
              <w:rPr/>
            </w:pPr>
            <w:r>
              <w:rPr>
                <w:color w:val="231F20"/>
                <w:spacing w:val="5"/>
                <w:position w:val="1"/>
              </w:rPr>
              <w:t>-1.738</w:t>
            </w:r>
          </w:p>
        </w:tc>
        <w:tc>
          <w:tcPr>
            <w:tcW w:w="751" w:type="dxa"/>
            <w:vAlign w:val="top"/>
          </w:tcPr>
          <w:p>
            <w:pPr>
              <w:pStyle w:val="TableText"/>
              <w:ind w:left="206"/>
              <w:spacing w:before="58" w:line="186" w:lineRule="exact"/>
              <w:rPr/>
            </w:pPr>
            <w:r>
              <w:rPr>
                <w:color w:val="231F20"/>
                <w:position w:val="1"/>
              </w:rPr>
              <w:t>0.085</w:t>
            </w:r>
          </w:p>
        </w:tc>
      </w:tr>
      <w:tr>
        <w:trPr>
          <w:trHeight w:val="264" w:hRule="atLeast"/>
        </w:trPr>
        <w:tc>
          <w:tcPr>
            <w:tcW w:w="97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5"/>
              <w:spacing w:before="59" w:line="1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9"/>
                <w:w w:val="95"/>
              </w:rPr>
              <w:t>MPV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  <w:w w:val="95"/>
              </w:rPr>
              <w:t>（</w:t>
            </w:r>
            <w:r>
              <w:rPr>
                <w:color w:val="231F20"/>
                <w:spacing w:val="-9"/>
                <w:w w:val="95"/>
              </w:rPr>
              <w:t>fl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  <w:w w:val="95"/>
              </w:rPr>
              <w:t>）</w:t>
            </w:r>
          </w:p>
        </w:tc>
        <w:tc>
          <w:tcPr>
            <w:tcW w:w="107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63"/>
              <w:spacing w:before="62" w:line="192" w:lineRule="exact"/>
              <w:rPr/>
            </w:pPr>
            <w:r>
              <w:rPr>
                <w:color w:val="231F20"/>
                <w:spacing w:val="-2"/>
                <w:position w:val="1"/>
              </w:rPr>
              <w:t>10.03±</w:t>
            </w:r>
            <w:r>
              <w:rPr>
                <w:color w:val="231F20"/>
                <w:spacing w:val="-19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1.26</w:t>
            </w:r>
          </w:p>
        </w:tc>
        <w:tc>
          <w:tcPr>
            <w:tcW w:w="100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00"/>
              <w:spacing w:before="59" w:line="195" w:lineRule="exact"/>
              <w:rPr/>
            </w:pPr>
            <w:r>
              <w:rPr>
                <w:color w:val="231F20"/>
                <w:spacing w:val="-2"/>
                <w:position w:val="1"/>
              </w:rPr>
              <w:t>10.11±</w:t>
            </w:r>
            <w:r>
              <w:rPr>
                <w:color w:val="231F20"/>
                <w:spacing w:val="-19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1.24</w:t>
            </w:r>
          </w:p>
        </w:tc>
        <w:tc>
          <w:tcPr>
            <w:tcW w:w="79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80"/>
              <w:spacing w:before="59" w:line="195" w:lineRule="exact"/>
              <w:rPr/>
            </w:pPr>
            <w:r>
              <w:rPr>
                <w:color w:val="231F20"/>
                <w:spacing w:val="5"/>
                <w:position w:val="1"/>
              </w:rPr>
              <w:t>-0.452</w:t>
            </w:r>
          </w:p>
        </w:tc>
        <w:tc>
          <w:tcPr>
            <w:tcW w:w="75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06"/>
              <w:spacing w:before="59" w:line="195" w:lineRule="exact"/>
              <w:rPr/>
            </w:pPr>
            <w:r>
              <w:rPr>
                <w:color w:val="231F20"/>
                <w:position w:val="1"/>
              </w:rPr>
              <w:t>0.652</w:t>
            </w:r>
          </w:p>
        </w:tc>
      </w:tr>
    </w:tbl>
    <w:p>
      <w:pPr>
        <w:pStyle w:val="BodyText"/>
        <w:ind w:left="884" w:right="276" w:firstLine="157"/>
        <w:spacing w:before="79" w:line="318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注：</w:t>
      </w:r>
      <w:r>
        <w:rPr>
          <w:sz w:val="15"/>
          <w:szCs w:val="15"/>
          <w:color w:val="231F20"/>
          <w:spacing w:val="-11"/>
        </w:rPr>
        <w:t>HBP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：肝素结合蛋白，</w:t>
      </w:r>
      <w:r>
        <w:rPr>
          <w:sz w:val="15"/>
          <w:szCs w:val="15"/>
          <w:color w:val="231F20"/>
          <w:spacing w:val="-11"/>
        </w:rPr>
        <w:t>CRP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C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反应蛋白，</w:t>
      </w:r>
      <w:r>
        <w:rPr>
          <w:sz w:val="15"/>
          <w:szCs w:val="15"/>
          <w:color w:val="231F20"/>
          <w:spacing w:val="-11"/>
        </w:rPr>
        <w:t>WBC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：白细胞，</w:t>
      </w:r>
      <w:r>
        <w:rPr>
          <w:sz w:val="15"/>
          <w:szCs w:val="15"/>
          <w:color w:val="231F20"/>
          <w:spacing w:val="-11"/>
        </w:rPr>
        <w:t>N</w:t>
      </w:r>
      <w:r>
        <w:rPr>
          <w:sz w:val="15"/>
          <w:szCs w:val="15"/>
          <w:color w:val="231F20"/>
          <w:spacing w:val="-12"/>
        </w:rPr>
        <w:t>E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：中性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粒细胞百分比，</w:t>
      </w:r>
      <w:r>
        <w:rPr>
          <w:sz w:val="15"/>
          <w:szCs w:val="15"/>
          <w:color w:val="231F20"/>
          <w:spacing w:val="-4"/>
        </w:rPr>
        <w:t>LY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：淋巴细胞百分比，</w:t>
      </w:r>
      <w:r>
        <w:rPr>
          <w:sz w:val="15"/>
          <w:szCs w:val="15"/>
          <w:color w:val="231F20"/>
          <w:spacing w:val="-4"/>
        </w:rPr>
        <w:t>RDW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：红细胞分布宽度；</w:t>
      </w:r>
      <w:r>
        <w:rPr>
          <w:sz w:val="15"/>
          <w:szCs w:val="15"/>
          <w:color w:val="231F20"/>
          <w:spacing w:val="-4"/>
        </w:rPr>
        <w:t>PDW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血小板分布宽度，</w:t>
      </w:r>
      <w:r>
        <w:rPr>
          <w:sz w:val="15"/>
          <w:szCs w:val="15"/>
          <w:color w:val="231F20"/>
          <w:spacing w:val="-2"/>
        </w:rPr>
        <w:t>MPV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：平均血小板体积。</w:t>
      </w:r>
    </w:p>
    <w:p>
      <w:pPr>
        <w:pStyle w:val="BodyText"/>
        <w:ind w:left="882" w:right="325" w:firstLine="5"/>
        <w:spacing w:before="261" w:line="23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16"/>
        </w:rPr>
        <w:t>2.2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单项指标检测和联合检测对急性阑尾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炎早期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诊断价值比较</w:t>
      </w:r>
    </w:p>
    <w:p>
      <w:pPr>
        <w:pStyle w:val="BodyText"/>
        <w:ind w:left="884" w:right="243" w:firstLine="412"/>
        <w:spacing w:before="7" w:line="23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单项指标中 </w:t>
      </w:r>
      <w:r>
        <w:rPr>
          <w:sz w:val="20"/>
          <w:szCs w:val="20"/>
          <w:color w:val="231F20"/>
        </w:rPr>
        <w:t>HBP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对儿童急性阑尾炎的诊断价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值最高，</w:t>
      </w:r>
      <w:r>
        <w:rPr>
          <w:sz w:val="20"/>
          <w:szCs w:val="20"/>
          <w:color w:val="231F20"/>
          <w:spacing w:val="-4"/>
        </w:rPr>
        <w:t>AUC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4"/>
        </w:rPr>
        <w:t>0.915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，其灵敏度为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4"/>
        </w:rPr>
        <w:t>77.3%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特异度为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3"/>
        </w:rPr>
        <w:t>92.0%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，最 佳 截 断 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29.74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3"/>
        </w:rPr>
        <w:t>ng/mL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；</w:t>
      </w:r>
      <w:r>
        <w:rPr>
          <w:sz w:val="20"/>
          <w:szCs w:val="20"/>
          <w:color w:val="231F20"/>
          <w:spacing w:val="-3"/>
        </w:rPr>
        <w:t>HBP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、</w:t>
      </w:r>
      <w:r>
        <w:rPr>
          <w:sz w:val="20"/>
          <w:szCs w:val="20"/>
          <w:color w:val="231F20"/>
          <w:spacing w:val="-3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</w:rPr>
        <w:t>WBC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、</w:t>
      </w:r>
      <w:r>
        <w:rPr>
          <w:sz w:val="20"/>
          <w:szCs w:val="20"/>
          <w:color w:val="231F20"/>
        </w:rPr>
        <w:t>NE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、</w:t>
      </w:r>
      <w:r>
        <w:rPr>
          <w:sz w:val="20"/>
          <w:szCs w:val="20"/>
          <w:color w:val="231F20"/>
        </w:rPr>
        <w:t>LY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联合检测诊断急性阑尾炎的 </w:t>
      </w:r>
      <w:r>
        <w:rPr>
          <w:sz w:val="20"/>
          <w:szCs w:val="20"/>
          <w:color w:val="231F20"/>
        </w:rPr>
        <w:t>AUC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高 ，</w:t>
      </w:r>
      <w:r>
        <w:rPr>
          <w:sz w:val="20"/>
          <w:szCs w:val="20"/>
          <w:color w:val="231F20"/>
          <w:spacing w:val="-8"/>
        </w:rPr>
        <w:t>AUC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0.933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灵 敏 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84.5%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，特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90.0%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。见图 </w:t>
      </w:r>
      <w:r>
        <w:rPr>
          <w:sz w:val="20"/>
          <w:szCs w:val="20"/>
          <w:color w:val="231F20"/>
          <w:spacing w:val="-7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7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。</w:t>
      </w:r>
    </w:p>
    <w:p>
      <w:pPr>
        <w:pStyle w:val="BodyText"/>
        <w:ind w:left="999"/>
        <w:spacing w:before="171" w:line="242" w:lineRule="auto"/>
        <w:outlineLvl w:val="1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7"/>
        </w:rPr>
        <w:t>表</w:t>
      </w:r>
      <w:r>
        <w:rPr>
          <w:rFonts w:ascii="SimHei" w:hAnsi="SimHei" w:eastAsia="SimHei" w:cs="SimHei"/>
          <w:sz w:val="15"/>
          <w:szCs w:val="15"/>
          <w:color w:val="231F20"/>
          <w:spacing w:val="-44"/>
        </w:rPr>
        <w:t xml:space="preserve"> </w:t>
      </w:r>
      <w:r>
        <w:rPr>
          <w:sz w:val="15"/>
          <w:szCs w:val="15"/>
          <w:color w:val="231F20"/>
          <w:spacing w:val="7"/>
        </w:rPr>
        <w:t>2    </w:t>
      </w:r>
      <w:r>
        <w:rPr>
          <w:rFonts w:ascii="SimHei" w:hAnsi="SimHei" w:eastAsia="SimHei" w:cs="SimHei"/>
          <w:sz w:val="15"/>
          <w:szCs w:val="15"/>
          <w:color w:val="231F20"/>
          <w:spacing w:val="7"/>
        </w:rPr>
        <w:t>单项指标和联合检测对儿童急性阑尾炎早期诊断价值比较</w:t>
      </w:r>
    </w:p>
    <w:p>
      <w:pPr>
        <w:spacing w:line="59" w:lineRule="exact"/>
        <w:rPr/>
      </w:pPr>
      <w:r/>
    </w:p>
    <w:tbl>
      <w:tblPr>
        <w:tblStyle w:val="TableNormal"/>
        <w:tblW w:w="4603" w:type="dxa"/>
        <w:tblInd w:w="88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94"/>
        <w:gridCol w:w="452"/>
        <w:gridCol w:w="844"/>
        <w:gridCol w:w="560"/>
        <w:gridCol w:w="516"/>
        <w:gridCol w:w="501"/>
        <w:gridCol w:w="517"/>
        <w:gridCol w:w="519"/>
      </w:tblGrid>
      <w:tr>
        <w:trPr>
          <w:trHeight w:val="380" w:hRule="atLeast"/>
        </w:trPr>
        <w:tc>
          <w:tcPr>
            <w:tcW w:w="69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22"/>
              <w:spacing w:before="64" w:line="17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检测方法</w:t>
            </w:r>
          </w:p>
        </w:tc>
        <w:tc>
          <w:tcPr>
            <w:tcW w:w="452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44" w:line="191" w:lineRule="auto"/>
              <w:rPr/>
            </w:pPr>
            <w:r>
              <w:rPr>
                <w:color w:val="231F20"/>
                <w:spacing w:val="-5"/>
                <w:w w:val="99"/>
              </w:rPr>
              <w:t>AUC</w:t>
            </w:r>
          </w:p>
        </w:tc>
        <w:tc>
          <w:tcPr>
            <w:tcW w:w="84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108"/>
              <w:spacing w:before="179" w:line="18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最佳截断</w:t>
            </w:r>
          </w:p>
          <w:p>
            <w:pPr>
              <w:ind w:left="344"/>
              <w:spacing w:before="65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</w:rPr>
              <w:t>值</w:t>
            </w:r>
          </w:p>
        </w:tc>
        <w:tc>
          <w:tcPr>
            <w:tcW w:w="560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134"/>
              <w:spacing w:before="64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10"/>
              </w:rPr>
              <w:t>P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10"/>
              </w:rPr>
              <w:t>值</w:t>
            </w:r>
          </w:p>
        </w:tc>
        <w:tc>
          <w:tcPr>
            <w:tcW w:w="1017" w:type="dxa"/>
            <w:vAlign w:val="top"/>
            <w:gridSpan w:val="2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46"/>
              <w:spacing w:before="179" w:line="20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3"/>
              </w:rPr>
              <w:t>95%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置信区间</w:t>
            </w:r>
          </w:p>
        </w:tc>
        <w:tc>
          <w:tcPr>
            <w:tcW w:w="1036" w:type="dxa"/>
            <w:vAlign w:val="top"/>
            <w:gridSpan w:val="2"/>
            <w:tcBorders>
              <w:top w:val="single" w:color="231F20" w:sz="4" w:space="0"/>
            </w:tcBorders>
          </w:tcPr>
          <w:p>
            <w:pPr>
              <w:ind w:left="27"/>
              <w:spacing w:before="180" w:line="17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4"/>
              </w:rPr>
              <w:t>灵敏度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4"/>
              </w:rPr>
              <w:t>特异度</w:t>
            </w:r>
          </w:p>
        </w:tc>
      </w:tr>
      <w:tr>
        <w:trPr>
          <w:trHeight w:val="133" w:hRule="atLeast"/>
        </w:trPr>
        <w:tc>
          <w:tcPr>
            <w:tcW w:w="69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2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7" w:type="dxa"/>
            <w:vAlign w:val="top"/>
            <w:gridSpan w:val="2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4"/>
              <w:spacing w:before="53" w:line="20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</w:t>
            </w:r>
            <w:r>
              <w:rPr>
                <w:color w:val="231F20"/>
                <w:spacing w:val="-3"/>
              </w:rPr>
              <w:t>%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</w:t>
            </w:r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6"/>
              <w:spacing w:before="53" w:line="20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</w:t>
            </w:r>
            <w:r>
              <w:rPr>
                <w:color w:val="231F20"/>
                <w:spacing w:val="-3"/>
              </w:rPr>
              <w:t>%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</w:t>
            </w:r>
          </w:p>
        </w:tc>
      </w:tr>
      <w:tr>
        <w:trPr>
          <w:trHeight w:val="244" w:hRule="atLeast"/>
        </w:trPr>
        <w:tc>
          <w:tcPr>
            <w:tcW w:w="69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2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111"/>
              <w:spacing w:before="52" w:line="16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3"/>
              </w:rPr>
              <w:t>下限</w:t>
            </w:r>
          </w:p>
        </w:tc>
        <w:tc>
          <w:tcPr>
            <w:tcW w:w="50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103"/>
              <w:spacing w:before="52" w:line="16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3"/>
              </w:rPr>
              <w:t>上限</w:t>
            </w:r>
          </w:p>
        </w:tc>
        <w:tc>
          <w:tcPr>
            <w:tcW w:w="51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3" w:hRule="atLeast"/>
        </w:trPr>
        <w:tc>
          <w:tcPr>
            <w:tcW w:w="69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"/>
              <w:spacing w:before="75" w:line="188" w:lineRule="auto"/>
              <w:rPr/>
            </w:pPr>
            <w:r>
              <w:rPr>
                <w:color w:val="231F20"/>
                <w:spacing w:val="-4"/>
              </w:rPr>
              <w:t>HBP</w:t>
            </w:r>
          </w:p>
        </w:tc>
        <w:tc>
          <w:tcPr>
            <w:tcW w:w="45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4"/>
              <w:spacing w:before="46" w:line="196" w:lineRule="exact"/>
              <w:rPr/>
            </w:pPr>
            <w:r>
              <w:rPr>
                <w:color w:val="231F20"/>
                <w:position w:val="1"/>
              </w:rPr>
              <w:t>0.915</w:t>
            </w:r>
          </w:p>
        </w:tc>
        <w:tc>
          <w:tcPr>
            <w:tcW w:w="8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8"/>
              <w:spacing w:before="47" w:line="230" w:lineRule="auto"/>
              <w:rPr/>
            </w:pPr>
            <w:r>
              <w:rPr>
                <w:color w:val="231F20"/>
                <w:spacing w:val="-1"/>
              </w:rPr>
              <w:t>29.74ng/mL</w:t>
            </w:r>
          </w:p>
        </w:tc>
        <w:tc>
          <w:tcPr>
            <w:tcW w:w="56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"/>
              <w:spacing w:before="46" w:line="196" w:lineRule="exact"/>
              <w:rPr/>
            </w:pPr>
            <w:r>
              <w:rPr>
                <w:color w:val="231F20"/>
                <w:position w:val="1"/>
              </w:rPr>
              <w:t>&lt;0.001</w:t>
            </w:r>
          </w:p>
        </w:tc>
        <w:tc>
          <w:tcPr>
            <w:tcW w:w="5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4"/>
              <w:spacing w:before="46" w:line="196" w:lineRule="exact"/>
              <w:rPr/>
            </w:pPr>
            <w:r>
              <w:rPr>
                <w:color w:val="231F20"/>
                <w:position w:val="1"/>
              </w:rPr>
              <w:t>0.879</w:t>
            </w:r>
          </w:p>
        </w:tc>
        <w:tc>
          <w:tcPr>
            <w:tcW w:w="5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7"/>
              <w:spacing w:before="46" w:line="196" w:lineRule="exact"/>
              <w:rPr/>
            </w:pPr>
            <w:r>
              <w:rPr>
                <w:color w:val="231F20"/>
                <w:position w:val="1"/>
              </w:rPr>
              <w:t>0.950</w:t>
            </w:r>
          </w:p>
        </w:tc>
        <w:tc>
          <w:tcPr>
            <w:tcW w:w="5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8"/>
              <w:spacing w:before="46" w:line="196" w:lineRule="exact"/>
              <w:rPr/>
            </w:pPr>
            <w:r>
              <w:rPr>
                <w:color w:val="231F20"/>
                <w:position w:val="1"/>
              </w:rPr>
              <w:t>77.3</w:t>
            </w:r>
          </w:p>
        </w:tc>
        <w:tc>
          <w:tcPr>
            <w:tcW w:w="5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0"/>
              <w:spacing w:before="46" w:line="196" w:lineRule="exact"/>
              <w:rPr/>
            </w:pPr>
            <w:r>
              <w:rPr>
                <w:color w:val="231F20"/>
                <w:position w:val="1"/>
              </w:rPr>
              <w:t>92.0</w:t>
            </w:r>
          </w:p>
        </w:tc>
      </w:tr>
      <w:tr>
        <w:trPr>
          <w:trHeight w:val="238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25"/>
              <w:spacing w:before="60" w:line="191" w:lineRule="auto"/>
              <w:rPr/>
            </w:pPr>
            <w:r>
              <w:rPr>
                <w:color w:val="231F20"/>
                <w:spacing w:val="-4"/>
              </w:rPr>
              <w:t>CRP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54"/>
              <w:spacing w:before="34" w:line="193" w:lineRule="exact"/>
              <w:rPr/>
            </w:pPr>
            <w:r>
              <w:rPr>
                <w:color w:val="231F20"/>
                <w:position w:val="1"/>
              </w:rPr>
              <w:t>0.878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135"/>
              <w:spacing w:before="34" w:line="230" w:lineRule="auto"/>
              <w:rPr/>
            </w:pPr>
            <w:r>
              <w:rPr>
                <w:color w:val="231F20"/>
                <w:spacing w:val="-2"/>
              </w:rPr>
              <w:t>6.95mg/L</w:t>
            </w:r>
          </w:p>
        </w:tc>
        <w:tc>
          <w:tcPr>
            <w:tcW w:w="560" w:type="dxa"/>
            <w:vAlign w:val="top"/>
          </w:tcPr>
          <w:p>
            <w:pPr>
              <w:pStyle w:val="TableText"/>
              <w:ind w:left="62"/>
              <w:spacing w:before="34" w:line="193" w:lineRule="exact"/>
              <w:rPr/>
            </w:pPr>
            <w:r>
              <w:rPr>
                <w:color w:val="231F20"/>
                <w:position w:val="1"/>
              </w:rPr>
              <w:t>&lt;0.001</w:t>
            </w:r>
          </w:p>
        </w:tc>
        <w:tc>
          <w:tcPr>
            <w:tcW w:w="516" w:type="dxa"/>
            <w:vAlign w:val="top"/>
          </w:tcPr>
          <w:p>
            <w:pPr>
              <w:pStyle w:val="TableText"/>
              <w:ind w:left="94"/>
              <w:spacing w:before="34" w:line="193" w:lineRule="exact"/>
              <w:rPr/>
            </w:pPr>
            <w:r>
              <w:rPr>
                <w:color w:val="231F20"/>
                <w:position w:val="1"/>
              </w:rPr>
              <w:t>0.828</w:t>
            </w:r>
          </w:p>
        </w:tc>
        <w:tc>
          <w:tcPr>
            <w:tcW w:w="501" w:type="dxa"/>
            <w:vAlign w:val="top"/>
          </w:tcPr>
          <w:p>
            <w:pPr>
              <w:pStyle w:val="TableText"/>
              <w:ind w:left="87"/>
              <w:spacing w:before="34" w:line="193" w:lineRule="exact"/>
              <w:rPr/>
            </w:pPr>
            <w:r>
              <w:rPr>
                <w:color w:val="231F20"/>
                <w:position w:val="1"/>
              </w:rPr>
              <w:t>0.927</w:t>
            </w:r>
          </w:p>
        </w:tc>
        <w:tc>
          <w:tcPr>
            <w:tcW w:w="517" w:type="dxa"/>
            <w:vAlign w:val="top"/>
          </w:tcPr>
          <w:p>
            <w:pPr>
              <w:pStyle w:val="TableText"/>
              <w:ind w:left="128"/>
              <w:spacing w:before="34" w:line="193" w:lineRule="exact"/>
              <w:rPr/>
            </w:pPr>
            <w:r>
              <w:rPr>
                <w:color w:val="231F20"/>
                <w:position w:val="1"/>
              </w:rPr>
              <w:t>79.1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5"/>
              <w:spacing w:before="34" w:line="193" w:lineRule="exact"/>
              <w:rPr/>
            </w:pPr>
            <w:r>
              <w:rPr>
                <w:color w:val="231F20"/>
                <w:spacing w:val="-1"/>
                <w:position w:val="1"/>
              </w:rPr>
              <w:t>89.0</w:t>
            </w:r>
          </w:p>
        </w:tc>
      </w:tr>
      <w:tr>
        <w:trPr>
          <w:trHeight w:val="245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21"/>
              <w:spacing w:before="73" w:line="191" w:lineRule="auto"/>
              <w:rPr/>
            </w:pPr>
            <w:r>
              <w:rPr>
                <w:color w:val="231F20"/>
                <w:spacing w:val="-6"/>
              </w:rPr>
              <w:t>WBC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54"/>
              <w:spacing w:before="46" w:line="188" w:lineRule="exact"/>
              <w:rPr/>
            </w:pPr>
            <w:r>
              <w:rPr>
                <w:color w:val="231F20"/>
                <w:position w:val="1"/>
              </w:rPr>
              <w:t>0.850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85"/>
              <w:spacing w:before="32" w:line="180" w:lineRule="exact"/>
              <w:rPr/>
            </w:pPr>
            <w:r>
              <w:rPr>
                <w:color w:val="231F20"/>
                <w:position w:val="-1"/>
              </w:rPr>
              <w:t>8.43×10</w:t>
            </w:r>
            <w:r>
              <w:rPr>
                <w:sz w:val="9"/>
                <w:szCs w:val="9"/>
                <w:color w:val="231F20"/>
                <w:position w:val="5"/>
              </w:rPr>
              <w:t>9</w:t>
            </w:r>
            <w:r>
              <w:rPr>
                <w:color w:val="231F20"/>
                <w:position w:val="-1"/>
              </w:rPr>
              <w:t>/L</w:t>
            </w:r>
          </w:p>
        </w:tc>
        <w:tc>
          <w:tcPr>
            <w:tcW w:w="560" w:type="dxa"/>
            <w:vAlign w:val="top"/>
          </w:tcPr>
          <w:p>
            <w:pPr>
              <w:pStyle w:val="TableText"/>
              <w:ind w:left="62"/>
              <w:spacing w:before="46" w:line="188" w:lineRule="exact"/>
              <w:rPr/>
            </w:pPr>
            <w:r>
              <w:rPr>
                <w:color w:val="231F20"/>
                <w:position w:val="1"/>
              </w:rPr>
              <w:t>&lt;0.001</w:t>
            </w:r>
          </w:p>
        </w:tc>
        <w:tc>
          <w:tcPr>
            <w:tcW w:w="516" w:type="dxa"/>
            <w:vAlign w:val="top"/>
          </w:tcPr>
          <w:p>
            <w:pPr>
              <w:pStyle w:val="TableText"/>
              <w:ind w:left="94"/>
              <w:spacing w:before="46" w:line="188" w:lineRule="exact"/>
              <w:rPr/>
            </w:pPr>
            <w:r>
              <w:rPr>
                <w:color w:val="231F20"/>
                <w:position w:val="1"/>
              </w:rPr>
              <w:t>0.797</w:t>
            </w:r>
          </w:p>
        </w:tc>
        <w:tc>
          <w:tcPr>
            <w:tcW w:w="501" w:type="dxa"/>
            <w:vAlign w:val="top"/>
          </w:tcPr>
          <w:p>
            <w:pPr>
              <w:pStyle w:val="TableText"/>
              <w:ind w:left="87"/>
              <w:spacing w:before="46" w:line="188" w:lineRule="exact"/>
              <w:rPr/>
            </w:pPr>
            <w:r>
              <w:rPr>
                <w:color w:val="231F20"/>
                <w:position w:val="1"/>
              </w:rPr>
              <w:t>0.902</w:t>
            </w:r>
          </w:p>
        </w:tc>
        <w:tc>
          <w:tcPr>
            <w:tcW w:w="517" w:type="dxa"/>
            <w:vAlign w:val="top"/>
          </w:tcPr>
          <w:p>
            <w:pPr>
              <w:pStyle w:val="TableText"/>
              <w:ind w:left="128"/>
              <w:spacing w:before="46" w:line="188" w:lineRule="exact"/>
              <w:rPr/>
            </w:pPr>
            <w:r>
              <w:rPr>
                <w:color w:val="231F20"/>
                <w:position w:val="1"/>
              </w:rPr>
              <w:t>77.3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5"/>
              <w:spacing w:before="46" w:line="188" w:lineRule="exact"/>
              <w:rPr/>
            </w:pPr>
            <w:r>
              <w:rPr>
                <w:color w:val="231F20"/>
                <w:spacing w:val="-1"/>
                <w:position w:val="1"/>
              </w:rPr>
              <w:t>82.0</w:t>
            </w:r>
          </w:p>
        </w:tc>
      </w:tr>
      <w:tr>
        <w:trPr>
          <w:trHeight w:val="250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24"/>
              <w:spacing w:before="80" w:line="188" w:lineRule="auto"/>
              <w:rPr/>
            </w:pPr>
            <w:r>
              <w:rPr>
                <w:color w:val="231F20"/>
                <w:spacing w:val="-2"/>
                <w:w w:val="96"/>
              </w:rPr>
              <w:t>NE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54"/>
              <w:spacing w:before="52" w:line="187" w:lineRule="exact"/>
              <w:rPr/>
            </w:pPr>
            <w:r>
              <w:rPr>
                <w:color w:val="231F20"/>
                <w:position w:val="1"/>
              </w:rPr>
              <w:t>0.860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187"/>
              <w:spacing w:before="52" w:line="187" w:lineRule="exact"/>
              <w:rPr/>
            </w:pPr>
            <w:r>
              <w:rPr>
                <w:color w:val="231F20"/>
                <w:spacing w:val="-3"/>
                <w:position w:val="1"/>
              </w:rPr>
              <w:t>64.</w:t>
            </w:r>
            <w:r>
              <w:rPr>
                <w:color w:val="231F20"/>
                <w:spacing w:val="-17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15%</w:t>
            </w:r>
          </w:p>
        </w:tc>
        <w:tc>
          <w:tcPr>
            <w:tcW w:w="560" w:type="dxa"/>
            <w:vAlign w:val="top"/>
          </w:tcPr>
          <w:p>
            <w:pPr>
              <w:pStyle w:val="TableText"/>
              <w:ind w:left="62"/>
              <w:spacing w:before="52" w:line="187" w:lineRule="exact"/>
              <w:rPr/>
            </w:pPr>
            <w:r>
              <w:rPr>
                <w:color w:val="231F20"/>
                <w:position w:val="1"/>
              </w:rPr>
              <w:t>&lt;0.001</w:t>
            </w:r>
          </w:p>
        </w:tc>
        <w:tc>
          <w:tcPr>
            <w:tcW w:w="516" w:type="dxa"/>
            <w:vAlign w:val="top"/>
          </w:tcPr>
          <w:p>
            <w:pPr>
              <w:pStyle w:val="TableText"/>
              <w:ind w:left="94"/>
              <w:spacing w:before="52" w:line="187" w:lineRule="exact"/>
              <w:rPr/>
            </w:pPr>
            <w:r>
              <w:rPr>
                <w:color w:val="231F20"/>
                <w:position w:val="1"/>
              </w:rPr>
              <w:t>0.808</w:t>
            </w:r>
          </w:p>
        </w:tc>
        <w:tc>
          <w:tcPr>
            <w:tcW w:w="501" w:type="dxa"/>
            <w:vAlign w:val="top"/>
          </w:tcPr>
          <w:p>
            <w:pPr>
              <w:pStyle w:val="TableText"/>
              <w:ind w:left="87"/>
              <w:spacing w:before="52" w:line="187" w:lineRule="exact"/>
              <w:rPr/>
            </w:pPr>
            <w:r>
              <w:rPr>
                <w:color w:val="231F20"/>
                <w:position w:val="1"/>
              </w:rPr>
              <w:t>0.912</w:t>
            </w:r>
          </w:p>
        </w:tc>
        <w:tc>
          <w:tcPr>
            <w:tcW w:w="517" w:type="dxa"/>
            <w:vAlign w:val="top"/>
          </w:tcPr>
          <w:p>
            <w:pPr>
              <w:pStyle w:val="TableText"/>
              <w:ind w:left="133"/>
              <w:spacing w:before="52" w:line="187" w:lineRule="exact"/>
              <w:rPr/>
            </w:pPr>
            <w:r>
              <w:rPr>
                <w:color w:val="231F20"/>
                <w:spacing w:val="-1"/>
                <w:position w:val="1"/>
              </w:rPr>
              <w:t>80.9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5"/>
              <w:spacing w:before="52" w:line="187" w:lineRule="exact"/>
              <w:rPr/>
            </w:pPr>
            <w:r>
              <w:rPr>
                <w:color w:val="231F20"/>
                <w:spacing w:val="-1"/>
                <w:position w:val="1"/>
              </w:rPr>
              <w:t>84.0</w:t>
            </w:r>
          </w:p>
        </w:tc>
      </w:tr>
      <w:tr>
        <w:trPr>
          <w:trHeight w:val="239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23"/>
              <w:spacing w:before="80" w:line="188" w:lineRule="auto"/>
              <w:rPr/>
            </w:pPr>
            <w:r>
              <w:rPr>
                <w:color w:val="231F20"/>
                <w:spacing w:val="-4"/>
                <w:w w:val="97"/>
              </w:rPr>
              <w:t>LY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54"/>
              <w:spacing w:before="52" w:line="177" w:lineRule="exact"/>
              <w:rPr/>
            </w:pPr>
            <w:r>
              <w:rPr>
                <w:color w:val="231F20"/>
              </w:rPr>
              <w:t>0.869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186"/>
              <w:spacing w:before="52" w:line="177" w:lineRule="exact"/>
              <w:rPr/>
            </w:pPr>
            <w:r>
              <w:rPr>
                <w:color w:val="231F20"/>
              </w:rPr>
              <w:t>27.47%</w:t>
            </w:r>
          </w:p>
        </w:tc>
        <w:tc>
          <w:tcPr>
            <w:tcW w:w="560" w:type="dxa"/>
            <w:vAlign w:val="top"/>
          </w:tcPr>
          <w:p>
            <w:pPr>
              <w:pStyle w:val="TableText"/>
              <w:ind w:left="62"/>
              <w:spacing w:before="52" w:line="177" w:lineRule="exact"/>
              <w:rPr/>
            </w:pPr>
            <w:r>
              <w:rPr>
                <w:color w:val="231F20"/>
              </w:rPr>
              <w:t>&lt;0.001</w:t>
            </w:r>
          </w:p>
        </w:tc>
        <w:tc>
          <w:tcPr>
            <w:tcW w:w="516" w:type="dxa"/>
            <w:vAlign w:val="top"/>
          </w:tcPr>
          <w:p>
            <w:pPr>
              <w:pStyle w:val="TableText"/>
              <w:ind w:left="94"/>
              <w:spacing w:before="52" w:line="177" w:lineRule="exact"/>
              <w:rPr/>
            </w:pPr>
            <w:r>
              <w:rPr>
                <w:color w:val="231F20"/>
              </w:rPr>
              <w:t>0.818</w:t>
            </w:r>
          </w:p>
        </w:tc>
        <w:tc>
          <w:tcPr>
            <w:tcW w:w="501" w:type="dxa"/>
            <w:vAlign w:val="top"/>
          </w:tcPr>
          <w:p>
            <w:pPr>
              <w:pStyle w:val="TableText"/>
              <w:ind w:left="87"/>
              <w:spacing w:before="52" w:line="177" w:lineRule="exact"/>
              <w:rPr/>
            </w:pPr>
            <w:r>
              <w:rPr>
                <w:color w:val="231F20"/>
              </w:rPr>
              <w:t>0.919</w:t>
            </w:r>
          </w:p>
        </w:tc>
        <w:tc>
          <w:tcPr>
            <w:tcW w:w="517" w:type="dxa"/>
            <w:vAlign w:val="top"/>
          </w:tcPr>
          <w:p>
            <w:pPr>
              <w:pStyle w:val="TableText"/>
              <w:ind w:left="133"/>
              <w:spacing w:before="52" w:line="177" w:lineRule="exact"/>
              <w:rPr/>
            </w:pPr>
            <w:r>
              <w:rPr>
                <w:color w:val="231F20"/>
                <w:spacing w:val="-1"/>
              </w:rPr>
              <w:t>80.9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5"/>
              <w:spacing w:before="52" w:line="177" w:lineRule="exact"/>
              <w:rPr/>
            </w:pPr>
            <w:r>
              <w:rPr>
                <w:color w:val="231F20"/>
                <w:spacing w:val="-1"/>
              </w:rPr>
              <w:t>84.0</w:t>
            </w:r>
          </w:p>
        </w:tc>
      </w:tr>
      <w:tr>
        <w:trPr>
          <w:trHeight w:val="522" w:hRule="atLeast"/>
        </w:trPr>
        <w:tc>
          <w:tcPr>
            <w:tcW w:w="69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"/>
              <w:spacing w:before="64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2"/>
              </w:rPr>
              <w:t>5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项指标</w:t>
            </w:r>
          </w:p>
          <w:p>
            <w:pPr>
              <w:ind w:left="21"/>
              <w:spacing w:before="49" w:line="17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联合检测</w:t>
            </w:r>
          </w:p>
        </w:tc>
        <w:tc>
          <w:tcPr>
            <w:tcW w:w="45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4"/>
              <w:spacing w:before="63" w:line="196" w:lineRule="exact"/>
              <w:rPr/>
            </w:pPr>
            <w:r>
              <w:rPr>
                <w:color w:val="231F20"/>
                <w:position w:val="1"/>
              </w:rPr>
              <w:t>0.933</w:t>
            </w:r>
          </w:p>
        </w:tc>
        <w:tc>
          <w:tcPr>
            <w:tcW w:w="844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2"/>
              <w:spacing w:before="63" w:line="196" w:lineRule="exact"/>
              <w:rPr/>
            </w:pPr>
            <w:r>
              <w:rPr>
                <w:color w:val="231F20"/>
                <w:position w:val="1"/>
              </w:rPr>
              <w:t>&lt;0.001</w:t>
            </w:r>
          </w:p>
        </w:tc>
        <w:tc>
          <w:tcPr>
            <w:tcW w:w="51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94"/>
              <w:spacing w:before="63" w:line="196" w:lineRule="exact"/>
              <w:rPr/>
            </w:pPr>
            <w:r>
              <w:rPr>
                <w:color w:val="231F20"/>
                <w:position w:val="1"/>
              </w:rPr>
              <w:t>0.899</w:t>
            </w:r>
          </w:p>
        </w:tc>
        <w:tc>
          <w:tcPr>
            <w:tcW w:w="50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7"/>
              <w:spacing w:before="63" w:line="196" w:lineRule="exact"/>
              <w:rPr/>
            </w:pPr>
            <w:r>
              <w:rPr>
                <w:color w:val="231F20"/>
                <w:position w:val="1"/>
              </w:rPr>
              <w:t>0.966</w:t>
            </w:r>
          </w:p>
        </w:tc>
        <w:tc>
          <w:tcPr>
            <w:tcW w:w="51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3"/>
              <w:spacing w:before="63" w:line="196" w:lineRule="exact"/>
              <w:rPr/>
            </w:pPr>
            <w:r>
              <w:rPr>
                <w:color w:val="231F20"/>
                <w:spacing w:val="-1"/>
                <w:position w:val="1"/>
              </w:rPr>
              <w:t>84.5</w:t>
            </w:r>
          </w:p>
        </w:tc>
        <w:tc>
          <w:tcPr>
            <w:tcW w:w="51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0"/>
              <w:spacing w:before="63" w:line="196" w:lineRule="exact"/>
              <w:rPr/>
            </w:pPr>
            <w:r>
              <w:rPr>
                <w:color w:val="231F20"/>
                <w:position w:val="1"/>
              </w:rPr>
              <w:t>90.0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566625</wp:posOffset>
                </wp:positionH>
                <wp:positionV relativeFrom="paragraph">
                  <wp:posOffset>152564</wp:posOffset>
                </wp:positionV>
                <wp:extent cx="235584" cy="122554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6200000">
                          <a:off x="566625" y="152564"/>
                          <a:ext cx="235584" cy="1225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8" w:line="134" w:lineRule="exact"/>
                              <w:tabs>
                                <w:tab w:val="left" w:pos="39"/>
                              </w:tabs>
                              <w:rPr>
                                <w:rFonts w:ascii="SimHei" w:hAnsi="SimHei" w:eastAsia="SimHei" w:cs="Sim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SimHei" w:hAnsi="SimHei" w:eastAsia="SimHei" w:cs="SimHei"/>
                                <w:sz w:val="10"/>
                                <w:szCs w:val="10"/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shd w:val="clear" w:fill="FFFFFE"/>
                                <w:rFonts w:ascii="SimHei" w:hAnsi="SimHei" w:eastAsia="SimHei" w:cs="SimHei"/>
                                <w:sz w:val="10"/>
                                <w:szCs w:val="10"/>
                                <w:color w:val="231F20"/>
                                <w:spacing w:val="3"/>
                              </w:rPr>
                              <w:t>敏感度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44.6162pt;margin-top:12.0129pt;mso-position-vertical-relative:text;mso-position-horizontal-relative:text;width:18.55pt;height:9.65pt;z-index:2516613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8" w:line="134" w:lineRule="exact"/>
                        <w:tabs>
                          <w:tab w:val="left" w:pos="39"/>
                        </w:tabs>
                        <w:rPr>
                          <w:rFonts w:ascii="SimHei" w:hAnsi="SimHei" w:eastAsia="SimHei" w:cs="SimHei"/>
                          <w:sz w:val="10"/>
                          <w:szCs w:val="10"/>
                        </w:rPr>
                      </w:pPr>
                      <w:r>
                        <w:rPr>
                          <w:rFonts w:ascii="SimHei" w:hAnsi="SimHei" w:eastAsia="SimHei" w:cs="SimHei"/>
                          <w:sz w:val="10"/>
                          <w:szCs w:val="10"/>
                          <w:color w:val="231F20"/>
                        </w:rPr>
                        <w:tab/>
                      </w:r>
                      <w:r>
                        <w:rPr>
                          <w:shd w:val="clear" w:fill="FFFFFE"/>
                          <w:rFonts w:ascii="SimHei" w:hAnsi="SimHei" w:eastAsia="SimHei" w:cs="SimHei"/>
                          <w:sz w:val="10"/>
                          <w:szCs w:val="10"/>
                          <w:color w:val="231F20"/>
                          <w:spacing w:val="3"/>
                        </w:rPr>
                        <w:t>敏感度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940"/>
        <w:spacing w:before="36" w:line="153" w:lineRule="exact"/>
        <w:rPr>
          <w:rFonts w:ascii="SimHei" w:hAnsi="SimHei" w:eastAsia="SimHei" w:cs="SimHei"/>
          <w:sz w:val="11"/>
          <w:szCs w:val="11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565030</wp:posOffset>
            </wp:positionH>
            <wp:positionV relativeFrom="paragraph">
              <wp:posOffset>-2092516</wp:posOffset>
            </wp:positionV>
            <wp:extent cx="2913530" cy="2243286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3530" cy="2243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val="clear" w:fill="FFFFFE"/>
          <w:rFonts w:ascii="SimHei" w:hAnsi="SimHei" w:eastAsia="SimHei" w:cs="SimHei"/>
          <w:sz w:val="11"/>
          <w:szCs w:val="11"/>
          <w:color w:val="231F20"/>
          <w:spacing w:val="2"/>
          <w:position w:val="1"/>
        </w:rPr>
        <w:t>度</w:t>
      </w:r>
    </w:p>
    <w:p>
      <w:pPr>
        <w:pStyle w:val="BodyText"/>
        <w:ind w:left="930"/>
        <w:spacing w:before="150" w:line="242" w:lineRule="auto"/>
        <w:outlineLvl w:val="1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6"/>
        </w:rPr>
        <w:t>图</w:t>
      </w:r>
      <w:r>
        <w:rPr>
          <w:rFonts w:ascii="SimHei" w:hAnsi="SimHei" w:eastAsia="SimHei" w:cs="SimHei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6"/>
        </w:rPr>
        <w:t>1    </w:t>
      </w:r>
      <w:r>
        <w:rPr>
          <w:rFonts w:ascii="SimHei" w:hAnsi="SimHei" w:eastAsia="SimHei" w:cs="SimHei"/>
          <w:sz w:val="15"/>
          <w:szCs w:val="15"/>
          <w:color w:val="231F20"/>
          <w:spacing w:val="6"/>
        </w:rPr>
        <w:t>单项指标检测和联合检测对儿童急性阑尾炎早期诊断价值的</w:t>
      </w:r>
    </w:p>
    <w:p>
      <w:pPr>
        <w:pStyle w:val="BodyText"/>
        <w:ind w:left="2859"/>
        <w:spacing w:before="62" w:line="241" w:lineRule="auto"/>
        <w:rPr>
          <w:rFonts w:ascii="SimHei" w:hAnsi="SimHei" w:eastAsia="SimHei" w:cs="SimHei"/>
          <w:sz w:val="15"/>
          <w:szCs w:val="15"/>
        </w:rPr>
      </w:pPr>
      <w:r>
        <w:rPr>
          <w:sz w:val="15"/>
          <w:szCs w:val="15"/>
          <w:color w:val="231F20"/>
        </w:rPr>
        <w:t>ROC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rFonts w:ascii="SimHei" w:hAnsi="SimHei" w:eastAsia="SimHei" w:cs="SimHei"/>
          <w:sz w:val="15"/>
          <w:szCs w:val="15"/>
          <w:color w:val="231F20"/>
          <w:spacing w:val="2"/>
        </w:rPr>
        <w:t>曲线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/>
        <w:spacing w:before="44" w:line="271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7"/>
          <w:position w:val="1"/>
        </w:rPr>
        <w:t>3</w:t>
      </w:r>
      <w:r>
        <w:rPr>
          <w:sz w:val="20"/>
          <w:szCs w:val="20"/>
          <w:color w:val="231F20"/>
          <w:spacing w:val="2"/>
          <w:position w:val="1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7"/>
          <w:position w:val="1"/>
        </w:rPr>
        <w:t>讨论</w:t>
      </w:r>
    </w:p>
    <w:p>
      <w:pPr>
        <w:pStyle w:val="BodyText"/>
        <w:ind w:right="80" w:firstLine="417"/>
        <w:spacing w:before="105" w:line="25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急性阑尾炎是儿童常见急腹症之一，在新生儿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中发病率较低，随着年龄增长发病率逐渐增高，</w:t>
      </w:r>
      <w:r>
        <w:rPr>
          <w:sz w:val="20"/>
          <w:szCs w:val="20"/>
          <w:color w:val="231F20"/>
          <w:spacing w:val="8"/>
        </w:rPr>
        <w:t>6~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14"/>
        </w:rPr>
        <w:t>12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岁为发病高峰期</w:t>
      </w:r>
      <w:r>
        <w:rPr>
          <w:sz w:val="12"/>
          <w:szCs w:val="12"/>
          <w:color w:val="231F20"/>
          <w:spacing w:val="14"/>
          <w:position w:val="7"/>
        </w:rPr>
        <w:t>[8]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。儿童急性阑尾炎因小儿腹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部面积小，其疼痛多表现为“颠簸痛”，相对缺乏特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异性，很容易出现误诊、漏诊或延迟诊断</w:t>
      </w:r>
      <w:r>
        <w:rPr>
          <w:sz w:val="12"/>
          <w:szCs w:val="12"/>
          <w:color w:val="231F20"/>
          <w:spacing w:val="1"/>
          <w:position w:val="7"/>
        </w:rPr>
        <w:t>[9]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。有研究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表明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，儿童急性阑尾炎漏诊率高达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sz w:val="20"/>
          <w:szCs w:val="20"/>
          <w:color w:val="231F20"/>
          <w:spacing w:val="7"/>
        </w:rPr>
        <w:t>28%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，其漏诊的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独立危险因素之一就是患儿的年龄较小</w:t>
      </w:r>
      <w:r>
        <w:rPr>
          <w:sz w:val="12"/>
          <w:szCs w:val="12"/>
          <w:color w:val="231F20"/>
          <w:spacing w:val="13"/>
          <w:position w:val="7"/>
        </w:rPr>
        <w:t>[10]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由于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儿童自身免疫功能尚未发育成熟，自身抵抗力一般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较弱，若发生急性阑尾炎病情基本较重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、发展也十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分迅速</w:t>
      </w:r>
      <w:r>
        <w:rPr>
          <w:sz w:val="12"/>
          <w:szCs w:val="12"/>
          <w:color w:val="231F20"/>
          <w:spacing w:val="6"/>
          <w:position w:val="7"/>
        </w:rPr>
        <w:t>[11]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因此，临床上迫切需要一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种简便安全的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快速筛查急性阑尾炎患儿的诊断方法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。</w:t>
      </w:r>
      <w:r>
        <w:rPr>
          <w:sz w:val="20"/>
          <w:szCs w:val="20"/>
          <w:color w:val="231F20"/>
        </w:rPr>
        <w:t>HBP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预先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存储于中性粒细胞嗜苯胺蓝颗粒和分泌囊泡中，在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中性粒细胞收到炎症刺激信号后，半数以上的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sz w:val="20"/>
          <w:szCs w:val="20"/>
          <w:color w:val="231F20"/>
        </w:rPr>
        <w:t>HBP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可通过外泌的形式迅速释放到血液中</w:t>
      </w:r>
      <w:r>
        <w:rPr>
          <w:sz w:val="12"/>
          <w:szCs w:val="12"/>
          <w:color w:val="231F20"/>
          <w:spacing w:val="8"/>
          <w:position w:val="7"/>
        </w:rPr>
        <w:t>[12]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，这种特性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</w:rPr>
        <w:t>HBP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作为炎症性疾病的早期诊断指标奠定了基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是一种急性时相反应蛋白，当机体有炎症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反应时，</w:t>
      </w:r>
      <w:r>
        <w:rPr>
          <w:sz w:val="20"/>
          <w:szCs w:val="20"/>
          <w:color w:val="231F20"/>
        </w:rPr>
        <w:t>CRP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水平可在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</w:rPr>
        <w:t>4~6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</w:rPr>
        <w:t>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内迅速上升，并在 </w:t>
      </w:r>
      <w:r>
        <w:rPr>
          <w:sz w:val="20"/>
          <w:szCs w:val="20"/>
          <w:color w:val="231F20"/>
        </w:rPr>
        <w:t>36~ </w:t>
      </w:r>
      <w:r>
        <w:rPr>
          <w:sz w:val="20"/>
          <w:szCs w:val="20"/>
          <w:color w:val="231F20"/>
          <w:spacing w:val="4"/>
        </w:rPr>
        <w:t>50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4"/>
        </w:rPr>
        <w:t>h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达到高峰水平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，有研究发现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水平与患者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机体炎症反应强度呈正相关，在炎症反应强度中具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有较好的应用价值</w:t>
      </w:r>
      <w:r>
        <w:rPr>
          <w:sz w:val="12"/>
          <w:szCs w:val="12"/>
          <w:color w:val="231F20"/>
          <w:spacing w:val="3"/>
          <w:position w:val="7"/>
        </w:rPr>
        <w:t>[13]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</w:t>
      </w:r>
      <w:r>
        <w:rPr>
          <w:sz w:val="20"/>
          <w:szCs w:val="20"/>
          <w:color w:val="231F20"/>
        </w:rPr>
        <w:t>WBC</w:t>
      </w:r>
      <w:r>
        <w:rPr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是三大常规之一，因其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检测时间短且费用低廉，在临床应用最多，</w:t>
      </w:r>
      <w:r>
        <w:rPr>
          <w:sz w:val="20"/>
          <w:szCs w:val="20"/>
          <w:color w:val="231F20"/>
        </w:rPr>
        <w:t>WBC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平升高，往往提示机体受到感染、组织损伤、手术创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4"/>
        </w:rPr>
        <w:t>伤等</w:t>
      </w:r>
      <w:r>
        <w:rPr>
          <w:sz w:val="12"/>
          <w:szCs w:val="12"/>
          <w:color w:val="231F20"/>
          <w:spacing w:val="2"/>
          <w:position w:val="4"/>
        </w:rPr>
        <w:t>[14]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4"/>
        </w:rPr>
        <w:t>。</w:t>
      </w:r>
    </w:p>
    <w:p>
      <w:pPr>
        <w:pStyle w:val="BodyText"/>
        <w:ind w:firstLine="412"/>
        <w:spacing w:before="9" w:line="25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本研究选取了临床上易于开展的肝素结合蛋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、</w:t>
      </w:r>
      <w:r>
        <w:rPr>
          <w:sz w:val="20"/>
          <w:szCs w:val="20"/>
          <w:color w:val="231F20"/>
          <w:spacing w:val="-2"/>
        </w:rPr>
        <w:t>C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反应蛋白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、血常规的一些指标，发现急性阑尾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炎组 </w:t>
      </w:r>
      <w:r>
        <w:rPr>
          <w:sz w:val="20"/>
          <w:szCs w:val="20"/>
          <w:color w:val="231F20"/>
          <w:spacing w:val="-7"/>
        </w:rPr>
        <w:t>HBP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WBC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NE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水平高于健康人群组，急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性 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组 </w:t>
      </w:r>
      <w:r>
        <w:rPr>
          <w:sz w:val="20"/>
          <w:szCs w:val="20"/>
          <w:color w:val="231F20"/>
          <w:spacing w:val="-6"/>
        </w:rPr>
        <w:t>LY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组（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>P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均</w:t>
      </w:r>
      <w:r>
        <w:rPr>
          <w:sz w:val="20"/>
          <w:szCs w:val="20"/>
          <w:color w:val="231F20"/>
          <w:spacing w:val="-6"/>
        </w:rPr>
        <w:t>&lt;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4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两组 </w:t>
      </w:r>
      <w:r>
        <w:rPr>
          <w:sz w:val="20"/>
          <w:szCs w:val="20"/>
          <w:color w:val="231F20"/>
          <w:spacing w:val="-1"/>
        </w:rPr>
        <w:t>RDW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、</w:t>
      </w:r>
      <w:r>
        <w:rPr>
          <w:sz w:val="20"/>
          <w:szCs w:val="20"/>
          <w:color w:val="231F20"/>
          <w:spacing w:val="-1"/>
        </w:rPr>
        <w:t>PDW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、</w:t>
      </w:r>
      <w:r>
        <w:rPr>
          <w:sz w:val="20"/>
          <w:szCs w:val="20"/>
          <w:color w:val="231F20"/>
          <w:spacing w:val="-1"/>
        </w:rPr>
        <w:t>MPV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水平比较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，差异无统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计学意义（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3"/>
        </w:rPr>
        <w:t>P</w:t>
      </w:r>
      <w:r>
        <w:rPr>
          <w:sz w:val="20"/>
          <w:szCs w:val="20"/>
          <w:color w:val="231F20"/>
          <w:spacing w:val="3"/>
        </w:rPr>
        <w:t>&gt;0.05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</w:rPr>
        <w:t>HBP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与儿童急性阑尾炎的关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系暂未发现有研究报道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，雷周满</w:t>
      </w:r>
      <w:r>
        <w:rPr>
          <w:sz w:val="12"/>
          <w:szCs w:val="12"/>
          <w:color w:val="231F20"/>
          <w:spacing w:val="9"/>
          <w:position w:val="7"/>
        </w:rPr>
        <w:t>[15]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的研究中 </w:t>
      </w:r>
      <w:r>
        <w:rPr>
          <w:sz w:val="20"/>
          <w:szCs w:val="20"/>
          <w:color w:val="231F20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WBC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的结果与本研究结果一致；申艳敏</w:t>
      </w:r>
      <w:r>
        <w:rPr>
          <w:sz w:val="12"/>
          <w:szCs w:val="12"/>
          <w:color w:val="231F20"/>
          <w:spacing w:val="4"/>
          <w:position w:val="7"/>
        </w:rPr>
        <w:t>[16]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的研究中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的结果与本研究结果一致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。本文进一步构建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了 </w:t>
      </w:r>
      <w:r>
        <w:rPr>
          <w:sz w:val="20"/>
          <w:szCs w:val="20"/>
          <w:color w:val="231F20"/>
          <w:spacing w:val="-7"/>
        </w:rPr>
        <w:t>HBP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WBC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NE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联合指标的预测概率，并对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上述单项及联合指标进行了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sz w:val="20"/>
          <w:szCs w:val="20"/>
          <w:color w:val="231F20"/>
        </w:rPr>
        <w:t>ROC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曲线分析，结果显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示，单项指标中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</w:rPr>
        <w:t>HBP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对儿童急性阑尾炎的诊断价值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，</w:t>
      </w:r>
      <w:r>
        <w:rPr>
          <w:sz w:val="20"/>
          <w:szCs w:val="20"/>
          <w:color w:val="231F20"/>
          <w:spacing w:val="-9"/>
        </w:rPr>
        <w:t>AUC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为 </w:t>
      </w:r>
      <w:r>
        <w:rPr>
          <w:sz w:val="20"/>
          <w:szCs w:val="20"/>
          <w:color w:val="231F20"/>
          <w:spacing w:val="-9"/>
        </w:rPr>
        <w:t>0.915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，其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为 </w:t>
      </w:r>
      <w:r>
        <w:rPr>
          <w:sz w:val="20"/>
          <w:szCs w:val="20"/>
          <w:color w:val="231F20"/>
          <w:spacing w:val="-9"/>
        </w:rPr>
        <w:t>77.3%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，特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92.0%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为 </w:t>
      </w:r>
      <w:r>
        <w:rPr>
          <w:sz w:val="20"/>
          <w:szCs w:val="20"/>
          <w:color w:val="231F20"/>
          <w:spacing w:val="-8"/>
        </w:rPr>
        <w:t>29.74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ng/mL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</w:t>
      </w:r>
      <w:r>
        <w:rPr>
          <w:sz w:val="20"/>
          <w:szCs w:val="20"/>
          <w:color w:val="231F20"/>
          <w:spacing w:val="-8"/>
        </w:rPr>
        <w:t>WBC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的 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为 </w:t>
      </w:r>
      <w:r>
        <w:rPr>
          <w:sz w:val="20"/>
          <w:szCs w:val="20"/>
          <w:color w:val="231F20"/>
          <w:spacing w:val="-7"/>
        </w:rPr>
        <w:t>0.850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</w:t>
      </w:r>
      <w:r>
        <w:rPr>
          <w:sz w:val="20"/>
          <w:szCs w:val="20"/>
          <w:color w:val="231F20"/>
          <w:spacing w:val="-7"/>
        </w:rPr>
        <w:t>CRP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的 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为 </w:t>
      </w:r>
      <w:r>
        <w:rPr>
          <w:sz w:val="20"/>
          <w:szCs w:val="20"/>
          <w:color w:val="231F20"/>
          <w:spacing w:val="-7"/>
        </w:rPr>
        <w:t>0.878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；而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满</w:t>
      </w:r>
      <w:r>
        <w:rPr>
          <w:sz w:val="12"/>
          <w:szCs w:val="12"/>
          <w:color w:val="231F20"/>
          <w:spacing w:val="5"/>
          <w:position w:val="7"/>
        </w:rPr>
        <w:t>[15]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在单项指标的 </w:t>
      </w:r>
      <w:r>
        <w:rPr>
          <w:sz w:val="20"/>
          <w:szCs w:val="20"/>
          <w:color w:val="231F20"/>
        </w:rPr>
        <w:t>ROC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曲线分析中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</w:t>
      </w:r>
      <w:r>
        <w:rPr>
          <w:sz w:val="20"/>
          <w:szCs w:val="20"/>
          <w:color w:val="231F20"/>
        </w:rPr>
        <w:t>WBC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的曲线</w:t>
      </w:r>
    </w:p>
    <w:p>
      <w:pPr>
        <w:spacing w:line="250" w:lineRule="auto"/>
        <w:sectPr>
          <w:type w:val="continuous"/>
          <w:pgSz w:w="12246" w:h="17178"/>
          <w:pgMar w:top="1306" w:right="1223" w:bottom="604" w:left="424" w:header="944" w:footer="354" w:gutter="0"/>
          <w:cols w:equalWidth="0" w:num="2">
            <w:col w:w="5813" w:space="100"/>
            <w:col w:w="4686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left="7510"/>
        <w:spacing w:before="219" w:line="164" w:lineRule="auto"/>
        <w:rPr>
          <w:sz w:val="17"/>
          <w:szCs w:val="17"/>
        </w:rPr>
      </w:pPr>
      <w:r>
        <w:rPr>
          <w:sz w:val="15"/>
          <w:szCs w:val="15"/>
          <w:color w:val="231F20"/>
        </w:rPr>
        <w:t>SYSTEMS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MEDICINE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系统医学      </w:t>
      </w:r>
      <w:r>
        <w:rPr>
          <w:sz w:val="17"/>
          <w:szCs w:val="17"/>
          <w:color w:val="231F20"/>
          <w:spacing w:val="12"/>
        </w:rPr>
        <w:t>17</w:t>
      </w:r>
    </w:p>
    <w:p>
      <w:pPr>
        <w:spacing w:line="164" w:lineRule="auto"/>
        <w:sectPr>
          <w:type w:val="continuous"/>
          <w:pgSz w:w="12246" w:h="17178"/>
          <w:pgMar w:top="1306" w:right="1223" w:bottom="604" w:left="424" w:header="944" w:footer="354" w:gutter="0"/>
          <w:cols w:equalWidth="0" w:num="1">
            <w:col w:w="10598" w:space="0"/>
          </w:cols>
        </w:sectPr>
        <w:rPr>
          <w:sz w:val="17"/>
          <w:szCs w:val="17"/>
        </w:rPr>
      </w:pPr>
    </w:p>
    <w:p>
      <w:pPr>
        <w:spacing w:line="237" w:lineRule="exact"/>
        <w:rPr/>
      </w:pPr>
      <w:r/>
    </w:p>
    <w:p>
      <w:pPr>
        <w:spacing w:line="237" w:lineRule="exact"/>
        <w:sectPr>
          <w:headerReference w:type="default" r:id="rId7"/>
          <w:footerReference w:type="default" r:id="rId8"/>
          <w:pgSz w:w="12246" w:h="17178"/>
          <w:pgMar w:top="1306" w:right="1235" w:bottom="604" w:left="424" w:header="944" w:footer="354" w:gutter="0"/>
          <w:cols w:equalWidth="0" w:num="1">
            <w:col w:w="10586" w:space="0"/>
          </w:cols>
        </w:sectPr>
        <w:rPr/>
      </w:pPr>
    </w:p>
    <w:p>
      <w:pPr>
        <w:pStyle w:val="BodyText"/>
        <w:ind w:left="886" w:right="250"/>
        <w:spacing w:before="42" w:line="24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下面积最高，为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4"/>
        </w:rPr>
        <w:t>0.941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的曲线下面积为</w:t>
      </w:r>
      <w:r>
        <w:rPr>
          <w:sz w:val="20"/>
          <w:szCs w:val="20"/>
          <w:color w:val="231F20"/>
          <w:spacing w:val="4"/>
        </w:rPr>
        <w:t>0.</w:t>
      </w:r>
      <w:r>
        <w:rPr>
          <w:sz w:val="20"/>
          <w:szCs w:val="20"/>
          <w:color w:val="231F20"/>
          <w:spacing w:val="3"/>
        </w:rPr>
        <w:t>863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与本研究中白细胞的曲线下面积有差异，考虑可能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为抽样误差导致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。本研究中 </w:t>
      </w:r>
      <w:r>
        <w:rPr>
          <w:sz w:val="20"/>
          <w:szCs w:val="20"/>
          <w:color w:val="231F20"/>
          <w:spacing w:val="-4"/>
        </w:rPr>
        <w:t>HBP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</w:t>
      </w:r>
      <w:r>
        <w:rPr>
          <w:sz w:val="20"/>
          <w:szCs w:val="20"/>
          <w:color w:val="231F20"/>
          <w:spacing w:val="-4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</w:t>
      </w:r>
      <w:r>
        <w:rPr>
          <w:sz w:val="20"/>
          <w:szCs w:val="20"/>
          <w:color w:val="231F20"/>
          <w:spacing w:val="-4"/>
        </w:rPr>
        <w:t>WBC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</w:t>
      </w:r>
      <w:r>
        <w:rPr>
          <w:sz w:val="20"/>
          <w:szCs w:val="20"/>
          <w:color w:val="231F20"/>
          <w:spacing w:val="-4"/>
        </w:rPr>
        <w:t>NE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LY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联合检测在所有检测中诊断急性阑尾炎的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</w:rPr>
        <w:t>AUC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最高，为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5"/>
        </w:rPr>
        <w:t>0.933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，其灵敏度为 </w:t>
      </w:r>
      <w:r>
        <w:rPr>
          <w:sz w:val="20"/>
          <w:szCs w:val="20"/>
          <w:color w:val="231F20"/>
          <w:spacing w:val="-5"/>
        </w:rPr>
        <w:t>84.5%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，特异度为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5"/>
        </w:rPr>
        <w:t>9</w:t>
      </w:r>
      <w:r>
        <w:rPr>
          <w:sz w:val="20"/>
          <w:szCs w:val="20"/>
          <w:color w:val="231F20"/>
          <w:spacing w:val="-6"/>
        </w:rPr>
        <w:t>0.0%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因此，若患儿腹痛并同时伴有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9"/>
        </w:rPr>
        <w:t>HBP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、</w:t>
      </w:r>
      <w:r>
        <w:rPr>
          <w:sz w:val="20"/>
          <w:szCs w:val="20"/>
          <w:color w:val="231F20"/>
          <w:spacing w:val="-9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、</w:t>
      </w:r>
      <w:r>
        <w:rPr>
          <w:sz w:val="20"/>
          <w:szCs w:val="20"/>
          <w:color w:val="231F20"/>
          <w:spacing w:val="-9"/>
        </w:rPr>
        <w:t>WBC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、</w:t>
      </w:r>
      <w:r>
        <w:rPr>
          <w:sz w:val="20"/>
          <w:szCs w:val="20"/>
          <w:color w:val="231F20"/>
          <w:spacing w:val="-9"/>
        </w:rPr>
        <w:t>N</w:t>
      </w:r>
      <w:r>
        <w:rPr>
          <w:sz w:val="20"/>
          <w:szCs w:val="20"/>
          <w:color w:val="231F20"/>
          <w:spacing w:val="-10"/>
        </w:rPr>
        <w:t>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LY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指标异常，临床医生应给予重视，避免儿童急性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  <w:position w:val="-2"/>
        </w:rPr>
        <w:t>阑尾炎的漏诊</w:t>
      </w:r>
      <w:r>
        <w:rPr>
          <w:sz w:val="12"/>
          <w:szCs w:val="12"/>
          <w:color w:val="231F20"/>
          <w:spacing w:val="5"/>
          <w:position w:val="6"/>
        </w:rPr>
        <w:t>[16]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  <w:position w:val="-2"/>
        </w:rPr>
        <w:t>。</w:t>
      </w:r>
    </w:p>
    <w:p>
      <w:pPr>
        <w:pStyle w:val="BodyText"/>
        <w:ind w:left="889" w:right="265" w:firstLine="407"/>
        <w:spacing w:before="4" w:line="25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综上所述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，与健康人群患儿相比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，急性阑尾炎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患儿中 </w:t>
      </w:r>
      <w:r>
        <w:rPr>
          <w:sz w:val="20"/>
          <w:szCs w:val="20"/>
          <w:color w:val="231F20"/>
          <w:spacing w:val="-7"/>
        </w:rPr>
        <w:t>HBP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CRP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WBC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NE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在体内呈高水平状态，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LY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在体内呈低水平状态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，这五种指标联合检测对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1"/>
        </w:rPr>
        <w:t>患儿急性阑尾炎的早期诊治具有重要的指导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意义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</w:t>
      </w:r>
    </w:p>
    <w:p>
      <w:pPr>
        <w:pStyle w:val="BodyText"/>
        <w:ind w:left="2721"/>
        <w:spacing w:before="177" w:line="23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[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参考文献</w:t>
      </w:r>
      <w:r>
        <w:rPr>
          <w:sz w:val="20"/>
          <w:szCs w:val="20"/>
          <w:color w:val="231F20"/>
          <w:spacing w:val="2"/>
        </w:rPr>
        <w:t>]</w:t>
      </w:r>
    </w:p>
    <w:p>
      <w:pPr>
        <w:pStyle w:val="BodyText"/>
        <w:ind w:left="1224" w:right="330" w:hanging="334"/>
        <w:spacing w:before="219" w:line="350" w:lineRule="auto"/>
        <w:rPr/>
      </w:pPr>
      <w:r>
        <w:rPr>
          <w:color w:val="231F20"/>
          <w:spacing w:val="-1"/>
        </w:rPr>
        <w:t>[1]   Gorter  RR,  Eker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HH,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1"/>
        </w:rPr>
        <w:t>Gorter-Stam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MA,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e</w:t>
      </w:r>
      <w:r>
        <w:rPr>
          <w:color w:val="231F20"/>
          <w:spacing w:val="-2"/>
        </w:rPr>
        <w:t>t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Diagnosis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</w:rPr>
        <w:t>appendicitis</w:t>
      </w:r>
      <w:r>
        <w:rPr>
          <w:color w:val="231F20"/>
          <w:spacing w:val="6"/>
        </w:rPr>
        <w:t>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EAES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</w:rPr>
        <w:t>consensus </w:t>
      </w:r>
      <w:r>
        <w:rPr>
          <w:color w:val="231F20"/>
        </w:rPr>
        <w:t>development   conference  2015[J]. Surg  Endosc, 2016, </w:t>
      </w:r>
      <w:r>
        <w:rPr>
          <w:color w:val="231F20"/>
          <w:spacing w:val="-1"/>
        </w:rPr>
        <w:t>30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(11):4668-4690.</w:t>
      </w:r>
    </w:p>
    <w:p>
      <w:pPr>
        <w:pStyle w:val="BodyText"/>
        <w:ind w:left="1228" w:right="330" w:hanging="338"/>
        <w:spacing w:before="136" w:line="336" w:lineRule="auto"/>
        <w:rPr/>
      </w:pPr>
      <w:r>
        <w:rPr>
          <w:color w:val="231F20"/>
          <w:spacing w:val="-2"/>
        </w:rPr>
        <w:t>[2]   Willis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ZI,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Duggan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EM,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Bucher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BT,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Effect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of 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clini⁃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cal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practice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"/>
        </w:rPr>
        <w:t>guideline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pediatr</w:t>
      </w:r>
      <w:r>
        <w:rPr>
          <w:color w:val="231F20"/>
        </w:rPr>
        <w:t>ic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</w:rPr>
        <w:t>complicated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appendi⁃ </w:t>
      </w:r>
      <w:r>
        <w:rPr>
          <w:color w:val="231F20"/>
          <w:spacing w:val="-1"/>
        </w:rPr>
        <w:t>citis[J].JAMA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Surg,2016,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151(5):e160194.</w:t>
      </w:r>
    </w:p>
    <w:p>
      <w:pPr>
        <w:pStyle w:val="BodyText"/>
        <w:ind w:left="1225" w:right="329" w:hanging="335"/>
        <w:spacing w:before="135" w:line="360" w:lineRule="auto"/>
        <w:rPr/>
      </w:pPr>
      <w:r>
        <w:rPr>
          <w:color w:val="231F20"/>
          <w:spacing w:val="-1"/>
        </w:rPr>
        <w:t>[3]   Fall  M,  Gueye  D,  Well</w:t>
      </w:r>
      <w:r>
        <w:rPr>
          <w:color w:val="231F20"/>
          <w:spacing w:val="-2"/>
        </w:rPr>
        <w:t>é  IB,  et  al.  Laparoscopic  appen⁃</w:t>
      </w:r>
      <w:r>
        <w:rPr>
          <w:color w:val="231F20"/>
        </w:rPr>
        <w:t xml:space="preserve"> </w:t>
      </w:r>
      <w:r>
        <w:rPr>
          <w:color w:val="231F20"/>
        </w:rPr>
        <w:t>dectomy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children: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preliminary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pediatric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hospi⁃</w:t>
      </w:r>
      <w:r>
        <w:rPr>
          <w:color w:val="231F20"/>
        </w:rPr>
        <w:t xml:space="preserve"> </w:t>
      </w:r>
      <w:r>
        <w:rPr>
          <w:color w:val="231F20"/>
        </w:rPr>
        <w:t>tal</w:t>
      </w:r>
      <w:r>
        <w:rPr>
          <w:color w:val="231F20"/>
          <w:spacing w:val="21"/>
          <w:w w:val="102"/>
        </w:rPr>
        <w:t xml:space="preserve">  </w:t>
      </w:r>
      <w:r>
        <w:rPr>
          <w:color w:val="231F20"/>
        </w:rPr>
        <w:t>albert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royer,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dakar[J].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Gastroenterol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Res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P</w:t>
      </w:r>
      <w:r>
        <w:rPr>
          <w:color w:val="231F20"/>
          <w:spacing w:val="-1"/>
        </w:rPr>
        <w:t>ract,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2015: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878372.</w:t>
      </w:r>
    </w:p>
    <w:p>
      <w:pPr>
        <w:pStyle w:val="BodyText"/>
        <w:ind w:left="1225" w:right="329" w:hanging="335"/>
        <w:spacing w:before="100" w:line="336" w:lineRule="auto"/>
        <w:rPr/>
      </w:pPr>
      <w:r>
        <w:rPr>
          <w:color w:val="231F20"/>
          <w:spacing w:val="-2"/>
        </w:rPr>
        <w:t>[4]   Childers  CP,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Dworsky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2"/>
        </w:rPr>
        <w:t>JQ,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Ma</w:t>
      </w:r>
      <w:r>
        <w:rPr>
          <w:color w:val="231F20"/>
          <w:spacing w:val="-3"/>
        </w:rPr>
        <w:t>ssoumi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RL,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et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3"/>
        </w:rPr>
        <w:t>al.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con⁃</w:t>
      </w:r>
      <w:r>
        <w:rPr>
          <w:color w:val="231F20"/>
        </w:rPr>
        <w:t xml:space="preserve"> </w:t>
      </w:r>
      <w:r>
        <w:rPr>
          <w:color w:val="231F20"/>
        </w:rPr>
        <w:t>temporary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appendectomy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fo</w:t>
      </w:r>
      <w:r>
        <w:rPr>
          <w:color w:val="231F20"/>
          <w:spacing w:val="-1"/>
        </w:rPr>
        <w:t>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acute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uncomplicated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appen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⁃</w:t>
      </w:r>
      <w:r>
        <w:rPr>
          <w:color w:val="231F20"/>
        </w:rPr>
        <w:t xml:space="preserve"> </w:t>
      </w:r>
      <w:r>
        <w:rPr>
          <w:color w:val="231F20"/>
        </w:rPr>
        <w:t>dicitis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2"/>
        </w:rPr>
        <w:t>[J].</w:t>
      </w:r>
      <w:r>
        <w:rPr>
          <w:color w:val="231F20"/>
        </w:rPr>
        <w:t>Surgery</w:t>
      </w:r>
      <w:r>
        <w:rPr>
          <w:color w:val="231F20"/>
          <w:spacing w:val="2"/>
        </w:rPr>
        <w:t>,2019,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165(5):1027-1034.</w:t>
      </w:r>
    </w:p>
    <w:p>
      <w:pPr>
        <w:pStyle w:val="BodyText"/>
        <w:ind w:left="1224" w:right="330" w:hanging="334"/>
        <w:spacing w:before="137" w:line="253" w:lineRule="auto"/>
        <w:rPr/>
      </w:pPr>
      <w:r>
        <w:rPr>
          <w:color w:val="231F20"/>
          <w:spacing w:val="5"/>
        </w:rPr>
        <w:t>[5]   </w:t>
      </w:r>
      <w:r>
        <w:rPr>
          <w:rFonts w:ascii="Microsoft YaHei" w:hAnsi="Microsoft YaHei" w:eastAsia="Microsoft YaHei" w:cs="Microsoft YaHei"/>
          <w:color w:val="231F20"/>
          <w:spacing w:val="5"/>
        </w:rPr>
        <w:t>张静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color w:val="231F20"/>
          <w:spacing w:val="5"/>
        </w:rPr>
        <w:t>,</w:t>
      </w:r>
      <w:r>
        <w:rPr>
          <w:rFonts w:ascii="Microsoft YaHei" w:hAnsi="Microsoft YaHei" w:eastAsia="Microsoft YaHei" w:cs="Microsoft YaHei"/>
          <w:color w:val="231F20"/>
          <w:spacing w:val="5"/>
        </w:rPr>
        <w:t>梁羽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color w:val="231F20"/>
          <w:spacing w:val="5"/>
        </w:rPr>
        <w:t>,</w:t>
      </w:r>
      <w:r>
        <w:rPr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陈琴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color w:val="231F20"/>
          <w:spacing w:val="5"/>
        </w:rPr>
        <w:t>,</w:t>
      </w:r>
      <w:r>
        <w:rPr>
          <w:rFonts w:ascii="Microsoft YaHei" w:hAnsi="Microsoft YaHei" w:eastAsia="Microsoft YaHei" w:cs="Microsoft YaHei"/>
          <w:color w:val="231F20"/>
          <w:spacing w:val="5"/>
        </w:rPr>
        <w:t>等 </w:t>
      </w:r>
      <w:r>
        <w:rPr>
          <w:color w:val="231F20"/>
          <w:spacing w:val="5"/>
        </w:rPr>
        <w:t>.</w:t>
      </w:r>
      <w:r>
        <w:rPr>
          <w:color w:val="231F20"/>
        </w:rPr>
        <w:t>AIR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评分联合超声预测小儿急性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阑尾炎发生坏疽穿孔</w:t>
      </w:r>
      <w:r>
        <w:rPr>
          <w:color w:val="231F20"/>
          <w:spacing w:val="9"/>
        </w:rPr>
        <w:t>[J]. </w:t>
      </w:r>
      <w:r>
        <w:rPr>
          <w:rFonts w:ascii="Microsoft YaHei" w:hAnsi="Microsoft YaHei" w:eastAsia="Microsoft YaHei" w:cs="Microsoft YaHei"/>
          <w:color w:val="231F20"/>
          <w:spacing w:val="9"/>
        </w:rPr>
        <w:t>中国超声医学杂志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color w:val="231F20"/>
          <w:spacing w:val="9"/>
        </w:rPr>
        <w:t>,2022,</w:t>
      </w:r>
      <w:r>
        <w:rPr>
          <w:color w:val="231F20"/>
          <w:spacing w:val="8"/>
        </w:rPr>
        <w:t>38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(10):1161-1165.</w:t>
      </w:r>
    </w:p>
    <w:p>
      <w:pPr>
        <w:pStyle w:val="BodyText"/>
        <w:ind w:left="890"/>
        <w:spacing w:before="134" w:line="192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8"/>
        </w:rPr>
        <w:t>[6]   </w:t>
      </w:r>
      <w:r>
        <w:rPr>
          <w:rFonts w:ascii="Microsoft YaHei" w:hAnsi="Microsoft YaHei" w:eastAsia="Microsoft YaHei" w:cs="Microsoft YaHei"/>
          <w:color w:val="231F20"/>
          <w:spacing w:val="8"/>
        </w:rPr>
        <w:t>林丽萍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  <w:spacing w:val="8"/>
        </w:rPr>
        <w:t>,</w:t>
      </w:r>
      <w:r>
        <w:rPr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钟晓红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李胜利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  <w:spacing w:val="8"/>
        </w:rPr>
        <w:t>,</w:t>
      </w:r>
      <w:r>
        <w:rPr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等 </w:t>
      </w:r>
      <w:r>
        <w:rPr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color w:val="231F20"/>
          <w:spacing w:val="8"/>
        </w:rPr>
        <w:t>儿童急性阑尾</w:t>
      </w:r>
      <w:r>
        <w:rPr>
          <w:rFonts w:ascii="Microsoft YaHei" w:hAnsi="Microsoft YaHei" w:eastAsia="Microsoft YaHei" w:cs="Microsoft YaHei"/>
          <w:color w:val="231F20"/>
          <w:spacing w:val="7"/>
        </w:rPr>
        <w:t>炎的病理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7" w:right="67" w:hanging="1"/>
        <w:spacing w:before="41" w:line="295" w:lineRule="auto"/>
        <w:rPr/>
      </w:pPr>
      <w:r>
        <w:rPr>
          <w:rFonts w:ascii="Microsoft YaHei" w:hAnsi="Microsoft YaHei" w:eastAsia="Microsoft YaHei" w:cs="Microsoft YaHei"/>
          <w:color w:val="231F20"/>
          <w:spacing w:val="-5"/>
        </w:rPr>
        <w:t>分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型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与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超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声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声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像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对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照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分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析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  <w:spacing w:val="-5"/>
        </w:rPr>
        <w:t>[J].</w:t>
      </w:r>
      <w:r>
        <w:rPr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中 国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超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声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医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学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杂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志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-6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2020,36(7):646-650.</w:t>
      </w:r>
    </w:p>
    <w:p>
      <w:pPr>
        <w:pStyle w:val="BodyText"/>
        <w:ind w:left="340" w:right="68" w:hanging="340"/>
        <w:spacing w:before="32" w:line="309" w:lineRule="auto"/>
        <w:rPr/>
      </w:pPr>
      <w:r>
        <w:rPr>
          <w:color w:val="231F20"/>
        </w:rPr>
        <w:t>[7]   Rentea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RM,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Peter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SDS.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Pediatric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appendicitis[J].Sur</w:t>
      </w:r>
      <w:r>
        <w:rPr>
          <w:color w:val="231F20"/>
          <w:spacing w:val="-1"/>
        </w:rPr>
        <w:t>gical</w:t>
      </w:r>
      <w:r>
        <w:rPr>
          <w:color w:val="231F20"/>
        </w:rPr>
        <w:t xml:space="preserve"> </w:t>
      </w:r>
      <w:r>
        <w:rPr>
          <w:color w:val="231F20"/>
        </w:rPr>
        <w:t>Clinics</w:t>
      </w:r>
      <w:r>
        <w:rPr>
          <w:color w:val="231F20"/>
          <w:spacing w:val="3"/>
        </w:rPr>
        <w:t>,2017,97(1):93-112.</w:t>
      </w:r>
    </w:p>
    <w:p>
      <w:pPr>
        <w:pStyle w:val="BodyText"/>
        <w:ind w:left="337" w:right="66" w:hanging="338"/>
        <w:spacing w:before="132" w:line="335" w:lineRule="auto"/>
        <w:rPr/>
      </w:pPr>
      <w:r>
        <w:rPr>
          <w:color w:val="231F20"/>
          <w:spacing w:val="-1"/>
        </w:rPr>
        <w:t>[8]   MarzuilloP,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1"/>
        </w:rPr>
        <w:t>Germani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C,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Krauss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BS,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Appendicitis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less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five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yearsold: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challenge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1"/>
        </w:rPr>
        <w:t>gen⁃</w:t>
      </w:r>
      <w:r>
        <w:rPr>
          <w:color w:val="231F20"/>
        </w:rPr>
        <w:t xml:space="preserve"> </w:t>
      </w:r>
      <w:r>
        <w:rPr>
          <w:color w:val="231F20"/>
        </w:rPr>
        <w:t>eral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practitioner</w:t>
      </w:r>
      <w:r>
        <w:rPr>
          <w:color w:val="231F20"/>
          <w:spacing w:val="4"/>
        </w:rPr>
        <w:t>[J].</w:t>
      </w:r>
      <w:r>
        <w:rPr>
          <w:color w:val="231F20"/>
        </w:rPr>
        <w:t>World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JClin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Pdiatre</w:t>
      </w:r>
      <w:r>
        <w:rPr>
          <w:color w:val="231F20"/>
          <w:spacing w:val="4"/>
        </w:rPr>
        <w:t>,2019,4(2):19-24.</w:t>
      </w:r>
    </w:p>
    <w:p>
      <w:pPr>
        <w:pStyle w:val="BodyText"/>
        <w:ind w:left="335" w:right="67" w:hanging="336"/>
        <w:spacing w:before="133" w:line="252" w:lineRule="auto"/>
        <w:rPr/>
      </w:pPr>
      <w:r>
        <w:rPr>
          <w:color w:val="231F20"/>
          <w:spacing w:val="7"/>
        </w:rPr>
        <w:t>[9]   </w:t>
      </w:r>
      <w:r>
        <w:rPr>
          <w:rFonts w:ascii="Microsoft YaHei" w:hAnsi="Microsoft YaHei" w:eastAsia="Microsoft YaHei" w:cs="Microsoft YaHei"/>
          <w:color w:val="231F20"/>
          <w:spacing w:val="7"/>
        </w:rPr>
        <w:t>刘瑜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color w:val="231F20"/>
          <w:spacing w:val="7"/>
        </w:rPr>
        <w:t>,</w:t>
      </w:r>
      <w:r>
        <w:rPr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王城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7"/>
        </w:rPr>
        <w:t>,</w:t>
      </w:r>
      <w:r>
        <w:rPr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周柯均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  <w:spacing w:val="7"/>
        </w:rPr>
        <w:t>,</w:t>
      </w:r>
      <w:r>
        <w:rPr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等 </w:t>
      </w:r>
      <w:r>
        <w:rPr>
          <w:color w:val="231F20"/>
          <w:spacing w:val="7"/>
        </w:rPr>
        <w:t>. </w:t>
      </w:r>
      <w:r>
        <w:rPr>
          <w:rFonts w:ascii="Microsoft YaHei" w:hAnsi="Microsoft YaHei" w:eastAsia="Microsoft YaHei" w:cs="Microsoft YaHei"/>
          <w:color w:val="231F20"/>
          <w:spacing w:val="7"/>
        </w:rPr>
        <w:t>儿童急性化脓性阑尾炎术后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切口感染及治疗效果分析</w:t>
      </w:r>
      <w:r>
        <w:rPr>
          <w:color w:val="231F20"/>
          <w:spacing w:val="12"/>
        </w:rPr>
        <w:t>[J]. </w:t>
      </w:r>
      <w:r>
        <w:rPr>
          <w:rFonts w:ascii="Microsoft YaHei" w:hAnsi="Microsoft YaHei" w:eastAsia="Microsoft YaHei" w:cs="Microsoft YaHei"/>
          <w:color w:val="231F20"/>
          <w:spacing w:val="12"/>
        </w:rPr>
        <w:t>中国病原生物学杂志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color w:val="231F20"/>
          <w:spacing w:val="12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2023,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18(3):323-326,331.</w:t>
      </w:r>
    </w:p>
    <w:p>
      <w:pPr>
        <w:pStyle w:val="BodyText"/>
        <w:ind w:left="430" w:right="67" w:hanging="430"/>
        <w:spacing w:before="131" w:line="348" w:lineRule="auto"/>
        <w:rPr/>
      </w:pPr>
      <w:r>
        <w:rPr>
          <w:color w:val="231F20"/>
        </w:rPr>
        <w:t>[10]   Drapkin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Z,   Dunnick</w:t>
      </w:r>
      <w:r>
        <w:rPr>
          <w:color w:val="231F20"/>
          <w:spacing w:val="-1"/>
        </w:rPr>
        <w:t xml:space="preserve">  J,   Madsen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"/>
        </w:rPr>
        <w:t>TE,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1"/>
        </w:rPr>
        <w:t>et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1"/>
        </w:rPr>
        <w:t>al.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1"/>
        </w:rPr>
        <w:t>Pediatric</w:t>
      </w:r>
      <w:r>
        <w:rPr>
          <w:color w:val="231F20"/>
        </w:rPr>
        <w:t xml:space="preserve"> </w:t>
      </w:r>
      <w:r>
        <w:rPr>
          <w:color w:val="231F20"/>
        </w:rPr>
        <w:t>appendicitis:    association    of    chief    complaint </w:t>
      </w:r>
      <w:r>
        <w:rPr>
          <w:color w:val="231F20"/>
          <w:spacing w:val="-1"/>
        </w:rPr>
        <w:t xml:space="preserve">   with</w:t>
      </w:r>
      <w:r>
        <w:rPr>
          <w:color w:val="231F20"/>
        </w:rPr>
        <w:t xml:space="preserve"> </w:t>
      </w:r>
      <w:r>
        <w:rPr>
          <w:color w:val="231F20"/>
        </w:rPr>
        <w:t>missed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appendicitis</w:t>
      </w:r>
      <w:r>
        <w:rPr>
          <w:color w:val="231F20"/>
          <w:spacing w:val="2"/>
        </w:rPr>
        <w:t>[J].</w:t>
      </w:r>
      <w:r>
        <w:rPr>
          <w:color w:val="231F20"/>
        </w:rPr>
        <w:t>Pediatric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Emergency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Care</w:t>
      </w:r>
      <w:r>
        <w:rPr>
          <w:color w:val="231F20"/>
          <w:spacing w:val="2"/>
        </w:rPr>
        <w:t>,2020,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36(4):e204-e207.</w:t>
      </w:r>
    </w:p>
    <w:p>
      <w:pPr>
        <w:pStyle w:val="BodyText"/>
        <w:ind w:left="430" w:right="67" w:hanging="431"/>
        <w:spacing w:before="132" w:line="263" w:lineRule="auto"/>
        <w:rPr/>
      </w:pPr>
      <w:r>
        <w:rPr>
          <w:color w:val="231F20"/>
          <w:spacing w:val="7"/>
        </w:rPr>
        <w:t>[11]   </w:t>
      </w:r>
      <w:r>
        <w:rPr>
          <w:rFonts w:ascii="Microsoft YaHei" w:hAnsi="Microsoft YaHei" w:eastAsia="Microsoft YaHei" w:cs="Microsoft YaHei"/>
          <w:color w:val="231F20"/>
          <w:spacing w:val="7"/>
        </w:rPr>
        <w:t>牛臻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color w:val="231F20"/>
          <w:spacing w:val="7"/>
        </w:rPr>
        <w:t>宋晓峰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color w:val="231F20"/>
          <w:spacing w:val="7"/>
        </w:rPr>
        <w:t>孙静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color w:val="231F20"/>
          <w:spacing w:val="7"/>
        </w:rPr>
        <w:t>等 </w:t>
      </w:r>
      <w:r>
        <w:rPr>
          <w:color w:val="231F20"/>
          <w:spacing w:val="7"/>
        </w:rPr>
        <w:t>.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小儿急性阑尾炎临</w:t>
      </w:r>
      <w:r>
        <w:rPr>
          <w:rFonts w:ascii="Microsoft YaHei" w:hAnsi="Microsoft YaHei" w:eastAsia="Microsoft YaHei" w:cs="Microsoft YaHei"/>
          <w:color w:val="231F20"/>
          <w:spacing w:val="6"/>
        </w:rPr>
        <w:t>床诊疗特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点及病原学分析</w:t>
      </w:r>
      <w:r>
        <w:rPr>
          <w:color w:val="231F20"/>
          <w:spacing w:val="7"/>
        </w:rPr>
        <w:t>[J].</w:t>
      </w:r>
      <w:r>
        <w:rPr>
          <w:rFonts w:ascii="Microsoft YaHei" w:hAnsi="Microsoft YaHei" w:eastAsia="Microsoft YaHei" w:cs="Microsoft YaHei"/>
          <w:color w:val="231F20"/>
          <w:spacing w:val="7"/>
        </w:rPr>
        <w:t>第三军医大学学报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  <w:spacing w:val="7"/>
        </w:rPr>
        <w:t>,2020,42(14):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1449-1455.</w:t>
      </w:r>
    </w:p>
    <w:p>
      <w:pPr>
        <w:pStyle w:val="BodyText"/>
        <w:ind w:left="427" w:right="67" w:hanging="427"/>
        <w:spacing w:before="97" w:line="252" w:lineRule="auto"/>
        <w:rPr/>
      </w:pPr>
      <w:r>
        <w:rPr>
          <w:color w:val="231F20"/>
          <w:spacing w:val="8"/>
        </w:rPr>
        <w:t>[12]   </w:t>
      </w:r>
      <w:r>
        <w:rPr>
          <w:rFonts w:ascii="Microsoft YaHei" w:hAnsi="Microsoft YaHei" w:eastAsia="Microsoft YaHei" w:cs="Microsoft YaHei"/>
          <w:color w:val="231F20"/>
          <w:spacing w:val="8"/>
        </w:rPr>
        <w:t>邓俊超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赵芳丽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乔莉娜 </w:t>
      </w:r>
      <w:r>
        <w:rPr>
          <w:color w:val="231F20"/>
          <w:spacing w:val="8"/>
        </w:rPr>
        <w:t>.</w:t>
      </w:r>
      <w:r>
        <w:rPr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肝素结合蛋白对儿童重症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感染诊断价值的前瞻性研究</w:t>
      </w:r>
      <w:r>
        <w:rPr>
          <w:color w:val="231F20"/>
          <w:spacing w:val="9"/>
        </w:rPr>
        <w:t>[J]. </w:t>
      </w:r>
      <w:r>
        <w:rPr>
          <w:rFonts w:ascii="Microsoft YaHei" w:hAnsi="Microsoft YaHei" w:eastAsia="Microsoft YaHei" w:cs="Microsoft YaHei"/>
          <w:color w:val="231F20"/>
          <w:spacing w:val="9"/>
        </w:rPr>
        <w:t>中国当代儿科杂志</w:t>
      </w:r>
      <w:r>
        <w:rPr>
          <w:color w:val="231F20"/>
          <w:spacing w:val="9"/>
        </w:rPr>
        <w:t>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2022,24(1):85-89.</w:t>
      </w:r>
    </w:p>
    <w:p>
      <w:pPr>
        <w:pStyle w:val="BodyText"/>
        <w:ind w:left="430" w:right="67" w:hanging="430"/>
        <w:spacing w:before="131" w:line="263" w:lineRule="auto"/>
        <w:rPr/>
      </w:pPr>
      <w:r>
        <w:rPr>
          <w:color w:val="231F20"/>
          <w:spacing w:val="6"/>
        </w:rPr>
        <w:t>[13]   </w:t>
      </w:r>
      <w:r>
        <w:rPr>
          <w:rFonts w:ascii="Microsoft YaHei" w:hAnsi="Microsoft YaHei" w:eastAsia="Microsoft YaHei" w:cs="Microsoft YaHei"/>
          <w:color w:val="231F20"/>
          <w:spacing w:val="6"/>
        </w:rPr>
        <w:t>华科俊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胡贤杰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color w:val="231F20"/>
          <w:spacing w:val="6"/>
        </w:rPr>
        <w:t>,</w:t>
      </w:r>
      <w:r>
        <w:rPr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张星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等 </w:t>
      </w:r>
      <w:r>
        <w:rPr>
          <w:color w:val="231F20"/>
          <w:spacing w:val="6"/>
        </w:rPr>
        <w:t>.</w:t>
      </w:r>
      <w:r>
        <w:rPr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炎性指标在阑尾炎穿孔诊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断 中 的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价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值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研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究 </w:t>
      </w:r>
      <w:r>
        <w:rPr>
          <w:color w:val="231F20"/>
          <w:spacing w:val="-4"/>
        </w:rPr>
        <w:t>[J].  </w:t>
      </w:r>
      <w:r>
        <w:rPr>
          <w:rFonts w:ascii="Microsoft YaHei" w:hAnsi="Microsoft YaHei" w:eastAsia="Microsoft YaHei" w:cs="Microsoft YaHei"/>
          <w:color w:val="231F20"/>
          <w:spacing w:val="-4"/>
        </w:rPr>
        <w:t>中 国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全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科 医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学 </w:t>
      </w:r>
      <w:r>
        <w:rPr>
          <w:color w:val="231F20"/>
          <w:spacing w:val="-4"/>
        </w:rPr>
        <w:t>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2017,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20(17):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2139-2142.</w:t>
      </w:r>
    </w:p>
    <w:p>
      <w:pPr>
        <w:pStyle w:val="BodyText"/>
        <w:ind w:left="427" w:right="67" w:hanging="427"/>
        <w:spacing w:before="96" w:line="256" w:lineRule="auto"/>
        <w:rPr/>
      </w:pPr>
      <w:r>
        <w:rPr>
          <w:color w:val="231F20"/>
          <w:spacing w:val="7"/>
        </w:rPr>
        <w:t>[14]   </w:t>
      </w:r>
      <w:r>
        <w:rPr>
          <w:rFonts w:ascii="Microsoft YaHei" w:hAnsi="Microsoft YaHei" w:eastAsia="Microsoft YaHei" w:cs="Microsoft YaHei"/>
          <w:color w:val="231F20"/>
          <w:spacing w:val="7"/>
        </w:rPr>
        <w:t>张永生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color w:val="231F20"/>
          <w:spacing w:val="7"/>
        </w:rPr>
        <w:t>徐礼治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color w:val="231F20"/>
          <w:spacing w:val="7"/>
        </w:rPr>
        <w:t>伍阳阳 </w:t>
      </w:r>
      <w:r>
        <w:rPr>
          <w:color w:val="231F20"/>
          <w:spacing w:val="7"/>
        </w:rPr>
        <w:t>.</w:t>
      </w:r>
      <w:r>
        <w:rPr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白细胞计数和</w:t>
      </w:r>
      <w:r>
        <w:rPr>
          <w:rFonts w:ascii="Microsoft YaHei" w:hAnsi="Microsoft YaHei" w:eastAsia="Microsoft YaHei" w:cs="Microsoft YaHei"/>
          <w:color w:val="231F20"/>
          <w:spacing w:val="-8"/>
        </w:rPr>
        <w:t xml:space="preserve"> </w:t>
      </w:r>
      <w:r>
        <w:rPr>
          <w:color w:val="231F20"/>
          <w:spacing w:val="7"/>
        </w:rPr>
        <w:t>C</w:t>
      </w:r>
      <w:r>
        <w:rPr>
          <w:color w:val="231F20"/>
          <w:spacing w:val="6"/>
        </w:rPr>
        <w:t>-</w:t>
      </w:r>
      <w:r>
        <w:rPr>
          <w:rFonts w:ascii="Microsoft YaHei" w:hAnsi="Microsoft YaHei" w:eastAsia="Microsoft YaHei" w:cs="Microsoft YaHei"/>
          <w:color w:val="231F20"/>
          <w:spacing w:val="6"/>
        </w:rPr>
        <w:t>反应蛋白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8"/>
        </w:rPr>
        <w:t>诊断急性阑尾炎的准确性与患者症状持续时间关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联</w:t>
      </w:r>
      <w:r>
        <w:rPr>
          <w:rFonts w:ascii="Microsoft YaHei" w:hAnsi="Microsoft YaHei" w:eastAsia="Microsoft YaHei" w:cs="Microsoft YaHei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性 的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探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讨 </w:t>
      </w:r>
      <w:r>
        <w:rPr>
          <w:color w:val="231F20"/>
          <w:spacing w:val="-4"/>
        </w:rPr>
        <w:t>[J].</w:t>
      </w:r>
      <w:r>
        <w:rPr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中 国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卫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生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检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验 杂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志 </w:t>
      </w:r>
      <w:r>
        <w:rPr>
          <w:color w:val="231F20"/>
          <w:spacing w:val="-4"/>
        </w:rPr>
        <w:t>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2017,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27(10):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1467-1470,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1473.</w:t>
      </w:r>
    </w:p>
    <w:p>
      <w:pPr>
        <w:pStyle w:val="BodyText"/>
        <w:ind w:left="427" w:right="67" w:hanging="427"/>
        <w:spacing w:before="124" w:line="252" w:lineRule="auto"/>
        <w:rPr/>
      </w:pPr>
      <w:r>
        <w:rPr>
          <w:color w:val="231F20"/>
          <w:spacing w:val="5"/>
        </w:rPr>
        <w:t>[15]   </w:t>
      </w:r>
      <w:r>
        <w:rPr>
          <w:rFonts w:ascii="Microsoft YaHei" w:hAnsi="Microsoft YaHei" w:eastAsia="Microsoft YaHei" w:cs="Microsoft YaHei"/>
          <w:color w:val="231F20"/>
          <w:spacing w:val="5"/>
        </w:rPr>
        <w:t>雷周满 </w:t>
      </w:r>
      <w:r>
        <w:rPr>
          <w:color w:val="231F20"/>
          <w:spacing w:val="5"/>
        </w:rPr>
        <w:t>.</w:t>
      </w:r>
      <w:r>
        <w:rPr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白细胞计数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、</w:t>
      </w:r>
      <w:r>
        <w:rPr>
          <w:color w:val="231F20"/>
          <w:spacing w:val="5"/>
        </w:rPr>
        <w:t>C </w:t>
      </w:r>
      <w:r>
        <w:rPr>
          <w:rFonts w:ascii="Microsoft YaHei" w:hAnsi="Microsoft YaHei" w:eastAsia="Microsoft YaHei" w:cs="Microsoft YaHei"/>
          <w:color w:val="231F20"/>
          <w:spacing w:val="5"/>
        </w:rPr>
        <w:t>反应蛋白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、</w:t>
      </w:r>
      <w:r>
        <w:rPr>
          <w:color w:val="231F20"/>
        </w:rPr>
        <w:t>PCT</w:t>
      </w:r>
      <w:r>
        <w:rPr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检测在小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儿急性阑尾炎诊断中的应用价值</w:t>
      </w:r>
      <w:r>
        <w:rPr>
          <w:color w:val="231F20"/>
          <w:spacing w:val="9"/>
        </w:rPr>
        <w:t>[J].</w:t>
      </w:r>
      <w:r>
        <w:rPr>
          <w:rFonts w:ascii="Microsoft YaHei" w:hAnsi="Microsoft YaHei" w:eastAsia="Microsoft YaHei" w:cs="Microsoft YaHei"/>
          <w:color w:val="231F20"/>
          <w:spacing w:val="9"/>
        </w:rPr>
        <w:t>临床医</w:t>
      </w:r>
      <w:r>
        <w:rPr>
          <w:rFonts w:ascii="Microsoft YaHei" w:hAnsi="Microsoft YaHei" w:eastAsia="Microsoft YaHei" w:cs="Microsoft YaHei"/>
          <w:color w:val="231F20"/>
          <w:spacing w:val="8"/>
        </w:rPr>
        <w:t>学</w:t>
      </w:r>
      <w:r>
        <w:rPr>
          <w:color w:val="231F20"/>
          <w:spacing w:val="8"/>
        </w:rPr>
        <w:t>,2020,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40(3):20-22.</w:t>
      </w:r>
    </w:p>
    <w:p>
      <w:pPr>
        <w:pStyle w:val="BodyText"/>
        <w:ind w:left="430" w:right="68" w:hanging="431"/>
        <w:spacing w:before="134" w:line="225" w:lineRule="auto"/>
        <w:rPr/>
      </w:pPr>
      <w:r>
        <w:rPr>
          <w:color w:val="231F20"/>
          <w:spacing w:val="7"/>
        </w:rPr>
        <w:t>[16]   </w:t>
      </w:r>
      <w:r>
        <w:rPr>
          <w:rFonts w:ascii="Microsoft YaHei" w:hAnsi="Microsoft YaHei" w:eastAsia="Microsoft YaHei" w:cs="Microsoft YaHei"/>
          <w:color w:val="231F20"/>
          <w:spacing w:val="7"/>
        </w:rPr>
        <w:t>申艳敏 </w:t>
      </w:r>
      <w:r>
        <w:rPr>
          <w:color w:val="231F20"/>
          <w:spacing w:val="7"/>
        </w:rPr>
        <w:t>.C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反应蛋白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、降钙素原及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color w:val="231F20"/>
          <w:spacing w:val="7"/>
        </w:rPr>
        <w:t>D-</w:t>
      </w:r>
      <w:r>
        <w:rPr>
          <w:rFonts w:ascii="Microsoft YaHei" w:hAnsi="Microsoft YaHei" w:eastAsia="Microsoft YaHei" w:cs="Microsoft YaHei"/>
          <w:color w:val="231F20"/>
          <w:spacing w:val="7"/>
        </w:rPr>
        <w:t>二聚体检测在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急性阑尾炎患者中的评价价值</w:t>
      </w:r>
      <w:r>
        <w:rPr>
          <w:color w:val="231F20"/>
          <w:spacing w:val="8"/>
        </w:rPr>
        <w:t>[J].</w:t>
      </w:r>
      <w:r>
        <w:rPr>
          <w:rFonts w:ascii="Microsoft YaHei" w:hAnsi="Microsoft YaHei" w:eastAsia="Microsoft YaHei" w:cs="Microsoft YaHei"/>
          <w:color w:val="231F20"/>
          <w:spacing w:val="8"/>
        </w:rPr>
        <w:t>临床研究</w:t>
      </w:r>
      <w:r>
        <w:rPr>
          <w:color w:val="231F20"/>
          <w:spacing w:val="8"/>
        </w:rPr>
        <w:t>,2023,31</w:t>
      </w:r>
    </w:p>
    <w:p>
      <w:pPr>
        <w:pStyle w:val="BodyText"/>
        <w:ind w:left="427"/>
        <w:spacing w:before="86" w:line="232" w:lineRule="auto"/>
        <w:rPr/>
      </w:pPr>
      <w:r>
        <w:rPr>
          <w:color w:val="231F20"/>
          <w:spacing w:val="4"/>
        </w:rPr>
        <w:t>(6):127-129.</w:t>
      </w:r>
    </w:p>
    <w:p>
      <w:pPr>
        <w:pStyle w:val="BodyText"/>
        <w:spacing w:before="133" w:line="200" w:lineRule="auto"/>
        <w:jc w:val="right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5"/>
        </w:rPr>
        <w:t>（收稿日期：</w:t>
      </w:r>
      <w:r>
        <w:rPr>
          <w:color w:val="231F20"/>
          <w:spacing w:val="5"/>
        </w:rPr>
        <w:t>2024-09-06</w:t>
      </w:r>
      <w:r>
        <w:rPr>
          <w:rFonts w:ascii="Microsoft YaHei" w:hAnsi="Microsoft YaHei" w:eastAsia="Microsoft YaHei" w:cs="Microsoft YaHei"/>
          <w:color w:val="231F20"/>
          <w:spacing w:val="5"/>
        </w:rPr>
        <w:t>）</w:t>
      </w:r>
    </w:p>
    <w:p>
      <w:pPr>
        <w:spacing w:line="200" w:lineRule="auto"/>
        <w:sectPr>
          <w:type w:val="continuous"/>
          <w:pgSz w:w="12246" w:h="17178"/>
          <w:pgMar w:top="1306" w:right="1235" w:bottom="604" w:left="424" w:header="944" w:footer="354" w:gutter="0"/>
          <w:cols w:equalWidth="0" w:num="2">
            <w:col w:w="5820" w:space="100"/>
            <w:col w:w="4667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021"/>
        <w:spacing w:before="65" w:line="164" w:lineRule="auto"/>
        <w:rPr>
          <w:sz w:val="15"/>
          <w:szCs w:val="15"/>
        </w:rPr>
      </w:pPr>
      <w:r>
        <w:rPr>
          <w:sz w:val="17"/>
          <w:szCs w:val="17"/>
          <w:color w:val="231F20"/>
          <w:spacing w:val="8"/>
        </w:rPr>
        <w:t>18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系统医学     </w:t>
      </w:r>
      <w:r>
        <w:rPr>
          <w:sz w:val="15"/>
          <w:szCs w:val="15"/>
          <w:color w:val="231F20"/>
        </w:rPr>
        <w:t>SYSTEMS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</w:rPr>
        <w:t>MEDICINE</w:t>
      </w:r>
    </w:p>
    <w:sectPr>
      <w:type w:val="continuous"/>
      <w:pgSz w:w="12246" w:h="17178"/>
      <w:pgMar w:top="1306" w:right="1235" w:bottom="604" w:left="424" w:header="944" w:footer="354" w:gutter="0"/>
      <w:cols w:equalWidth="0" w:num="1">
        <w:col w:w="1058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40" w:lineRule="exact"/>
      <w:rPr>
        <w:rFonts w:ascii="Arial" w:hAnsi="Arial" w:eastAsia="Arial" w:cs="Arial"/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10"/>
      </w:rPr>
      <w:t>中国知网</w:t>
    </w:r>
    <w:r>
      <w:rPr>
        <w:rFonts w:ascii="Microsoft YaHei" w:hAnsi="Microsoft YaHei" w:eastAsia="Microsoft YaHei" w:cs="Microsoft YaHei"/>
        <w:sz w:val="22"/>
        <w:szCs w:val="22"/>
        <w:color w:val="999999"/>
        <w:spacing w:val="1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0"/>
      </w:rPr>
      <w:t>:</w:t>
    </w:r>
    <w:r>
      <w:rPr>
        <w:sz w:val="22"/>
        <w:szCs w:val="22"/>
        <w:position w:val="-1"/>
      </w:rPr>
      <w:drawing>
        <wp:inline distT="0" distB="0" distL="0" distR="0">
          <wp:extent cx="45084" cy="109727"/>
          <wp:effectExtent l="0" t="0" r="0" b="0"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5084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position w:val="-1"/>
      </w:rPr>
      <w:drawing>
        <wp:inline distT="0" distB="0" distL="0" distR="0">
          <wp:extent cx="45084" cy="109727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5084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22"/>
        <w:szCs w:val="22"/>
        <w:color w:val="999999"/>
        <w:position w:val="2"/>
      </w:rPr>
      <w:t>Www</w:t>
    </w:r>
    <w:r>
      <w:rPr>
        <w:rFonts w:ascii="Arial" w:hAnsi="Arial" w:eastAsia="Arial" w:cs="Arial"/>
        <w:sz w:val="22"/>
        <w:szCs w:val="22"/>
        <w:color w:val="999999"/>
        <w:spacing w:val="10"/>
        <w:position w:val="2"/>
      </w:rPr>
      <w:t>.</w:t>
    </w:r>
    <w:r>
      <w:rPr>
        <w:rFonts w:ascii="Arial" w:hAnsi="Arial" w:eastAsia="Arial" w:cs="Arial"/>
        <w:sz w:val="22"/>
        <w:szCs w:val="22"/>
        <w:color w:val="999999"/>
        <w:position w:val="1"/>
      </w:rPr>
      <w:t>cnki</w:t>
    </w:r>
    <w:r>
      <w:rPr>
        <w:rFonts w:ascii="Arial" w:hAnsi="Arial" w:eastAsia="Arial" w:cs="Arial"/>
        <w:sz w:val="22"/>
        <w:szCs w:val="22"/>
        <w:color w:val="999999"/>
        <w:spacing w:val="-16"/>
        <w:position w:val="1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0"/>
        <w:position w:val="2"/>
      </w:rPr>
      <w:t>.</w:t>
    </w:r>
    <w:r>
      <w:rPr>
        <w:rFonts w:ascii="Arial" w:hAnsi="Arial" w:eastAsia="Arial" w:cs="Arial"/>
        <w:sz w:val="22"/>
        <w:szCs w:val="22"/>
        <w:color w:val="999999"/>
        <w:spacing w:val="-35"/>
        <w:position w:val="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position w:val="2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40" w:lineRule="exact"/>
      <w:rPr>
        <w:rFonts w:ascii="Arial" w:hAnsi="Arial" w:eastAsia="Arial" w:cs="Arial"/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10"/>
      </w:rPr>
      <w:t>中国知网</w:t>
    </w:r>
    <w:r>
      <w:rPr>
        <w:rFonts w:ascii="Microsoft YaHei" w:hAnsi="Microsoft YaHei" w:eastAsia="Microsoft YaHei" w:cs="Microsoft YaHei"/>
        <w:sz w:val="22"/>
        <w:szCs w:val="22"/>
        <w:color w:val="999999"/>
        <w:spacing w:val="1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0"/>
      </w:rPr>
      <w:t>:</w:t>
    </w:r>
    <w:r>
      <w:rPr>
        <w:sz w:val="22"/>
        <w:szCs w:val="22"/>
        <w:position w:val="-1"/>
      </w:rPr>
      <w:drawing>
        <wp:inline distT="0" distB="0" distL="0" distR="0">
          <wp:extent cx="45084" cy="109727"/>
          <wp:effectExtent l="0" t="0" r="0" b="0"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5084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position w:val="-1"/>
      </w:rPr>
      <w:drawing>
        <wp:inline distT="0" distB="0" distL="0" distR="0">
          <wp:extent cx="45084" cy="109727"/>
          <wp:effectExtent l="0" t="0" r="0" b="0"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5084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22"/>
        <w:szCs w:val="22"/>
        <w:color w:val="999999"/>
        <w:position w:val="2"/>
      </w:rPr>
      <w:t>Www</w:t>
    </w:r>
    <w:r>
      <w:rPr>
        <w:rFonts w:ascii="Arial" w:hAnsi="Arial" w:eastAsia="Arial" w:cs="Arial"/>
        <w:sz w:val="22"/>
        <w:szCs w:val="22"/>
        <w:color w:val="999999"/>
        <w:spacing w:val="10"/>
        <w:position w:val="2"/>
      </w:rPr>
      <w:t>.</w:t>
    </w:r>
    <w:r>
      <w:rPr>
        <w:rFonts w:ascii="Arial" w:hAnsi="Arial" w:eastAsia="Arial" w:cs="Arial"/>
        <w:sz w:val="22"/>
        <w:szCs w:val="22"/>
        <w:color w:val="999999"/>
        <w:position w:val="1"/>
      </w:rPr>
      <w:t>cnki</w:t>
    </w:r>
    <w:r>
      <w:rPr>
        <w:rFonts w:ascii="Arial" w:hAnsi="Arial" w:eastAsia="Arial" w:cs="Arial"/>
        <w:sz w:val="22"/>
        <w:szCs w:val="22"/>
        <w:color w:val="999999"/>
        <w:spacing w:val="-16"/>
        <w:position w:val="1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0"/>
        <w:position w:val="2"/>
      </w:rPr>
      <w:t>.</w:t>
    </w:r>
    <w:r>
      <w:rPr>
        <w:rFonts w:ascii="Arial" w:hAnsi="Arial" w:eastAsia="Arial" w:cs="Arial"/>
        <w:sz w:val="22"/>
        <w:szCs w:val="22"/>
        <w:color w:val="999999"/>
        <w:spacing w:val="-35"/>
        <w:position w:val="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position w:val="2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0" w:line="234" w:lineRule="auto"/>
      <w:jc w:val="right"/>
      <w:rPr>
        <w:rFonts w:ascii="SimHei" w:hAnsi="SimHei" w:eastAsia="SimHei" w:cs="SimHei"/>
        <w:sz w:val="23"/>
        <w:szCs w:val="23"/>
      </w:rPr>
    </w:pPr>
    <w:r>
      <w:rPr>
        <w:rFonts w:ascii="Microsoft YaHei" w:hAnsi="Microsoft YaHei" w:eastAsia="Microsoft YaHei" w:cs="Microsoft YaHei"/>
        <w:sz w:val="17"/>
        <w:szCs w:val="17"/>
        <w:color w:val="231F20"/>
        <w:spacing w:val="-4"/>
      </w:rPr>
      <w:t>系统医学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23"/>
      </w:rPr>
      <w:t xml:space="preserve">  </w:t>
    </w:r>
    <w:r>
      <w:rPr>
        <w:sz w:val="17"/>
        <w:szCs w:val="17"/>
        <w:color w:val="231F20"/>
        <w:spacing w:val="-4"/>
      </w:rPr>
      <w:t>2024</w:t>
    </w:r>
    <w:r>
      <w:rPr>
        <w:sz w:val="17"/>
        <w:szCs w:val="17"/>
        <w:color w:val="231F20"/>
        <w:spacing w:val="1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4"/>
      </w:rPr>
      <w:t>年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8"/>
      </w:rPr>
      <w:t xml:space="preserve"> </w:t>
    </w:r>
    <w:r>
      <w:rPr>
        <w:sz w:val="17"/>
        <w:szCs w:val="17"/>
        <w:color w:val="231F20"/>
        <w:spacing w:val="-4"/>
      </w:rPr>
      <w:t>12</w:t>
    </w:r>
    <w:r>
      <w:rPr>
        <w:sz w:val="17"/>
        <w:szCs w:val="17"/>
        <w:color w:val="231F20"/>
        <w:spacing w:val="10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4"/>
      </w:rPr>
      <w:t>月第 </w:t>
    </w:r>
    <w:r>
      <w:rPr>
        <w:sz w:val="17"/>
        <w:szCs w:val="17"/>
        <w:color w:val="231F20"/>
        <w:spacing w:val="-4"/>
      </w:rPr>
      <w:t>9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4"/>
      </w:rPr>
      <w:t>卷第 </w:t>
    </w:r>
    <w:r>
      <w:rPr>
        <w:sz w:val="17"/>
        <w:szCs w:val="17"/>
        <w:color w:val="231F20"/>
        <w:spacing w:val="-4"/>
      </w:rPr>
      <w:t>23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4"/>
      </w:rPr>
      <w:t>期   </w:t>
    </w:r>
    <w:r>
      <w:rPr>
        <w:sz w:val="17"/>
        <w:szCs w:val="17"/>
        <w:position w:val="7"/>
      </w:rPr>
      <w:drawing>
        <wp:inline distT="0" distB="0" distL="0" distR="0">
          <wp:extent cx="3440313" cy="3599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440313" cy="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hd w:val="clear" w:fill="FFFFFE"/>
        <w:rFonts w:ascii="Microsoft YaHei" w:hAnsi="Microsoft YaHei" w:eastAsia="Microsoft YaHei" w:cs="Microsoft YaHei"/>
        <w:sz w:val="17"/>
        <w:szCs w:val="17"/>
        <w:color w:val="231F20"/>
        <w:spacing w:val="10"/>
      </w:rPr>
      <w:t xml:space="preserve">   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4"/>
        <w:position w:val="-2"/>
      </w:rPr>
      <w:t>·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69"/>
        <w:position w:val="-2"/>
      </w:rPr>
      <w:t xml:space="preserve"> 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4"/>
      </w:rPr>
      <w:t>论著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4"/>
      </w:rPr>
      <w:t xml:space="preserve"> 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4"/>
        <w:position w:val="-2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7"/>
      <w:spacing w:before="40" w:line="234" w:lineRule="auto"/>
      <w:rPr>
        <w:rFonts w:ascii="Microsoft YaHei" w:hAnsi="Microsoft YaHei" w:eastAsia="Microsoft YaHei" w:cs="Microsoft YaHei"/>
        <w:sz w:val="17"/>
        <w:szCs w:val="17"/>
      </w:rPr>
    </w:pPr>
    <w:r>
      <w:rPr>
        <w:shd w:val="clear" w:fill="FFFFFE"/>
        <w:rFonts w:ascii="SimHei" w:hAnsi="SimHei" w:eastAsia="SimHei" w:cs="SimHei"/>
        <w:sz w:val="23"/>
        <w:szCs w:val="23"/>
        <w:color w:val="231F20"/>
        <w:spacing w:val="-4"/>
        <w:position w:val="-2"/>
      </w:rPr>
      <w:t>·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61"/>
        <w:position w:val="-2"/>
      </w:rPr>
      <w:t xml:space="preserve"> 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4"/>
      </w:rPr>
      <w:t>论著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4"/>
      </w:rPr>
      <w:t xml:space="preserve"> 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4"/>
        <w:position w:val="-2"/>
      </w:rPr>
      <w:t>·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82"/>
        <w:position w:val="-2"/>
      </w:rPr>
      <w:t xml:space="preserve"> </w:t>
    </w:r>
    <w:r>
      <w:rPr>
        <w:sz w:val="23"/>
        <w:szCs w:val="23"/>
        <w:position w:val="7"/>
      </w:rPr>
      <w:drawing>
        <wp:inline distT="0" distB="0" distL="0" distR="0">
          <wp:extent cx="3440313" cy="3599"/>
          <wp:effectExtent l="0" t="0" r="0" b="0"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440313" cy="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3"/>
        <w:szCs w:val="23"/>
        <w:color w:val="231F20"/>
        <w:spacing w:val="108"/>
        <w:position w:val="-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4"/>
      </w:rPr>
      <w:t>系统医学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4"/>
        <w:w w:val="101"/>
      </w:rPr>
      <w:t xml:space="preserve">  </w:t>
    </w:r>
    <w:r>
      <w:rPr>
        <w:sz w:val="17"/>
        <w:szCs w:val="17"/>
        <w:color w:val="231F20"/>
        <w:spacing w:val="-4"/>
      </w:rPr>
      <w:t>2024</w:t>
    </w:r>
    <w:r>
      <w:rPr>
        <w:sz w:val="17"/>
        <w:szCs w:val="17"/>
        <w:color w:val="231F20"/>
        <w:spacing w:val="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4"/>
      </w:rPr>
      <w:t>年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8"/>
        <w:w w:val="101"/>
      </w:rPr>
      <w:t xml:space="preserve"> </w:t>
    </w:r>
    <w:r>
      <w:rPr>
        <w:sz w:val="17"/>
        <w:szCs w:val="17"/>
        <w:color w:val="231F20"/>
        <w:spacing w:val="-4"/>
      </w:rPr>
      <w:t>12</w:t>
    </w:r>
    <w:r>
      <w:rPr>
        <w:sz w:val="17"/>
        <w:szCs w:val="17"/>
        <w:color w:val="231F20"/>
        <w:spacing w:val="10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4"/>
      </w:rPr>
      <w:t>月第 </w:t>
    </w:r>
    <w:r>
      <w:rPr>
        <w:sz w:val="17"/>
        <w:szCs w:val="17"/>
        <w:color w:val="231F20"/>
        <w:spacing w:val="-4"/>
      </w:rPr>
      <w:t>9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4"/>
      </w:rPr>
      <w:t>卷第 </w:t>
    </w:r>
    <w:r>
      <w:rPr>
        <w:sz w:val="17"/>
        <w:szCs w:val="17"/>
        <w:color w:val="231F20"/>
        <w:spacing w:val="-4"/>
      </w:rPr>
      <w:t>23</w:t>
    </w:r>
    <w:r>
      <w:rPr>
        <w:sz w:val="17"/>
        <w:szCs w:val="17"/>
        <w:color w:val="231F20"/>
        <w:spacing w:val="6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4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image" Target="media/image7.png"/><Relationship Id="rId5" Type="http://schemas.openxmlformats.org/officeDocument/2006/relationships/header" Target="header1.xml"/><Relationship Id="rId4" Type="http://schemas.openxmlformats.org/officeDocument/2006/relationships/image" Target="media/image5.png"/><Relationship Id="rId3" Type="http://schemas.openxmlformats.org/officeDocument/2006/relationships/footer" Target="footer1.xml"/><Relationship Id="rId2" Type="http://schemas.openxmlformats.org/officeDocument/2006/relationships/image" Target="media/image2.png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2025-03-17T23:17:58Z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2025-10-28T21:32:32</vt:filetime>
  </property>
</Properties>
</file>