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424"/>
        <w:spacing w:before="202" w:line="190" w:lineRule="auto"/>
        <w:rPr>
          <w:rFonts w:ascii="Arial" w:hAnsi="Arial" w:eastAsia="Arial" w:cs="Arial"/>
          <w:sz w:val="17"/>
          <w:szCs w:val="17"/>
        </w:rPr>
      </w:pPr>
      <w:r>
        <w:rPr>
          <w:sz w:val="24"/>
          <w:szCs w:val="24"/>
          <w:color w:val="231F20"/>
          <w:position w:val="-6"/>
        </w:rPr>
        <w:drawing>
          <wp:inline distT="0" distB="0" distL="0" distR="0">
            <wp:extent cx="133350" cy="130809"/>
            <wp:effectExtent l="0" t="0" r="0" b="0"/>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133350" cy="130809"/>
                    </a:xfrm>
                    <a:prstGeom prst="rect">
                      <a:avLst/>
                    </a:prstGeom>
                  </pic:spPr>
                </pic:pic>
              </a:graphicData>
            </a:graphic>
          </wp:inline>
        </w:drawing>
      </w:r>
      <w:r>
        <w:rPr>
          <w:sz w:val="24"/>
          <w:szCs w:val="24"/>
          <w:color w:val="231F20"/>
          <w:spacing w:val="-15"/>
          <w:position w:val="-4"/>
        </w:rPr>
        <w:t xml:space="preserve"> </w:t>
      </w:r>
      <w:r>
        <w:rPr>
          <w:sz w:val="24"/>
          <w:szCs w:val="24"/>
          <w:color w:val="231F20"/>
          <w:spacing w:val="-1"/>
          <w:position w:val="-4"/>
        </w:rPr>
        <w:t>临床实践                                                                                    </w:t>
      </w:r>
      <w:r>
        <w:rPr>
          <w:rFonts w:ascii="Arial" w:hAnsi="Arial" w:eastAsia="Arial" w:cs="Arial"/>
          <w:sz w:val="17"/>
          <w:szCs w:val="17"/>
          <w:color w:val="231F20"/>
          <w:spacing w:val="-1"/>
          <w:position w:val="1"/>
        </w:rPr>
        <w:t>DOI</w:t>
      </w:r>
      <w:r>
        <w:rPr>
          <w:sz w:val="17"/>
          <w:szCs w:val="17"/>
          <w:color w:val="231F20"/>
          <w:spacing w:val="-1"/>
          <w:position w:val="1"/>
        </w:rPr>
        <w:t>：</w:t>
      </w:r>
      <w:r>
        <w:rPr>
          <w:sz w:val="17"/>
          <w:szCs w:val="17"/>
          <w:color w:val="231F20"/>
          <w:spacing w:val="-21"/>
          <w:position w:val="1"/>
        </w:rPr>
        <w:t xml:space="preserve"> </w:t>
      </w:r>
      <w:r>
        <w:rPr>
          <w:rFonts w:ascii="Arial" w:hAnsi="Arial" w:eastAsia="Arial" w:cs="Arial"/>
          <w:sz w:val="17"/>
          <w:szCs w:val="17"/>
          <w:color w:val="231F20"/>
          <w:spacing w:val="-1"/>
          <w:position w:val="1"/>
        </w:rPr>
        <w:t>10.19435/j.1672-1721.2024.31</w:t>
      </w:r>
      <w:r>
        <w:rPr>
          <w:rFonts w:ascii="Arial" w:hAnsi="Arial" w:eastAsia="Arial" w:cs="Arial"/>
          <w:sz w:val="17"/>
          <w:szCs w:val="17"/>
          <w:color w:val="231F20"/>
          <w:spacing w:val="-2"/>
          <w:position w:val="1"/>
        </w:rPr>
        <w:t>.010</w:t>
      </w:r>
    </w:p>
    <w:p>
      <w:pPr>
        <w:pStyle w:val="BodyText"/>
        <w:ind w:left="667"/>
        <w:spacing w:before="283" w:line="190" w:lineRule="auto"/>
        <w:outlineLvl w:val="0"/>
        <w:rPr>
          <w:sz w:val="36"/>
          <w:szCs w:val="36"/>
        </w:rPr>
      </w:pPr>
      <w:r>
        <w:rPr>
          <w:sz w:val="36"/>
          <w:szCs w:val="36"/>
          <w:color w:val="231F20"/>
        </w:rPr>
        <w:t>腹腔镜阑尾切除术中阑尾残端不同处理方式临床价值对比分析</w:t>
      </w:r>
    </w:p>
    <w:p>
      <w:pPr>
        <w:pStyle w:val="BodyText"/>
        <w:ind w:left="5184"/>
        <w:spacing w:before="154" w:line="186" w:lineRule="auto"/>
        <w:outlineLvl w:val="0"/>
        <w:rPr>
          <w:sz w:val="24"/>
          <w:szCs w:val="24"/>
        </w:rPr>
      </w:pPr>
      <w:r>
        <w:rPr>
          <w:sz w:val="24"/>
          <w:szCs w:val="24"/>
          <w:color w:val="231F20"/>
          <w:spacing w:val="-5"/>
          <w:w w:val="98"/>
        </w:rPr>
        <w:t>艾</w:t>
      </w:r>
      <w:r>
        <w:rPr>
          <w:sz w:val="24"/>
          <w:szCs w:val="24"/>
          <w:color w:val="231F20"/>
          <w:spacing w:val="11"/>
        </w:rPr>
        <w:t xml:space="preserve">   </w:t>
      </w:r>
      <w:r>
        <w:rPr>
          <w:sz w:val="24"/>
          <w:szCs w:val="24"/>
          <w:color w:val="231F20"/>
          <w:spacing w:val="-5"/>
          <w:w w:val="98"/>
        </w:rPr>
        <w:t>斌</w:t>
      </w:r>
    </w:p>
    <w:p>
      <w:pPr>
        <w:pStyle w:val="BodyText"/>
        <w:ind w:left="3426"/>
        <w:spacing w:before="86" w:line="205" w:lineRule="auto"/>
        <w:rPr>
          <w:sz w:val="17"/>
          <w:szCs w:val="17"/>
        </w:rPr>
      </w:pPr>
      <w:r>
        <w:rPr>
          <w:sz w:val="17"/>
          <w:szCs w:val="17"/>
          <w:color w:val="231F20"/>
          <w:spacing w:val="1"/>
        </w:rPr>
        <w:t>（南昌县人民医院普外胸外科</w:t>
      </w:r>
      <w:r>
        <w:rPr>
          <w:sz w:val="17"/>
          <w:szCs w:val="17"/>
          <w:color w:val="231F20"/>
          <w:spacing w:val="-20"/>
        </w:rPr>
        <w:t xml:space="preserve"> </w:t>
      </w:r>
      <w:r>
        <w:rPr>
          <w:sz w:val="17"/>
          <w:szCs w:val="17"/>
          <w:color w:val="231F20"/>
          <w:spacing w:val="1"/>
        </w:rPr>
        <w:t>，江西   南昌 </w:t>
      </w:r>
      <w:r>
        <w:rPr>
          <w:sz w:val="17"/>
          <w:szCs w:val="17"/>
          <w:color w:val="231F20"/>
        </w:rPr>
        <w:t xml:space="preserve">   330200）</w:t>
      </w:r>
    </w:p>
    <w:p>
      <w:pPr>
        <w:spacing w:line="395" w:lineRule="auto"/>
        <w:rPr>
          <w:rFonts w:ascii="Arial"/>
          <w:sz w:val="21"/>
        </w:rPr>
      </w:pPr>
      <w:r/>
    </w:p>
    <w:p>
      <w:pPr>
        <w:pStyle w:val="BodyText"/>
        <w:ind w:left="606" w:right="291" w:hanging="22"/>
        <w:spacing w:before="73" w:line="225" w:lineRule="auto"/>
        <w:jc w:val="both"/>
        <w:rPr>
          <w:sz w:val="17"/>
          <w:szCs w:val="17"/>
        </w:rPr>
      </w:pPr>
      <w:r>
        <w:rPr>
          <w:sz w:val="17"/>
          <w:szCs w:val="17"/>
          <w:color w:val="231F20"/>
          <w:spacing w:val="3"/>
        </w:rPr>
        <w:t>【摘要】</w:t>
      </w:r>
      <w:r>
        <w:rPr>
          <w:sz w:val="17"/>
          <w:szCs w:val="17"/>
          <w:color w:val="231F20"/>
          <w:spacing w:val="-10"/>
        </w:rPr>
        <w:t xml:space="preserve"> </w:t>
      </w:r>
      <w:r>
        <w:rPr>
          <w:sz w:val="17"/>
          <w:szCs w:val="17"/>
          <w:color w:val="231F20"/>
          <w:spacing w:val="3"/>
        </w:rPr>
        <w:t>目的   探析腹腔镜阑尾切除术中阑尾残端不同处理方式的临床价值</w:t>
      </w:r>
      <w:r>
        <w:rPr>
          <w:sz w:val="17"/>
          <w:szCs w:val="17"/>
          <w:color w:val="231F20"/>
          <w:spacing w:val="-28"/>
        </w:rPr>
        <w:t xml:space="preserve"> </w:t>
      </w:r>
      <w:r>
        <w:rPr>
          <w:sz w:val="17"/>
          <w:szCs w:val="17"/>
          <w:color w:val="231F20"/>
          <w:spacing w:val="3"/>
        </w:rPr>
        <w:t>。方法    选取 2020 年 </w:t>
      </w:r>
      <w:r>
        <w:rPr>
          <w:sz w:val="17"/>
          <w:szCs w:val="17"/>
          <w:color w:val="231F20"/>
          <w:spacing w:val="2"/>
        </w:rPr>
        <w:t>2</w:t>
      </w:r>
      <w:r>
        <w:rPr>
          <w:sz w:val="17"/>
          <w:szCs w:val="17"/>
          <w:color w:val="231F20"/>
          <w:spacing w:val="14"/>
          <w:w w:val="101"/>
        </w:rPr>
        <w:t xml:space="preserve"> </w:t>
      </w:r>
      <w:r>
        <w:rPr>
          <w:sz w:val="17"/>
          <w:szCs w:val="17"/>
          <w:color w:val="231F20"/>
          <w:spacing w:val="2"/>
        </w:rPr>
        <w:t>月—2022 年</w:t>
      </w:r>
      <w:r>
        <w:rPr>
          <w:sz w:val="17"/>
          <w:szCs w:val="17"/>
          <w:color w:val="231F20"/>
          <w:spacing w:val="6"/>
        </w:rPr>
        <w:t xml:space="preserve"> </w:t>
      </w:r>
      <w:r>
        <w:rPr>
          <w:sz w:val="17"/>
          <w:szCs w:val="17"/>
          <w:color w:val="231F20"/>
          <w:spacing w:val="2"/>
        </w:rPr>
        <w:t>2</w:t>
      </w:r>
      <w:r>
        <w:rPr>
          <w:sz w:val="17"/>
          <w:szCs w:val="17"/>
          <w:color w:val="231F20"/>
          <w:spacing w:val="15"/>
        </w:rPr>
        <w:t xml:space="preserve"> </w:t>
      </w:r>
      <w:r>
        <w:rPr>
          <w:sz w:val="17"/>
          <w:szCs w:val="17"/>
          <w:color w:val="231F20"/>
          <w:spacing w:val="2"/>
        </w:rPr>
        <w:t>月在南昌县</w:t>
      </w:r>
      <w:r>
        <w:rPr>
          <w:sz w:val="17"/>
          <w:szCs w:val="17"/>
          <w:color w:val="231F20"/>
        </w:rPr>
        <w:t xml:space="preserve"> </w:t>
      </w:r>
      <w:r>
        <w:rPr>
          <w:sz w:val="17"/>
          <w:szCs w:val="17"/>
          <w:color w:val="231F20"/>
          <w:spacing w:val="5"/>
        </w:rPr>
        <w:t>人民医院行腹腔镜阑尾切除术的 60 例阑尾炎患者作为研究对象</w:t>
      </w:r>
      <w:r>
        <w:rPr>
          <w:sz w:val="17"/>
          <w:szCs w:val="17"/>
          <w:color w:val="231F20"/>
          <w:spacing w:val="-11"/>
        </w:rPr>
        <w:t xml:space="preserve"> </w:t>
      </w:r>
      <w:r>
        <w:rPr>
          <w:sz w:val="17"/>
          <w:szCs w:val="17"/>
          <w:color w:val="231F20"/>
          <w:spacing w:val="5"/>
        </w:rPr>
        <w:t>，</w:t>
      </w:r>
      <w:r>
        <w:rPr>
          <w:sz w:val="17"/>
          <w:szCs w:val="17"/>
          <w:color w:val="231F20"/>
          <w:spacing w:val="-24"/>
        </w:rPr>
        <w:t xml:space="preserve"> </w:t>
      </w:r>
      <w:r>
        <w:rPr>
          <w:sz w:val="17"/>
          <w:szCs w:val="17"/>
          <w:color w:val="231F20"/>
          <w:spacing w:val="5"/>
        </w:rPr>
        <w:t>随机分为 A 组和 B 组</w:t>
      </w:r>
      <w:r>
        <w:rPr>
          <w:sz w:val="17"/>
          <w:szCs w:val="17"/>
          <w:color w:val="231F20"/>
          <w:spacing w:val="-15"/>
        </w:rPr>
        <w:t xml:space="preserve"> </w:t>
      </w:r>
      <w:r>
        <w:rPr>
          <w:sz w:val="17"/>
          <w:szCs w:val="17"/>
          <w:color w:val="231F20"/>
          <w:spacing w:val="5"/>
        </w:rPr>
        <w:t>，各 30</w:t>
      </w:r>
      <w:r>
        <w:rPr>
          <w:sz w:val="17"/>
          <w:szCs w:val="17"/>
          <w:color w:val="231F20"/>
          <w:spacing w:val="10"/>
        </w:rPr>
        <w:t xml:space="preserve"> </w:t>
      </w:r>
      <w:r>
        <w:rPr>
          <w:sz w:val="17"/>
          <w:szCs w:val="17"/>
          <w:color w:val="231F20"/>
          <w:spacing w:val="5"/>
        </w:rPr>
        <w:t>例</w:t>
      </w:r>
      <w:r>
        <w:rPr>
          <w:sz w:val="17"/>
          <w:szCs w:val="17"/>
          <w:color w:val="231F20"/>
          <w:spacing w:val="-26"/>
        </w:rPr>
        <w:t xml:space="preserve"> </w:t>
      </w:r>
      <w:r>
        <w:rPr>
          <w:sz w:val="17"/>
          <w:szCs w:val="17"/>
          <w:color w:val="231F20"/>
          <w:spacing w:val="5"/>
        </w:rPr>
        <w:t>。2</w:t>
      </w:r>
      <w:r>
        <w:rPr>
          <w:sz w:val="17"/>
          <w:szCs w:val="17"/>
          <w:color w:val="231F20"/>
          <w:spacing w:val="14"/>
        </w:rPr>
        <w:t xml:space="preserve"> </w:t>
      </w:r>
      <w:r>
        <w:rPr>
          <w:sz w:val="17"/>
          <w:szCs w:val="17"/>
          <w:color w:val="231F20"/>
          <w:spacing w:val="5"/>
        </w:rPr>
        <w:t>组患者均接受腹腔镜阑</w:t>
      </w:r>
      <w:r>
        <w:rPr>
          <w:sz w:val="17"/>
          <w:szCs w:val="17"/>
          <w:color w:val="231F20"/>
        </w:rPr>
        <w:t xml:space="preserve"> </w:t>
      </w:r>
      <w:r>
        <w:rPr>
          <w:sz w:val="17"/>
          <w:szCs w:val="17"/>
          <w:color w:val="231F20"/>
          <w:spacing w:val="3"/>
        </w:rPr>
        <w:t>尾切除术治疗，A 组采用传统荷包缝合法包埋处理</w:t>
      </w:r>
      <w:r>
        <w:rPr>
          <w:sz w:val="17"/>
          <w:szCs w:val="17"/>
          <w:color w:val="231F20"/>
          <w:spacing w:val="-19"/>
        </w:rPr>
        <w:t xml:space="preserve"> </w:t>
      </w:r>
      <w:r>
        <w:rPr>
          <w:sz w:val="17"/>
          <w:szCs w:val="17"/>
          <w:color w:val="231F20"/>
          <w:spacing w:val="3"/>
        </w:rPr>
        <w:t>，B 组采用 </w:t>
      </w:r>
      <w:r>
        <w:rPr>
          <w:sz w:val="17"/>
          <w:szCs w:val="17"/>
          <w:color w:val="231F20"/>
        </w:rPr>
        <w:t>Hemolok</w:t>
      </w:r>
      <w:r>
        <w:rPr>
          <w:sz w:val="17"/>
          <w:szCs w:val="17"/>
          <w:color w:val="231F20"/>
          <w:spacing w:val="3"/>
        </w:rPr>
        <w:t xml:space="preserve"> 夹夹闭阑尾根部后切除阑尾</w:t>
      </w:r>
      <w:r>
        <w:rPr>
          <w:sz w:val="17"/>
          <w:szCs w:val="17"/>
          <w:color w:val="231F20"/>
          <w:spacing w:val="-17"/>
        </w:rPr>
        <w:t xml:space="preserve"> </w:t>
      </w:r>
      <w:r>
        <w:rPr>
          <w:sz w:val="17"/>
          <w:szCs w:val="17"/>
          <w:color w:val="231F20"/>
          <w:spacing w:val="3"/>
        </w:rPr>
        <w:t>，</w:t>
      </w:r>
      <w:r>
        <w:rPr>
          <w:sz w:val="17"/>
          <w:szCs w:val="17"/>
          <w:color w:val="231F20"/>
          <w:spacing w:val="-18"/>
        </w:rPr>
        <w:t xml:space="preserve"> </w:t>
      </w:r>
      <w:r>
        <w:rPr>
          <w:sz w:val="17"/>
          <w:szCs w:val="17"/>
          <w:color w:val="231F20"/>
          <w:spacing w:val="3"/>
        </w:rPr>
        <w:t>比较 2 组患者围术期指标</w:t>
      </w:r>
      <w:r>
        <w:rPr>
          <w:sz w:val="17"/>
          <w:szCs w:val="17"/>
          <w:color w:val="231F20"/>
        </w:rPr>
        <w:t xml:space="preserve"> </w:t>
      </w:r>
      <w:r>
        <w:rPr>
          <w:sz w:val="17"/>
          <w:szCs w:val="17"/>
          <w:color w:val="231F20"/>
          <w:spacing w:val="7"/>
        </w:rPr>
        <w:t>（手术时间</w:t>
      </w:r>
      <w:r>
        <w:rPr>
          <w:sz w:val="17"/>
          <w:szCs w:val="17"/>
          <w:color w:val="231F20"/>
          <w:spacing w:val="-30"/>
        </w:rPr>
        <w:t xml:space="preserve"> </w:t>
      </w:r>
      <w:r>
        <w:rPr>
          <w:sz w:val="17"/>
          <w:szCs w:val="17"/>
          <w:color w:val="231F20"/>
          <w:spacing w:val="7"/>
        </w:rPr>
        <w:t>、术中出血量</w:t>
      </w:r>
      <w:r>
        <w:rPr>
          <w:sz w:val="17"/>
          <w:szCs w:val="17"/>
          <w:color w:val="231F20"/>
          <w:spacing w:val="-30"/>
        </w:rPr>
        <w:t xml:space="preserve"> </w:t>
      </w:r>
      <w:r>
        <w:rPr>
          <w:sz w:val="17"/>
          <w:szCs w:val="17"/>
          <w:color w:val="231F20"/>
          <w:spacing w:val="7"/>
        </w:rPr>
        <w:t>、住院时间以及住院费用</w:t>
      </w:r>
      <w:r>
        <w:rPr>
          <w:sz w:val="17"/>
          <w:szCs w:val="17"/>
          <w:color w:val="231F20"/>
          <w:spacing w:val="6"/>
        </w:rPr>
        <w:t>）、</w:t>
      </w:r>
      <w:r>
        <w:rPr>
          <w:sz w:val="17"/>
          <w:szCs w:val="17"/>
          <w:color w:val="231F20"/>
          <w:spacing w:val="-16"/>
        </w:rPr>
        <w:t xml:space="preserve"> </w:t>
      </w:r>
      <w:r>
        <w:rPr>
          <w:sz w:val="17"/>
          <w:szCs w:val="17"/>
          <w:color w:val="231F20"/>
          <w:spacing w:val="6"/>
        </w:rPr>
        <w:t>胃肠功能恢复时间（肠蠕动恢复时间</w:t>
      </w:r>
      <w:r>
        <w:rPr>
          <w:sz w:val="17"/>
          <w:szCs w:val="17"/>
          <w:color w:val="231F20"/>
          <w:spacing w:val="-31"/>
        </w:rPr>
        <w:t xml:space="preserve"> </w:t>
      </w:r>
      <w:r>
        <w:rPr>
          <w:sz w:val="17"/>
          <w:szCs w:val="17"/>
          <w:color w:val="231F20"/>
          <w:spacing w:val="6"/>
        </w:rPr>
        <w:t>、肛门首次排气时间以及肠鸣音首</w:t>
      </w:r>
      <w:r>
        <w:rPr>
          <w:sz w:val="17"/>
          <w:szCs w:val="17"/>
          <w:color w:val="231F20"/>
        </w:rPr>
        <w:t xml:space="preserve"> </w:t>
      </w:r>
      <w:r>
        <w:rPr>
          <w:sz w:val="17"/>
          <w:szCs w:val="17"/>
          <w:color w:val="231F20"/>
          <w:spacing w:val="3"/>
        </w:rPr>
        <w:t>次出现时间）、</w:t>
      </w:r>
      <w:r>
        <w:rPr>
          <w:sz w:val="17"/>
          <w:szCs w:val="17"/>
          <w:color w:val="231F20"/>
          <w:spacing w:val="-13"/>
        </w:rPr>
        <w:t xml:space="preserve"> </w:t>
      </w:r>
      <w:r>
        <w:rPr>
          <w:sz w:val="17"/>
          <w:szCs w:val="17"/>
          <w:color w:val="231F20"/>
          <w:spacing w:val="3"/>
        </w:rPr>
        <w:t>生活质量[健康调查简表</w:t>
      </w:r>
      <w:r>
        <w:rPr>
          <w:sz w:val="17"/>
          <w:szCs w:val="17"/>
          <w:color w:val="231F20"/>
          <w:spacing w:val="-23"/>
        </w:rPr>
        <w:t xml:space="preserve"> </w:t>
      </w:r>
      <w:r>
        <w:rPr>
          <w:sz w:val="17"/>
          <w:szCs w:val="17"/>
          <w:color w:val="231F20"/>
          <w:spacing w:val="3"/>
        </w:rPr>
        <w:t>（</w:t>
      </w:r>
      <w:r>
        <w:rPr>
          <w:sz w:val="17"/>
          <w:szCs w:val="17"/>
          <w:color w:val="231F20"/>
        </w:rPr>
        <w:t>the</w:t>
      </w:r>
      <w:r>
        <w:rPr>
          <w:sz w:val="17"/>
          <w:szCs w:val="17"/>
          <w:color w:val="231F20"/>
          <w:spacing w:val="33"/>
        </w:rPr>
        <w:t xml:space="preserve"> </w:t>
      </w:r>
      <w:r>
        <w:rPr>
          <w:sz w:val="17"/>
          <w:szCs w:val="17"/>
          <w:color w:val="231F20"/>
        </w:rPr>
        <w:t>MOS</w:t>
      </w:r>
      <w:r>
        <w:rPr>
          <w:sz w:val="17"/>
          <w:szCs w:val="17"/>
          <w:color w:val="231F20"/>
          <w:spacing w:val="33"/>
        </w:rPr>
        <w:t xml:space="preserve"> </w:t>
      </w:r>
      <w:r>
        <w:rPr>
          <w:sz w:val="17"/>
          <w:szCs w:val="17"/>
          <w:color w:val="231F20"/>
        </w:rPr>
        <w:t>item</w:t>
      </w:r>
      <w:r>
        <w:rPr>
          <w:sz w:val="17"/>
          <w:szCs w:val="17"/>
          <w:color w:val="231F20"/>
          <w:spacing w:val="22"/>
          <w:w w:val="101"/>
        </w:rPr>
        <w:t xml:space="preserve"> </w:t>
      </w:r>
      <w:r>
        <w:rPr>
          <w:sz w:val="17"/>
          <w:szCs w:val="17"/>
          <w:color w:val="231F20"/>
        </w:rPr>
        <w:t>short</w:t>
      </w:r>
      <w:r>
        <w:rPr>
          <w:sz w:val="17"/>
          <w:szCs w:val="17"/>
          <w:color w:val="231F20"/>
          <w:spacing w:val="23"/>
          <w:w w:val="101"/>
        </w:rPr>
        <w:t xml:space="preserve"> </w:t>
      </w:r>
      <w:r>
        <w:rPr>
          <w:sz w:val="17"/>
          <w:szCs w:val="17"/>
          <w:color w:val="231F20"/>
        </w:rPr>
        <w:t>from</w:t>
      </w:r>
      <w:r>
        <w:rPr>
          <w:sz w:val="17"/>
          <w:szCs w:val="17"/>
          <w:color w:val="231F20"/>
          <w:spacing w:val="30"/>
          <w:w w:val="101"/>
        </w:rPr>
        <w:t xml:space="preserve"> </w:t>
      </w:r>
      <w:r>
        <w:rPr>
          <w:sz w:val="17"/>
          <w:szCs w:val="17"/>
          <w:color w:val="231F20"/>
        </w:rPr>
        <w:t>health</w:t>
      </w:r>
      <w:r>
        <w:rPr>
          <w:sz w:val="17"/>
          <w:szCs w:val="17"/>
          <w:color w:val="231F20"/>
          <w:spacing w:val="24"/>
        </w:rPr>
        <w:t xml:space="preserve"> </w:t>
      </w:r>
      <w:r>
        <w:rPr>
          <w:sz w:val="17"/>
          <w:szCs w:val="17"/>
          <w:color w:val="231F20"/>
        </w:rPr>
        <w:t>survey</w:t>
      </w:r>
      <w:r>
        <w:rPr>
          <w:sz w:val="17"/>
          <w:szCs w:val="17"/>
          <w:color w:val="231F20"/>
          <w:spacing w:val="3"/>
        </w:rPr>
        <w:t>，</w:t>
      </w:r>
      <w:r>
        <w:rPr>
          <w:sz w:val="17"/>
          <w:szCs w:val="17"/>
          <w:color w:val="231F20"/>
          <w:spacing w:val="-22"/>
        </w:rPr>
        <w:t xml:space="preserve"> </w:t>
      </w:r>
      <w:r>
        <w:rPr>
          <w:sz w:val="17"/>
          <w:szCs w:val="17"/>
          <w:color w:val="231F20"/>
        </w:rPr>
        <w:t>SF</w:t>
      </w:r>
      <w:r>
        <w:rPr>
          <w:sz w:val="17"/>
          <w:szCs w:val="17"/>
          <w:color w:val="231F20"/>
          <w:spacing w:val="3"/>
        </w:rPr>
        <w:t>-36） 评分]以及并发症</w:t>
      </w:r>
      <w:r>
        <w:rPr>
          <w:sz w:val="17"/>
          <w:szCs w:val="17"/>
          <w:color w:val="231F20"/>
          <w:spacing w:val="-19"/>
        </w:rPr>
        <w:t xml:space="preserve"> </w:t>
      </w:r>
      <w:r>
        <w:rPr>
          <w:sz w:val="17"/>
          <w:szCs w:val="17"/>
          <w:color w:val="231F20"/>
          <w:spacing w:val="3"/>
        </w:rPr>
        <w:t>。结果    B组</w:t>
      </w:r>
      <w:r>
        <w:rPr>
          <w:sz w:val="17"/>
          <w:szCs w:val="17"/>
          <w:color w:val="231F20"/>
        </w:rPr>
        <w:t xml:space="preserve"> </w:t>
      </w:r>
      <w:r>
        <w:rPr>
          <w:sz w:val="17"/>
          <w:szCs w:val="17"/>
          <w:color w:val="231F20"/>
          <w:spacing w:val="4"/>
        </w:rPr>
        <w:t>手术时间</w:t>
      </w:r>
      <w:r>
        <w:rPr>
          <w:sz w:val="17"/>
          <w:szCs w:val="17"/>
          <w:color w:val="231F20"/>
          <w:spacing w:val="-27"/>
        </w:rPr>
        <w:t xml:space="preserve"> </w:t>
      </w:r>
      <w:r>
        <w:rPr>
          <w:sz w:val="17"/>
          <w:szCs w:val="17"/>
          <w:color w:val="231F20"/>
          <w:spacing w:val="4"/>
        </w:rPr>
        <w:t>、住院时间短于 A 组（</w:t>
      </w:r>
      <w:r>
        <w:rPr>
          <w:sz w:val="18"/>
          <w:szCs w:val="18"/>
          <w:color w:val="231F20"/>
          <w:spacing w:val="4"/>
        </w:rPr>
        <w:t>P</w:t>
      </w:r>
      <w:r>
        <w:rPr>
          <w:sz w:val="17"/>
          <w:szCs w:val="17"/>
          <w:color w:val="231F20"/>
          <w:spacing w:val="4"/>
        </w:rPr>
        <w:t>＜0.05</w:t>
      </w:r>
      <w:r>
        <w:rPr>
          <w:sz w:val="17"/>
          <w:szCs w:val="17"/>
          <w:color w:val="231F20"/>
          <w:spacing w:val="-27"/>
        </w:rPr>
        <w:t>）；</w:t>
      </w:r>
      <w:r>
        <w:rPr>
          <w:sz w:val="17"/>
          <w:szCs w:val="17"/>
          <w:color w:val="231F20"/>
          <w:spacing w:val="4"/>
        </w:rPr>
        <w:t>B 组术</w:t>
      </w:r>
      <w:r>
        <w:rPr>
          <w:sz w:val="17"/>
          <w:szCs w:val="17"/>
          <w:color w:val="231F20"/>
          <w:spacing w:val="3"/>
        </w:rPr>
        <w:t>中出血量及住院费用少于 A 组（</w:t>
      </w:r>
      <w:r>
        <w:rPr>
          <w:sz w:val="18"/>
          <w:szCs w:val="18"/>
          <w:color w:val="231F20"/>
          <w:spacing w:val="3"/>
        </w:rPr>
        <w:t>P</w:t>
      </w:r>
      <w:r>
        <w:rPr>
          <w:sz w:val="17"/>
          <w:szCs w:val="17"/>
          <w:color w:val="231F20"/>
          <w:spacing w:val="3"/>
        </w:rPr>
        <w:t>＜0.05</w:t>
      </w:r>
      <w:r>
        <w:rPr>
          <w:sz w:val="17"/>
          <w:szCs w:val="17"/>
          <w:color w:val="231F20"/>
          <w:spacing w:val="-27"/>
        </w:rPr>
        <w:t>）；</w:t>
      </w:r>
      <w:r>
        <w:rPr>
          <w:sz w:val="17"/>
          <w:szCs w:val="17"/>
          <w:color w:val="231F20"/>
          <w:spacing w:val="3"/>
        </w:rPr>
        <w:t>B 组肠蠕动恢复</w:t>
      </w:r>
      <w:r>
        <w:rPr>
          <w:sz w:val="17"/>
          <w:szCs w:val="17"/>
          <w:color w:val="231F20"/>
          <w:spacing w:val="-29"/>
        </w:rPr>
        <w:t xml:space="preserve"> </w:t>
      </w:r>
      <w:r>
        <w:rPr>
          <w:sz w:val="17"/>
          <w:szCs w:val="17"/>
          <w:color w:val="231F20"/>
          <w:spacing w:val="3"/>
        </w:rPr>
        <w:t>、肛门首次排气</w:t>
      </w:r>
      <w:r>
        <w:rPr>
          <w:sz w:val="17"/>
          <w:szCs w:val="17"/>
          <w:color w:val="231F20"/>
        </w:rPr>
        <w:t xml:space="preserve"> </w:t>
      </w:r>
      <w:r>
        <w:rPr>
          <w:sz w:val="17"/>
          <w:szCs w:val="17"/>
          <w:color w:val="231F20"/>
          <w:spacing w:val="6"/>
        </w:rPr>
        <w:t>以及肠鸣音首次出现时间均短于 A</w:t>
      </w:r>
      <w:r>
        <w:rPr>
          <w:sz w:val="17"/>
          <w:szCs w:val="17"/>
          <w:color w:val="231F20"/>
          <w:spacing w:val="19"/>
          <w:w w:val="101"/>
        </w:rPr>
        <w:t xml:space="preserve"> </w:t>
      </w:r>
      <w:r>
        <w:rPr>
          <w:sz w:val="17"/>
          <w:szCs w:val="17"/>
          <w:color w:val="231F20"/>
          <w:spacing w:val="6"/>
        </w:rPr>
        <w:t>组</w:t>
      </w:r>
      <w:r>
        <w:rPr>
          <w:sz w:val="17"/>
          <w:szCs w:val="17"/>
          <w:color w:val="231F20"/>
          <w:spacing w:val="-26"/>
        </w:rPr>
        <w:t xml:space="preserve"> </w:t>
      </w:r>
      <w:r>
        <w:rPr>
          <w:sz w:val="17"/>
          <w:szCs w:val="17"/>
          <w:color w:val="231F20"/>
          <w:spacing w:val="6"/>
        </w:rPr>
        <w:t>（</w:t>
      </w:r>
      <w:r>
        <w:rPr>
          <w:sz w:val="18"/>
          <w:szCs w:val="18"/>
          <w:color w:val="231F20"/>
          <w:spacing w:val="6"/>
        </w:rPr>
        <w:t>P</w:t>
      </w:r>
      <w:r>
        <w:rPr>
          <w:sz w:val="17"/>
          <w:szCs w:val="17"/>
          <w:color w:val="231F20"/>
          <w:spacing w:val="6"/>
        </w:rPr>
        <w:t>＜0.05</w:t>
      </w:r>
      <w:r>
        <w:rPr>
          <w:sz w:val="17"/>
          <w:szCs w:val="17"/>
          <w:color w:val="231F20"/>
          <w:spacing w:val="-28"/>
        </w:rPr>
        <w:t>）；</w:t>
      </w:r>
      <w:r>
        <w:rPr>
          <w:sz w:val="17"/>
          <w:szCs w:val="17"/>
          <w:color w:val="231F20"/>
          <w:spacing w:val="-25"/>
        </w:rPr>
        <w:t xml:space="preserve"> </w:t>
      </w:r>
      <w:r>
        <w:rPr>
          <w:sz w:val="17"/>
          <w:szCs w:val="17"/>
          <w:color w:val="231F20"/>
          <w:spacing w:val="6"/>
        </w:rPr>
        <w:t>术后</w:t>
      </w:r>
      <w:r>
        <w:rPr>
          <w:sz w:val="17"/>
          <w:szCs w:val="17"/>
          <w:color w:val="231F20"/>
          <w:spacing w:val="28"/>
        </w:rPr>
        <w:t xml:space="preserve"> </w:t>
      </w:r>
      <w:r>
        <w:rPr>
          <w:sz w:val="17"/>
          <w:szCs w:val="17"/>
          <w:color w:val="231F20"/>
          <w:spacing w:val="6"/>
        </w:rPr>
        <w:t>1</w:t>
      </w:r>
      <w:r>
        <w:rPr>
          <w:sz w:val="17"/>
          <w:szCs w:val="17"/>
          <w:color w:val="231F20"/>
          <w:spacing w:val="-16"/>
        </w:rPr>
        <w:t xml:space="preserve"> </w:t>
      </w:r>
      <w:r>
        <w:rPr>
          <w:sz w:val="17"/>
          <w:szCs w:val="17"/>
          <w:color w:val="231F20"/>
          <w:spacing w:val="6"/>
        </w:rPr>
        <w:t>个月，</w:t>
      </w:r>
      <w:r>
        <w:rPr>
          <w:sz w:val="17"/>
          <w:szCs w:val="17"/>
          <w:color w:val="231F20"/>
          <w:spacing w:val="-12"/>
        </w:rPr>
        <w:t xml:space="preserve"> </w:t>
      </w:r>
      <w:r>
        <w:rPr>
          <w:sz w:val="17"/>
          <w:szCs w:val="17"/>
          <w:color w:val="231F20"/>
          <w:spacing w:val="6"/>
        </w:rPr>
        <w:t>2</w:t>
      </w:r>
      <w:r>
        <w:rPr>
          <w:sz w:val="17"/>
          <w:szCs w:val="17"/>
          <w:color w:val="231F20"/>
          <w:spacing w:val="20"/>
          <w:w w:val="101"/>
        </w:rPr>
        <w:t xml:space="preserve"> </w:t>
      </w:r>
      <w:r>
        <w:rPr>
          <w:sz w:val="17"/>
          <w:szCs w:val="17"/>
          <w:color w:val="231F20"/>
          <w:spacing w:val="6"/>
        </w:rPr>
        <w:t>组患者 </w:t>
      </w:r>
      <w:r>
        <w:rPr>
          <w:sz w:val="17"/>
          <w:szCs w:val="17"/>
          <w:color w:val="231F20"/>
        </w:rPr>
        <w:t>SF</w:t>
      </w:r>
      <w:r>
        <w:rPr>
          <w:sz w:val="17"/>
          <w:szCs w:val="17"/>
          <w:color w:val="231F20"/>
          <w:spacing w:val="6"/>
        </w:rPr>
        <w:t>-36</w:t>
      </w:r>
      <w:r>
        <w:rPr>
          <w:sz w:val="17"/>
          <w:szCs w:val="17"/>
          <w:color w:val="231F20"/>
          <w:spacing w:val="15"/>
          <w:w w:val="101"/>
        </w:rPr>
        <w:t xml:space="preserve"> </w:t>
      </w:r>
      <w:r>
        <w:rPr>
          <w:sz w:val="17"/>
          <w:szCs w:val="17"/>
          <w:color w:val="231F20"/>
          <w:spacing w:val="6"/>
        </w:rPr>
        <w:t>评分均高于术前，</w:t>
      </w:r>
      <w:r>
        <w:rPr>
          <w:sz w:val="17"/>
          <w:szCs w:val="17"/>
          <w:color w:val="231F20"/>
          <w:spacing w:val="-14"/>
        </w:rPr>
        <w:t xml:space="preserve"> </w:t>
      </w:r>
      <w:r>
        <w:rPr>
          <w:sz w:val="17"/>
          <w:szCs w:val="17"/>
          <w:color w:val="231F20"/>
          <w:spacing w:val="6"/>
        </w:rPr>
        <w:t>且</w:t>
      </w:r>
      <w:r>
        <w:rPr>
          <w:sz w:val="17"/>
          <w:szCs w:val="17"/>
          <w:color w:val="231F20"/>
          <w:spacing w:val="19"/>
          <w:w w:val="101"/>
        </w:rPr>
        <w:t xml:space="preserve"> </w:t>
      </w:r>
      <w:r>
        <w:rPr>
          <w:sz w:val="17"/>
          <w:szCs w:val="17"/>
          <w:color w:val="231F20"/>
          <w:spacing w:val="6"/>
        </w:rPr>
        <w:t>B</w:t>
      </w:r>
      <w:r>
        <w:rPr>
          <w:sz w:val="17"/>
          <w:szCs w:val="17"/>
          <w:color w:val="231F20"/>
          <w:spacing w:val="18"/>
        </w:rPr>
        <w:t xml:space="preserve"> </w:t>
      </w:r>
      <w:r>
        <w:rPr>
          <w:sz w:val="17"/>
          <w:szCs w:val="17"/>
          <w:color w:val="231F20"/>
          <w:spacing w:val="6"/>
        </w:rPr>
        <w:t>组高于 A</w:t>
      </w:r>
      <w:r>
        <w:rPr>
          <w:sz w:val="17"/>
          <w:szCs w:val="17"/>
          <w:color w:val="231F20"/>
          <w:spacing w:val="18"/>
        </w:rPr>
        <w:t xml:space="preserve"> </w:t>
      </w:r>
      <w:r>
        <w:rPr>
          <w:sz w:val="17"/>
          <w:szCs w:val="17"/>
          <w:color w:val="231F20"/>
          <w:spacing w:val="6"/>
        </w:rPr>
        <w:t>组</w:t>
      </w:r>
      <w:r>
        <w:rPr>
          <w:sz w:val="17"/>
          <w:szCs w:val="17"/>
          <w:color w:val="231F20"/>
          <w:spacing w:val="-26"/>
        </w:rPr>
        <w:t xml:space="preserve"> </w:t>
      </w:r>
      <w:r>
        <w:rPr>
          <w:sz w:val="17"/>
          <w:szCs w:val="17"/>
          <w:color w:val="231F20"/>
          <w:spacing w:val="6"/>
        </w:rPr>
        <w:t>（</w:t>
      </w:r>
      <w:r>
        <w:rPr>
          <w:sz w:val="18"/>
          <w:szCs w:val="18"/>
          <w:color w:val="231F20"/>
          <w:spacing w:val="6"/>
        </w:rPr>
        <w:t>P</w:t>
      </w:r>
      <w:r>
        <w:rPr>
          <w:sz w:val="17"/>
          <w:szCs w:val="17"/>
          <w:color w:val="231F20"/>
          <w:spacing w:val="6"/>
        </w:rPr>
        <w:t>&lt;</w:t>
      </w:r>
      <w:r>
        <w:rPr>
          <w:sz w:val="17"/>
          <w:szCs w:val="17"/>
          <w:color w:val="231F20"/>
        </w:rPr>
        <w:t xml:space="preserve"> </w:t>
      </w:r>
      <w:r>
        <w:rPr>
          <w:sz w:val="17"/>
          <w:szCs w:val="17"/>
          <w:color w:val="231F20"/>
          <w:spacing w:val="1"/>
        </w:rPr>
        <w:t>0.05</w:t>
      </w:r>
      <w:r>
        <w:rPr>
          <w:sz w:val="17"/>
          <w:szCs w:val="17"/>
          <w:color w:val="231F20"/>
          <w:spacing w:val="-31"/>
        </w:rPr>
        <w:t>）；</w:t>
      </w:r>
      <w:r>
        <w:rPr>
          <w:sz w:val="17"/>
          <w:szCs w:val="17"/>
          <w:color w:val="231F20"/>
          <w:spacing w:val="1"/>
        </w:rPr>
        <w:t>2 组并发症发生率比较</w:t>
      </w:r>
      <w:r>
        <w:rPr>
          <w:sz w:val="17"/>
          <w:szCs w:val="17"/>
          <w:color w:val="231F20"/>
          <w:spacing w:val="-18"/>
        </w:rPr>
        <w:t xml:space="preserve"> </w:t>
      </w:r>
      <w:r>
        <w:rPr>
          <w:sz w:val="17"/>
          <w:szCs w:val="17"/>
          <w:color w:val="231F20"/>
          <w:spacing w:val="1"/>
        </w:rPr>
        <w:t>，差异无统计学意义（</w:t>
      </w:r>
      <w:r>
        <w:rPr>
          <w:sz w:val="18"/>
          <w:szCs w:val="18"/>
          <w:color w:val="231F20"/>
          <w:spacing w:val="1"/>
        </w:rPr>
        <w:t>P</w:t>
      </w:r>
      <w:r>
        <w:rPr>
          <w:sz w:val="17"/>
          <w:szCs w:val="17"/>
          <w:color w:val="231F20"/>
          <w:spacing w:val="1"/>
        </w:rPr>
        <w:t>＞0.05）。结论    相较</w:t>
      </w:r>
      <w:r>
        <w:rPr>
          <w:sz w:val="17"/>
          <w:szCs w:val="17"/>
          <w:color w:val="231F20"/>
        </w:rPr>
        <w:t>于荷包缝合法</w:t>
      </w:r>
      <w:r>
        <w:rPr>
          <w:sz w:val="17"/>
          <w:szCs w:val="17"/>
          <w:color w:val="231F20"/>
          <w:spacing w:val="-18"/>
        </w:rPr>
        <w:t xml:space="preserve"> </w:t>
      </w:r>
      <w:r>
        <w:rPr>
          <w:sz w:val="17"/>
          <w:szCs w:val="17"/>
          <w:color w:val="231F20"/>
        </w:rPr>
        <w:t>，Hemolok 夹闭法有助于改善腹腔镜 </w:t>
      </w:r>
      <w:r>
        <w:rPr>
          <w:sz w:val="17"/>
          <w:szCs w:val="17"/>
          <w:color w:val="231F20"/>
          <w:spacing w:val="8"/>
        </w:rPr>
        <w:t>阑尾切除术患者的手术指标</w:t>
      </w:r>
      <w:r>
        <w:rPr>
          <w:sz w:val="17"/>
          <w:szCs w:val="17"/>
          <w:color w:val="231F20"/>
          <w:spacing w:val="-19"/>
        </w:rPr>
        <w:t xml:space="preserve"> </w:t>
      </w:r>
      <w:r>
        <w:rPr>
          <w:sz w:val="17"/>
          <w:szCs w:val="17"/>
          <w:color w:val="231F20"/>
          <w:spacing w:val="8"/>
        </w:rPr>
        <w:t>，缩短术后胃肠功能恢复时间，</w:t>
      </w:r>
      <w:r>
        <w:rPr>
          <w:sz w:val="17"/>
          <w:szCs w:val="17"/>
          <w:color w:val="231F20"/>
          <w:spacing w:val="-25"/>
        </w:rPr>
        <w:t xml:space="preserve"> </w:t>
      </w:r>
      <w:r>
        <w:rPr>
          <w:sz w:val="17"/>
          <w:szCs w:val="17"/>
          <w:color w:val="231F20"/>
          <w:spacing w:val="8"/>
        </w:rPr>
        <w:t>提高患者生命质量。</w:t>
      </w:r>
    </w:p>
    <w:p>
      <w:pPr>
        <w:pStyle w:val="BodyText"/>
        <w:ind w:left="584"/>
        <w:spacing w:line="198" w:lineRule="auto"/>
        <w:rPr>
          <w:sz w:val="17"/>
          <w:szCs w:val="17"/>
        </w:rPr>
      </w:pPr>
      <w:r>
        <w:rPr>
          <w:sz w:val="17"/>
          <w:szCs w:val="17"/>
          <w:color w:val="231F20"/>
          <w:spacing w:val="5"/>
        </w:rPr>
        <w:t>【关键词】腹腔镜切除术</w:t>
      </w:r>
      <w:r>
        <w:rPr>
          <w:sz w:val="17"/>
          <w:szCs w:val="17"/>
          <w:color w:val="231F20"/>
          <w:spacing w:val="-20"/>
        </w:rPr>
        <w:t xml:space="preserve"> </w:t>
      </w:r>
      <w:r>
        <w:rPr>
          <w:sz w:val="17"/>
          <w:szCs w:val="17"/>
          <w:color w:val="231F20"/>
          <w:spacing w:val="5"/>
        </w:rPr>
        <w:t>；</w:t>
      </w:r>
      <w:r>
        <w:rPr>
          <w:sz w:val="17"/>
          <w:szCs w:val="17"/>
          <w:color w:val="231F20"/>
          <w:spacing w:val="-21"/>
        </w:rPr>
        <w:t xml:space="preserve"> </w:t>
      </w:r>
      <w:r>
        <w:rPr>
          <w:sz w:val="17"/>
          <w:szCs w:val="17"/>
          <w:color w:val="231F20"/>
          <w:spacing w:val="5"/>
        </w:rPr>
        <w:t>阑尾；生命质量评定量</w:t>
      </w:r>
      <w:r>
        <w:rPr>
          <w:sz w:val="17"/>
          <w:szCs w:val="17"/>
          <w:color w:val="231F20"/>
          <w:spacing w:val="4"/>
        </w:rPr>
        <w:t>表</w:t>
      </w:r>
      <w:r>
        <w:rPr>
          <w:sz w:val="17"/>
          <w:szCs w:val="17"/>
          <w:color w:val="231F20"/>
          <w:spacing w:val="-21"/>
        </w:rPr>
        <w:t xml:space="preserve"> </w:t>
      </w:r>
      <w:r>
        <w:rPr>
          <w:sz w:val="17"/>
          <w:szCs w:val="17"/>
          <w:color w:val="231F20"/>
          <w:spacing w:val="4"/>
        </w:rPr>
        <w:t>；荷包缝合法</w:t>
      </w:r>
    </w:p>
    <w:p>
      <w:pPr>
        <w:pStyle w:val="BodyText"/>
        <w:ind w:left="665"/>
        <w:spacing w:before="40" w:line="194" w:lineRule="auto"/>
        <w:rPr>
          <w:sz w:val="17"/>
          <w:szCs w:val="17"/>
        </w:rPr>
      </w:pPr>
      <w:r>
        <w:rPr>
          <w:sz w:val="17"/>
          <w:szCs w:val="17"/>
          <w:color w:val="231F20"/>
          <w:spacing w:val="-4"/>
        </w:rPr>
        <w:t>文章编号： 1672-1721（2024）31-0031</w:t>
      </w:r>
      <w:r>
        <w:rPr>
          <w:sz w:val="17"/>
          <w:szCs w:val="17"/>
          <w:color w:val="231F20"/>
          <w:spacing w:val="-5"/>
        </w:rPr>
        <w:t>-03                   文献标志码： A                   中国图书分类号：</w:t>
      </w:r>
      <w:r>
        <w:rPr>
          <w:sz w:val="17"/>
          <w:szCs w:val="17"/>
          <w:color w:val="231F20"/>
          <w:spacing w:val="-27"/>
        </w:rPr>
        <w:t xml:space="preserve"> </w:t>
      </w:r>
      <w:r>
        <w:rPr>
          <w:sz w:val="17"/>
          <w:szCs w:val="17"/>
          <w:color w:val="231F20"/>
          <w:spacing w:val="-5"/>
        </w:rPr>
        <w:t>R735.25</w:t>
      </w:r>
    </w:p>
    <w:p>
      <w:pPr>
        <w:spacing w:before="13"/>
        <w:rPr/>
      </w:pPr>
      <w:r/>
    </w:p>
    <w:p>
      <w:pPr>
        <w:spacing w:before="12"/>
        <w:rPr/>
      </w:pPr>
      <w:r/>
    </w:p>
    <w:p>
      <w:pPr>
        <w:sectPr>
          <w:headerReference w:type="default" r:id="rId1"/>
          <w:footerReference w:type="default" r:id="rId2"/>
          <w:pgSz w:w="11905" w:h="16836"/>
          <w:pgMar w:top="1497" w:right="783" w:bottom="918" w:left="424" w:header="1046" w:footer="775" w:gutter="0"/>
          <w:cols w:equalWidth="0" w:num="1">
            <w:col w:w="10697" w:space="0"/>
          </w:cols>
        </w:sectPr>
        <w:rPr/>
      </w:pPr>
    </w:p>
    <w:p>
      <w:pPr>
        <w:pStyle w:val="BodyText"/>
        <w:ind w:left="429" w:right="123" w:firstLine="438"/>
        <w:spacing w:before="51" w:line="223" w:lineRule="auto"/>
        <w:jc w:val="both"/>
        <w:rPr/>
      </w:pPr>
      <w:r>
        <w:rPr>
          <w:color w:val="231F20"/>
          <w:spacing w:val="11"/>
        </w:rPr>
        <w:t>阑尾炎是临床常见外科疾病</w:t>
      </w:r>
      <w:r>
        <w:rPr>
          <w:color w:val="231F20"/>
          <w:spacing w:val="-10"/>
        </w:rPr>
        <w:t xml:space="preserve"> </w:t>
      </w:r>
      <w:r>
        <w:rPr>
          <w:color w:val="231F20"/>
          <w:spacing w:val="11"/>
        </w:rPr>
        <w:t>，可导致患者持续性</w:t>
      </w:r>
      <w:r>
        <w:rPr>
          <w:color w:val="231F20"/>
        </w:rPr>
        <w:t xml:space="preserve">  </w:t>
      </w:r>
      <w:r>
        <w:rPr>
          <w:color w:val="231F20"/>
          <w:spacing w:val="14"/>
        </w:rPr>
        <w:t>的右下部疼痛，</w:t>
      </w:r>
      <w:r>
        <w:rPr>
          <w:color w:val="231F20"/>
          <w:spacing w:val="-18"/>
        </w:rPr>
        <w:t xml:space="preserve"> </w:t>
      </w:r>
      <w:r>
        <w:rPr>
          <w:color w:val="231F20"/>
          <w:spacing w:val="14"/>
        </w:rPr>
        <w:t>具有发病急</w:t>
      </w:r>
      <w:r>
        <w:rPr>
          <w:color w:val="231F20"/>
          <w:spacing w:val="-28"/>
        </w:rPr>
        <w:t xml:space="preserve"> </w:t>
      </w:r>
      <w:r>
        <w:rPr>
          <w:color w:val="231F20"/>
          <w:spacing w:val="14"/>
        </w:rPr>
        <w:t>、病情进展迅速等特点。</w:t>
      </w:r>
      <w:r>
        <w:rPr>
          <w:color w:val="231F20"/>
        </w:rPr>
        <w:t xml:space="preserve"> </w:t>
      </w:r>
      <w:r>
        <w:rPr>
          <w:color w:val="231F20"/>
          <w:spacing w:val="9"/>
        </w:rPr>
        <w:t>目前</w:t>
      </w:r>
      <w:r>
        <w:rPr>
          <w:color w:val="231F20"/>
          <w:spacing w:val="-12"/>
        </w:rPr>
        <w:t xml:space="preserve"> </w:t>
      </w:r>
      <w:r>
        <w:rPr>
          <w:color w:val="231F20"/>
          <w:spacing w:val="9"/>
        </w:rPr>
        <w:t>，</w:t>
      </w:r>
      <w:r>
        <w:rPr>
          <w:color w:val="231F20"/>
          <w:spacing w:val="-37"/>
        </w:rPr>
        <w:t xml:space="preserve"> </w:t>
      </w:r>
      <w:r>
        <w:rPr>
          <w:color w:val="231F20"/>
          <w:spacing w:val="9"/>
        </w:rPr>
        <w:t>临床一旦发现患者确诊阑尾炎</w:t>
      </w:r>
      <w:r>
        <w:rPr>
          <w:color w:val="231F20"/>
          <w:spacing w:val="-17"/>
        </w:rPr>
        <w:t xml:space="preserve"> </w:t>
      </w:r>
      <w:r>
        <w:rPr>
          <w:color w:val="231F20"/>
          <w:spacing w:val="9"/>
        </w:rPr>
        <w:t>，多引导其采取</w:t>
      </w:r>
      <w:r>
        <w:rPr>
          <w:color w:val="231F20"/>
        </w:rPr>
        <w:t xml:space="preserve">  </w:t>
      </w:r>
      <w:r>
        <w:rPr>
          <w:color w:val="231F20"/>
          <w:spacing w:val="11"/>
        </w:rPr>
        <w:t>手术治疗</w:t>
      </w:r>
      <w:r>
        <w:rPr>
          <w:color w:val="231F20"/>
          <w:spacing w:val="-32"/>
        </w:rPr>
        <w:t xml:space="preserve"> </w:t>
      </w:r>
      <w:r>
        <w:rPr>
          <w:color w:val="231F20"/>
          <w:spacing w:val="11"/>
        </w:rPr>
        <w:t>。腹腔镜阑尾切除术是经典治疗术</w:t>
      </w:r>
      <w:r>
        <w:rPr>
          <w:color w:val="231F20"/>
          <w:spacing w:val="10"/>
        </w:rPr>
        <w:t>式</w:t>
      </w:r>
      <w:r>
        <w:rPr>
          <w:color w:val="231F20"/>
          <w:spacing w:val="-17"/>
        </w:rPr>
        <w:t xml:space="preserve"> </w:t>
      </w:r>
      <w:r>
        <w:rPr>
          <w:color w:val="231F20"/>
          <w:spacing w:val="10"/>
        </w:rPr>
        <w:t>，可有</w:t>
      </w:r>
      <w:r>
        <w:rPr>
          <w:color w:val="231F20"/>
        </w:rPr>
        <w:t xml:space="preserve">  </w:t>
      </w:r>
      <w:r>
        <w:rPr>
          <w:color w:val="231F20"/>
          <w:spacing w:val="8"/>
        </w:rPr>
        <w:t>效切除患者病灶组织，具有安全性高、创伤小等优势，</w:t>
      </w:r>
      <w:r>
        <w:rPr>
          <w:color w:val="231F20"/>
          <w:spacing w:val="2"/>
        </w:rPr>
        <w:t xml:space="preserve"> </w:t>
      </w:r>
      <w:r>
        <w:rPr>
          <w:color w:val="231F20"/>
          <w:spacing w:val="12"/>
        </w:rPr>
        <w:t>已成为治疗阑尾炎的主要术式</w:t>
      </w:r>
      <w:r>
        <w:rPr>
          <w:sz w:val="11"/>
          <w:szCs w:val="11"/>
          <w:color w:val="231F20"/>
          <w:spacing w:val="12"/>
          <w:position w:val="7"/>
        </w:rPr>
        <w:t>[1]</w:t>
      </w:r>
      <w:r>
        <w:rPr>
          <w:sz w:val="11"/>
          <w:szCs w:val="11"/>
          <w:color w:val="231F20"/>
          <w:spacing w:val="-4"/>
          <w:position w:val="7"/>
        </w:rPr>
        <w:t xml:space="preserve"> </w:t>
      </w:r>
      <w:r>
        <w:rPr>
          <w:color w:val="231F20"/>
          <w:spacing w:val="12"/>
        </w:rPr>
        <w:t>。研究表明，</w:t>
      </w:r>
      <w:r>
        <w:rPr>
          <w:color w:val="231F20"/>
          <w:spacing w:val="-7"/>
        </w:rPr>
        <w:t xml:space="preserve"> </w:t>
      </w:r>
      <w:r>
        <w:rPr>
          <w:color w:val="231F20"/>
          <w:spacing w:val="12"/>
        </w:rPr>
        <w:t>阑尾根</w:t>
      </w:r>
      <w:r>
        <w:rPr>
          <w:color w:val="231F20"/>
        </w:rPr>
        <w:t xml:space="preserve">  </w:t>
      </w:r>
      <w:r>
        <w:rPr>
          <w:color w:val="231F20"/>
          <w:spacing w:val="14"/>
        </w:rPr>
        <w:t>部的处理方式是腹腔镜阑尾炎手术的重点操作</w:t>
      </w:r>
      <w:r>
        <w:rPr>
          <w:color w:val="231F20"/>
          <w:spacing w:val="13"/>
        </w:rPr>
        <w:t>和确保</w:t>
      </w:r>
      <w:r>
        <w:rPr>
          <w:color w:val="231F20"/>
        </w:rPr>
        <w:t xml:space="preserve">  </w:t>
      </w:r>
      <w:r>
        <w:rPr>
          <w:color w:val="231F20"/>
          <w:spacing w:val="12"/>
        </w:rPr>
        <w:t>手术顺利完成的重要步骤之一</w:t>
      </w:r>
      <w:r>
        <w:rPr>
          <w:color w:val="231F20"/>
          <w:spacing w:val="-16"/>
        </w:rPr>
        <w:t xml:space="preserve"> </w:t>
      </w:r>
      <w:r>
        <w:rPr>
          <w:color w:val="231F20"/>
          <w:spacing w:val="12"/>
        </w:rPr>
        <w:t>，若处理不当会影响手</w:t>
      </w:r>
      <w:r>
        <w:rPr>
          <w:color w:val="231F20"/>
        </w:rPr>
        <w:t xml:space="preserve">  </w:t>
      </w:r>
      <w:r>
        <w:rPr>
          <w:color w:val="231F20"/>
          <w:spacing w:val="6"/>
        </w:rPr>
        <w:t>术疗效</w:t>
      </w:r>
      <w:r>
        <w:rPr>
          <w:color w:val="231F20"/>
          <w:spacing w:val="-9"/>
        </w:rPr>
        <w:t xml:space="preserve"> </w:t>
      </w:r>
      <w:r>
        <w:rPr>
          <w:color w:val="231F20"/>
          <w:spacing w:val="6"/>
        </w:rPr>
        <w:t>，还会导致阑尾残株炎、阑尾残端瘘等并发症，</w:t>
      </w:r>
      <w:r>
        <w:rPr>
          <w:color w:val="231F20"/>
        </w:rPr>
        <w:t xml:space="preserve"> </w:t>
      </w:r>
      <w:r>
        <w:rPr>
          <w:color w:val="231F20"/>
          <w:spacing w:val="14"/>
        </w:rPr>
        <w:t>降低手术获益</w:t>
      </w:r>
      <w:r>
        <w:rPr>
          <w:sz w:val="11"/>
          <w:szCs w:val="11"/>
          <w:color w:val="231F20"/>
          <w:spacing w:val="14"/>
          <w:position w:val="7"/>
        </w:rPr>
        <w:t>[2]</w:t>
      </w:r>
      <w:r>
        <w:rPr>
          <w:sz w:val="11"/>
          <w:szCs w:val="11"/>
          <w:color w:val="231F20"/>
          <w:spacing w:val="-2"/>
          <w:position w:val="7"/>
        </w:rPr>
        <w:t xml:space="preserve"> </w:t>
      </w:r>
      <w:r>
        <w:rPr>
          <w:color w:val="231F20"/>
          <w:spacing w:val="14"/>
        </w:rPr>
        <w:t>。腹腔镜阑尾切除术的处理根部方法</w:t>
      </w:r>
      <w:r>
        <w:rPr>
          <w:color w:val="231F20"/>
        </w:rPr>
        <w:t xml:space="preserve">  </w:t>
      </w:r>
      <w:r>
        <w:rPr>
          <w:color w:val="231F20"/>
          <w:spacing w:val="4"/>
        </w:rPr>
        <w:t>较多</w:t>
      </w:r>
      <w:r>
        <w:rPr>
          <w:color w:val="231F20"/>
          <w:spacing w:val="-12"/>
        </w:rPr>
        <w:t xml:space="preserve"> </w:t>
      </w:r>
      <w:r>
        <w:rPr>
          <w:color w:val="231F20"/>
          <w:spacing w:val="4"/>
        </w:rPr>
        <w:t>，如荷包缝合法</w:t>
      </w:r>
      <w:r>
        <w:rPr>
          <w:color w:val="231F20"/>
          <w:spacing w:val="-30"/>
        </w:rPr>
        <w:t xml:space="preserve"> </w:t>
      </w:r>
      <w:r>
        <w:rPr>
          <w:color w:val="231F20"/>
          <w:spacing w:val="4"/>
        </w:rPr>
        <w:t>、</w:t>
      </w:r>
      <w:r>
        <w:rPr>
          <w:color w:val="231F20"/>
        </w:rPr>
        <w:t>Hemolok</w:t>
      </w:r>
      <w:r>
        <w:rPr>
          <w:color w:val="231F20"/>
          <w:spacing w:val="4"/>
        </w:rPr>
        <w:t xml:space="preserve"> 夹闭法等</w:t>
      </w:r>
      <w:r>
        <w:rPr>
          <w:color w:val="231F20"/>
          <w:spacing w:val="-28"/>
        </w:rPr>
        <w:t xml:space="preserve"> </w:t>
      </w:r>
      <w:r>
        <w:rPr>
          <w:color w:val="231F20"/>
          <w:spacing w:val="4"/>
        </w:rPr>
        <w:t>。荷包缝合</w:t>
      </w:r>
      <w:r>
        <w:rPr>
          <w:color w:val="231F20"/>
        </w:rPr>
        <w:t xml:space="preserve">  </w:t>
      </w:r>
      <w:r>
        <w:rPr>
          <w:color w:val="231F20"/>
          <w:spacing w:val="5"/>
        </w:rPr>
        <w:t>法是经典处理方式</w:t>
      </w:r>
      <w:r>
        <w:rPr>
          <w:color w:val="231F20"/>
          <w:spacing w:val="-5"/>
        </w:rPr>
        <w:t xml:space="preserve"> </w:t>
      </w:r>
      <w:r>
        <w:rPr>
          <w:color w:val="231F20"/>
          <w:spacing w:val="5"/>
        </w:rPr>
        <w:t>，采用丝线进行结扎</w:t>
      </w:r>
      <w:r>
        <w:rPr>
          <w:color w:val="231F20"/>
          <w:spacing w:val="-26"/>
        </w:rPr>
        <w:t xml:space="preserve"> </w:t>
      </w:r>
      <w:r>
        <w:rPr>
          <w:color w:val="231F20"/>
          <w:spacing w:val="5"/>
        </w:rPr>
        <w:t>。</w:t>
      </w:r>
      <w:r>
        <w:rPr>
          <w:color w:val="231F20"/>
        </w:rPr>
        <w:t>Hemolok</w:t>
      </w:r>
      <w:r>
        <w:rPr>
          <w:color w:val="231F20"/>
          <w:spacing w:val="5"/>
        </w:rPr>
        <w:t xml:space="preserve"> 夹</w:t>
      </w:r>
      <w:r>
        <w:rPr>
          <w:color w:val="231F20"/>
        </w:rPr>
        <w:t xml:space="preserve">  </w:t>
      </w:r>
      <w:r>
        <w:rPr>
          <w:color w:val="231F20"/>
          <w:spacing w:val="5"/>
        </w:rPr>
        <w:t>闭法则是采用 </w:t>
      </w:r>
      <w:r>
        <w:rPr>
          <w:color w:val="231F20"/>
        </w:rPr>
        <w:t>Hemolok</w:t>
      </w:r>
      <w:r>
        <w:rPr>
          <w:color w:val="231F20"/>
          <w:spacing w:val="5"/>
        </w:rPr>
        <w:t xml:space="preserve"> 夹直接夹闭根部</w:t>
      </w:r>
      <w:r>
        <w:rPr>
          <w:color w:val="231F20"/>
          <w:spacing w:val="-17"/>
        </w:rPr>
        <w:t xml:space="preserve"> </w:t>
      </w:r>
      <w:r>
        <w:rPr>
          <w:color w:val="231F20"/>
          <w:spacing w:val="5"/>
        </w:rPr>
        <w:t>。2 种处理方</w:t>
      </w:r>
      <w:r>
        <w:rPr>
          <w:color w:val="231F20"/>
        </w:rPr>
        <w:t xml:space="preserve">  </w:t>
      </w:r>
      <w:r>
        <w:rPr>
          <w:color w:val="231F20"/>
          <w:spacing w:val="12"/>
        </w:rPr>
        <w:t>式均可有效处理阑尾残端</w:t>
      </w:r>
      <w:r>
        <w:rPr>
          <w:color w:val="231F20"/>
          <w:spacing w:val="-17"/>
        </w:rPr>
        <w:t xml:space="preserve"> </w:t>
      </w:r>
      <w:r>
        <w:rPr>
          <w:color w:val="231F20"/>
          <w:spacing w:val="12"/>
        </w:rPr>
        <w:t>，但不同处理方式的治疗效</w:t>
      </w:r>
      <w:r>
        <w:rPr>
          <w:color w:val="231F20"/>
        </w:rPr>
        <w:t xml:space="preserve">  </w:t>
      </w:r>
      <w:r>
        <w:rPr>
          <w:color w:val="231F20"/>
          <w:spacing w:val="4"/>
        </w:rPr>
        <w:t>果存在明显差异</w:t>
      </w:r>
      <w:r>
        <w:rPr>
          <w:color w:val="231F20"/>
          <w:spacing w:val="-23"/>
        </w:rPr>
        <w:t xml:space="preserve"> </w:t>
      </w:r>
      <w:r>
        <w:rPr>
          <w:color w:val="231F20"/>
          <w:spacing w:val="4"/>
        </w:rPr>
        <w:t>，临床对其具体应用尚未达成一致</w:t>
      </w:r>
      <w:r>
        <w:rPr>
          <w:sz w:val="11"/>
          <w:szCs w:val="11"/>
          <w:color w:val="231F20"/>
          <w:spacing w:val="4"/>
          <w:position w:val="7"/>
        </w:rPr>
        <w:t>[3</w:t>
      </w:r>
      <w:r>
        <w:rPr>
          <w:sz w:val="11"/>
          <w:szCs w:val="11"/>
          <w:color w:val="231F20"/>
          <w:spacing w:val="3"/>
          <w:position w:val="7"/>
        </w:rPr>
        <w:t>-4]</w:t>
      </w:r>
      <w:r>
        <w:rPr>
          <w:color w:val="231F20"/>
          <w:spacing w:val="3"/>
        </w:rPr>
        <w:t>。</w:t>
      </w:r>
      <w:r>
        <w:rPr>
          <w:color w:val="231F20"/>
        </w:rPr>
        <w:t xml:space="preserve"> </w:t>
      </w:r>
      <w:r>
        <w:rPr>
          <w:color w:val="231F20"/>
          <w:spacing w:val="13"/>
        </w:rPr>
        <w:t>鉴于此，</w:t>
      </w:r>
      <w:r>
        <w:rPr>
          <w:color w:val="231F20"/>
          <w:spacing w:val="-38"/>
        </w:rPr>
        <w:t xml:space="preserve"> </w:t>
      </w:r>
      <w:r>
        <w:rPr>
          <w:color w:val="231F20"/>
          <w:spacing w:val="13"/>
        </w:rPr>
        <w:t>本研究着重分析腹腔镜阑尾切除术中</w:t>
      </w:r>
      <w:r>
        <w:rPr>
          <w:color w:val="231F20"/>
          <w:spacing w:val="12"/>
        </w:rPr>
        <w:t>阑尾残</w:t>
      </w:r>
      <w:r>
        <w:rPr>
          <w:color w:val="231F20"/>
        </w:rPr>
        <w:t xml:space="preserve">  </w:t>
      </w:r>
      <w:r>
        <w:rPr>
          <w:color w:val="231F20"/>
          <w:spacing w:val="7"/>
        </w:rPr>
        <w:t>端不同处理方式的临床应用价值</w:t>
      </w:r>
      <w:r>
        <w:rPr>
          <w:color w:val="231F20"/>
          <w:spacing w:val="-22"/>
        </w:rPr>
        <w:t xml:space="preserve"> </w:t>
      </w:r>
      <w:r>
        <w:rPr>
          <w:color w:val="231F20"/>
          <w:spacing w:val="7"/>
        </w:rPr>
        <w:t>，报告如下。</w:t>
      </w:r>
    </w:p>
    <w:p>
      <w:pPr>
        <w:pStyle w:val="BodyText"/>
        <w:ind w:left="449"/>
        <w:spacing w:before="143" w:line="177" w:lineRule="auto"/>
        <w:outlineLvl w:val="1"/>
        <w:rPr>
          <w:sz w:val="24"/>
          <w:szCs w:val="24"/>
        </w:rPr>
      </w:pPr>
      <w:r>
        <w:rPr>
          <w:sz w:val="24"/>
          <w:szCs w:val="24"/>
          <w:color w:val="231F20"/>
          <w:spacing w:val="-7"/>
        </w:rPr>
        <w:t>1</w:t>
      </w:r>
      <w:r>
        <w:rPr>
          <w:sz w:val="24"/>
          <w:szCs w:val="24"/>
          <w:color w:val="231F20"/>
          <w:spacing w:val="13"/>
        </w:rPr>
        <w:t xml:space="preserve">   </w:t>
      </w:r>
      <w:r>
        <w:rPr>
          <w:sz w:val="24"/>
          <w:szCs w:val="24"/>
          <w:color w:val="231F20"/>
          <w:spacing w:val="-7"/>
        </w:rPr>
        <w:t>资料与方法</w:t>
      </w:r>
    </w:p>
    <w:p>
      <w:pPr>
        <w:pStyle w:val="BodyText"/>
        <w:ind w:left="446"/>
        <w:spacing w:before="188" w:line="197" w:lineRule="auto"/>
        <w:outlineLvl w:val="2"/>
        <w:rPr/>
      </w:pPr>
      <w:r>
        <w:rPr>
          <w:color w:val="231F20"/>
          <w:spacing w:val="1"/>
        </w:rPr>
        <w:t>1.1</w:t>
      </w:r>
      <w:r>
        <w:rPr>
          <w:color w:val="231F20"/>
          <w:spacing w:val="15"/>
        </w:rPr>
        <w:t xml:space="preserve">   </w:t>
      </w:r>
      <w:r>
        <w:rPr>
          <w:color w:val="231F20"/>
          <w:spacing w:val="1"/>
        </w:rPr>
        <w:t>一般资料</w:t>
      </w:r>
    </w:p>
    <w:p>
      <w:pPr>
        <w:pStyle w:val="BodyText"/>
        <w:ind w:left="431" w:right="135" w:firstLine="417"/>
        <w:spacing w:before="26" w:line="225" w:lineRule="auto"/>
        <w:jc w:val="both"/>
        <w:rPr/>
      </w:pPr>
      <w:r>
        <w:rPr>
          <w:color w:val="231F20"/>
          <w:spacing w:val="2"/>
        </w:rPr>
        <w:t>选取 2020 年 2 月—2022</w:t>
      </w:r>
      <w:r>
        <w:rPr>
          <w:color w:val="231F20"/>
          <w:spacing w:val="20"/>
        </w:rPr>
        <w:t xml:space="preserve"> </w:t>
      </w:r>
      <w:r>
        <w:rPr>
          <w:color w:val="231F20"/>
          <w:spacing w:val="2"/>
        </w:rPr>
        <w:t>年</w:t>
      </w:r>
      <w:r>
        <w:rPr>
          <w:color w:val="231F20"/>
          <w:spacing w:val="9"/>
        </w:rPr>
        <w:t xml:space="preserve"> </w:t>
      </w:r>
      <w:r>
        <w:rPr>
          <w:color w:val="231F20"/>
          <w:spacing w:val="2"/>
        </w:rPr>
        <w:t>2</w:t>
      </w:r>
      <w:r>
        <w:rPr>
          <w:color w:val="231F20"/>
          <w:spacing w:val="11"/>
        </w:rPr>
        <w:t xml:space="preserve"> </w:t>
      </w:r>
      <w:r>
        <w:rPr>
          <w:color w:val="231F20"/>
          <w:spacing w:val="2"/>
        </w:rPr>
        <w:t>月在南昌县人民医</w:t>
      </w:r>
      <w:r>
        <w:rPr>
          <w:color w:val="231F20"/>
        </w:rPr>
        <w:t xml:space="preserve">  </w:t>
      </w:r>
      <w:r>
        <w:rPr>
          <w:color w:val="231F20"/>
          <w:spacing w:val="6"/>
        </w:rPr>
        <w:t>院行腹腔镜阑尾切除术的 60 例阑尾炎患者作为研究对</w:t>
      </w:r>
      <w:r>
        <w:rPr>
          <w:color w:val="231F20"/>
          <w:spacing w:val="5"/>
        </w:rPr>
        <w:t xml:space="preserve">  </w:t>
      </w:r>
      <w:r>
        <w:rPr>
          <w:color w:val="231F20"/>
          <w:spacing w:val="-4"/>
        </w:rPr>
        <w:t>象</w:t>
      </w:r>
      <w:r>
        <w:rPr>
          <w:color w:val="231F20"/>
          <w:spacing w:val="-21"/>
        </w:rPr>
        <w:t xml:space="preserve"> </w:t>
      </w:r>
      <w:r>
        <w:rPr>
          <w:color w:val="231F20"/>
          <w:spacing w:val="-4"/>
        </w:rPr>
        <w:t>，</w:t>
      </w:r>
      <w:r>
        <w:rPr>
          <w:color w:val="231F20"/>
          <w:spacing w:val="-39"/>
        </w:rPr>
        <w:t xml:space="preserve"> </w:t>
      </w:r>
      <w:r>
        <w:rPr>
          <w:color w:val="231F20"/>
          <w:spacing w:val="-4"/>
        </w:rPr>
        <w:t>随机分为 A 组和 B 组</w:t>
      </w:r>
      <w:r>
        <w:rPr>
          <w:color w:val="231F20"/>
          <w:spacing w:val="-25"/>
        </w:rPr>
        <w:t xml:space="preserve"> </w:t>
      </w:r>
      <w:r>
        <w:rPr>
          <w:color w:val="231F20"/>
          <w:spacing w:val="-4"/>
        </w:rPr>
        <w:t>，各 30 例。A 组男性</w:t>
      </w:r>
      <w:r>
        <w:rPr>
          <w:color w:val="231F20"/>
          <w:spacing w:val="14"/>
        </w:rPr>
        <w:t xml:space="preserve"> </w:t>
      </w:r>
      <w:r>
        <w:rPr>
          <w:color w:val="231F20"/>
          <w:spacing w:val="-4"/>
        </w:rPr>
        <w:t>16</w:t>
      </w:r>
      <w:r>
        <w:rPr>
          <w:color w:val="231F20"/>
          <w:spacing w:val="-5"/>
        </w:rPr>
        <w:t xml:space="preserve"> 例，</w:t>
      </w:r>
      <w:r>
        <w:rPr>
          <w:color w:val="231F20"/>
        </w:rPr>
        <w:t xml:space="preserve"> </w:t>
      </w:r>
      <w:r>
        <w:rPr>
          <w:u w:val="single" w:color="auto"/>
          <w:color w:val="231F20"/>
          <w:spacing w:val="-3"/>
        </w:rPr>
        <w:t>女性</w:t>
      </w:r>
      <w:r>
        <w:rPr>
          <w:u w:val="single" w:color="auto"/>
          <w:color w:val="231F20"/>
          <w:spacing w:val="32"/>
        </w:rPr>
        <w:t xml:space="preserve"> </w:t>
      </w:r>
      <w:r>
        <w:rPr>
          <w:u w:val="single" w:color="auto"/>
          <w:color w:val="231F20"/>
          <w:spacing w:val="-3"/>
        </w:rPr>
        <w:t>14 例；体温 37～40</w:t>
      </w:r>
      <w:r>
        <w:rPr>
          <w:u w:val="single" w:color="auto"/>
          <w:color w:val="231F20"/>
          <w:spacing w:val="-36"/>
        </w:rPr>
        <w:t xml:space="preserve"> </w:t>
      </w:r>
      <w:r>
        <w:rPr>
          <w:color w:val="231F20"/>
          <w:spacing w:val="-20"/>
        </w:rPr>
        <w:t xml:space="preserve"> </w:t>
      </w:r>
      <w:r>
        <w:rPr>
          <w:color w:val="231F20"/>
          <w:spacing w:val="-3"/>
        </w:rPr>
        <w:t>℃</w:t>
      </w:r>
      <w:r>
        <w:rPr>
          <w:color w:val="231F20"/>
          <w:spacing w:val="-14"/>
        </w:rPr>
        <w:t xml:space="preserve"> </w:t>
      </w:r>
      <w:r>
        <w:rPr>
          <w:color w:val="231F20"/>
          <w:spacing w:val="-3"/>
        </w:rPr>
        <w:t>,  平均（38.95±0.85） ℃</w:t>
      </w:r>
      <w:r>
        <w:rPr>
          <w:color w:val="231F20"/>
          <w:spacing w:val="-14"/>
        </w:rPr>
        <w:t xml:space="preserve"> </w:t>
      </w:r>
      <w:r>
        <w:rPr>
          <w:color w:val="231F20"/>
          <w:spacing w:val="-3"/>
        </w:rPr>
        <w:t>;</w:t>
      </w:r>
    </w:p>
    <w:p>
      <w:pPr>
        <w:spacing w:line="14" w:lineRule="auto"/>
        <w:rPr>
          <w:rFonts w:ascii="Arial"/>
          <w:sz w:val="2"/>
        </w:rPr>
      </w:pPr>
      <w:r>
        <w:rPr>
          <w:rFonts w:ascii="Arial" w:hAnsi="Arial" w:eastAsia="Arial" w:cs="Arial"/>
          <w:sz w:val="2"/>
          <w:szCs w:val="2"/>
        </w:rPr>
        <w:br w:type="column"/>
      </w:r>
    </w:p>
    <w:p>
      <w:pPr>
        <w:pStyle w:val="BodyText"/>
        <w:ind w:right="63" w:firstLine="63"/>
        <w:spacing w:before="42" w:line="223" w:lineRule="auto"/>
        <w:jc w:val="both"/>
        <w:rPr/>
      </w:pPr>
      <w:r>
        <w:rPr>
          <w:color w:val="231F20"/>
          <w:spacing w:val="-1"/>
        </w:rPr>
        <w:t>年龄</w:t>
      </w:r>
      <w:r>
        <w:rPr>
          <w:color w:val="231F20"/>
          <w:spacing w:val="16"/>
        </w:rPr>
        <w:t xml:space="preserve"> </w:t>
      </w:r>
      <w:r>
        <w:rPr>
          <w:color w:val="231F20"/>
          <w:spacing w:val="-1"/>
        </w:rPr>
        <w:t>18～45 岁</w:t>
      </w:r>
      <w:r>
        <w:rPr>
          <w:color w:val="231F20"/>
          <w:spacing w:val="-24"/>
        </w:rPr>
        <w:t xml:space="preserve"> </w:t>
      </w:r>
      <w:r>
        <w:rPr>
          <w:color w:val="231F20"/>
          <w:spacing w:val="-1"/>
        </w:rPr>
        <w:t>，平均（28.78±3.50）</w:t>
      </w:r>
      <w:r>
        <w:rPr>
          <w:color w:val="231F20"/>
          <w:spacing w:val="-13"/>
        </w:rPr>
        <w:t xml:space="preserve"> </w:t>
      </w:r>
      <w:r>
        <w:rPr>
          <w:color w:val="231F20"/>
          <w:spacing w:val="-1"/>
        </w:rPr>
        <w:t>岁；体质量</w:t>
      </w:r>
      <w:r>
        <w:rPr>
          <w:color w:val="231F20"/>
          <w:spacing w:val="-2"/>
        </w:rPr>
        <w:t>指数</w:t>
      </w:r>
      <w:r>
        <w:rPr>
          <w:color w:val="231F20"/>
        </w:rPr>
        <w:t xml:space="preserve"> </w:t>
      </w:r>
      <w:r>
        <w:rPr>
          <w:color w:val="231F20"/>
          <w:spacing w:val="-12"/>
        </w:rPr>
        <w:t>19</w:t>
      </w:r>
      <w:r>
        <w:rPr>
          <w:color w:val="231F20"/>
          <w:spacing w:val="-26"/>
        </w:rPr>
        <w:t xml:space="preserve"> </w:t>
      </w:r>
      <w:r>
        <w:rPr>
          <w:color w:val="231F20"/>
          <w:spacing w:val="-12"/>
        </w:rPr>
        <w:t>～27</w:t>
      </w:r>
      <w:r>
        <w:rPr>
          <w:color w:val="231F20"/>
          <w:spacing w:val="16"/>
        </w:rPr>
        <w:t xml:space="preserve"> </w:t>
      </w:r>
      <w:r>
        <w:rPr>
          <w:color w:val="231F20"/>
          <w:spacing w:val="-12"/>
        </w:rPr>
        <w:t>kg/m</w:t>
      </w:r>
      <w:r>
        <w:rPr>
          <w:sz w:val="11"/>
          <w:szCs w:val="11"/>
          <w:color w:val="231F20"/>
          <w:spacing w:val="-12"/>
          <w:position w:val="7"/>
        </w:rPr>
        <w:t>2 </w:t>
      </w:r>
      <w:r>
        <w:rPr>
          <w:color w:val="231F20"/>
          <w:spacing w:val="-9"/>
        </w:rPr>
        <w:t>，</w:t>
      </w:r>
      <w:r>
        <w:rPr>
          <w:color w:val="231F20"/>
          <w:spacing w:val="-38"/>
        </w:rPr>
        <w:t xml:space="preserve"> </w:t>
      </w:r>
      <w:r>
        <w:rPr>
          <w:color w:val="231F20"/>
          <w:spacing w:val="-9"/>
        </w:rPr>
        <w:t>平均</w:t>
      </w:r>
      <w:r>
        <w:rPr>
          <w:color w:val="231F20"/>
          <w:spacing w:val="-26"/>
        </w:rPr>
        <w:t xml:space="preserve"> </w:t>
      </w:r>
      <w:r>
        <w:rPr>
          <w:color w:val="231F20"/>
          <w:spacing w:val="-9"/>
        </w:rPr>
        <w:t>（23.05 ±0.72） kg/m</w:t>
      </w:r>
      <w:r>
        <w:rPr>
          <w:sz w:val="11"/>
          <w:szCs w:val="11"/>
          <w:color w:val="231F20"/>
          <w:spacing w:val="-9"/>
          <w:position w:val="7"/>
        </w:rPr>
        <w:t>2 </w:t>
      </w:r>
      <w:r>
        <w:rPr>
          <w:color w:val="231F20"/>
          <w:spacing w:val="10"/>
        </w:rPr>
        <w:t>；</w:t>
      </w:r>
      <w:r>
        <w:rPr>
          <w:color w:val="231F20"/>
          <w:spacing w:val="-17"/>
        </w:rPr>
        <w:t xml:space="preserve"> </w:t>
      </w:r>
      <w:r>
        <w:rPr>
          <w:color w:val="231F20"/>
          <w:spacing w:val="10"/>
        </w:rPr>
        <w:t>阑尾炎分</w:t>
      </w:r>
      <w:r>
        <w:rPr>
          <w:color w:val="231F20"/>
        </w:rPr>
        <w:t xml:space="preserve"> </w:t>
      </w:r>
      <w:r>
        <w:rPr>
          <w:color w:val="231F20"/>
          <w:spacing w:val="2"/>
        </w:rPr>
        <w:t>型</w:t>
      </w:r>
      <w:r>
        <w:rPr>
          <w:color w:val="231F20"/>
          <w:spacing w:val="-18"/>
        </w:rPr>
        <w:t xml:space="preserve"> </w:t>
      </w:r>
      <w:r>
        <w:rPr>
          <w:color w:val="231F20"/>
          <w:spacing w:val="2"/>
        </w:rPr>
        <w:t>，单纯型</w:t>
      </w:r>
      <w:r>
        <w:rPr>
          <w:color w:val="231F20"/>
          <w:spacing w:val="22"/>
          <w:w w:val="101"/>
        </w:rPr>
        <w:t xml:space="preserve"> </w:t>
      </w:r>
      <w:r>
        <w:rPr>
          <w:color w:val="231F20"/>
          <w:spacing w:val="2"/>
        </w:rPr>
        <w:t>12 例</w:t>
      </w:r>
      <w:r>
        <w:rPr>
          <w:color w:val="231F20"/>
          <w:spacing w:val="-18"/>
        </w:rPr>
        <w:t xml:space="preserve"> </w:t>
      </w:r>
      <w:r>
        <w:rPr>
          <w:color w:val="231F20"/>
          <w:spacing w:val="2"/>
        </w:rPr>
        <w:t>，化脓性</w:t>
      </w:r>
      <w:r>
        <w:rPr>
          <w:color w:val="231F20"/>
          <w:spacing w:val="22"/>
          <w:w w:val="101"/>
        </w:rPr>
        <w:t xml:space="preserve"> </w:t>
      </w:r>
      <w:r>
        <w:rPr>
          <w:color w:val="231F20"/>
          <w:spacing w:val="2"/>
        </w:rPr>
        <w:t>11 例</w:t>
      </w:r>
      <w:r>
        <w:rPr>
          <w:color w:val="231F20"/>
          <w:spacing w:val="-18"/>
        </w:rPr>
        <w:t xml:space="preserve"> </w:t>
      </w:r>
      <w:r>
        <w:rPr>
          <w:color w:val="231F20"/>
          <w:spacing w:val="2"/>
        </w:rPr>
        <w:t>，坏疽性 7 例</w:t>
      </w:r>
      <w:r>
        <w:rPr>
          <w:color w:val="231F20"/>
          <w:spacing w:val="-28"/>
        </w:rPr>
        <w:t xml:space="preserve"> </w:t>
      </w:r>
      <w:r>
        <w:rPr>
          <w:color w:val="231F20"/>
          <w:spacing w:val="2"/>
        </w:rPr>
        <w:t>。B</w:t>
      </w:r>
      <w:r>
        <w:rPr>
          <w:color w:val="231F20"/>
          <w:spacing w:val="1"/>
        </w:rPr>
        <w:t xml:space="preserve"> 组</w:t>
      </w:r>
      <w:r>
        <w:rPr>
          <w:color w:val="231F20"/>
        </w:rPr>
        <w:t xml:space="preserve"> </w:t>
      </w:r>
      <w:r>
        <w:rPr>
          <w:color w:val="231F20"/>
          <w:spacing w:val="-5"/>
        </w:rPr>
        <w:t>男</w:t>
      </w:r>
      <w:r>
        <w:rPr>
          <w:color w:val="231F20"/>
          <w:spacing w:val="-19"/>
        </w:rPr>
        <w:t xml:space="preserve"> </w:t>
      </w:r>
      <w:r>
        <w:rPr>
          <w:color w:val="231F20"/>
          <w:spacing w:val="-5"/>
        </w:rPr>
        <w:t>性</w:t>
      </w:r>
      <w:r>
        <w:rPr>
          <w:color w:val="231F20"/>
          <w:spacing w:val="53"/>
        </w:rPr>
        <w:t xml:space="preserve"> </w:t>
      </w:r>
      <w:r>
        <w:rPr>
          <w:color w:val="231F20"/>
          <w:spacing w:val="-5"/>
        </w:rPr>
        <w:t>18</w:t>
      </w:r>
      <w:r>
        <w:rPr>
          <w:color w:val="231F20"/>
          <w:spacing w:val="36"/>
          <w:w w:val="101"/>
        </w:rPr>
        <w:t xml:space="preserve"> </w:t>
      </w:r>
      <w:r>
        <w:rPr>
          <w:color w:val="231F20"/>
          <w:spacing w:val="-5"/>
        </w:rPr>
        <w:t>例</w:t>
      </w:r>
      <w:r>
        <w:rPr>
          <w:color w:val="231F20"/>
          <w:spacing w:val="14"/>
        </w:rPr>
        <w:t xml:space="preserve"> </w:t>
      </w:r>
      <w:r>
        <w:rPr>
          <w:color w:val="231F20"/>
          <w:spacing w:val="-5"/>
        </w:rPr>
        <w:t>，</w:t>
      </w:r>
      <w:r>
        <w:rPr>
          <w:color w:val="231F20"/>
          <w:spacing w:val="-14"/>
        </w:rPr>
        <w:t xml:space="preserve"> </w:t>
      </w:r>
      <w:r>
        <w:rPr>
          <w:color w:val="231F20"/>
          <w:spacing w:val="-5"/>
        </w:rPr>
        <w:t>女</w:t>
      </w:r>
      <w:r>
        <w:rPr>
          <w:color w:val="231F20"/>
          <w:spacing w:val="-19"/>
        </w:rPr>
        <w:t xml:space="preserve"> </w:t>
      </w:r>
      <w:r>
        <w:rPr>
          <w:color w:val="231F20"/>
          <w:spacing w:val="-5"/>
        </w:rPr>
        <w:t>性</w:t>
      </w:r>
      <w:r>
        <w:rPr>
          <w:color w:val="231F20"/>
          <w:spacing w:val="53"/>
        </w:rPr>
        <w:t xml:space="preserve"> </w:t>
      </w:r>
      <w:r>
        <w:rPr>
          <w:color w:val="231F20"/>
          <w:spacing w:val="-5"/>
        </w:rPr>
        <w:t>12</w:t>
      </w:r>
      <w:r>
        <w:rPr>
          <w:color w:val="231F20"/>
          <w:spacing w:val="37"/>
        </w:rPr>
        <w:t xml:space="preserve"> </w:t>
      </w:r>
      <w:r>
        <w:rPr>
          <w:color w:val="231F20"/>
          <w:spacing w:val="-5"/>
        </w:rPr>
        <w:t>例</w:t>
      </w:r>
      <w:r>
        <w:rPr>
          <w:color w:val="231F20"/>
          <w:spacing w:val="12"/>
        </w:rPr>
        <w:t xml:space="preserve"> </w:t>
      </w:r>
      <w:r>
        <w:rPr>
          <w:color w:val="231F20"/>
          <w:spacing w:val="-5"/>
        </w:rPr>
        <w:t>；</w:t>
      </w:r>
      <w:r>
        <w:rPr>
          <w:color w:val="231F20"/>
          <w:spacing w:val="-16"/>
        </w:rPr>
        <w:t xml:space="preserve"> </w:t>
      </w:r>
      <w:r>
        <w:rPr>
          <w:color w:val="231F20"/>
          <w:spacing w:val="-5"/>
        </w:rPr>
        <w:t>体</w:t>
      </w:r>
      <w:r>
        <w:rPr>
          <w:color w:val="231F20"/>
          <w:spacing w:val="-15"/>
        </w:rPr>
        <w:t xml:space="preserve"> </w:t>
      </w:r>
      <w:r>
        <w:rPr>
          <w:color w:val="231F20"/>
          <w:spacing w:val="-5"/>
        </w:rPr>
        <w:t>温</w:t>
      </w:r>
      <w:r>
        <w:rPr>
          <w:color w:val="231F20"/>
          <w:spacing w:val="39"/>
          <w:w w:val="101"/>
        </w:rPr>
        <w:t xml:space="preserve"> </w:t>
      </w:r>
      <w:r>
        <w:rPr>
          <w:color w:val="231F20"/>
          <w:spacing w:val="-5"/>
        </w:rPr>
        <w:t>37 ～40</w:t>
      </w:r>
      <w:r>
        <w:rPr>
          <w:color w:val="231F20"/>
          <w:spacing w:val="40"/>
        </w:rPr>
        <w:t xml:space="preserve"> </w:t>
      </w:r>
      <w:r>
        <w:rPr>
          <w:color w:val="231F20"/>
          <w:spacing w:val="-5"/>
        </w:rPr>
        <w:t>℃</w:t>
      </w:r>
      <w:r>
        <w:rPr>
          <w:color w:val="231F20"/>
          <w:spacing w:val="23"/>
          <w:w w:val="101"/>
        </w:rPr>
        <w:t xml:space="preserve"> </w:t>
      </w:r>
      <w:r>
        <w:rPr>
          <w:color w:val="231F20"/>
          <w:spacing w:val="-5"/>
        </w:rPr>
        <w:t>,</w:t>
      </w:r>
      <w:r>
        <w:rPr>
          <w:color w:val="231F20"/>
          <w:spacing w:val="-6"/>
        </w:rPr>
        <w:t xml:space="preserve">   平</w:t>
      </w:r>
      <w:r>
        <w:rPr>
          <w:color w:val="231F20"/>
          <w:spacing w:val="-14"/>
        </w:rPr>
        <w:t xml:space="preserve"> </w:t>
      </w:r>
      <w:r>
        <w:rPr>
          <w:color w:val="231F20"/>
          <w:spacing w:val="-6"/>
        </w:rPr>
        <w:t>均</w:t>
      </w:r>
      <w:r>
        <w:rPr>
          <w:color w:val="231F20"/>
        </w:rPr>
        <w:t xml:space="preserve"> </w:t>
      </w:r>
      <w:r>
        <w:rPr>
          <w:color w:val="231F20"/>
          <w:spacing w:val="-6"/>
        </w:rPr>
        <w:t>（38.76±0.75） ℃ ；</w:t>
      </w:r>
      <w:r>
        <w:rPr>
          <w:color w:val="231F20"/>
          <w:spacing w:val="-16"/>
        </w:rPr>
        <w:t xml:space="preserve"> </w:t>
      </w:r>
      <w:r>
        <w:rPr>
          <w:color w:val="231F20"/>
          <w:spacing w:val="-6"/>
        </w:rPr>
        <w:t>年龄</w:t>
      </w:r>
      <w:r>
        <w:rPr>
          <w:color w:val="231F20"/>
          <w:spacing w:val="36"/>
        </w:rPr>
        <w:t xml:space="preserve"> </w:t>
      </w:r>
      <w:r>
        <w:rPr>
          <w:color w:val="231F20"/>
          <w:spacing w:val="-6"/>
        </w:rPr>
        <w:t>17</w:t>
      </w:r>
      <w:r>
        <w:rPr>
          <w:color w:val="231F20"/>
          <w:spacing w:val="-27"/>
        </w:rPr>
        <w:t xml:space="preserve"> </w:t>
      </w:r>
      <w:r>
        <w:rPr>
          <w:color w:val="231F20"/>
          <w:spacing w:val="-6"/>
        </w:rPr>
        <w:t>～49</w:t>
      </w:r>
      <w:r>
        <w:rPr>
          <w:color w:val="231F20"/>
          <w:spacing w:val="20"/>
        </w:rPr>
        <w:t xml:space="preserve"> </w:t>
      </w:r>
      <w:r>
        <w:rPr>
          <w:color w:val="231F20"/>
          <w:spacing w:val="-6"/>
        </w:rPr>
        <w:t>岁 ，</w:t>
      </w:r>
      <w:r>
        <w:rPr>
          <w:color w:val="231F20"/>
          <w:spacing w:val="-35"/>
        </w:rPr>
        <w:t xml:space="preserve"> </w:t>
      </w:r>
      <w:r>
        <w:rPr>
          <w:color w:val="231F20"/>
          <w:spacing w:val="-6"/>
        </w:rPr>
        <w:t>平均</w:t>
      </w:r>
      <w:r>
        <w:rPr>
          <w:color w:val="231F20"/>
          <w:spacing w:val="-22"/>
        </w:rPr>
        <w:t xml:space="preserve"> </w:t>
      </w:r>
      <w:r>
        <w:rPr>
          <w:color w:val="231F20"/>
          <w:spacing w:val="-6"/>
        </w:rPr>
        <w:t>（29.95 ±</w:t>
      </w:r>
      <w:r>
        <w:rPr>
          <w:color w:val="231F20"/>
        </w:rPr>
        <w:t xml:space="preserve">  </w:t>
      </w:r>
      <w:r>
        <w:rPr>
          <w:color w:val="231F20"/>
          <w:spacing w:val="-4"/>
        </w:rPr>
        <w:t>3.68） 岁；</w:t>
      </w:r>
      <w:r>
        <w:rPr>
          <w:color w:val="231F20"/>
          <w:spacing w:val="-14"/>
        </w:rPr>
        <w:t xml:space="preserve"> </w:t>
      </w:r>
      <w:r>
        <w:rPr>
          <w:color w:val="231F20"/>
          <w:spacing w:val="-4"/>
        </w:rPr>
        <w:t>体质量指数 20</w:t>
      </w:r>
      <w:r>
        <w:rPr>
          <w:color w:val="231F20"/>
          <w:spacing w:val="-31"/>
        </w:rPr>
        <w:t xml:space="preserve"> </w:t>
      </w:r>
      <w:r>
        <w:rPr>
          <w:color w:val="231F20"/>
          <w:spacing w:val="-4"/>
        </w:rPr>
        <w:t>～27 kg/m</w:t>
      </w:r>
      <w:r>
        <w:rPr>
          <w:sz w:val="11"/>
          <w:szCs w:val="11"/>
          <w:color w:val="231F20"/>
          <w:spacing w:val="-4"/>
          <w:position w:val="7"/>
        </w:rPr>
        <w:t>2 </w:t>
      </w:r>
      <w:r>
        <w:rPr>
          <w:color w:val="231F20"/>
          <w:spacing w:val="-4"/>
        </w:rPr>
        <w:t>，平均</w:t>
      </w:r>
      <w:r>
        <w:rPr>
          <w:color w:val="231F20"/>
          <w:spacing w:val="-30"/>
        </w:rPr>
        <w:t xml:space="preserve"> </w:t>
      </w:r>
      <w:r>
        <w:rPr>
          <w:color w:val="231F20"/>
          <w:spacing w:val="-4"/>
        </w:rPr>
        <w:t>（22.75 ±</w:t>
      </w:r>
      <w:r>
        <w:rPr>
          <w:color w:val="231F20"/>
        </w:rPr>
        <w:t xml:space="preserve">  </w:t>
      </w:r>
      <w:r>
        <w:rPr>
          <w:color w:val="231F20"/>
          <w:spacing w:val="-14"/>
        </w:rPr>
        <w:t>0.68）</w:t>
      </w:r>
      <w:r>
        <w:rPr>
          <w:color w:val="231F20"/>
          <w:spacing w:val="22"/>
          <w:w w:val="101"/>
        </w:rPr>
        <w:t xml:space="preserve"> </w:t>
      </w:r>
      <w:r>
        <w:rPr>
          <w:color w:val="231F20"/>
          <w:spacing w:val="-14"/>
        </w:rPr>
        <w:t>kg/m</w:t>
      </w:r>
      <w:r>
        <w:rPr>
          <w:sz w:val="11"/>
          <w:szCs w:val="11"/>
          <w:color w:val="231F20"/>
          <w:spacing w:val="-3"/>
          <w:position w:val="7"/>
        </w:rPr>
        <w:t>2 </w:t>
      </w:r>
      <w:r>
        <w:rPr>
          <w:color w:val="231F20"/>
          <w:spacing w:val="-3"/>
        </w:rPr>
        <w:t>； 阑</w:t>
      </w:r>
      <w:r>
        <w:rPr>
          <w:color w:val="231F20"/>
          <w:spacing w:val="-22"/>
        </w:rPr>
        <w:t xml:space="preserve"> </w:t>
      </w:r>
      <w:r>
        <w:rPr>
          <w:color w:val="231F20"/>
          <w:spacing w:val="-3"/>
        </w:rPr>
        <w:t>尾</w:t>
      </w:r>
      <w:r>
        <w:rPr>
          <w:color w:val="231F20"/>
          <w:spacing w:val="-20"/>
        </w:rPr>
        <w:t xml:space="preserve"> </w:t>
      </w:r>
      <w:r>
        <w:rPr>
          <w:color w:val="231F20"/>
          <w:spacing w:val="-3"/>
        </w:rPr>
        <w:t>炎</w:t>
      </w:r>
      <w:r>
        <w:rPr>
          <w:color w:val="231F20"/>
          <w:spacing w:val="-22"/>
        </w:rPr>
        <w:t xml:space="preserve"> </w:t>
      </w:r>
      <w:r>
        <w:rPr>
          <w:color w:val="231F20"/>
          <w:spacing w:val="-3"/>
        </w:rPr>
        <w:t>分</w:t>
      </w:r>
      <w:r>
        <w:rPr>
          <w:color w:val="231F20"/>
          <w:spacing w:val="-15"/>
        </w:rPr>
        <w:t xml:space="preserve"> </w:t>
      </w:r>
      <w:r>
        <w:rPr>
          <w:color w:val="231F20"/>
          <w:spacing w:val="-3"/>
        </w:rPr>
        <w:t>型 ，</w:t>
      </w:r>
      <w:r>
        <w:rPr>
          <w:color w:val="231F20"/>
          <w:spacing w:val="-21"/>
        </w:rPr>
        <w:t xml:space="preserve"> </w:t>
      </w:r>
      <w:r>
        <w:rPr>
          <w:color w:val="231F20"/>
          <w:spacing w:val="-3"/>
        </w:rPr>
        <w:t>单</w:t>
      </w:r>
      <w:r>
        <w:rPr>
          <w:color w:val="231F20"/>
          <w:spacing w:val="-18"/>
        </w:rPr>
        <w:t xml:space="preserve"> </w:t>
      </w:r>
      <w:r>
        <w:rPr>
          <w:color w:val="231F20"/>
          <w:spacing w:val="-3"/>
        </w:rPr>
        <w:t>纯</w:t>
      </w:r>
      <w:r>
        <w:rPr>
          <w:color w:val="231F20"/>
          <w:spacing w:val="-13"/>
        </w:rPr>
        <w:t xml:space="preserve"> </w:t>
      </w:r>
      <w:r>
        <w:rPr>
          <w:color w:val="231F20"/>
          <w:spacing w:val="-3"/>
        </w:rPr>
        <w:t>型</w:t>
      </w:r>
      <w:r>
        <w:rPr>
          <w:color w:val="231F20"/>
          <w:spacing w:val="34"/>
        </w:rPr>
        <w:t xml:space="preserve"> </w:t>
      </w:r>
      <w:r>
        <w:rPr>
          <w:color w:val="231F20"/>
          <w:spacing w:val="-3"/>
        </w:rPr>
        <w:t>9</w:t>
      </w:r>
      <w:r>
        <w:rPr>
          <w:color w:val="231F20"/>
          <w:spacing w:val="34"/>
          <w:w w:val="101"/>
        </w:rPr>
        <w:t xml:space="preserve"> </w:t>
      </w:r>
      <w:r>
        <w:rPr>
          <w:color w:val="231F20"/>
          <w:spacing w:val="-3"/>
        </w:rPr>
        <w:t>例 ，</w:t>
      </w:r>
      <w:r>
        <w:rPr>
          <w:color w:val="231F20"/>
          <w:spacing w:val="-18"/>
        </w:rPr>
        <w:t xml:space="preserve"> </w:t>
      </w:r>
      <w:r>
        <w:rPr>
          <w:color w:val="231F20"/>
          <w:spacing w:val="-3"/>
        </w:rPr>
        <w:t>化</w:t>
      </w:r>
      <w:r>
        <w:rPr>
          <w:color w:val="231F20"/>
          <w:spacing w:val="-21"/>
        </w:rPr>
        <w:t xml:space="preserve"> </w:t>
      </w:r>
      <w:r>
        <w:rPr>
          <w:color w:val="231F20"/>
          <w:spacing w:val="-3"/>
        </w:rPr>
        <w:t>脓</w:t>
      </w:r>
      <w:r>
        <w:rPr>
          <w:color w:val="231F20"/>
          <w:spacing w:val="-21"/>
        </w:rPr>
        <w:t xml:space="preserve"> </w:t>
      </w:r>
      <w:r>
        <w:rPr>
          <w:color w:val="231F20"/>
          <w:spacing w:val="-3"/>
        </w:rPr>
        <w:t>性</w:t>
      </w:r>
    </w:p>
    <w:p>
      <w:pPr>
        <w:pStyle w:val="BodyText"/>
        <w:ind w:left="59" w:right="63" w:firstLine="20"/>
        <w:spacing w:before="1" w:line="218" w:lineRule="auto"/>
        <w:rPr/>
      </w:pPr>
      <w:r>
        <w:rPr>
          <w:color w:val="231F20"/>
          <w:spacing w:val="3"/>
        </w:rPr>
        <w:t>13 例</w:t>
      </w:r>
      <w:r>
        <w:rPr>
          <w:color w:val="231F20"/>
          <w:spacing w:val="-16"/>
        </w:rPr>
        <w:t xml:space="preserve"> </w:t>
      </w:r>
      <w:r>
        <w:rPr>
          <w:color w:val="231F20"/>
          <w:spacing w:val="3"/>
        </w:rPr>
        <w:t>，坏疽性 8 例</w:t>
      </w:r>
      <w:r>
        <w:rPr>
          <w:color w:val="231F20"/>
          <w:spacing w:val="-31"/>
        </w:rPr>
        <w:t xml:space="preserve"> </w:t>
      </w:r>
      <w:r>
        <w:rPr>
          <w:color w:val="231F20"/>
          <w:spacing w:val="3"/>
        </w:rPr>
        <w:t>。2 组基线资料对比</w:t>
      </w:r>
      <w:r>
        <w:rPr>
          <w:color w:val="231F20"/>
          <w:spacing w:val="-17"/>
        </w:rPr>
        <w:t xml:space="preserve"> </w:t>
      </w:r>
      <w:r>
        <w:rPr>
          <w:color w:val="231F20"/>
          <w:spacing w:val="3"/>
        </w:rPr>
        <w:t>，差异无统计</w:t>
      </w:r>
      <w:r>
        <w:rPr>
          <w:color w:val="231F20"/>
        </w:rPr>
        <w:t xml:space="preserve"> </w:t>
      </w:r>
      <w:r>
        <w:rPr>
          <w:color w:val="231F20"/>
          <w:spacing w:val="8"/>
        </w:rPr>
        <w:t>学意义</w:t>
      </w:r>
      <w:r>
        <w:rPr>
          <w:color w:val="231F20"/>
          <w:spacing w:val="-35"/>
        </w:rPr>
        <w:t xml:space="preserve"> </w:t>
      </w:r>
      <w:r>
        <w:rPr>
          <w:color w:val="231F20"/>
          <w:spacing w:val="8"/>
        </w:rPr>
        <w:t>（</w:t>
      </w:r>
      <w:r>
        <w:rPr>
          <w:rFonts w:ascii="Arial" w:hAnsi="Arial" w:eastAsia="Arial" w:cs="Arial"/>
          <w:color w:val="231F20"/>
          <w:spacing w:val="8"/>
        </w:rPr>
        <w:t>P</w:t>
      </w:r>
      <w:r>
        <w:rPr>
          <w:color w:val="231F20"/>
          <w:spacing w:val="8"/>
        </w:rPr>
        <w:t>＞0.05</w:t>
      </w:r>
      <w:r>
        <w:rPr>
          <w:color w:val="231F20"/>
          <w:spacing w:val="-29"/>
        </w:rPr>
        <w:t>），</w:t>
      </w:r>
      <w:r>
        <w:rPr>
          <w:color w:val="231F20"/>
          <w:spacing w:val="8"/>
        </w:rPr>
        <w:t>具有可比性</w:t>
      </w:r>
      <w:r>
        <w:rPr>
          <w:color w:val="231F20"/>
          <w:spacing w:val="-27"/>
        </w:rPr>
        <w:t xml:space="preserve"> </w:t>
      </w:r>
      <w:r>
        <w:rPr>
          <w:color w:val="231F20"/>
          <w:spacing w:val="8"/>
        </w:rPr>
        <w:t>。本研究获医院医学</w:t>
      </w:r>
      <w:r>
        <w:rPr>
          <w:color w:val="231F20"/>
        </w:rPr>
        <w:t xml:space="preserve"> </w:t>
      </w:r>
      <w:r>
        <w:rPr>
          <w:color w:val="231F20"/>
          <w:spacing w:val="4"/>
        </w:rPr>
        <w:t>伦理委员会审批[2020（014） 审]。所有</w:t>
      </w:r>
      <w:r>
        <w:rPr>
          <w:color w:val="231F20"/>
          <w:spacing w:val="3"/>
        </w:rPr>
        <w:t>患者均签署知</w:t>
      </w:r>
      <w:r>
        <w:rPr>
          <w:color w:val="231F20"/>
        </w:rPr>
        <w:t xml:space="preserve"> </w:t>
      </w:r>
      <w:r>
        <w:rPr>
          <w:color w:val="231F20"/>
          <w:spacing w:val="7"/>
        </w:rPr>
        <w:t>情同意书。</w:t>
      </w:r>
    </w:p>
    <w:p>
      <w:pPr>
        <w:pStyle w:val="BodyText"/>
        <w:ind w:left="77"/>
        <w:spacing w:before="33" w:line="196" w:lineRule="auto"/>
        <w:rPr/>
      </w:pPr>
      <w:r>
        <w:rPr>
          <w:color w:val="231F20"/>
          <w:spacing w:val="2"/>
        </w:rPr>
        <w:t>1.2</w:t>
      </w:r>
      <w:r>
        <w:rPr>
          <w:color w:val="231F20"/>
          <w:spacing w:val="13"/>
        </w:rPr>
        <w:t xml:space="preserve">   </w:t>
      </w:r>
      <w:r>
        <w:rPr>
          <w:color w:val="231F20"/>
          <w:spacing w:val="2"/>
        </w:rPr>
        <w:t>入选标准</w:t>
      </w:r>
    </w:p>
    <w:p>
      <w:pPr>
        <w:pStyle w:val="BodyText"/>
        <w:ind w:left="60" w:right="63" w:firstLine="422"/>
        <w:spacing w:before="26" w:line="223" w:lineRule="auto"/>
        <w:jc w:val="both"/>
        <w:rPr/>
      </w:pPr>
      <w:r>
        <w:rPr>
          <w:color w:val="231F20"/>
          <w:spacing w:val="12"/>
        </w:rPr>
        <w:t>纳入标准：</w:t>
      </w:r>
      <w:r>
        <w:rPr>
          <w:color w:val="231F20"/>
          <w:spacing w:val="-21"/>
        </w:rPr>
        <w:t xml:space="preserve"> </w:t>
      </w:r>
      <w:r>
        <w:rPr>
          <w:color w:val="231F20"/>
          <w:spacing w:val="12"/>
        </w:rPr>
        <w:t>符合阑尾炎</w:t>
      </w:r>
      <w:r>
        <w:rPr>
          <w:sz w:val="11"/>
          <w:szCs w:val="11"/>
          <w:color w:val="231F20"/>
          <w:spacing w:val="12"/>
          <w:position w:val="7"/>
        </w:rPr>
        <w:t>[5]</w:t>
      </w:r>
      <w:r>
        <w:rPr>
          <w:color w:val="231F20"/>
          <w:spacing w:val="12"/>
        </w:rPr>
        <w:t>诊断标准</w:t>
      </w:r>
      <w:r>
        <w:rPr>
          <w:color w:val="231F20"/>
          <w:spacing w:val="-12"/>
        </w:rPr>
        <w:t xml:space="preserve"> </w:t>
      </w:r>
      <w:r>
        <w:rPr>
          <w:color w:val="231F20"/>
          <w:spacing w:val="12"/>
        </w:rPr>
        <w:t>；符合手术指</w:t>
      </w:r>
      <w:r>
        <w:rPr>
          <w:color w:val="231F20"/>
        </w:rPr>
        <w:t xml:space="preserve"> </w:t>
      </w:r>
      <w:r>
        <w:rPr>
          <w:color w:val="231F20"/>
          <w:spacing w:val="11"/>
        </w:rPr>
        <w:t>征</w:t>
      </w:r>
      <w:r>
        <w:rPr>
          <w:color w:val="231F20"/>
          <w:spacing w:val="-19"/>
        </w:rPr>
        <w:t xml:space="preserve"> </w:t>
      </w:r>
      <w:r>
        <w:rPr>
          <w:color w:val="231F20"/>
          <w:spacing w:val="11"/>
        </w:rPr>
        <w:t>，均接受腹腔镜切除术治疗；</w:t>
      </w:r>
      <w:r>
        <w:rPr>
          <w:color w:val="231F20"/>
          <w:spacing w:val="-31"/>
        </w:rPr>
        <w:t xml:space="preserve"> </w:t>
      </w:r>
      <w:r>
        <w:rPr>
          <w:color w:val="231F20"/>
          <w:spacing w:val="11"/>
        </w:rPr>
        <w:t>均于南昌县人民医院</w:t>
      </w:r>
      <w:r>
        <w:rPr>
          <w:color w:val="231F20"/>
        </w:rPr>
        <w:t xml:space="preserve"> </w:t>
      </w:r>
      <w:r>
        <w:rPr>
          <w:color w:val="231F20"/>
          <w:spacing w:val="9"/>
        </w:rPr>
        <w:t>接受治疗，</w:t>
      </w:r>
      <w:r>
        <w:rPr>
          <w:color w:val="231F20"/>
          <w:spacing w:val="-25"/>
        </w:rPr>
        <w:t xml:space="preserve"> </w:t>
      </w:r>
      <w:r>
        <w:rPr>
          <w:color w:val="231F20"/>
          <w:spacing w:val="9"/>
        </w:rPr>
        <w:t>且进程顺利</w:t>
      </w:r>
      <w:r>
        <w:rPr>
          <w:color w:val="231F20"/>
          <w:spacing w:val="-20"/>
        </w:rPr>
        <w:t xml:space="preserve"> </w:t>
      </w:r>
      <w:r>
        <w:rPr>
          <w:color w:val="231F20"/>
          <w:spacing w:val="9"/>
        </w:rPr>
        <w:t>；认知功能正常</w:t>
      </w:r>
      <w:r>
        <w:rPr>
          <w:color w:val="231F20"/>
          <w:spacing w:val="-18"/>
        </w:rPr>
        <w:t xml:space="preserve"> </w:t>
      </w:r>
      <w:r>
        <w:rPr>
          <w:color w:val="231F20"/>
          <w:spacing w:val="9"/>
        </w:rPr>
        <w:t>，可维持基础</w:t>
      </w:r>
      <w:r>
        <w:rPr>
          <w:color w:val="231F20"/>
        </w:rPr>
        <w:t xml:space="preserve"> </w:t>
      </w:r>
      <w:r>
        <w:rPr>
          <w:color w:val="231F20"/>
          <w:spacing w:val="4"/>
        </w:rPr>
        <w:t>交流</w:t>
      </w:r>
      <w:r>
        <w:rPr>
          <w:color w:val="231F20"/>
          <w:spacing w:val="-15"/>
        </w:rPr>
        <w:t xml:space="preserve"> </w:t>
      </w:r>
      <w:r>
        <w:rPr>
          <w:color w:val="231F20"/>
          <w:spacing w:val="4"/>
        </w:rPr>
        <w:t>；依从性良好</w:t>
      </w:r>
      <w:r>
        <w:rPr>
          <w:color w:val="231F20"/>
          <w:spacing w:val="-24"/>
        </w:rPr>
        <w:t xml:space="preserve"> </w:t>
      </w:r>
      <w:r>
        <w:rPr>
          <w:color w:val="231F20"/>
          <w:spacing w:val="4"/>
        </w:rPr>
        <w:t>，可配合完成研究。</w:t>
      </w:r>
    </w:p>
    <w:p>
      <w:pPr>
        <w:pStyle w:val="BodyText"/>
        <w:ind w:left="59" w:firstLine="420"/>
        <w:spacing w:before="6" w:line="224" w:lineRule="auto"/>
        <w:jc w:val="both"/>
        <w:rPr/>
      </w:pPr>
      <w:r>
        <w:rPr>
          <w:color w:val="231F20"/>
          <w:spacing w:val="11"/>
        </w:rPr>
        <w:t>排除标准</w:t>
      </w:r>
      <w:r>
        <w:rPr>
          <w:color w:val="231F20"/>
          <w:spacing w:val="-15"/>
        </w:rPr>
        <w:t xml:space="preserve"> </w:t>
      </w:r>
      <w:r>
        <w:rPr>
          <w:color w:val="231F20"/>
          <w:spacing w:val="11"/>
        </w:rPr>
        <w:t>：存在心力衰竭</w:t>
      </w:r>
      <w:r>
        <w:rPr>
          <w:color w:val="231F20"/>
          <w:spacing w:val="-32"/>
        </w:rPr>
        <w:t xml:space="preserve"> </w:t>
      </w:r>
      <w:r>
        <w:rPr>
          <w:color w:val="231F20"/>
          <w:spacing w:val="11"/>
        </w:rPr>
        <w:t>、脑卒中等心脑血管疾</w:t>
      </w:r>
      <w:r>
        <w:rPr>
          <w:color w:val="231F20"/>
        </w:rPr>
        <w:t xml:space="preserve">  </w:t>
      </w:r>
      <w:r>
        <w:rPr>
          <w:color w:val="231F20"/>
          <w:spacing w:val="9"/>
        </w:rPr>
        <w:t>病者</w:t>
      </w:r>
      <w:r>
        <w:rPr>
          <w:color w:val="231F20"/>
          <w:spacing w:val="-10"/>
        </w:rPr>
        <w:t xml:space="preserve"> </w:t>
      </w:r>
      <w:r>
        <w:rPr>
          <w:color w:val="231F20"/>
          <w:spacing w:val="9"/>
        </w:rPr>
        <w:t>；存在腹部创伤史</w:t>
      </w:r>
      <w:r>
        <w:rPr>
          <w:color w:val="231F20"/>
          <w:spacing w:val="-34"/>
        </w:rPr>
        <w:t xml:space="preserve"> </w:t>
      </w:r>
      <w:r>
        <w:rPr>
          <w:color w:val="231F20"/>
          <w:spacing w:val="9"/>
        </w:rPr>
        <w:t>、手术史者</w:t>
      </w:r>
      <w:r>
        <w:rPr>
          <w:color w:val="231F20"/>
          <w:spacing w:val="-18"/>
        </w:rPr>
        <w:t xml:space="preserve"> </w:t>
      </w:r>
      <w:r>
        <w:rPr>
          <w:color w:val="231F20"/>
          <w:spacing w:val="9"/>
        </w:rPr>
        <w:t>；凝血机制障碍或</w:t>
      </w:r>
      <w:r>
        <w:rPr>
          <w:color w:val="231F20"/>
        </w:rPr>
        <w:t xml:space="preserve">  </w:t>
      </w:r>
      <w:r>
        <w:rPr>
          <w:color w:val="231F20"/>
          <w:spacing w:val="8"/>
        </w:rPr>
        <w:t>出血未纠正者</w:t>
      </w:r>
      <w:r>
        <w:rPr>
          <w:color w:val="231F20"/>
          <w:spacing w:val="-12"/>
        </w:rPr>
        <w:t xml:space="preserve"> </w:t>
      </w:r>
      <w:r>
        <w:rPr>
          <w:color w:val="231F20"/>
          <w:spacing w:val="8"/>
        </w:rPr>
        <w:t>；肺</w:t>
      </w:r>
      <w:r>
        <w:rPr>
          <w:color w:val="231F20"/>
          <w:spacing w:val="-34"/>
        </w:rPr>
        <w:t xml:space="preserve"> </w:t>
      </w:r>
      <w:r>
        <w:rPr>
          <w:color w:val="231F20"/>
          <w:spacing w:val="8"/>
        </w:rPr>
        <w:t>、肝</w:t>
      </w:r>
      <w:r>
        <w:rPr>
          <w:color w:val="231F20"/>
          <w:spacing w:val="-34"/>
        </w:rPr>
        <w:t xml:space="preserve"> </w:t>
      </w:r>
      <w:r>
        <w:rPr>
          <w:color w:val="231F20"/>
          <w:spacing w:val="8"/>
        </w:rPr>
        <w:t>、肾等重要器官障碍者</w:t>
      </w:r>
      <w:r>
        <w:rPr>
          <w:color w:val="231F20"/>
          <w:spacing w:val="-18"/>
        </w:rPr>
        <w:t xml:space="preserve"> </w:t>
      </w:r>
      <w:r>
        <w:rPr>
          <w:color w:val="231F20"/>
          <w:spacing w:val="8"/>
        </w:rPr>
        <w:t>；十二</w:t>
      </w:r>
      <w:r>
        <w:rPr>
          <w:color w:val="231F20"/>
        </w:rPr>
        <w:t xml:space="preserve">  </w:t>
      </w:r>
      <w:r>
        <w:rPr>
          <w:color w:val="231F20"/>
          <w:spacing w:val="7"/>
        </w:rPr>
        <w:t>指肠溃疡穿孔、肠系膜淋巴结炎等其他胃肠道疾病者；</w:t>
      </w:r>
      <w:r>
        <w:rPr>
          <w:color w:val="231F20"/>
          <w:spacing w:val="18"/>
          <w:w w:val="101"/>
        </w:rPr>
        <w:t xml:space="preserve"> </w:t>
      </w:r>
      <w:r>
        <w:rPr>
          <w:color w:val="231F20"/>
          <w:spacing w:val="10"/>
        </w:rPr>
        <w:t>术后伴发严重并发症</w:t>
      </w:r>
      <w:r>
        <w:rPr>
          <w:color w:val="231F20"/>
          <w:spacing w:val="-8"/>
        </w:rPr>
        <w:t xml:space="preserve"> </w:t>
      </w:r>
      <w:r>
        <w:rPr>
          <w:color w:val="231F20"/>
          <w:spacing w:val="10"/>
        </w:rPr>
        <w:t>，无法继续参与研究者</w:t>
      </w:r>
      <w:r>
        <w:rPr>
          <w:color w:val="231F20"/>
          <w:spacing w:val="-18"/>
        </w:rPr>
        <w:t xml:space="preserve"> </w:t>
      </w:r>
      <w:r>
        <w:rPr>
          <w:color w:val="231F20"/>
          <w:spacing w:val="10"/>
        </w:rPr>
        <w:t>；个人原</w:t>
      </w:r>
      <w:r>
        <w:rPr>
          <w:color w:val="231F20"/>
        </w:rPr>
        <w:t xml:space="preserve">  </w:t>
      </w:r>
      <w:r>
        <w:rPr>
          <w:color w:val="231F20"/>
          <w:spacing w:val="8"/>
        </w:rPr>
        <w:t>因无法继续研究者。</w:t>
      </w:r>
    </w:p>
    <w:p>
      <w:pPr>
        <w:pStyle w:val="BodyText"/>
        <w:ind w:left="77"/>
        <w:spacing w:line="182" w:lineRule="auto"/>
        <w:outlineLvl w:val="2"/>
        <w:rPr/>
      </w:pPr>
      <w:r>
        <w:rPr>
          <w:color w:val="231F20"/>
          <w:spacing w:val="-2"/>
        </w:rPr>
        <w:t>1.3</w:t>
      </w:r>
      <w:r>
        <w:rPr>
          <w:color w:val="231F20"/>
          <w:spacing w:val="14"/>
        </w:rPr>
        <w:t xml:space="preserve">   </w:t>
      </w:r>
      <w:r>
        <w:rPr>
          <w:color w:val="231F20"/>
          <w:spacing w:val="-2"/>
        </w:rPr>
        <w:t>方法</w:t>
      </w:r>
    </w:p>
    <w:p>
      <w:pPr>
        <w:pStyle w:val="BodyText"/>
        <w:ind w:left="481"/>
        <w:spacing w:before="45" w:line="208" w:lineRule="auto"/>
        <w:rPr/>
      </w:pPr>
      <w:r>
        <w:rPr>
          <w:color w:val="231F20"/>
          <w:spacing w:val="4"/>
        </w:rPr>
        <w:t>2 组患者于术前接受稳定心肺、术前 8 h 禁食禁水</w:t>
      </w:r>
    </w:p>
    <w:p>
      <w:pPr>
        <w:spacing w:line="208" w:lineRule="auto"/>
        <w:sectPr>
          <w:type w:val="continuous"/>
          <w:pgSz w:w="11905" w:h="16836"/>
          <w:pgMar w:top="1497" w:right="783" w:bottom="918" w:left="424" w:header="1046" w:footer="775" w:gutter="0"/>
          <w:cols w:equalWidth="0" w:num="2">
            <w:col w:w="5549" w:space="100"/>
            <w:col w:w="5048" w:space="0"/>
          </w:cols>
        </w:sectPr>
        <w:rPr/>
      </w:pPr>
    </w:p>
    <w:p>
      <w:pPr>
        <w:pStyle w:val="BodyText"/>
        <w:ind w:left="433"/>
        <w:spacing w:before="151" w:line="157" w:lineRule="auto"/>
        <w:rPr>
          <w:sz w:val="17"/>
          <w:szCs w:val="17"/>
        </w:rPr>
      </w:pPr>
      <w:r>
        <w:rPr>
          <w:sz w:val="17"/>
          <w:szCs w:val="17"/>
          <w:color w:val="231F20"/>
          <w:spacing w:val="2"/>
        </w:rPr>
        <w:t>作者简介：</w:t>
      </w:r>
      <w:r>
        <w:rPr>
          <w:sz w:val="17"/>
          <w:szCs w:val="17"/>
          <w:color w:val="231F20"/>
          <w:spacing w:val="-27"/>
        </w:rPr>
        <w:t xml:space="preserve"> </w:t>
      </w:r>
      <w:r>
        <w:rPr>
          <w:sz w:val="17"/>
          <w:szCs w:val="17"/>
          <w:color w:val="231F20"/>
          <w:spacing w:val="2"/>
        </w:rPr>
        <w:t>艾   斌（</w:t>
      </w:r>
      <w:r>
        <w:rPr>
          <w:rFonts w:ascii="Arial" w:hAnsi="Arial" w:eastAsia="Arial" w:cs="Arial"/>
          <w:sz w:val="17"/>
          <w:szCs w:val="17"/>
          <w:color w:val="231F20"/>
          <w:spacing w:val="2"/>
        </w:rPr>
        <w:t>1984</w:t>
      </w:r>
      <w:r>
        <w:rPr>
          <w:sz w:val="17"/>
          <w:szCs w:val="17"/>
          <w:color w:val="231F20"/>
          <w:spacing w:val="2"/>
        </w:rPr>
        <w:t>—</w:t>
      </w:r>
      <w:r>
        <w:rPr>
          <w:sz w:val="17"/>
          <w:szCs w:val="17"/>
          <w:color w:val="231F20"/>
          <w:spacing w:val="-35"/>
          <w:w w:val="85"/>
        </w:rPr>
        <w:t>），</w:t>
      </w:r>
      <w:r>
        <w:rPr>
          <w:sz w:val="17"/>
          <w:szCs w:val="17"/>
          <w:color w:val="231F20"/>
          <w:spacing w:val="29"/>
          <w:w w:val="101"/>
        </w:rPr>
        <w:t xml:space="preserve"> </w:t>
      </w:r>
      <w:r>
        <w:rPr>
          <w:sz w:val="17"/>
          <w:szCs w:val="17"/>
          <w:color w:val="231F20"/>
          <w:spacing w:val="2"/>
        </w:rPr>
        <w:t>男</w:t>
      </w:r>
      <w:r>
        <w:rPr>
          <w:sz w:val="17"/>
          <w:szCs w:val="17"/>
          <w:color w:val="231F20"/>
          <w:spacing w:val="-20"/>
        </w:rPr>
        <w:t xml:space="preserve"> </w:t>
      </w:r>
      <w:r>
        <w:rPr>
          <w:sz w:val="17"/>
          <w:szCs w:val="17"/>
          <w:color w:val="231F20"/>
          <w:spacing w:val="2"/>
        </w:rPr>
        <w:t>，江西南昌人</w:t>
      </w:r>
      <w:r>
        <w:rPr>
          <w:sz w:val="17"/>
          <w:szCs w:val="17"/>
          <w:color w:val="231F20"/>
          <w:spacing w:val="-20"/>
        </w:rPr>
        <w:t xml:space="preserve"> </w:t>
      </w:r>
      <w:r>
        <w:rPr>
          <w:sz w:val="17"/>
          <w:szCs w:val="17"/>
          <w:color w:val="231F20"/>
          <w:spacing w:val="2"/>
        </w:rPr>
        <w:t>，本科</w:t>
      </w:r>
      <w:r>
        <w:rPr>
          <w:sz w:val="17"/>
          <w:szCs w:val="17"/>
          <w:color w:val="231F20"/>
          <w:spacing w:val="-19"/>
        </w:rPr>
        <w:t xml:space="preserve"> </w:t>
      </w:r>
      <w:r>
        <w:rPr>
          <w:sz w:val="17"/>
          <w:szCs w:val="17"/>
          <w:color w:val="231F20"/>
          <w:spacing w:val="2"/>
        </w:rPr>
        <w:t>，</w:t>
      </w:r>
      <w:r>
        <w:rPr>
          <w:sz w:val="17"/>
          <w:szCs w:val="17"/>
          <w:color w:val="231F20"/>
          <w:spacing w:val="-30"/>
        </w:rPr>
        <w:t xml:space="preserve"> </w:t>
      </w:r>
      <w:r>
        <w:rPr>
          <w:sz w:val="17"/>
          <w:szCs w:val="17"/>
          <w:color w:val="231F20"/>
          <w:spacing w:val="2"/>
        </w:rPr>
        <w:t>主治医师</w:t>
      </w:r>
      <w:r>
        <w:rPr>
          <w:sz w:val="17"/>
          <w:szCs w:val="17"/>
          <w:color w:val="231F20"/>
          <w:spacing w:val="-20"/>
        </w:rPr>
        <w:t xml:space="preserve"> </w:t>
      </w:r>
      <w:r>
        <w:rPr>
          <w:sz w:val="17"/>
          <w:szCs w:val="17"/>
          <w:color w:val="231F20"/>
          <w:spacing w:val="2"/>
        </w:rPr>
        <w:t>，</w:t>
      </w:r>
      <w:r>
        <w:rPr>
          <w:sz w:val="17"/>
          <w:szCs w:val="17"/>
          <w:color w:val="231F20"/>
          <w:spacing w:val="-30"/>
        </w:rPr>
        <w:t xml:space="preserve"> </w:t>
      </w:r>
      <w:r>
        <w:rPr>
          <w:sz w:val="17"/>
          <w:szCs w:val="17"/>
          <w:color w:val="231F20"/>
          <w:spacing w:val="2"/>
        </w:rPr>
        <w:t>主要从事普外胸外方面的研究。</w:t>
      </w:r>
    </w:p>
    <w:p>
      <w:pPr>
        <w:spacing w:line="157" w:lineRule="auto"/>
        <w:sectPr>
          <w:type w:val="continuous"/>
          <w:pgSz w:w="11905" w:h="16836"/>
          <w:pgMar w:top="1497" w:right="783" w:bottom="918" w:left="424" w:header="1046" w:footer="775" w:gutter="0"/>
          <w:cols w:equalWidth="0" w:num="1">
            <w:col w:w="10697" w:space="0"/>
          </w:cols>
        </w:sectPr>
        <w:rPr>
          <w:sz w:val="17"/>
          <w:szCs w:val="17"/>
        </w:rPr>
      </w:pPr>
    </w:p>
    <w:p>
      <w:pPr>
        <w:spacing w:line="156" w:lineRule="exact"/>
        <w:rPr/>
      </w:pPr>
      <w:r/>
    </w:p>
    <w:p>
      <w:pPr>
        <w:spacing w:line="156" w:lineRule="exact"/>
        <w:sectPr>
          <w:headerReference w:type="default" r:id="rId4"/>
          <w:footerReference w:type="default" r:id="rId5"/>
          <w:pgSz w:w="11905" w:h="16836"/>
          <w:pgMar w:top="1497" w:right="784" w:bottom="917" w:left="424" w:header="1046" w:footer="776" w:gutter="0"/>
          <w:cols w:equalWidth="0" w:num="1">
            <w:col w:w="10696" w:space="0"/>
          </w:cols>
        </w:sectPr>
        <w:rPr/>
      </w:pPr>
    </w:p>
    <w:p>
      <w:pPr>
        <w:pStyle w:val="BodyText"/>
        <w:ind w:left="369" w:right="183" w:firstLine="63"/>
        <w:spacing w:before="50" w:line="223" w:lineRule="auto"/>
        <w:jc w:val="both"/>
        <w:rPr/>
      </w:pPr>
      <w:r>
        <w:rPr>
          <w:color w:val="231F20"/>
          <w:spacing w:val="9"/>
        </w:rPr>
        <w:t>等常规干预</w:t>
      </w:r>
      <w:r>
        <w:rPr>
          <w:color w:val="231F20"/>
          <w:spacing w:val="-32"/>
        </w:rPr>
        <w:t xml:space="preserve"> </w:t>
      </w:r>
      <w:r>
        <w:rPr>
          <w:color w:val="231F20"/>
          <w:spacing w:val="9"/>
        </w:rPr>
        <w:t>。采用三孔法施术</w:t>
      </w:r>
      <w:r>
        <w:rPr>
          <w:color w:val="231F20"/>
          <w:spacing w:val="-18"/>
        </w:rPr>
        <w:t xml:space="preserve"> </w:t>
      </w:r>
      <w:r>
        <w:rPr>
          <w:color w:val="231F20"/>
          <w:spacing w:val="9"/>
        </w:rPr>
        <w:t>，全身麻醉后平卧</w:t>
      </w:r>
      <w:r>
        <w:rPr>
          <w:color w:val="231F20"/>
          <w:spacing w:val="-17"/>
        </w:rPr>
        <w:t xml:space="preserve"> </w:t>
      </w:r>
      <w:r>
        <w:rPr>
          <w:color w:val="231F20"/>
          <w:spacing w:val="9"/>
        </w:rPr>
        <w:t>，消</w:t>
      </w:r>
      <w:r>
        <w:rPr>
          <w:color w:val="231F20"/>
        </w:rPr>
        <w:t xml:space="preserve">  </w:t>
      </w:r>
      <w:r>
        <w:rPr>
          <w:color w:val="231F20"/>
          <w:spacing w:val="9"/>
        </w:rPr>
        <w:t>毒铺单</w:t>
      </w:r>
      <w:r>
        <w:rPr>
          <w:color w:val="231F20"/>
        </w:rPr>
        <w:t xml:space="preserve"> </w:t>
      </w:r>
      <w:r>
        <w:rPr>
          <w:color w:val="231F20"/>
          <w:spacing w:val="9"/>
        </w:rPr>
        <w:t>，</w:t>
      </w:r>
      <w:r>
        <w:rPr>
          <w:color w:val="231F20"/>
        </w:rPr>
        <w:t>Trocar</w:t>
      </w:r>
      <w:r>
        <w:rPr>
          <w:color w:val="231F20"/>
          <w:spacing w:val="9"/>
        </w:rPr>
        <w:t xml:space="preserve"> 穿刺患者脐上缘 / 脐下缘</w:t>
      </w:r>
      <w:r>
        <w:rPr>
          <w:color w:val="231F20"/>
          <w:spacing w:val="-13"/>
        </w:rPr>
        <w:t xml:space="preserve"> </w:t>
      </w:r>
      <w:r>
        <w:rPr>
          <w:color w:val="231F20"/>
          <w:spacing w:val="9"/>
        </w:rPr>
        <w:t>，建立气腹</w:t>
      </w:r>
      <w:r>
        <w:rPr>
          <w:color w:val="231F20"/>
        </w:rPr>
        <w:t xml:space="preserve">  </w:t>
      </w:r>
      <w:r>
        <w:rPr>
          <w:color w:val="231F20"/>
          <w:spacing w:val="-13"/>
        </w:rPr>
        <w:t>（12～</w:t>
      </w:r>
      <w:r>
        <w:rPr>
          <w:color w:val="231F20"/>
          <w:spacing w:val="-34"/>
        </w:rPr>
        <w:t xml:space="preserve"> </w:t>
      </w:r>
      <w:r>
        <w:rPr>
          <w:color w:val="231F20"/>
          <w:spacing w:val="-13"/>
        </w:rPr>
        <w:t>14</w:t>
      </w:r>
      <w:r>
        <w:rPr>
          <w:color w:val="231F20"/>
          <w:spacing w:val="14"/>
        </w:rPr>
        <w:t xml:space="preserve"> </w:t>
      </w:r>
      <w:r>
        <w:rPr>
          <w:color w:val="231F20"/>
          <w:spacing w:val="-13"/>
        </w:rPr>
        <w:t>mmHg</w:t>
      </w:r>
      <w:r>
        <w:rPr>
          <w:color w:val="231F20"/>
          <w:spacing w:val="-24"/>
        </w:rPr>
        <w:t xml:space="preserve"> </w:t>
      </w:r>
      <w:r>
        <w:rPr>
          <w:color w:val="231F20"/>
          <w:spacing w:val="-13"/>
        </w:rPr>
        <w:t>，</w:t>
      </w:r>
      <w:r>
        <w:rPr>
          <w:color w:val="231F20"/>
          <w:spacing w:val="-21"/>
        </w:rPr>
        <w:t xml:space="preserve"> </w:t>
      </w:r>
      <w:r>
        <w:rPr>
          <w:color w:val="231F20"/>
          <w:spacing w:val="-13"/>
        </w:rPr>
        <w:t>1</w:t>
      </w:r>
      <w:r>
        <w:rPr>
          <w:color w:val="231F20"/>
          <w:spacing w:val="13"/>
        </w:rPr>
        <w:t xml:space="preserve"> </w:t>
      </w:r>
      <w:r>
        <w:rPr>
          <w:color w:val="231F20"/>
          <w:spacing w:val="-13"/>
        </w:rPr>
        <w:t>mmHg=0.133</w:t>
      </w:r>
      <w:r>
        <w:rPr>
          <w:color w:val="231F20"/>
          <w:spacing w:val="15"/>
        </w:rPr>
        <w:t xml:space="preserve"> </w:t>
      </w:r>
      <w:r>
        <w:rPr>
          <w:color w:val="231F20"/>
          <w:spacing w:val="-13"/>
        </w:rPr>
        <w:t>kPa</w:t>
      </w:r>
      <w:r>
        <w:rPr>
          <w:color w:val="231F20"/>
          <w:spacing w:val="-38"/>
        </w:rPr>
        <w:t>），</w:t>
      </w:r>
      <w:r>
        <w:rPr>
          <w:color w:val="231F20"/>
          <w:spacing w:val="-23"/>
        </w:rPr>
        <w:t xml:space="preserve"> </w:t>
      </w:r>
      <w:r>
        <w:rPr>
          <w:color w:val="231F20"/>
          <w:spacing w:val="-13"/>
        </w:rPr>
        <w:t>明确</w:t>
      </w:r>
      <w:r>
        <w:rPr>
          <w:color w:val="231F20"/>
          <w:spacing w:val="-14"/>
        </w:rPr>
        <w:t>检查患者</w:t>
      </w:r>
      <w:r>
        <w:rPr>
          <w:color w:val="231F20"/>
        </w:rPr>
        <w:t xml:space="preserve">  </w:t>
      </w:r>
      <w:r>
        <w:rPr>
          <w:color w:val="231F20"/>
          <w:spacing w:val="12"/>
        </w:rPr>
        <w:t>腹部</w:t>
      </w:r>
      <w:r>
        <w:rPr>
          <w:color w:val="231F20"/>
          <w:spacing w:val="-21"/>
        </w:rPr>
        <w:t xml:space="preserve"> </w:t>
      </w:r>
      <w:r>
        <w:rPr>
          <w:color w:val="231F20"/>
          <w:spacing w:val="12"/>
        </w:rPr>
        <w:t>、阑尾组织</w:t>
      </w:r>
      <w:r>
        <w:rPr>
          <w:color w:val="231F20"/>
          <w:spacing w:val="-20"/>
        </w:rPr>
        <w:t xml:space="preserve"> </w:t>
      </w:r>
      <w:r>
        <w:rPr>
          <w:color w:val="231F20"/>
          <w:spacing w:val="12"/>
        </w:rPr>
        <w:t>，后于右麦氏点切口，</w:t>
      </w:r>
      <w:r>
        <w:rPr>
          <w:color w:val="231F20"/>
          <w:spacing w:val="-32"/>
        </w:rPr>
        <w:t xml:space="preserve"> </w:t>
      </w:r>
      <w:r>
        <w:rPr>
          <w:color w:val="231F20"/>
          <w:spacing w:val="12"/>
        </w:rPr>
        <w:t>手术切口于脐</w:t>
      </w:r>
      <w:r>
        <w:rPr>
          <w:color w:val="231F20"/>
        </w:rPr>
        <w:t xml:space="preserve">  </w:t>
      </w:r>
      <w:r>
        <w:rPr>
          <w:color w:val="231F20"/>
          <w:spacing w:val="5"/>
        </w:rPr>
        <w:t>与耻骨中点</w:t>
      </w:r>
      <w:r>
        <w:rPr>
          <w:color w:val="231F20"/>
          <w:spacing w:val="-5"/>
        </w:rPr>
        <w:t xml:space="preserve"> </w:t>
      </w:r>
      <w:r>
        <w:rPr>
          <w:color w:val="231F20"/>
          <w:spacing w:val="5"/>
        </w:rPr>
        <w:t>，放置 </w:t>
      </w:r>
      <w:r>
        <w:rPr>
          <w:color w:val="231F20"/>
        </w:rPr>
        <w:t>Tocar</w:t>
      </w:r>
      <w:r>
        <w:rPr>
          <w:color w:val="231F20"/>
          <w:spacing w:val="5"/>
        </w:rPr>
        <w:t xml:space="preserve"> 穿刺</w:t>
      </w:r>
      <w:r>
        <w:rPr>
          <w:color w:val="231F20"/>
          <w:spacing w:val="-20"/>
        </w:rPr>
        <w:t xml:space="preserve"> </w:t>
      </w:r>
      <w:r>
        <w:rPr>
          <w:color w:val="231F20"/>
          <w:spacing w:val="5"/>
        </w:rPr>
        <w:t>，检查阑尾及外周组织。</w:t>
      </w:r>
      <w:r>
        <w:rPr>
          <w:color w:val="231F20"/>
        </w:rPr>
        <w:t xml:space="preserve"> </w:t>
      </w:r>
      <w:r>
        <w:rPr>
          <w:color w:val="231F20"/>
          <w:spacing w:val="11"/>
        </w:rPr>
        <w:t>于患者左侧推动回肠</w:t>
      </w:r>
      <w:r>
        <w:rPr>
          <w:color w:val="231F20"/>
          <w:spacing w:val="-5"/>
        </w:rPr>
        <w:t xml:space="preserve"> </w:t>
      </w:r>
      <w:r>
        <w:rPr>
          <w:color w:val="231F20"/>
          <w:spacing w:val="11"/>
        </w:rPr>
        <w:t>，用肠钳拉起阑尾</w:t>
      </w:r>
      <w:r>
        <w:rPr>
          <w:color w:val="231F20"/>
          <w:spacing w:val="-17"/>
        </w:rPr>
        <w:t xml:space="preserve"> </w:t>
      </w:r>
      <w:r>
        <w:rPr>
          <w:color w:val="231F20"/>
          <w:spacing w:val="11"/>
        </w:rPr>
        <w:t>，</w:t>
      </w:r>
      <w:r>
        <w:rPr>
          <w:color w:val="231F20"/>
          <w:spacing w:val="-28"/>
        </w:rPr>
        <w:t xml:space="preserve"> </w:t>
      </w:r>
      <w:r>
        <w:rPr>
          <w:color w:val="231F20"/>
          <w:spacing w:val="11"/>
        </w:rPr>
        <w:t>电钩分离阑</w:t>
      </w:r>
      <w:r>
        <w:rPr>
          <w:color w:val="231F20"/>
        </w:rPr>
        <w:t xml:space="preserve">  </w:t>
      </w:r>
      <w:r>
        <w:rPr>
          <w:color w:val="231F20"/>
          <w:spacing w:val="13"/>
        </w:rPr>
        <w:t>尾及外组织</w:t>
      </w:r>
      <w:r>
        <w:rPr>
          <w:color w:val="231F20"/>
          <w:spacing w:val="-5"/>
        </w:rPr>
        <w:t xml:space="preserve"> </w:t>
      </w:r>
      <w:r>
        <w:rPr>
          <w:color w:val="231F20"/>
          <w:spacing w:val="13"/>
        </w:rPr>
        <w:t>，</w:t>
      </w:r>
      <w:r>
        <w:rPr>
          <w:color w:val="231F20"/>
          <w:spacing w:val="-32"/>
        </w:rPr>
        <w:t xml:space="preserve"> </w:t>
      </w:r>
      <w:r>
        <w:rPr>
          <w:color w:val="231F20"/>
          <w:spacing w:val="13"/>
        </w:rPr>
        <w:t>以阑尾系膜贴紧阑尾后分离阑尾系膜至</w:t>
      </w:r>
      <w:r>
        <w:rPr>
          <w:color w:val="231F20"/>
        </w:rPr>
        <w:t xml:space="preserve">  </w:t>
      </w:r>
      <w:r>
        <w:rPr>
          <w:color w:val="231F20"/>
          <w:spacing w:val="13"/>
        </w:rPr>
        <w:t>根部</w:t>
      </w:r>
      <w:r>
        <w:rPr>
          <w:color w:val="231F20"/>
          <w:spacing w:val="-32"/>
        </w:rPr>
        <w:t xml:space="preserve"> </w:t>
      </w:r>
      <w:r>
        <w:rPr>
          <w:color w:val="231F20"/>
          <w:spacing w:val="13"/>
        </w:rPr>
        <w:t>。A 组采用慕丝线在阑尾根部双重结扎</w:t>
      </w:r>
      <w:r>
        <w:rPr>
          <w:color w:val="231F20"/>
          <w:spacing w:val="-18"/>
        </w:rPr>
        <w:t xml:space="preserve"> </w:t>
      </w:r>
      <w:r>
        <w:rPr>
          <w:color w:val="231F20"/>
          <w:spacing w:val="13"/>
        </w:rPr>
        <w:t>，根部切</w:t>
      </w:r>
      <w:r>
        <w:rPr>
          <w:color w:val="231F20"/>
        </w:rPr>
        <w:t xml:space="preserve">  </w:t>
      </w:r>
      <w:r>
        <w:rPr>
          <w:color w:val="231F20"/>
          <w:spacing w:val="10"/>
        </w:rPr>
        <w:t>除 ，</w:t>
      </w:r>
      <w:r>
        <w:rPr>
          <w:color w:val="231F20"/>
          <w:spacing w:val="-18"/>
        </w:rPr>
        <w:t xml:space="preserve"> </w:t>
      </w:r>
      <w:r>
        <w:rPr>
          <w:color w:val="231F20"/>
          <w:spacing w:val="10"/>
        </w:rPr>
        <w:t>以电凝刀灼烧</w:t>
      </w:r>
      <w:r>
        <w:rPr>
          <w:color w:val="231F20"/>
          <w:spacing w:val="-20"/>
        </w:rPr>
        <w:t xml:space="preserve"> </w:t>
      </w:r>
      <w:r>
        <w:rPr>
          <w:color w:val="231F20"/>
          <w:spacing w:val="10"/>
        </w:rPr>
        <w:t>。B 组以</w:t>
      </w:r>
      <w:r>
        <w:rPr>
          <w:color w:val="231F20"/>
          <w:spacing w:val="20"/>
        </w:rPr>
        <w:t xml:space="preserve"> </w:t>
      </w:r>
      <w:r>
        <w:rPr>
          <w:color w:val="231F20"/>
        </w:rPr>
        <w:t>Henolock</w:t>
      </w:r>
      <w:r>
        <w:rPr>
          <w:color w:val="231F20"/>
          <w:spacing w:val="10"/>
        </w:rPr>
        <w:t xml:space="preserve"> 夹处理阑尾残</w:t>
      </w:r>
      <w:r>
        <w:rPr>
          <w:color w:val="231F20"/>
        </w:rPr>
        <w:t xml:space="preserve">  </w:t>
      </w:r>
      <w:r>
        <w:rPr>
          <w:color w:val="231F20"/>
          <w:spacing w:val="6"/>
        </w:rPr>
        <w:t>端</w:t>
      </w:r>
      <w:r>
        <w:rPr>
          <w:color w:val="231F20"/>
          <w:spacing w:val="-23"/>
        </w:rPr>
        <w:t xml:space="preserve"> </w:t>
      </w:r>
      <w:r>
        <w:rPr>
          <w:color w:val="231F20"/>
          <w:spacing w:val="6"/>
        </w:rPr>
        <w:t>，</w:t>
      </w:r>
      <w:r>
        <w:rPr>
          <w:color w:val="231F20"/>
          <w:spacing w:val="-35"/>
        </w:rPr>
        <w:t xml:space="preserve"> </w:t>
      </w:r>
      <w:r>
        <w:rPr>
          <w:color w:val="231F20"/>
          <w:spacing w:val="6"/>
        </w:rPr>
        <w:t>以电凝刀灼烧阑尾残端黏膜</w:t>
      </w:r>
      <w:r>
        <w:rPr>
          <w:color w:val="231F20"/>
          <w:spacing w:val="-23"/>
        </w:rPr>
        <w:t xml:space="preserve"> </w:t>
      </w:r>
      <w:r>
        <w:rPr>
          <w:color w:val="231F20"/>
          <w:spacing w:val="6"/>
        </w:rPr>
        <w:t>，</w:t>
      </w:r>
      <w:r>
        <w:rPr>
          <w:color w:val="231F20"/>
          <w:spacing w:val="-35"/>
        </w:rPr>
        <w:t xml:space="preserve"> </w:t>
      </w:r>
      <w:r>
        <w:rPr>
          <w:color w:val="231F20"/>
          <w:spacing w:val="6"/>
        </w:rPr>
        <w:t>留置引流管。</w:t>
      </w:r>
    </w:p>
    <w:p>
      <w:pPr>
        <w:pStyle w:val="BodyText"/>
        <w:ind w:left="446"/>
        <w:spacing w:line="198" w:lineRule="auto"/>
        <w:outlineLvl w:val="2"/>
        <w:rPr/>
      </w:pPr>
      <w:r>
        <w:rPr>
          <w:color w:val="231F20"/>
          <w:spacing w:val="2"/>
        </w:rPr>
        <w:t>1.4</w:t>
      </w:r>
      <w:r>
        <w:rPr>
          <w:color w:val="231F20"/>
          <w:spacing w:val="13"/>
        </w:rPr>
        <w:t xml:space="preserve">   </w:t>
      </w:r>
      <w:r>
        <w:rPr>
          <w:color w:val="231F20"/>
          <w:spacing w:val="2"/>
        </w:rPr>
        <w:t>观察指标</w:t>
      </w:r>
    </w:p>
    <w:p>
      <w:pPr>
        <w:pStyle w:val="BodyText"/>
        <w:ind w:left="429" w:right="183" w:firstLine="333"/>
        <w:spacing w:before="21" w:line="218" w:lineRule="auto"/>
        <w:rPr/>
      </w:pPr>
      <w:r>
        <w:rPr>
          <w:color w:val="231F20"/>
          <w:spacing w:val="2"/>
        </w:rPr>
        <w:t>（1）围术期指标</w:t>
      </w:r>
      <w:r>
        <w:rPr>
          <w:color w:val="231F20"/>
          <w:spacing w:val="-36"/>
        </w:rPr>
        <w:t xml:space="preserve"> </w:t>
      </w:r>
      <w:r>
        <w:rPr>
          <w:color w:val="231F20"/>
          <w:spacing w:val="2"/>
        </w:rPr>
        <w:t>。包括手术时间、术中出血量、住</w:t>
      </w:r>
      <w:r>
        <w:rPr>
          <w:color w:val="231F20"/>
        </w:rPr>
        <w:t xml:space="preserve">  </w:t>
      </w:r>
      <w:r>
        <w:rPr>
          <w:color w:val="231F20"/>
          <w:spacing w:val="-3"/>
        </w:rPr>
        <w:t>院时间和住院费用</w:t>
      </w:r>
      <w:r>
        <w:rPr>
          <w:color w:val="231F20"/>
          <w:spacing w:val="-34"/>
        </w:rPr>
        <w:t xml:space="preserve"> </w:t>
      </w:r>
      <w:r>
        <w:rPr>
          <w:color w:val="231F20"/>
          <w:spacing w:val="-3"/>
        </w:rPr>
        <w:t>。（2）胃肠功能恢复时间</w:t>
      </w:r>
      <w:r>
        <w:rPr>
          <w:color w:val="231F20"/>
          <w:spacing w:val="-36"/>
        </w:rPr>
        <w:t xml:space="preserve"> </w:t>
      </w:r>
      <w:r>
        <w:rPr>
          <w:color w:val="231F20"/>
          <w:spacing w:val="-3"/>
        </w:rPr>
        <w:t>。记录 2 组</w:t>
      </w:r>
      <w:r>
        <w:rPr>
          <w:color w:val="231F20"/>
        </w:rPr>
        <w:t xml:space="preserve">  </w:t>
      </w:r>
      <w:r>
        <w:rPr>
          <w:color w:val="231F20"/>
          <w:spacing w:val="16"/>
        </w:rPr>
        <w:t>肠蠕动恢复</w:t>
      </w:r>
      <w:r>
        <w:rPr>
          <w:color w:val="231F20"/>
          <w:spacing w:val="-28"/>
        </w:rPr>
        <w:t xml:space="preserve"> </w:t>
      </w:r>
      <w:r>
        <w:rPr>
          <w:color w:val="231F20"/>
          <w:spacing w:val="16"/>
        </w:rPr>
        <w:t>、肛门首次排气和肠鸣音首次出现</w:t>
      </w:r>
      <w:r>
        <w:rPr>
          <w:color w:val="231F20"/>
          <w:spacing w:val="15"/>
        </w:rPr>
        <w:t>时间。</w:t>
      </w:r>
    </w:p>
    <w:p>
      <w:pPr>
        <w:pStyle w:val="BodyText"/>
        <w:ind w:left="430" w:right="195" w:hanging="86"/>
        <w:spacing w:before="25" w:line="220" w:lineRule="auto"/>
        <w:rPr/>
      </w:pPr>
      <w:r>
        <w:rPr>
          <w:color w:val="231F20"/>
          <w:spacing w:val="4"/>
        </w:rPr>
        <w:t>（3）生活质量</w:t>
      </w:r>
      <w:r>
        <w:rPr>
          <w:color w:val="231F20"/>
          <w:spacing w:val="-25"/>
        </w:rPr>
        <w:t xml:space="preserve"> </w:t>
      </w:r>
      <w:r>
        <w:rPr>
          <w:color w:val="231F20"/>
          <w:spacing w:val="4"/>
        </w:rPr>
        <w:t>。分别于术前</w:t>
      </w:r>
      <w:r>
        <w:rPr>
          <w:color w:val="231F20"/>
          <w:spacing w:val="-28"/>
        </w:rPr>
        <w:t xml:space="preserve"> </w:t>
      </w:r>
      <w:r>
        <w:rPr>
          <w:color w:val="231F20"/>
          <w:spacing w:val="4"/>
        </w:rPr>
        <w:t>、术后</w:t>
      </w:r>
      <w:r>
        <w:rPr>
          <w:color w:val="231F20"/>
          <w:spacing w:val="25"/>
          <w:w w:val="101"/>
        </w:rPr>
        <w:t xml:space="preserve"> </w:t>
      </w:r>
      <w:r>
        <w:rPr>
          <w:color w:val="231F20"/>
          <w:spacing w:val="4"/>
        </w:rPr>
        <w:t>1 个月</w:t>
      </w:r>
      <w:r>
        <w:rPr>
          <w:color w:val="231F20"/>
          <w:spacing w:val="3"/>
        </w:rPr>
        <w:t>以 </w:t>
      </w:r>
      <w:r>
        <w:rPr>
          <w:color w:val="231F20"/>
        </w:rPr>
        <w:t>SF</w:t>
      </w:r>
      <w:r>
        <w:rPr>
          <w:color w:val="231F20"/>
          <w:spacing w:val="3"/>
        </w:rPr>
        <w:t>-36 量</w:t>
      </w:r>
      <w:r>
        <w:rPr>
          <w:color w:val="231F20"/>
        </w:rPr>
        <w:t xml:space="preserve">  </w:t>
      </w:r>
      <w:r>
        <w:rPr>
          <w:color w:val="231F20"/>
          <w:spacing w:val="3"/>
        </w:rPr>
        <w:t>表</w:t>
      </w:r>
      <w:r>
        <w:rPr>
          <w:sz w:val="11"/>
          <w:szCs w:val="11"/>
          <w:color w:val="231F20"/>
          <w:spacing w:val="3"/>
          <w:position w:val="7"/>
        </w:rPr>
        <w:t>[6]</w:t>
      </w:r>
      <w:r>
        <w:rPr>
          <w:color w:val="231F20"/>
          <w:spacing w:val="3"/>
        </w:rPr>
        <w:t>评估 2 组生命质量</w:t>
      </w:r>
      <w:r>
        <w:rPr>
          <w:color w:val="231F20"/>
          <w:spacing w:val="-17"/>
        </w:rPr>
        <w:t xml:space="preserve"> </w:t>
      </w:r>
      <w:r>
        <w:rPr>
          <w:color w:val="231F20"/>
          <w:spacing w:val="3"/>
        </w:rPr>
        <w:t>。该表包含</w:t>
      </w:r>
      <w:r>
        <w:rPr>
          <w:color w:val="231F20"/>
          <w:spacing w:val="22"/>
        </w:rPr>
        <w:t xml:space="preserve"> </w:t>
      </w:r>
      <w:r>
        <w:rPr>
          <w:color w:val="231F20"/>
          <w:spacing w:val="3"/>
        </w:rPr>
        <w:t>12 个条目</w:t>
      </w:r>
      <w:r>
        <w:rPr>
          <w:color w:val="231F20"/>
          <w:spacing w:val="-17"/>
        </w:rPr>
        <w:t xml:space="preserve"> </w:t>
      </w:r>
      <w:r>
        <w:rPr>
          <w:color w:val="231F20"/>
          <w:spacing w:val="3"/>
        </w:rPr>
        <w:t>，包括躯</w:t>
      </w:r>
      <w:r>
        <w:rPr>
          <w:color w:val="231F20"/>
        </w:rPr>
        <w:t xml:space="preserve">  </w:t>
      </w:r>
      <w:r>
        <w:rPr>
          <w:color w:val="231F20"/>
          <w:spacing w:val="9"/>
        </w:rPr>
        <w:t>体疼痛</w:t>
      </w:r>
      <w:r>
        <w:rPr>
          <w:color w:val="231F20"/>
          <w:spacing w:val="-25"/>
        </w:rPr>
        <w:t xml:space="preserve"> </w:t>
      </w:r>
      <w:r>
        <w:rPr>
          <w:color w:val="231F20"/>
          <w:spacing w:val="9"/>
        </w:rPr>
        <w:t>、生理职能</w:t>
      </w:r>
      <w:r>
        <w:rPr>
          <w:color w:val="231F20"/>
          <w:spacing w:val="-34"/>
        </w:rPr>
        <w:t xml:space="preserve"> </w:t>
      </w:r>
      <w:r>
        <w:rPr>
          <w:color w:val="231F20"/>
          <w:spacing w:val="9"/>
        </w:rPr>
        <w:t>、生理功能以及总体健康等 8 个维</w:t>
      </w:r>
      <w:r>
        <w:rPr>
          <w:color w:val="231F20"/>
        </w:rPr>
        <w:t xml:space="preserve">  </w:t>
      </w:r>
      <w:r>
        <w:rPr>
          <w:color w:val="231F20"/>
          <w:spacing w:val="7"/>
        </w:rPr>
        <w:t>度</w:t>
      </w:r>
      <w:r>
        <w:rPr>
          <w:color w:val="231F20"/>
          <w:spacing w:val="4"/>
        </w:rPr>
        <w:t xml:space="preserve"> </w:t>
      </w:r>
      <w:r>
        <w:rPr>
          <w:color w:val="231F20"/>
          <w:spacing w:val="7"/>
        </w:rPr>
        <w:t>，</w:t>
      </w:r>
      <w:r>
        <w:rPr>
          <w:color w:val="231F20"/>
          <w:spacing w:val="-39"/>
        </w:rPr>
        <w:t xml:space="preserve"> </w:t>
      </w:r>
      <w:r>
        <w:rPr>
          <w:color w:val="231F20"/>
          <w:spacing w:val="7"/>
        </w:rPr>
        <w:t>分值 0～</w:t>
      </w:r>
      <w:r>
        <w:rPr>
          <w:color w:val="231F20"/>
          <w:spacing w:val="-35"/>
        </w:rPr>
        <w:t xml:space="preserve"> </w:t>
      </w:r>
      <w:r>
        <w:rPr>
          <w:color w:val="231F20"/>
          <w:spacing w:val="7"/>
        </w:rPr>
        <w:t>100 分</w:t>
      </w:r>
      <w:r>
        <w:rPr>
          <w:color w:val="231F20"/>
          <w:spacing w:val="-9"/>
        </w:rPr>
        <w:t xml:space="preserve"> </w:t>
      </w:r>
      <w:r>
        <w:rPr>
          <w:color w:val="231F20"/>
          <w:spacing w:val="7"/>
        </w:rPr>
        <w:t>，评分≥50 分为生活质量正常，</w:t>
      </w:r>
      <w:r>
        <w:rPr>
          <w:color w:val="231F20"/>
        </w:rPr>
        <w:t xml:space="preserve"> </w:t>
      </w:r>
      <w:r>
        <w:rPr>
          <w:color w:val="231F20"/>
          <w:spacing w:val="-2"/>
        </w:rPr>
        <w:t>分数越高表示患者生活质量越高</w:t>
      </w:r>
      <w:r>
        <w:rPr>
          <w:color w:val="231F20"/>
          <w:spacing w:val="-30"/>
        </w:rPr>
        <w:t xml:space="preserve"> </w:t>
      </w:r>
      <w:r>
        <w:rPr>
          <w:color w:val="231F20"/>
          <w:spacing w:val="-2"/>
        </w:rPr>
        <w:t>。（4）并发症</w:t>
      </w:r>
      <w:r>
        <w:rPr>
          <w:color w:val="231F20"/>
          <w:spacing w:val="-36"/>
        </w:rPr>
        <w:t xml:space="preserve"> </w:t>
      </w:r>
      <w:r>
        <w:rPr>
          <w:color w:val="231F20"/>
          <w:spacing w:val="-2"/>
        </w:rPr>
        <w:t>。包括切</w:t>
      </w:r>
      <w:r>
        <w:rPr>
          <w:color w:val="231F20"/>
        </w:rPr>
        <w:t xml:space="preserve">  </w:t>
      </w:r>
      <w:r>
        <w:rPr>
          <w:color w:val="231F20"/>
          <w:spacing w:val="8"/>
        </w:rPr>
        <w:t>口感染、粘连性肠梗阻、腹痛和粪漏。</w:t>
      </w:r>
    </w:p>
    <w:p>
      <w:pPr>
        <w:pStyle w:val="BodyText"/>
        <w:ind w:left="446"/>
        <w:spacing w:before="37" w:line="197" w:lineRule="auto"/>
        <w:rPr/>
      </w:pPr>
      <w:r>
        <w:rPr>
          <w:color w:val="231F20"/>
          <w:spacing w:val="3"/>
        </w:rPr>
        <w:t>1.5</w:t>
      </w:r>
      <w:r>
        <w:rPr>
          <w:color w:val="231F20"/>
          <w:spacing w:val="13"/>
        </w:rPr>
        <w:t xml:space="preserve">   </w:t>
      </w:r>
      <w:r>
        <w:rPr>
          <w:color w:val="231F20"/>
          <w:spacing w:val="3"/>
        </w:rPr>
        <w:t>统计学方法</w:t>
      </w:r>
    </w:p>
    <w:p>
      <w:pPr>
        <w:pStyle w:val="BodyText"/>
        <w:ind w:left="849"/>
        <w:spacing w:before="36" w:line="199" w:lineRule="auto"/>
        <w:rPr/>
      </w:pPr>
      <w:r>
        <w:rPr>
          <w:color w:val="231F20"/>
          <w:spacing w:val="11"/>
        </w:rPr>
        <w:t>采用 </w:t>
      </w:r>
      <w:r>
        <w:rPr>
          <w:color w:val="231F20"/>
        </w:rPr>
        <w:t>SPSS</w:t>
      </w:r>
      <w:r>
        <w:rPr>
          <w:color w:val="231F20"/>
          <w:spacing w:val="11"/>
        </w:rPr>
        <w:t xml:space="preserve"> 25.0 统计学软件对本研究数据进行分</w:t>
      </w:r>
    </w:p>
    <w:p>
      <w:pPr>
        <w:pStyle w:val="BodyText"/>
        <w:ind w:left="422" w:right="258" w:firstLine="10"/>
        <w:spacing w:before="35" w:line="213" w:lineRule="auto"/>
        <w:jc w:val="both"/>
        <w:rPr/>
      </w:pPr>
      <w:r>
        <w:pict>
          <v:shape id="_x0000_s18" style="position:absolute;margin-left:21.897pt;margin-top:17.6055pt;mso-position-vertical-relative:text;mso-position-horizontal-relative:text;width:4.25pt;height:0.2pt;z-index:-251658240;" filled="false" strokecolor="#231F20" strokeweight="0.19pt" coordsize="85,4" coordorigin="0,0" path="m0,1l84,1e">
            <v:stroke joinstyle="miter" miterlimit="10"/>
          </v:shape>
        </w:pict>
      </w:r>
      <w:r>
        <w:rPr>
          <w:color w:val="231F20"/>
          <w:spacing w:val="6"/>
        </w:rPr>
        <w:t>析</w:t>
      </w:r>
      <w:r>
        <w:rPr>
          <w:color w:val="231F20"/>
          <w:spacing w:val="-7"/>
        </w:rPr>
        <w:t xml:space="preserve"> </w:t>
      </w:r>
      <w:r>
        <w:rPr>
          <w:color w:val="231F20"/>
          <w:spacing w:val="6"/>
        </w:rPr>
        <w:t>，计数资料以百分比表示</w:t>
      </w:r>
      <w:r>
        <w:rPr>
          <w:color w:val="231F20"/>
          <w:spacing w:val="-19"/>
        </w:rPr>
        <w:t xml:space="preserve"> </w:t>
      </w:r>
      <w:r>
        <w:rPr>
          <w:color w:val="231F20"/>
          <w:spacing w:val="6"/>
        </w:rPr>
        <w:t>，行</w:t>
      </w:r>
      <w:r>
        <w:rPr>
          <w:color w:val="231F20"/>
          <w:spacing w:val="-43"/>
        </w:rPr>
        <w:t xml:space="preserve"> </w:t>
      </w:r>
      <w:r>
        <w:rPr>
          <w:rFonts w:ascii="Arial" w:hAnsi="Arial" w:eastAsia="Arial" w:cs="Arial"/>
          <w:color w:val="231F20"/>
          <w:spacing w:val="6"/>
        </w:rPr>
        <w:t>χ</w:t>
      </w:r>
      <w:r>
        <w:rPr>
          <w:sz w:val="11"/>
          <w:szCs w:val="11"/>
          <w:color w:val="231F20"/>
          <w:spacing w:val="6"/>
          <w:position w:val="7"/>
        </w:rPr>
        <w:t>2</w:t>
      </w:r>
      <w:r>
        <w:rPr>
          <w:sz w:val="11"/>
          <w:szCs w:val="11"/>
          <w:color w:val="231F20"/>
          <w:spacing w:val="23"/>
          <w:w w:val="101"/>
          <w:position w:val="7"/>
        </w:rPr>
        <w:t xml:space="preserve"> </w:t>
      </w:r>
      <w:r>
        <w:rPr>
          <w:color w:val="231F20"/>
          <w:spacing w:val="6"/>
        </w:rPr>
        <w:t>检验</w:t>
      </w:r>
      <w:r>
        <w:rPr>
          <w:color w:val="231F20"/>
          <w:spacing w:val="-20"/>
        </w:rPr>
        <w:t xml:space="preserve"> </w:t>
      </w:r>
      <w:r>
        <w:rPr>
          <w:color w:val="231F20"/>
          <w:spacing w:val="6"/>
        </w:rPr>
        <w:t>，计量资料以</w:t>
      </w:r>
      <w:r>
        <w:rPr>
          <w:color w:val="231F20"/>
        </w:rPr>
        <w:t xml:space="preserve"> </w:t>
      </w:r>
      <w:r>
        <w:rPr>
          <w:rFonts w:ascii="Arial" w:hAnsi="Arial" w:eastAsia="Arial" w:cs="Arial"/>
          <w:color w:val="231F20"/>
          <w:spacing w:val="7"/>
        </w:rPr>
        <w:t>x </w:t>
      </w:r>
      <w:r>
        <w:rPr>
          <w:color w:val="231F20"/>
          <w:spacing w:val="7"/>
        </w:rPr>
        <w:t>±</w:t>
      </w:r>
      <w:r>
        <w:rPr>
          <w:color w:val="231F20"/>
          <w:spacing w:val="-4"/>
        </w:rPr>
        <w:t xml:space="preserve"> </w:t>
      </w:r>
      <w:r>
        <w:rPr>
          <w:rFonts w:ascii="Arial" w:hAnsi="Arial" w:eastAsia="Arial" w:cs="Arial"/>
          <w:color w:val="231F20"/>
          <w:spacing w:val="7"/>
        </w:rPr>
        <w:t>s </w:t>
      </w:r>
      <w:r>
        <w:rPr>
          <w:color w:val="231F20"/>
          <w:spacing w:val="7"/>
        </w:rPr>
        <w:t>表示</w:t>
      </w:r>
      <w:r>
        <w:rPr>
          <w:color w:val="231F20"/>
          <w:spacing w:val="-14"/>
        </w:rPr>
        <w:t xml:space="preserve"> </w:t>
      </w:r>
      <w:r>
        <w:rPr>
          <w:color w:val="231F20"/>
          <w:spacing w:val="7"/>
        </w:rPr>
        <w:t>，行 </w:t>
      </w:r>
      <w:r>
        <w:rPr>
          <w:rFonts w:ascii="Arial" w:hAnsi="Arial" w:eastAsia="Arial" w:cs="Arial"/>
          <w:color w:val="231F20"/>
          <w:spacing w:val="7"/>
        </w:rPr>
        <w:t>t </w:t>
      </w:r>
      <w:r>
        <w:rPr>
          <w:color w:val="231F20"/>
          <w:spacing w:val="7"/>
        </w:rPr>
        <w:t>检验</w:t>
      </w:r>
      <w:r>
        <w:rPr>
          <w:color w:val="231F20"/>
          <w:spacing w:val="-13"/>
        </w:rPr>
        <w:t xml:space="preserve"> </w:t>
      </w:r>
      <w:r>
        <w:rPr>
          <w:color w:val="231F20"/>
          <w:spacing w:val="7"/>
        </w:rPr>
        <w:t>，等级资料采用秩和检验</w:t>
      </w:r>
      <w:r>
        <w:rPr>
          <w:color w:val="231F20"/>
          <w:spacing w:val="-12"/>
        </w:rPr>
        <w:t xml:space="preserve"> </w:t>
      </w:r>
      <w:r>
        <w:rPr>
          <w:color w:val="231F20"/>
          <w:spacing w:val="7"/>
        </w:rPr>
        <w:t>，</w:t>
      </w:r>
      <w:r>
        <w:rPr>
          <w:rFonts w:ascii="Arial" w:hAnsi="Arial" w:eastAsia="Arial" w:cs="Arial"/>
          <w:color w:val="231F20"/>
          <w:spacing w:val="7"/>
        </w:rPr>
        <w:t>P</w:t>
      </w:r>
      <w:r>
        <w:rPr>
          <w:color w:val="231F20"/>
          <w:spacing w:val="7"/>
        </w:rPr>
        <w:t>&lt;</w:t>
      </w:r>
      <w:r>
        <w:rPr>
          <w:color w:val="231F20"/>
        </w:rPr>
        <w:t xml:space="preserve"> </w:t>
      </w:r>
      <w:r>
        <w:rPr>
          <w:color w:val="231F20"/>
          <w:spacing w:val="3"/>
        </w:rPr>
        <w:t>0.05 为差异有统计学意义。</w:t>
      </w:r>
    </w:p>
    <w:p>
      <w:pPr>
        <w:spacing w:line="14" w:lineRule="auto"/>
        <w:rPr>
          <w:rFonts w:ascii="Arial"/>
          <w:sz w:val="2"/>
        </w:rPr>
      </w:pPr>
      <w:r>
        <w:rPr>
          <w:rFonts w:ascii="Arial" w:hAnsi="Arial" w:eastAsia="Arial" w:cs="Arial"/>
          <w:sz w:val="2"/>
          <w:szCs w:val="2"/>
        </w:rPr>
        <w:br w:type="column"/>
      </w:r>
    </w:p>
    <w:p>
      <w:pPr>
        <w:pStyle w:val="BodyText"/>
        <w:ind w:left="3"/>
        <w:spacing w:before="194" w:line="177" w:lineRule="auto"/>
        <w:outlineLvl w:val="1"/>
        <w:rPr>
          <w:sz w:val="24"/>
          <w:szCs w:val="24"/>
        </w:rPr>
      </w:pPr>
      <w:r>
        <w:rPr>
          <w:sz w:val="24"/>
          <w:szCs w:val="24"/>
          <w:color w:val="231F20"/>
          <w:spacing w:val="-7"/>
        </w:rPr>
        <w:t>2</w:t>
      </w:r>
      <w:r>
        <w:rPr>
          <w:sz w:val="24"/>
          <w:szCs w:val="24"/>
          <w:color w:val="231F20"/>
          <w:spacing w:val="13"/>
        </w:rPr>
        <w:t xml:space="preserve">   </w:t>
      </w:r>
      <w:r>
        <w:rPr>
          <w:sz w:val="24"/>
          <w:szCs w:val="24"/>
          <w:color w:val="231F20"/>
          <w:spacing w:val="-7"/>
        </w:rPr>
        <w:t>结果</w:t>
      </w:r>
    </w:p>
    <w:p>
      <w:pPr>
        <w:pStyle w:val="BodyText"/>
        <w:ind w:left="2"/>
        <w:spacing w:before="187" w:line="196" w:lineRule="auto"/>
        <w:outlineLvl w:val="2"/>
        <w:rPr/>
      </w:pPr>
      <w:r>
        <w:rPr>
          <w:color w:val="231F20"/>
          <w:spacing w:val="2"/>
        </w:rPr>
        <w:t>2.1</w:t>
      </w:r>
      <w:r>
        <w:rPr>
          <w:color w:val="231F20"/>
          <w:spacing w:val="20"/>
          <w:w w:val="101"/>
        </w:rPr>
        <w:t xml:space="preserve">   </w:t>
      </w:r>
      <w:r>
        <w:rPr>
          <w:color w:val="231F20"/>
          <w:spacing w:val="2"/>
        </w:rPr>
        <w:t>围术期指标</w:t>
      </w:r>
    </w:p>
    <w:p>
      <w:pPr>
        <w:pStyle w:val="BodyText"/>
        <w:ind w:right="47" w:firstLine="424"/>
        <w:spacing w:before="37" w:line="224" w:lineRule="auto"/>
        <w:rPr/>
      </w:pPr>
      <w:r>
        <w:rPr>
          <w:color w:val="231F20"/>
          <w:spacing w:val="-5"/>
        </w:rPr>
        <w:t>B 组手术时间、住院时间短于</w:t>
      </w:r>
      <w:r>
        <w:rPr>
          <w:color w:val="231F20"/>
          <w:spacing w:val="-9"/>
        </w:rPr>
        <w:t xml:space="preserve"> </w:t>
      </w:r>
      <w:r>
        <w:rPr>
          <w:color w:val="231F20"/>
          <w:spacing w:val="-5"/>
        </w:rPr>
        <w:t>A</w:t>
      </w:r>
      <w:r>
        <w:rPr>
          <w:color w:val="231F20"/>
          <w:spacing w:val="-11"/>
        </w:rPr>
        <w:t xml:space="preserve"> </w:t>
      </w:r>
      <w:r>
        <w:rPr>
          <w:color w:val="231F20"/>
          <w:spacing w:val="-5"/>
        </w:rPr>
        <w:t>组（</w:t>
      </w:r>
      <w:r>
        <w:rPr>
          <w:rFonts w:ascii="Arial" w:hAnsi="Arial" w:eastAsia="Arial" w:cs="Arial"/>
          <w:color w:val="231F20"/>
          <w:spacing w:val="-5"/>
        </w:rPr>
        <w:t>P</w:t>
      </w:r>
      <w:r>
        <w:rPr>
          <w:color w:val="231F20"/>
          <w:spacing w:val="-5"/>
        </w:rPr>
        <w:t>＜0.05</w:t>
      </w:r>
      <w:r>
        <w:rPr>
          <w:color w:val="231F20"/>
          <w:spacing w:val="-46"/>
          <w:w w:val="96"/>
        </w:rPr>
        <w:t>）；</w:t>
      </w:r>
      <w:r>
        <w:rPr>
          <w:color w:val="231F20"/>
          <w:spacing w:val="-5"/>
        </w:rPr>
        <w:t>B</w:t>
      </w:r>
      <w:r>
        <w:rPr>
          <w:color w:val="231F20"/>
          <w:spacing w:val="-12"/>
        </w:rPr>
        <w:t xml:space="preserve"> </w:t>
      </w:r>
      <w:r>
        <w:rPr>
          <w:color w:val="231F20"/>
          <w:spacing w:val="-5"/>
        </w:rPr>
        <w:t>组</w:t>
      </w:r>
      <w:r>
        <w:rPr>
          <w:color w:val="231F20"/>
        </w:rPr>
        <w:t xml:space="preserve"> </w:t>
      </w:r>
      <w:r>
        <w:rPr>
          <w:color w:val="231F20"/>
          <w:spacing w:val="1"/>
        </w:rPr>
        <w:t>术中出血量及住院费用少于 A 组（</w:t>
      </w:r>
      <w:r>
        <w:rPr>
          <w:rFonts w:ascii="Arial" w:hAnsi="Arial" w:eastAsia="Arial" w:cs="Arial"/>
          <w:color w:val="231F20"/>
          <w:spacing w:val="1"/>
        </w:rPr>
        <w:t>P</w:t>
      </w:r>
      <w:r>
        <w:rPr>
          <w:color w:val="231F20"/>
          <w:spacing w:val="1"/>
        </w:rPr>
        <w:t>＜0.05</w:t>
      </w:r>
      <w:r>
        <w:rPr>
          <w:color w:val="231F20"/>
          <w:spacing w:val="-38"/>
        </w:rPr>
        <w:t>），</w:t>
      </w:r>
      <w:r>
        <w:rPr>
          <w:color w:val="231F20"/>
          <w:spacing w:val="1"/>
        </w:rPr>
        <w:t>见表</w:t>
      </w:r>
      <w:r>
        <w:rPr>
          <w:color w:val="231F20"/>
          <w:spacing w:val="16"/>
        </w:rPr>
        <w:t xml:space="preserve"> </w:t>
      </w:r>
      <w:r>
        <w:rPr>
          <w:color w:val="231F20"/>
          <w:spacing w:val="1"/>
        </w:rPr>
        <w:t>1。</w:t>
      </w:r>
    </w:p>
    <w:p>
      <w:pPr>
        <w:pStyle w:val="BodyText"/>
        <w:ind w:left="2"/>
        <w:spacing w:line="195" w:lineRule="auto"/>
        <w:outlineLvl w:val="2"/>
        <w:rPr/>
      </w:pPr>
      <w:r>
        <w:rPr>
          <w:color w:val="231F20"/>
          <w:spacing w:val="4"/>
        </w:rPr>
        <w:t>2.2</w:t>
      </w:r>
      <w:r>
        <w:rPr>
          <w:color w:val="231F20"/>
          <w:spacing w:val="20"/>
          <w:w w:val="101"/>
        </w:rPr>
        <w:t xml:space="preserve">   </w:t>
      </w:r>
      <w:r>
        <w:rPr>
          <w:color w:val="231F20"/>
          <w:spacing w:val="4"/>
        </w:rPr>
        <w:t>胃肠功能恢复时间</w:t>
      </w:r>
    </w:p>
    <w:p>
      <w:pPr>
        <w:pStyle w:val="BodyText"/>
        <w:ind w:left="16" w:right="63" w:firstLine="407"/>
        <w:spacing w:before="26" w:line="228" w:lineRule="auto"/>
        <w:rPr/>
      </w:pPr>
      <w:r>
        <w:rPr>
          <w:color w:val="231F20"/>
          <w:spacing w:val="13"/>
        </w:rPr>
        <w:t>B 组肠蠕动恢复</w:t>
      </w:r>
      <w:r>
        <w:rPr>
          <w:color w:val="231F20"/>
          <w:spacing w:val="-32"/>
        </w:rPr>
        <w:t xml:space="preserve"> </w:t>
      </w:r>
      <w:r>
        <w:rPr>
          <w:color w:val="231F20"/>
          <w:spacing w:val="13"/>
        </w:rPr>
        <w:t>、肛门首次排气以及肠鸣音首次</w:t>
      </w:r>
      <w:r>
        <w:rPr>
          <w:color w:val="231F20"/>
        </w:rPr>
        <w:t xml:space="preserve"> </w:t>
      </w:r>
      <w:r>
        <w:rPr>
          <w:color w:val="231F20"/>
        </w:rPr>
        <w:t>出现时间均短于 A 组（</w:t>
      </w:r>
      <w:r>
        <w:rPr>
          <w:rFonts w:ascii="Arial" w:hAnsi="Arial" w:eastAsia="Arial" w:cs="Arial"/>
          <w:color w:val="231F20"/>
        </w:rPr>
        <w:t>P</w:t>
      </w:r>
      <w:r>
        <w:rPr>
          <w:color w:val="231F20"/>
        </w:rPr>
        <w:t>＜0.05</w:t>
      </w:r>
      <w:r>
        <w:rPr>
          <w:color w:val="231F20"/>
          <w:spacing w:val="-39"/>
        </w:rPr>
        <w:t>），</w:t>
      </w:r>
      <w:r>
        <w:rPr>
          <w:color w:val="231F20"/>
        </w:rPr>
        <w:t>见表 2。</w:t>
      </w:r>
    </w:p>
    <w:p>
      <w:pPr>
        <w:pStyle w:val="BodyText"/>
        <w:ind w:left="2"/>
        <w:spacing w:before="1" w:line="196" w:lineRule="auto"/>
        <w:outlineLvl w:val="2"/>
        <w:rPr/>
      </w:pPr>
      <w:r>
        <w:rPr>
          <w:color w:val="231F20"/>
          <w:spacing w:val="3"/>
        </w:rPr>
        <w:t>2.3</w:t>
      </w:r>
      <w:r>
        <w:rPr>
          <w:color w:val="231F20"/>
          <w:spacing w:val="15"/>
          <w:w w:val="101"/>
        </w:rPr>
        <w:t xml:space="preserve">   </w:t>
      </w:r>
      <w:r>
        <w:rPr>
          <w:color w:val="231F20"/>
          <w:spacing w:val="3"/>
        </w:rPr>
        <w:t>生命质量</w:t>
      </w:r>
    </w:p>
    <w:p>
      <w:pPr>
        <w:pStyle w:val="BodyText"/>
        <w:ind w:firstLine="419"/>
        <w:spacing w:before="35" w:line="224" w:lineRule="auto"/>
        <w:rPr/>
      </w:pPr>
      <w:r>
        <w:rPr>
          <w:color w:val="231F20"/>
          <w:spacing w:val="7"/>
        </w:rPr>
        <w:t>术后</w:t>
      </w:r>
      <w:r>
        <w:rPr>
          <w:color w:val="231F20"/>
          <w:spacing w:val="45"/>
          <w:w w:val="101"/>
        </w:rPr>
        <w:t xml:space="preserve"> </w:t>
      </w:r>
      <w:r>
        <w:rPr>
          <w:color w:val="231F20"/>
          <w:spacing w:val="7"/>
        </w:rPr>
        <w:t>1 个月</w:t>
      </w:r>
      <w:r>
        <w:rPr>
          <w:color w:val="231F20"/>
          <w:spacing w:val="-10"/>
        </w:rPr>
        <w:t xml:space="preserve"> </w:t>
      </w:r>
      <w:r>
        <w:rPr>
          <w:color w:val="231F20"/>
          <w:spacing w:val="7"/>
        </w:rPr>
        <w:t>，</w:t>
      </w:r>
      <w:r>
        <w:rPr>
          <w:color w:val="231F20"/>
          <w:spacing w:val="-38"/>
        </w:rPr>
        <w:t xml:space="preserve"> </w:t>
      </w:r>
      <w:r>
        <w:rPr>
          <w:color w:val="231F20"/>
          <w:spacing w:val="7"/>
        </w:rPr>
        <w:t>2 组患者 </w:t>
      </w:r>
      <w:r>
        <w:rPr>
          <w:color w:val="231F20"/>
        </w:rPr>
        <w:t>SF</w:t>
      </w:r>
      <w:r>
        <w:rPr>
          <w:color w:val="231F20"/>
          <w:spacing w:val="7"/>
        </w:rPr>
        <w:t>-36 评分均高于术前，</w:t>
      </w:r>
      <w:r>
        <w:rPr>
          <w:color w:val="231F20"/>
        </w:rPr>
        <w:t xml:space="preserve"> </w:t>
      </w:r>
      <w:r>
        <w:rPr>
          <w:color w:val="231F20"/>
          <w:spacing w:val="-1"/>
        </w:rPr>
        <w:t>且 B 组高于 A 组（</w:t>
      </w:r>
      <w:r>
        <w:rPr>
          <w:rFonts w:ascii="Arial" w:hAnsi="Arial" w:eastAsia="Arial" w:cs="Arial"/>
          <w:color w:val="231F20"/>
          <w:spacing w:val="-1"/>
        </w:rPr>
        <w:t>P</w:t>
      </w:r>
      <w:r>
        <w:rPr>
          <w:color w:val="231F20"/>
          <w:spacing w:val="-1"/>
        </w:rPr>
        <w:t>＜0.05</w:t>
      </w:r>
      <w:r>
        <w:rPr>
          <w:color w:val="231F20"/>
          <w:spacing w:val="-40"/>
        </w:rPr>
        <w:t>），</w:t>
      </w:r>
      <w:r>
        <w:rPr>
          <w:color w:val="231F20"/>
          <w:spacing w:val="-1"/>
        </w:rPr>
        <w:t>见表 3。</w:t>
      </w:r>
    </w:p>
    <w:p>
      <w:pPr>
        <w:pStyle w:val="BodyText"/>
        <w:ind w:left="2"/>
        <w:spacing w:before="1" w:line="196" w:lineRule="auto"/>
        <w:outlineLvl w:val="2"/>
        <w:rPr/>
      </w:pPr>
      <w:r>
        <w:rPr>
          <w:color w:val="231F20"/>
          <w:spacing w:val="3"/>
        </w:rPr>
        <w:t>2.4</w:t>
      </w:r>
      <w:r>
        <w:rPr>
          <w:color w:val="231F20"/>
          <w:spacing w:val="13"/>
        </w:rPr>
        <w:t xml:space="preserve">   </w:t>
      </w:r>
      <w:r>
        <w:rPr>
          <w:color w:val="231F20"/>
          <w:spacing w:val="3"/>
        </w:rPr>
        <w:t>并发症</w:t>
      </w:r>
    </w:p>
    <w:p>
      <w:pPr>
        <w:pStyle w:val="BodyText"/>
        <w:ind w:left="421"/>
        <w:spacing w:before="33" w:line="185" w:lineRule="auto"/>
        <w:rPr/>
      </w:pPr>
      <w:r>
        <w:rPr>
          <w:color w:val="231F20"/>
          <w:spacing w:val="6"/>
        </w:rPr>
        <w:t>2 组并发症发生率比较</w:t>
      </w:r>
      <w:r>
        <w:rPr>
          <w:color w:val="231F20"/>
          <w:spacing w:val="-8"/>
        </w:rPr>
        <w:t xml:space="preserve"> </w:t>
      </w:r>
      <w:r>
        <w:rPr>
          <w:color w:val="231F20"/>
          <w:spacing w:val="6"/>
        </w:rPr>
        <w:t>，差异无统计学意义（</w:t>
      </w:r>
      <w:r>
        <w:rPr>
          <w:rFonts w:ascii="Arial" w:hAnsi="Arial" w:eastAsia="Arial" w:cs="Arial"/>
          <w:color w:val="231F20"/>
          <w:spacing w:val="6"/>
        </w:rPr>
        <w:t>P</w:t>
      </w:r>
      <w:r>
        <w:rPr>
          <w:color w:val="231F20"/>
          <w:spacing w:val="6"/>
        </w:rPr>
        <w:t>＞</w:t>
      </w:r>
    </w:p>
    <w:p>
      <w:pPr>
        <w:pStyle w:val="BodyText"/>
        <w:ind w:left="1"/>
        <w:spacing w:before="57" w:line="184" w:lineRule="auto"/>
        <w:rPr/>
      </w:pPr>
      <w:r>
        <w:rPr>
          <w:color w:val="231F20"/>
          <w:spacing w:val="-5"/>
        </w:rPr>
        <w:t>0.05</w:t>
      </w:r>
      <w:r>
        <w:rPr>
          <w:color w:val="231F20"/>
          <w:spacing w:val="-41"/>
        </w:rPr>
        <w:t>），</w:t>
      </w:r>
      <w:r>
        <w:rPr>
          <w:color w:val="231F20"/>
          <w:spacing w:val="-5"/>
        </w:rPr>
        <w:t>见表 4。</w:t>
      </w:r>
    </w:p>
    <w:p>
      <w:pPr>
        <w:pStyle w:val="BodyText"/>
        <w:ind w:left="5"/>
        <w:spacing w:before="207" w:line="193" w:lineRule="auto"/>
        <w:outlineLvl w:val="1"/>
        <w:rPr>
          <w:sz w:val="24"/>
          <w:szCs w:val="24"/>
        </w:rPr>
      </w:pPr>
      <w:r>
        <w:rPr>
          <w:sz w:val="24"/>
          <w:szCs w:val="24"/>
          <w:color w:val="231F20"/>
          <w:spacing w:val="-8"/>
        </w:rPr>
        <w:t>3</w:t>
      </w:r>
      <w:r>
        <w:rPr>
          <w:sz w:val="24"/>
          <w:szCs w:val="24"/>
          <w:color w:val="231F20"/>
          <w:spacing w:val="11"/>
        </w:rPr>
        <w:t xml:space="preserve">   </w:t>
      </w:r>
      <w:r>
        <w:rPr>
          <w:sz w:val="24"/>
          <w:szCs w:val="24"/>
          <w:color w:val="231F20"/>
          <w:spacing w:val="-8"/>
        </w:rPr>
        <w:t>讨论</w:t>
      </w:r>
    </w:p>
    <w:p>
      <w:pPr>
        <w:pStyle w:val="BodyText"/>
        <w:ind w:right="61" w:firstLine="438"/>
        <w:spacing w:before="153" w:line="220" w:lineRule="auto"/>
        <w:jc w:val="both"/>
        <w:rPr/>
      </w:pPr>
      <w:r>
        <w:pict>
          <v:shape id="_x0000_s20" style="position:absolute;margin-left:37.1773pt;margin-top:149.075pt;mso-position-vertical-relative:text;mso-position-horizontal-relative:text;width:3.25pt;height:0.2pt;z-index:-251657216;" filled="false" strokecolor="#231F20" strokeweight="0.19pt" coordsize="65,4" coordorigin="0,0" path="m0,1l64,1e">
            <v:stroke joinstyle="miter" miterlimit="10"/>
          </v:shape>
        </w:pict>
      </w:r>
      <w:r>
        <w:rPr>
          <w:color w:val="231F20"/>
          <w:spacing w:val="10"/>
        </w:rPr>
        <w:t>阑尾近端开口于盲肠</w:t>
      </w:r>
      <w:r>
        <w:rPr>
          <w:color w:val="231F20"/>
          <w:spacing w:val="-17"/>
        </w:rPr>
        <w:t xml:space="preserve"> </w:t>
      </w:r>
      <w:r>
        <w:rPr>
          <w:color w:val="231F20"/>
          <w:spacing w:val="10"/>
        </w:rPr>
        <w:t>，远端为盲端</w:t>
      </w:r>
      <w:r>
        <w:rPr>
          <w:color w:val="231F20"/>
          <w:spacing w:val="-29"/>
        </w:rPr>
        <w:t xml:space="preserve"> </w:t>
      </w:r>
      <w:r>
        <w:rPr>
          <w:color w:val="231F20"/>
          <w:spacing w:val="10"/>
        </w:rPr>
        <w:t>。阑尾的长度</w:t>
      </w:r>
      <w:r>
        <w:rPr>
          <w:color w:val="231F20"/>
        </w:rPr>
        <w:t xml:space="preserve"> </w:t>
      </w:r>
      <w:r>
        <w:rPr>
          <w:color w:val="231F20"/>
          <w:spacing w:val="11"/>
        </w:rPr>
        <w:t>较系膜</w:t>
      </w:r>
      <w:r>
        <w:rPr>
          <w:color w:val="231F20"/>
          <w:spacing w:val="-16"/>
        </w:rPr>
        <w:t xml:space="preserve"> </w:t>
      </w:r>
      <w:r>
        <w:rPr>
          <w:color w:val="231F20"/>
          <w:spacing w:val="11"/>
        </w:rPr>
        <w:t>、系膜内的阑尾动脉短，</w:t>
      </w:r>
      <w:r>
        <w:rPr>
          <w:color w:val="231F20"/>
          <w:spacing w:val="-35"/>
        </w:rPr>
        <w:t xml:space="preserve"> </w:t>
      </w:r>
      <w:r>
        <w:rPr>
          <w:color w:val="231F20"/>
          <w:spacing w:val="11"/>
        </w:rPr>
        <w:t>且其管腔内部狭小富</w:t>
      </w:r>
      <w:r>
        <w:rPr>
          <w:color w:val="231F20"/>
        </w:rPr>
        <w:t xml:space="preserve"> </w:t>
      </w:r>
      <w:r>
        <w:rPr>
          <w:color w:val="231F20"/>
          <w:spacing w:val="12"/>
        </w:rPr>
        <w:t>含多种微生物</w:t>
      </w:r>
      <w:r>
        <w:rPr>
          <w:color w:val="231F20"/>
          <w:spacing w:val="-15"/>
        </w:rPr>
        <w:t xml:space="preserve"> </w:t>
      </w:r>
      <w:r>
        <w:rPr>
          <w:color w:val="231F20"/>
          <w:spacing w:val="12"/>
        </w:rPr>
        <w:t>，一旦遭受病菌侵入或发生梗阻极易发</w:t>
      </w:r>
      <w:r>
        <w:rPr>
          <w:color w:val="231F20"/>
        </w:rPr>
        <w:t xml:space="preserve"> </w:t>
      </w:r>
      <w:r>
        <w:rPr>
          <w:color w:val="231F20"/>
          <w:spacing w:val="3"/>
        </w:rPr>
        <w:t>生感染</w:t>
      </w:r>
      <w:r>
        <w:rPr>
          <w:color w:val="231F20"/>
          <w:spacing w:val="-7"/>
        </w:rPr>
        <w:t xml:space="preserve"> </w:t>
      </w:r>
      <w:r>
        <w:rPr>
          <w:color w:val="231F20"/>
          <w:spacing w:val="3"/>
        </w:rPr>
        <w:t>，引发阑尾炎</w:t>
      </w:r>
      <w:r>
        <w:rPr>
          <w:sz w:val="11"/>
          <w:szCs w:val="11"/>
          <w:color w:val="231F20"/>
          <w:spacing w:val="3"/>
          <w:position w:val="7"/>
        </w:rPr>
        <w:t>[7]</w:t>
      </w:r>
      <w:r>
        <w:rPr>
          <w:sz w:val="11"/>
          <w:szCs w:val="11"/>
          <w:color w:val="231F20"/>
          <w:spacing w:val="-14"/>
          <w:position w:val="7"/>
        </w:rPr>
        <w:t xml:space="preserve"> </w:t>
      </w:r>
      <w:r>
        <w:rPr>
          <w:color w:val="231F20"/>
          <w:spacing w:val="3"/>
        </w:rPr>
        <w:t>。现阶段</w:t>
      </w:r>
      <w:r>
        <w:rPr>
          <w:color w:val="231F20"/>
          <w:spacing w:val="-23"/>
        </w:rPr>
        <w:t xml:space="preserve"> </w:t>
      </w:r>
      <w:r>
        <w:rPr>
          <w:color w:val="231F20"/>
          <w:spacing w:val="3"/>
        </w:rPr>
        <w:t>，临床对于确诊阑尾炎</w:t>
      </w:r>
      <w:r>
        <w:rPr>
          <w:color w:val="231F20"/>
        </w:rPr>
        <w:t xml:space="preserve"> </w:t>
      </w:r>
      <w:r>
        <w:rPr>
          <w:color w:val="231F20"/>
          <w:spacing w:val="12"/>
        </w:rPr>
        <w:t>患者主要以手术治疗</w:t>
      </w:r>
      <w:r>
        <w:rPr>
          <w:color w:val="231F20"/>
          <w:spacing w:val="-15"/>
        </w:rPr>
        <w:t xml:space="preserve"> </w:t>
      </w:r>
      <w:r>
        <w:rPr>
          <w:color w:val="231F20"/>
          <w:spacing w:val="12"/>
        </w:rPr>
        <w:t>。腹腔镜阑尾切除术是临床常用</w:t>
      </w:r>
      <w:r>
        <w:rPr>
          <w:color w:val="231F20"/>
        </w:rPr>
        <w:t xml:space="preserve"> </w:t>
      </w:r>
      <w:r>
        <w:rPr>
          <w:color w:val="231F20"/>
          <w:spacing w:val="10"/>
        </w:rPr>
        <w:t>经典术式</w:t>
      </w:r>
      <w:r>
        <w:rPr>
          <w:color w:val="231F20"/>
          <w:spacing w:val="-10"/>
        </w:rPr>
        <w:t xml:space="preserve"> </w:t>
      </w:r>
      <w:r>
        <w:rPr>
          <w:color w:val="231F20"/>
          <w:spacing w:val="10"/>
        </w:rPr>
        <w:t>，借助腹腔镜可放大组织结构</w:t>
      </w:r>
      <w:r>
        <w:rPr>
          <w:color w:val="231F20"/>
          <w:spacing w:val="-18"/>
        </w:rPr>
        <w:t xml:space="preserve"> </w:t>
      </w:r>
      <w:r>
        <w:rPr>
          <w:color w:val="231F20"/>
          <w:spacing w:val="10"/>
        </w:rPr>
        <w:t>，精准定位病</w:t>
      </w:r>
      <w:r>
        <w:rPr>
          <w:color w:val="231F20"/>
        </w:rPr>
        <w:t xml:space="preserve"> </w:t>
      </w:r>
      <w:r>
        <w:rPr>
          <w:color w:val="231F20"/>
          <w:spacing w:val="11"/>
        </w:rPr>
        <w:t>灶组织</w:t>
      </w:r>
      <w:r>
        <w:rPr>
          <w:color w:val="231F20"/>
          <w:spacing w:val="-19"/>
        </w:rPr>
        <w:t xml:space="preserve"> </w:t>
      </w:r>
      <w:r>
        <w:rPr>
          <w:color w:val="231F20"/>
          <w:spacing w:val="11"/>
        </w:rPr>
        <w:t>，便于医师完成切除操作</w:t>
      </w:r>
      <w:r>
        <w:rPr>
          <w:color w:val="231F20"/>
          <w:spacing w:val="-30"/>
        </w:rPr>
        <w:t xml:space="preserve"> </w:t>
      </w:r>
      <w:r>
        <w:rPr>
          <w:color w:val="231F20"/>
          <w:spacing w:val="11"/>
        </w:rPr>
        <w:t>。相较于传统开</w:t>
      </w:r>
      <w:r>
        <w:rPr>
          <w:color w:val="231F20"/>
          <w:spacing w:val="10"/>
        </w:rPr>
        <w:t>腹手</w:t>
      </w:r>
      <w:r>
        <w:rPr>
          <w:color w:val="231F20"/>
        </w:rPr>
        <w:t xml:space="preserve"> </w:t>
      </w:r>
      <w:r>
        <w:rPr>
          <w:color w:val="231F20"/>
          <w:spacing w:val="11"/>
        </w:rPr>
        <w:t>术</w:t>
      </w:r>
      <w:r>
        <w:rPr>
          <w:color w:val="231F20"/>
          <w:spacing w:val="-19"/>
        </w:rPr>
        <w:t xml:space="preserve"> </w:t>
      </w:r>
      <w:r>
        <w:rPr>
          <w:color w:val="231F20"/>
          <w:spacing w:val="11"/>
        </w:rPr>
        <w:t>，腹腔镜阑尾切除术具有创伤小</w:t>
      </w:r>
      <w:r>
        <w:rPr>
          <w:color w:val="231F20"/>
          <w:spacing w:val="-32"/>
        </w:rPr>
        <w:t xml:space="preserve"> </w:t>
      </w:r>
      <w:r>
        <w:rPr>
          <w:color w:val="231F20"/>
          <w:spacing w:val="11"/>
        </w:rPr>
        <w:t>、安全性高以及切</w:t>
      </w:r>
      <w:r>
        <w:rPr>
          <w:color w:val="231F20"/>
        </w:rPr>
        <w:t xml:space="preserve"> </w:t>
      </w:r>
      <w:r>
        <w:rPr>
          <w:color w:val="231F20"/>
          <w:spacing w:val="6"/>
        </w:rPr>
        <w:t>口美观性高等诸多优势</w:t>
      </w:r>
      <w:r>
        <w:rPr>
          <w:sz w:val="11"/>
          <w:szCs w:val="11"/>
          <w:color w:val="231F20"/>
          <w:spacing w:val="6"/>
          <w:position w:val="7"/>
        </w:rPr>
        <w:t>[8]</w:t>
      </w:r>
      <w:r>
        <w:rPr>
          <w:sz w:val="11"/>
          <w:szCs w:val="11"/>
          <w:color w:val="231F20"/>
          <w:spacing w:val="-4"/>
          <w:position w:val="7"/>
        </w:rPr>
        <w:t xml:space="preserve"> </w:t>
      </w:r>
      <w:r>
        <w:rPr>
          <w:color w:val="231F20"/>
          <w:spacing w:val="6"/>
        </w:rPr>
        <w:t>。对患者阑尾残端的处置是阑</w:t>
      </w:r>
    </w:p>
    <w:p>
      <w:pPr>
        <w:spacing w:line="220" w:lineRule="auto"/>
        <w:sectPr>
          <w:type w:val="continuous"/>
          <w:pgSz w:w="11905" w:h="16836"/>
          <w:pgMar w:top="1497" w:right="784" w:bottom="917" w:left="424" w:header="1046" w:footer="776" w:gutter="0"/>
          <w:cols w:equalWidth="0" w:num="2">
            <w:col w:w="5611" w:space="100"/>
            <w:col w:w="4986" w:space="0"/>
          </w:cols>
        </w:sectPr>
        <w:rPr/>
      </w:pPr>
    </w:p>
    <w:p>
      <w:pPr>
        <w:pStyle w:val="BodyText"/>
        <w:ind w:left="4203"/>
        <w:spacing w:line="194" w:lineRule="auto"/>
        <w:rPr>
          <w:sz w:val="17"/>
          <w:szCs w:val="17"/>
        </w:rPr>
      </w:pPr>
      <w:r>
        <w:rPr>
          <w:sz w:val="17"/>
          <w:szCs w:val="17"/>
          <w:color w:val="231F20"/>
          <w:spacing w:val="2"/>
        </w:rPr>
        <w:t>表 1</w:t>
      </w:r>
      <w:r>
        <w:rPr>
          <w:sz w:val="17"/>
          <w:szCs w:val="17"/>
          <w:color w:val="231F20"/>
          <w:spacing w:val="11"/>
        </w:rPr>
        <w:t xml:space="preserve">   </w:t>
      </w:r>
      <w:r>
        <w:rPr>
          <w:sz w:val="17"/>
          <w:szCs w:val="17"/>
          <w:color w:val="231F20"/>
          <w:spacing w:val="2"/>
        </w:rPr>
        <w:t>2 组围术期指标对比（</w:t>
      </w:r>
      <w:r>
        <w:rPr>
          <w:rFonts w:ascii="Arial" w:hAnsi="Arial" w:eastAsia="Arial" w:cs="Arial"/>
          <w:sz w:val="17"/>
          <w:szCs w:val="17"/>
          <w:color w:val="231F20"/>
          <w:spacing w:val="2"/>
        </w:rPr>
        <w:t>x</w:t>
      </w:r>
      <w:r>
        <w:rPr>
          <w:rFonts w:ascii="Arial" w:hAnsi="Arial" w:eastAsia="Arial" w:cs="Arial"/>
          <w:sz w:val="17"/>
          <w:szCs w:val="17"/>
          <w:color w:val="231F20"/>
          <w:spacing w:val="2"/>
        </w:rPr>
        <w:t xml:space="preserve"> </w:t>
      </w:r>
      <w:r>
        <w:rPr>
          <w:sz w:val="17"/>
          <w:szCs w:val="17"/>
          <w:color w:val="231F20"/>
          <w:spacing w:val="2"/>
        </w:rPr>
        <w:t>±</w:t>
      </w:r>
      <w:r>
        <w:rPr>
          <w:rFonts w:ascii="Arial" w:hAnsi="Arial" w:eastAsia="Arial" w:cs="Arial"/>
          <w:sz w:val="17"/>
          <w:szCs w:val="17"/>
          <w:color w:val="231F20"/>
          <w:spacing w:val="2"/>
        </w:rPr>
        <w:t>s</w:t>
      </w:r>
      <w:r>
        <w:rPr>
          <w:sz w:val="17"/>
          <w:szCs w:val="17"/>
          <w:color w:val="231F20"/>
          <w:spacing w:val="2"/>
        </w:rPr>
        <w:t>）</w:t>
      </w:r>
    </w:p>
    <w:p>
      <w:pPr>
        <w:spacing w:line="15" w:lineRule="exact"/>
        <w:rPr/>
      </w:pPr>
      <w:r/>
    </w:p>
    <w:tbl>
      <w:tblPr>
        <w:tblStyle w:val="TableNormal"/>
        <w:tblW w:w="10206" w:type="dxa"/>
        <w:tblInd w:w="42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02"/>
        <w:gridCol w:w="1523"/>
        <w:gridCol w:w="1922"/>
        <w:gridCol w:w="1578"/>
        <w:gridCol w:w="1759"/>
        <w:gridCol w:w="1722"/>
      </w:tblGrid>
      <w:tr>
        <w:trPr>
          <w:trHeight w:val="334" w:hRule="atLeast"/>
        </w:trPr>
        <w:tc>
          <w:tcPr>
            <w:tcW w:w="1702" w:type="dxa"/>
            <w:vAlign w:val="top"/>
            <w:tcBorders>
              <w:bottom w:val="single" w:color="231F20" w:sz="2" w:space="0"/>
              <w:top w:val="single" w:color="231F20" w:sz="6" w:space="0"/>
            </w:tcBorders>
          </w:tcPr>
          <w:p>
            <w:pPr>
              <w:pStyle w:val="TableText"/>
              <w:ind w:left="673"/>
              <w:spacing w:before="63" w:line="209" w:lineRule="auto"/>
              <w:rPr/>
            </w:pPr>
            <w:r>
              <w:rPr>
                <w:color w:val="231F20"/>
                <w:spacing w:val="6"/>
              </w:rPr>
              <w:t>组别</w:t>
            </w:r>
          </w:p>
        </w:tc>
        <w:tc>
          <w:tcPr>
            <w:tcW w:w="1523" w:type="dxa"/>
            <w:vAlign w:val="top"/>
            <w:tcBorders>
              <w:bottom w:val="single" w:color="231F20" w:sz="2" w:space="0"/>
              <w:top w:val="single" w:color="231F20" w:sz="6" w:space="0"/>
            </w:tcBorders>
          </w:tcPr>
          <w:p>
            <w:pPr>
              <w:pStyle w:val="TableText"/>
              <w:ind w:left="673"/>
              <w:spacing w:before="73" w:line="188" w:lineRule="auto"/>
              <w:rPr/>
            </w:pPr>
            <w:r>
              <w:rPr>
                <w:color w:val="231F20"/>
                <w:spacing w:val="6"/>
              </w:rPr>
              <w:t>例数</w:t>
            </w:r>
          </w:p>
        </w:tc>
        <w:tc>
          <w:tcPr>
            <w:tcW w:w="1922" w:type="dxa"/>
            <w:vAlign w:val="top"/>
            <w:tcBorders>
              <w:bottom w:val="single" w:color="231F20" w:sz="2" w:space="0"/>
              <w:top w:val="single" w:color="231F20" w:sz="6" w:space="0"/>
            </w:tcBorders>
          </w:tcPr>
          <w:p>
            <w:pPr>
              <w:pStyle w:val="TableText"/>
              <w:ind w:left="496"/>
              <w:spacing w:before="63" w:line="209" w:lineRule="auto"/>
              <w:rPr/>
            </w:pPr>
            <w:r>
              <w:rPr>
                <w:color w:val="231F20"/>
                <w:spacing w:val="4"/>
              </w:rPr>
              <w:t>手术时间/</w:t>
            </w:r>
            <w:r>
              <w:rPr>
                <w:color w:val="231F20"/>
              </w:rPr>
              <w:t>min</w:t>
            </w:r>
          </w:p>
        </w:tc>
        <w:tc>
          <w:tcPr>
            <w:tcW w:w="1578" w:type="dxa"/>
            <w:vAlign w:val="top"/>
            <w:tcBorders>
              <w:bottom w:val="single" w:color="231F20" w:sz="2" w:space="0"/>
              <w:top w:val="single" w:color="231F20" w:sz="6" w:space="0"/>
            </w:tcBorders>
          </w:tcPr>
          <w:p>
            <w:pPr>
              <w:pStyle w:val="TableText"/>
              <w:ind w:left="360"/>
              <w:spacing w:before="63" w:line="209" w:lineRule="auto"/>
              <w:rPr/>
            </w:pPr>
            <w:r>
              <w:rPr>
                <w:color w:val="231F20"/>
                <w:spacing w:val="8"/>
              </w:rPr>
              <w:t>住院时间/d</w:t>
            </w:r>
          </w:p>
        </w:tc>
        <w:tc>
          <w:tcPr>
            <w:tcW w:w="1759" w:type="dxa"/>
            <w:vAlign w:val="top"/>
            <w:tcBorders>
              <w:bottom w:val="single" w:color="231F20" w:sz="2" w:space="0"/>
              <w:top w:val="single" w:color="231F20" w:sz="6" w:space="0"/>
            </w:tcBorders>
          </w:tcPr>
          <w:p>
            <w:pPr>
              <w:pStyle w:val="TableText"/>
              <w:ind w:left="326"/>
              <w:spacing w:before="64" w:line="208" w:lineRule="auto"/>
              <w:rPr/>
            </w:pPr>
            <w:r>
              <w:rPr>
                <w:color w:val="231F20"/>
                <w:spacing w:val="6"/>
              </w:rPr>
              <w:t>术中出血量/</w:t>
            </w:r>
            <w:r>
              <w:rPr>
                <w:color w:val="231F20"/>
              </w:rPr>
              <w:t>mL</w:t>
            </w:r>
          </w:p>
        </w:tc>
        <w:tc>
          <w:tcPr>
            <w:tcW w:w="1722" w:type="dxa"/>
            <w:vAlign w:val="top"/>
            <w:tcBorders>
              <w:bottom w:val="single" w:color="231F20" w:sz="2" w:space="0"/>
              <w:top w:val="single" w:color="231F20" w:sz="6" w:space="0"/>
            </w:tcBorders>
          </w:tcPr>
          <w:p>
            <w:pPr>
              <w:pStyle w:val="TableText"/>
              <w:ind w:left="357"/>
              <w:spacing w:before="63" w:line="208" w:lineRule="auto"/>
              <w:rPr/>
            </w:pPr>
            <w:r>
              <w:rPr>
                <w:color w:val="231F20"/>
                <w:spacing w:val="1"/>
              </w:rPr>
              <w:t>住院费用 /</w:t>
            </w:r>
            <w:r>
              <w:rPr>
                <w:color w:val="231F20"/>
                <w:spacing w:val="-6"/>
              </w:rPr>
              <w:t xml:space="preserve"> </w:t>
            </w:r>
            <w:r>
              <w:rPr>
                <w:color w:val="231F20"/>
                <w:spacing w:val="1"/>
              </w:rPr>
              <w:t>元</w:t>
            </w:r>
          </w:p>
        </w:tc>
      </w:tr>
      <w:tr>
        <w:trPr>
          <w:trHeight w:val="337" w:hRule="atLeast"/>
        </w:trPr>
        <w:tc>
          <w:tcPr>
            <w:tcW w:w="1702" w:type="dxa"/>
            <w:vAlign w:val="top"/>
            <w:tcBorders>
              <w:top w:val="single" w:color="231F20" w:sz="2" w:space="0"/>
            </w:tcBorders>
          </w:tcPr>
          <w:p>
            <w:pPr>
              <w:pStyle w:val="TableText"/>
              <w:ind w:left="690"/>
              <w:spacing w:before="74" w:line="194" w:lineRule="auto"/>
              <w:rPr/>
            </w:pPr>
            <w:r>
              <w:rPr>
                <w:color w:val="231F20"/>
                <w:spacing w:val="-1"/>
              </w:rPr>
              <w:t>B 组</w:t>
            </w:r>
          </w:p>
        </w:tc>
        <w:tc>
          <w:tcPr>
            <w:tcW w:w="1523" w:type="dxa"/>
            <w:vAlign w:val="top"/>
            <w:tcBorders>
              <w:top w:val="single" w:color="231F20" w:sz="2" w:space="0"/>
            </w:tcBorders>
          </w:tcPr>
          <w:p>
            <w:pPr>
              <w:pStyle w:val="TableText"/>
              <w:ind w:left="768"/>
              <w:spacing w:before="74" w:line="207" w:lineRule="auto"/>
              <w:rPr/>
            </w:pPr>
            <w:r>
              <w:rPr>
                <w:color w:val="231F20"/>
                <w:spacing w:val="-10"/>
              </w:rPr>
              <w:t>30</w:t>
            </w:r>
          </w:p>
        </w:tc>
        <w:tc>
          <w:tcPr>
            <w:tcW w:w="1922" w:type="dxa"/>
            <w:vAlign w:val="top"/>
            <w:tcBorders>
              <w:top w:val="single" w:color="231F20" w:sz="2" w:space="0"/>
            </w:tcBorders>
          </w:tcPr>
          <w:p>
            <w:pPr>
              <w:pStyle w:val="TableText"/>
              <w:ind w:left="581"/>
              <w:spacing w:before="74" w:line="208" w:lineRule="auto"/>
              <w:rPr/>
            </w:pPr>
            <w:r>
              <w:rPr>
                <w:color w:val="231F20"/>
                <w:spacing w:val="-6"/>
              </w:rPr>
              <w:t>48.88 ±5.27</w:t>
            </w:r>
          </w:p>
        </w:tc>
        <w:tc>
          <w:tcPr>
            <w:tcW w:w="1578" w:type="dxa"/>
            <w:vAlign w:val="top"/>
            <w:tcBorders>
              <w:top w:val="single" w:color="231F20" w:sz="2" w:space="0"/>
            </w:tcBorders>
          </w:tcPr>
          <w:p>
            <w:pPr>
              <w:pStyle w:val="TableText"/>
              <w:ind w:left="407"/>
              <w:spacing w:before="74" w:line="208" w:lineRule="auto"/>
              <w:rPr/>
            </w:pPr>
            <w:r>
              <w:rPr>
                <w:color w:val="231F20"/>
                <w:spacing w:val="-5"/>
              </w:rPr>
              <w:t>5.88 ±0.87</w:t>
            </w:r>
          </w:p>
        </w:tc>
        <w:tc>
          <w:tcPr>
            <w:tcW w:w="1759" w:type="dxa"/>
            <w:vAlign w:val="top"/>
            <w:tcBorders>
              <w:top w:val="single" w:color="231F20" w:sz="2" w:space="0"/>
            </w:tcBorders>
          </w:tcPr>
          <w:p>
            <w:pPr>
              <w:pStyle w:val="TableText"/>
              <w:ind w:left="500"/>
              <w:spacing w:before="74" w:line="208" w:lineRule="auto"/>
              <w:rPr/>
            </w:pPr>
            <w:r>
              <w:rPr>
                <w:color w:val="231F20"/>
                <w:spacing w:val="-7"/>
              </w:rPr>
              <w:t>15.22± 2.33</w:t>
            </w:r>
          </w:p>
        </w:tc>
        <w:tc>
          <w:tcPr>
            <w:tcW w:w="1722" w:type="dxa"/>
            <w:vAlign w:val="top"/>
            <w:tcBorders>
              <w:top w:val="single" w:color="231F20" w:sz="2" w:space="0"/>
            </w:tcBorders>
          </w:tcPr>
          <w:p>
            <w:pPr>
              <w:pStyle w:val="TableText"/>
              <w:ind w:left="224"/>
              <w:spacing w:before="74" w:line="208" w:lineRule="auto"/>
              <w:rPr/>
            </w:pPr>
            <w:r>
              <w:rPr>
                <w:color w:val="231F20"/>
                <w:spacing w:val="-7"/>
              </w:rPr>
              <w:t>4 852.33 ±251.56</w:t>
            </w:r>
          </w:p>
        </w:tc>
      </w:tr>
      <w:tr>
        <w:trPr>
          <w:trHeight w:val="341" w:hRule="atLeast"/>
        </w:trPr>
        <w:tc>
          <w:tcPr>
            <w:tcW w:w="1702" w:type="dxa"/>
            <w:vAlign w:val="top"/>
            <w:tcBorders>
              <w:bottom w:val="single" w:color="231F20" w:sz="2" w:space="0"/>
            </w:tcBorders>
          </w:tcPr>
          <w:p>
            <w:pPr>
              <w:pStyle w:val="TableText"/>
              <w:ind w:left="682"/>
              <w:spacing w:before="78" w:line="194" w:lineRule="auto"/>
              <w:rPr/>
            </w:pPr>
            <w:r>
              <w:rPr>
                <w:color w:val="231F20"/>
                <w:spacing w:val="-1"/>
              </w:rPr>
              <w:t>A 组</w:t>
            </w:r>
          </w:p>
        </w:tc>
        <w:tc>
          <w:tcPr>
            <w:tcW w:w="1523" w:type="dxa"/>
            <w:vAlign w:val="top"/>
            <w:tcBorders>
              <w:bottom w:val="single" w:color="231F20" w:sz="2" w:space="0"/>
            </w:tcBorders>
          </w:tcPr>
          <w:p>
            <w:pPr>
              <w:pStyle w:val="TableText"/>
              <w:ind w:left="768"/>
              <w:spacing w:before="77" w:line="207" w:lineRule="auto"/>
              <w:rPr/>
            </w:pPr>
            <w:r>
              <w:rPr>
                <w:color w:val="231F20"/>
                <w:spacing w:val="-10"/>
              </w:rPr>
              <w:t>30</w:t>
            </w:r>
          </w:p>
        </w:tc>
        <w:tc>
          <w:tcPr>
            <w:tcW w:w="1922" w:type="dxa"/>
            <w:vAlign w:val="top"/>
            <w:tcBorders>
              <w:bottom w:val="single" w:color="231F20" w:sz="2" w:space="0"/>
            </w:tcBorders>
          </w:tcPr>
          <w:p>
            <w:pPr>
              <w:pStyle w:val="TableText"/>
              <w:ind w:left="584"/>
              <w:spacing w:before="78" w:line="208" w:lineRule="auto"/>
              <w:rPr/>
            </w:pPr>
            <w:r>
              <w:rPr>
                <w:color w:val="231F20"/>
                <w:spacing w:val="-10"/>
              </w:rPr>
              <w:t>65.87 ± 6.88</w:t>
            </w:r>
          </w:p>
        </w:tc>
        <w:tc>
          <w:tcPr>
            <w:tcW w:w="1578" w:type="dxa"/>
            <w:vAlign w:val="top"/>
            <w:tcBorders>
              <w:bottom w:val="single" w:color="231F20" w:sz="2" w:space="0"/>
            </w:tcBorders>
          </w:tcPr>
          <w:p>
            <w:pPr>
              <w:pStyle w:val="TableText"/>
              <w:ind w:left="407"/>
              <w:spacing w:before="78" w:line="208" w:lineRule="auto"/>
              <w:rPr/>
            </w:pPr>
            <w:r>
              <w:rPr>
                <w:color w:val="231F20"/>
                <w:spacing w:val="-12"/>
              </w:rPr>
              <w:t>6.85</w:t>
            </w:r>
            <w:r>
              <w:rPr>
                <w:color w:val="231F20"/>
                <w:spacing w:val="-4"/>
              </w:rPr>
              <w:t xml:space="preserve"> </w:t>
            </w:r>
            <w:r>
              <w:rPr>
                <w:color w:val="231F20"/>
                <w:spacing w:val="-12"/>
              </w:rPr>
              <w:t>±</w:t>
            </w:r>
            <w:r>
              <w:rPr>
                <w:color w:val="231F20"/>
                <w:spacing w:val="12"/>
              </w:rPr>
              <w:t xml:space="preserve"> </w:t>
            </w:r>
            <w:r>
              <w:rPr>
                <w:color w:val="231F20"/>
                <w:spacing w:val="-12"/>
              </w:rPr>
              <w:t>1.05</w:t>
            </w:r>
          </w:p>
        </w:tc>
        <w:tc>
          <w:tcPr>
            <w:tcW w:w="1759" w:type="dxa"/>
            <w:vAlign w:val="top"/>
            <w:tcBorders>
              <w:bottom w:val="single" w:color="231F20" w:sz="2" w:space="0"/>
            </w:tcBorders>
          </w:tcPr>
          <w:p>
            <w:pPr>
              <w:pStyle w:val="TableText"/>
              <w:ind w:left="485"/>
              <w:spacing w:before="78" w:line="208" w:lineRule="auto"/>
              <w:rPr/>
            </w:pPr>
            <w:r>
              <w:rPr>
                <w:color w:val="231F20"/>
                <w:spacing w:val="-6"/>
              </w:rPr>
              <w:t>25.37 ±2.89</w:t>
            </w:r>
          </w:p>
        </w:tc>
        <w:tc>
          <w:tcPr>
            <w:tcW w:w="1722" w:type="dxa"/>
            <w:vAlign w:val="top"/>
            <w:tcBorders>
              <w:bottom w:val="single" w:color="231F20" w:sz="2" w:space="0"/>
            </w:tcBorders>
          </w:tcPr>
          <w:p>
            <w:pPr>
              <w:pStyle w:val="TableText"/>
              <w:ind w:left="227"/>
              <w:spacing w:before="78" w:line="208" w:lineRule="auto"/>
              <w:rPr/>
            </w:pPr>
            <w:r>
              <w:rPr>
                <w:color w:val="231F20"/>
                <w:spacing w:val="-11"/>
              </w:rPr>
              <w:t>5</w:t>
            </w:r>
            <w:r>
              <w:rPr>
                <w:color w:val="231F20"/>
                <w:spacing w:val="18"/>
                <w:w w:val="101"/>
              </w:rPr>
              <w:t xml:space="preserve"> </w:t>
            </w:r>
            <w:r>
              <w:rPr>
                <w:color w:val="231F20"/>
                <w:spacing w:val="-11"/>
              </w:rPr>
              <w:t>128.68 ± 305.58</w:t>
            </w:r>
          </w:p>
        </w:tc>
      </w:tr>
      <w:tr>
        <w:trPr>
          <w:trHeight w:val="329" w:hRule="atLeast"/>
        </w:trPr>
        <w:tc>
          <w:tcPr>
            <w:tcW w:w="1702" w:type="dxa"/>
            <w:vAlign w:val="top"/>
            <w:tcBorders>
              <w:top w:val="single" w:color="231F20" w:sz="2" w:space="0"/>
            </w:tcBorders>
          </w:tcPr>
          <w:p>
            <w:pPr>
              <w:pStyle w:val="TableText"/>
              <w:ind w:left="715"/>
              <w:spacing w:before="71" w:line="188" w:lineRule="auto"/>
              <w:rPr/>
            </w:pPr>
            <w:r>
              <w:rPr>
                <w:rFonts w:ascii="Arial" w:hAnsi="Arial" w:eastAsia="Arial" w:cs="Arial"/>
                <w:color w:val="231F20"/>
                <w:spacing w:val="1"/>
              </w:rPr>
              <w:t>t </w:t>
            </w:r>
            <w:r>
              <w:rPr>
                <w:color w:val="231F20"/>
                <w:spacing w:val="1"/>
              </w:rPr>
              <w:t>值</w:t>
            </w:r>
          </w:p>
        </w:tc>
        <w:tc>
          <w:tcPr>
            <w:tcW w:w="1523" w:type="dxa"/>
            <w:vAlign w:val="top"/>
            <w:tcBorders>
              <w:top w:val="single" w:color="231F20" w:sz="2" w:space="0"/>
            </w:tcBorders>
          </w:tcPr>
          <w:p>
            <w:pPr>
              <w:rPr>
                <w:rFonts w:ascii="Arial"/>
                <w:sz w:val="21"/>
              </w:rPr>
            </w:pPr>
            <w:r/>
          </w:p>
        </w:tc>
        <w:tc>
          <w:tcPr>
            <w:tcW w:w="1922" w:type="dxa"/>
            <w:vAlign w:val="top"/>
            <w:tcBorders>
              <w:top w:val="single" w:color="231F20" w:sz="2" w:space="0"/>
            </w:tcBorders>
          </w:tcPr>
          <w:p>
            <w:pPr>
              <w:pStyle w:val="TableText"/>
              <w:ind w:left="845"/>
              <w:spacing w:before="72" w:line="203" w:lineRule="auto"/>
              <w:rPr/>
            </w:pPr>
            <w:r>
              <w:rPr>
                <w:color w:val="231F20"/>
                <w:spacing w:val="-10"/>
              </w:rPr>
              <w:t>10.738</w:t>
            </w:r>
          </w:p>
        </w:tc>
        <w:tc>
          <w:tcPr>
            <w:tcW w:w="1578" w:type="dxa"/>
            <w:vAlign w:val="top"/>
            <w:tcBorders>
              <w:top w:val="single" w:color="231F20" w:sz="2" w:space="0"/>
            </w:tcBorders>
          </w:tcPr>
          <w:p>
            <w:pPr>
              <w:pStyle w:val="TableText"/>
              <w:ind w:left="701"/>
              <w:spacing w:before="72" w:line="203" w:lineRule="auto"/>
              <w:rPr/>
            </w:pPr>
            <w:r>
              <w:rPr>
                <w:color w:val="231F20"/>
                <w:spacing w:val="-8"/>
              </w:rPr>
              <w:t>3.896</w:t>
            </w:r>
          </w:p>
        </w:tc>
        <w:tc>
          <w:tcPr>
            <w:tcW w:w="1759" w:type="dxa"/>
            <w:vAlign w:val="top"/>
            <w:tcBorders>
              <w:top w:val="single" w:color="231F20" w:sz="2" w:space="0"/>
            </w:tcBorders>
          </w:tcPr>
          <w:p>
            <w:pPr>
              <w:pStyle w:val="TableText"/>
              <w:ind w:left="746"/>
              <w:spacing w:before="72" w:line="203" w:lineRule="auto"/>
              <w:rPr/>
            </w:pPr>
            <w:r>
              <w:rPr>
                <w:color w:val="231F20"/>
                <w:spacing w:val="-10"/>
              </w:rPr>
              <w:t>14.976</w:t>
            </w:r>
          </w:p>
        </w:tc>
        <w:tc>
          <w:tcPr>
            <w:tcW w:w="1722" w:type="dxa"/>
            <w:vAlign w:val="top"/>
            <w:tcBorders>
              <w:top w:val="single" w:color="231F20" w:sz="2" w:space="0"/>
            </w:tcBorders>
          </w:tcPr>
          <w:p>
            <w:pPr>
              <w:pStyle w:val="TableText"/>
              <w:ind w:left="765"/>
              <w:spacing w:before="72" w:line="203" w:lineRule="auto"/>
              <w:rPr/>
            </w:pPr>
            <w:r>
              <w:rPr>
                <w:color w:val="231F20"/>
                <w:spacing w:val="-8"/>
              </w:rPr>
              <w:t>3.825</w:t>
            </w:r>
          </w:p>
        </w:tc>
      </w:tr>
      <w:tr>
        <w:trPr>
          <w:trHeight w:val="258" w:hRule="atLeast"/>
        </w:trPr>
        <w:tc>
          <w:tcPr>
            <w:tcW w:w="1702" w:type="dxa"/>
            <w:vAlign w:val="top"/>
          </w:tcPr>
          <w:p>
            <w:pPr>
              <w:pStyle w:val="TableText"/>
              <w:ind w:left="689"/>
              <w:spacing w:before="82" w:line="165" w:lineRule="exact"/>
              <w:rPr/>
            </w:pPr>
            <w:r>
              <w:rPr>
                <w:rFonts w:ascii="Arial" w:hAnsi="Arial" w:eastAsia="Arial" w:cs="Arial"/>
                <w:color w:val="231F20"/>
                <w:spacing w:val="18"/>
                <w:position w:val="-1"/>
              </w:rPr>
              <w:t>P</w:t>
            </w:r>
            <w:r>
              <w:rPr>
                <w:color w:val="231F20"/>
                <w:spacing w:val="18"/>
                <w:position w:val="-1"/>
              </w:rPr>
              <w:t>值</w:t>
            </w:r>
          </w:p>
        </w:tc>
        <w:tc>
          <w:tcPr>
            <w:tcW w:w="1523" w:type="dxa"/>
            <w:vAlign w:val="top"/>
          </w:tcPr>
          <w:p>
            <w:pPr>
              <w:rPr>
                <w:rFonts w:ascii="Arial"/>
                <w:sz w:val="21"/>
              </w:rPr>
            </w:pPr>
            <w:r/>
          </w:p>
        </w:tc>
        <w:tc>
          <w:tcPr>
            <w:tcW w:w="1922" w:type="dxa"/>
            <w:vAlign w:val="top"/>
          </w:tcPr>
          <w:p>
            <w:pPr>
              <w:pStyle w:val="TableText"/>
              <w:ind w:left="757"/>
              <w:spacing w:before="83" w:line="164" w:lineRule="exact"/>
              <w:rPr/>
            </w:pPr>
            <w:r>
              <w:rPr>
                <w:color w:val="231F20"/>
                <w:spacing w:val="-4"/>
                <w:position w:val="-2"/>
              </w:rPr>
              <w:t>&lt;</w:t>
            </w:r>
            <w:r>
              <w:rPr>
                <w:color w:val="231F20"/>
                <w:spacing w:val="-24"/>
                <w:position w:val="-2"/>
              </w:rPr>
              <w:t xml:space="preserve"> </w:t>
            </w:r>
            <w:r>
              <w:rPr>
                <w:color w:val="231F20"/>
                <w:spacing w:val="-4"/>
                <w:position w:val="-2"/>
              </w:rPr>
              <w:t>0.001</w:t>
            </w:r>
          </w:p>
        </w:tc>
        <w:tc>
          <w:tcPr>
            <w:tcW w:w="1578" w:type="dxa"/>
            <w:vAlign w:val="top"/>
          </w:tcPr>
          <w:p>
            <w:pPr>
              <w:pStyle w:val="TableText"/>
              <w:ind w:left="535"/>
              <w:spacing w:before="83" w:line="164" w:lineRule="exact"/>
              <w:rPr/>
            </w:pPr>
            <w:r>
              <w:rPr>
                <w:color w:val="231F20"/>
                <w:spacing w:val="-4"/>
                <w:position w:val="-2"/>
              </w:rPr>
              <w:t>&lt;</w:t>
            </w:r>
            <w:r>
              <w:rPr>
                <w:color w:val="231F20"/>
                <w:spacing w:val="-24"/>
                <w:position w:val="-2"/>
              </w:rPr>
              <w:t xml:space="preserve"> </w:t>
            </w:r>
            <w:r>
              <w:rPr>
                <w:color w:val="231F20"/>
                <w:spacing w:val="-4"/>
                <w:position w:val="-2"/>
              </w:rPr>
              <w:t>0.001</w:t>
            </w:r>
          </w:p>
        </w:tc>
        <w:tc>
          <w:tcPr>
            <w:tcW w:w="1759" w:type="dxa"/>
            <w:vAlign w:val="top"/>
          </w:tcPr>
          <w:p>
            <w:pPr>
              <w:pStyle w:val="TableText"/>
              <w:ind w:left="658"/>
              <w:spacing w:before="83" w:line="164" w:lineRule="exact"/>
              <w:rPr/>
            </w:pPr>
            <w:r>
              <w:rPr>
                <w:color w:val="231F20"/>
                <w:spacing w:val="-4"/>
                <w:position w:val="-2"/>
              </w:rPr>
              <w:t>&lt;</w:t>
            </w:r>
            <w:r>
              <w:rPr>
                <w:color w:val="231F20"/>
                <w:spacing w:val="-24"/>
                <w:position w:val="-2"/>
              </w:rPr>
              <w:t xml:space="preserve"> </w:t>
            </w:r>
            <w:r>
              <w:rPr>
                <w:color w:val="231F20"/>
                <w:spacing w:val="-4"/>
                <w:position w:val="-2"/>
              </w:rPr>
              <w:t>0.001</w:t>
            </w:r>
          </w:p>
        </w:tc>
        <w:tc>
          <w:tcPr>
            <w:tcW w:w="1722" w:type="dxa"/>
            <w:vAlign w:val="top"/>
          </w:tcPr>
          <w:p>
            <w:pPr>
              <w:pStyle w:val="TableText"/>
              <w:ind w:left="600"/>
              <w:spacing w:before="83" w:line="164" w:lineRule="exact"/>
              <w:rPr/>
            </w:pPr>
            <w:r>
              <w:rPr>
                <w:color w:val="231F20"/>
                <w:spacing w:val="-4"/>
                <w:position w:val="-2"/>
              </w:rPr>
              <w:t>&lt;</w:t>
            </w:r>
            <w:r>
              <w:rPr>
                <w:color w:val="231F20"/>
                <w:spacing w:val="-24"/>
                <w:position w:val="-2"/>
              </w:rPr>
              <w:t xml:space="preserve"> </w:t>
            </w:r>
            <w:r>
              <w:rPr>
                <w:color w:val="231F20"/>
                <w:spacing w:val="-4"/>
                <w:position w:val="-2"/>
              </w:rPr>
              <w:t>0.001</w:t>
            </w:r>
          </w:p>
        </w:tc>
      </w:tr>
    </w:tbl>
    <w:p>
      <w:pPr>
        <w:spacing w:line="76" w:lineRule="exact"/>
        <w:rPr/>
      </w:pPr>
      <w:r/>
    </w:p>
    <w:tbl>
      <w:tblPr>
        <w:tblStyle w:val="TableNormal"/>
        <w:tblW w:w="10205" w:type="dxa"/>
        <w:tblInd w:w="42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393"/>
        <w:gridCol w:w="1765"/>
        <w:gridCol w:w="2408"/>
        <w:gridCol w:w="1572"/>
        <w:gridCol w:w="2067"/>
      </w:tblGrid>
      <w:tr>
        <w:trPr>
          <w:trHeight w:val="322" w:hRule="atLeast"/>
        </w:trPr>
        <w:tc>
          <w:tcPr>
            <w:tcW w:w="10205" w:type="dxa"/>
            <w:vAlign w:val="top"/>
            <w:gridSpan w:val="5"/>
            <w:tcBorders>
              <w:bottom w:val="single" w:color="231F20" w:sz="6" w:space="0"/>
              <w:top w:val="single" w:color="231F20" w:sz="6" w:space="0"/>
            </w:tcBorders>
          </w:tcPr>
          <w:p>
            <w:pPr>
              <w:pStyle w:val="TableText"/>
              <w:ind w:left="3556"/>
              <w:spacing w:before="63" w:line="194" w:lineRule="auto"/>
              <w:rPr/>
            </w:pPr>
            <w:r>
              <w:rPr>
                <w:color w:val="231F20"/>
                <w:spacing w:val="5"/>
              </w:rPr>
              <w:t>表 2   2 组胃肠功能恢复时间对比（</w:t>
            </w:r>
            <w:r>
              <w:rPr>
                <w:rFonts w:ascii="Arial" w:hAnsi="Arial" w:eastAsia="Arial" w:cs="Arial"/>
                <w:color w:val="231F20"/>
                <w:spacing w:val="5"/>
              </w:rPr>
              <w:t>x</w:t>
            </w:r>
            <w:r>
              <w:rPr>
                <w:color w:val="231F20"/>
                <w:spacing w:val="5"/>
              </w:rPr>
              <w:t>±</w:t>
            </w:r>
            <w:r>
              <w:rPr>
                <w:rFonts w:ascii="Arial" w:hAnsi="Arial" w:eastAsia="Arial" w:cs="Arial"/>
                <w:color w:val="231F20"/>
                <w:spacing w:val="5"/>
              </w:rPr>
              <w:t>s</w:t>
            </w:r>
            <w:r>
              <w:rPr>
                <w:color w:val="231F20"/>
                <w:spacing w:val="5"/>
              </w:rPr>
              <w:t>）</w:t>
            </w:r>
            <w:r>
              <w:rPr>
                <w:color w:val="231F20"/>
              </w:rPr>
              <w:t xml:space="preserve">                                                      </w:t>
            </w:r>
            <w:r>
              <w:rPr>
                <w:color w:val="231F20"/>
                <w:spacing w:val="5"/>
              </w:rPr>
              <w:t>单位：h</w:t>
            </w:r>
          </w:p>
        </w:tc>
      </w:tr>
      <w:tr>
        <w:trPr>
          <w:trHeight w:val="324" w:hRule="atLeast"/>
        </w:trPr>
        <w:tc>
          <w:tcPr>
            <w:tcW w:w="2393" w:type="dxa"/>
            <w:vAlign w:val="top"/>
            <w:tcBorders>
              <w:bottom w:val="single" w:color="231F20" w:sz="2" w:space="0"/>
              <w:top w:val="single" w:color="231F20" w:sz="6" w:space="0"/>
            </w:tcBorders>
          </w:tcPr>
          <w:p>
            <w:pPr>
              <w:pStyle w:val="TableText"/>
              <w:ind w:left="844"/>
              <w:spacing w:before="56" w:line="209" w:lineRule="auto"/>
              <w:rPr/>
            </w:pPr>
            <w:r>
              <w:rPr>
                <w:color w:val="231F20"/>
                <w:spacing w:val="6"/>
              </w:rPr>
              <w:t>组别</w:t>
            </w:r>
          </w:p>
        </w:tc>
        <w:tc>
          <w:tcPr>
            <w:tcW w:w="1765" w:type="dxa"/>
            <w:vAlign w:val="top"/>
            <w:tcBorders>
              <w:bottom w:val="single" w:color="231F20" w:sz="2" w:space="0"/>
              <w:top w:val="single" w:color="231F20" w:sz="6" w:space="0"/>
            </w:tcBorders>
          </w:tcPr>
          <w:p>
            <w:pPr>
              <w:pStyle w:val="TableText"/>
              <w:ind w:left="493"/>
              <w:spacing w:before="66" w:line="188" w:lineRule="auto"/>
              <w:rPr/>
            </w:pPr>
            <w:r>
              <w:rPr>
                <w:color w:val="231F20"/>
                <w:spacing w:val="6"/>
              </w:rPr>
              <w:t>例数</w:t>
            </w:r>
          </w:p>
        </w:tc>
        <w:tc>
          <w:tcPr>
            <w:tcW w:w="3980" w:type="dxa"/>
            <w:vAlign w:val="top"/>
            <w:gridSpan w:val="2"/>
            <w:tcBorders>
              <w:bottom w:val="single" w:color="231F20" w:sz="2" w:space="0"/>
              <w:top w:val="single" w:color="231F20" w:sz="6" w:space="0"/>
            </w:tcBorders>
          </w:tcPr>
          <w:p>
            <w:pPr>
              <w:pStyle w:val="TableText"/>
              <w:ind w:left="321"/>
              <w:spacing w:before="56" w:line="208" w:lineRule="auto"/>
              <w:rPr/>
            </w:pPr>
            <w:r>
              <w:rPr>
                <w:color w:val="231F20"/>
                <w:spacing w:val="6"/>
              </w:rPr>
              <w:t>肠蠕动恢复时间             肛门首次排气时间</w:t>
            </w:r>
          </w:p>
        </w:tc>
        <w:tc>
          <w:tcPr>
            <w:tcW w:w="2067" w:type="dxa"/>
            <w:vAlign w:val="top"/>
            <w:tcBorders>
              <w:bottom w:val="single" w:color="231F20" w:sz="2" w:space="0"/>
              <w:top w:val="single" w:color="231F20" w:sz="6" w:space="0"/>
            </w:tcBorders>
          </w:tcPr>
          <w:p>
            <w:pPr>
              <w:pStyle w:val="TableText"/>
              <w:ind w:left="244"/>
              <w:spacing w:before="57" w:line="208" w:lineRule="auto"/>
              <w:rPr/>
            </w:pPr>
            <w:r>
              <w:rPr>
                <w:color w:val="231F20"/>
                <w:spacing w:val="8"/>
              </w:rPr>
              <w:t>肠鸣音首次出现时间</w:t>
            </w:r>
          </w:p>
        </w:tc>
      </w:tr>
      <w:tr>
        <w:trPr>
          <w:trHeight w:val="329" w:hRule="atLeast"/>
        </w:trPr>
        <w:tc>
          <w:tcPr>
            <w:tcW w:w="2393" w:type="dxa"/>
            <w:vAlign w:val="top"/>
            <w:tcBorders>
              <w:top w:val="single" w:color="231F20" w:sz="2" w:space="0"/>
            </w:tcBorders>
          </w:tcPr>
          <w:p>
            <w:pPr>
              <w:pStyle w:val="TableText"/>
              <w:ind w:left="861"/>
              <w:spacing w:before="77" w:line="194" w:lineRule="auto"/>
              <w:rPr/>
            </w:pPr>
            <w:r>
              <w:rPr>
                <w:color w:val="231F20"/>
                <w:spacing w:val="-1"/>
              </w:rPr>
              <w:t>B 组</w:t>
            </w:r>
          </w:p>
        </w:tc>
        <w:tc>
          <w:tcPr>
            <w:tcW w:w="1765" w:type="dxa"/>
            <w:vAlign w:val="top"/>
            <w:tcBorders>
              <w:top w:val="single" w:color="231F20" w:sz="2" w:space="0"/>
            </w:tcBorders>
          </w:tcPr>
          <w:p>
            <w:pPr>
              <w:pStyle w:val="TableText"/>
              <w:ind w:left="587"/>
              <w:spacing w:before="77" w:line="199" w:lineRule="auto"/>
              <w:rPr/>
            </w:pPr>
            <w:r>
              <w:rPr>
                <w:color w:val="231F20"/>
                <w:spacing w:val="-10"/>
              </w:rPr>
              <w:t>30</w:t>
            </w:r>
          </w:p>
        </w:tc>
        <w:tc>
          <w:tcPr>
            <w:tcW w:w="2408" w:type="dxa"/>
            <w:vAlign w:val="top"/>
            <w:tcBorders>
              <w:top w:val="single" w:color="231F20" w:sz="2" w:space="0"/>
            </w:tcBorders>
          </w:tcPr>
          <w:p>
            <w:pPr>
              <w:pStyle w:val="TableText"/>
              <w:ind w:left="516"/>
              <w:spacing w:before="77" w:line="199" w:lineRule="auto"/>
              <w:rPr/>
            </w:pPr>
            <w:r>
              <w:rPr>
                <w:color w:val="231F20"/>
                <w:spacing w:val="-13"/>
              </w:rPr>
              <w:t>19.38</w:t>
            </w:r>
            <w:r>
              <w:rPr>
                <w:color w:val="231F20"/>
                <w:spacing w:val="-7"/>
              </w:rPr>
              <w:t xml:space="preserve"> </w:t>
            </w:r>
            <w:r>
              <w:rPr>
                <w:color w:val="231F20"/>
                <w:spacing w:val="-13"/>
              </w:rPr>
              <w:t>±</w:t>
            </w:r>
            <w:r>
              <w:rPr>
                <w:color w:val="231F20"/>
                <w:spacing w:val="12"/>
                <w:w w:val="101"/>
              </w:rPr>
              <w:t xml:space="preserve"> </w:t>
            </w:r>
            <w:r>
              <w:rPr>
                <w:color w:val="231F20"/>
                <w:spacing w:val="-13"/>
              </w:rPr>
              <w:t>1.88</w:t>
            </w:r>
          </w:p>
        </w:tc>
        <w:tc>
          <w:tcPr>
            <w:tcW w:w="1572" w:type="dxa"/>
            <w:vAlign w:val="top"/>
            <w:tcBorders>
              <w:top w:val="single" w:color="231F20" w:sz="2" w:space="0"/>
            </w:tcBorders>
          </w:tcPr>
          <w:p>
            <w:pPr>
              <w:pStyle w:val="TableText"/>
              <w:ind w:left="137"/>
              <w:spacing w:before="77" w:line="199" w:lineRule="auto"/>
              <w:rPr/>
            </w:pPr>
            <w:r>
              <w:rPr>
                <w:color w:val="231F20"/>
                <w:spacing w:val="-10"/>
              </w:rPr>
              <w:t>32.25 ± 2.87</w:t>
            </w:r>
          </w:p>
        </w:tc>
        <w:tc>
          <w:tcPr>
            <w:tcW w:w="2067" w:type="dxa"/>
            <w:vAlign w:val="top"/>
            <w:tcBorders>
              <w:top w:val="single" w:color="231F20" w:sz="2" w:space="0"/>
            </w:tcBorders>
          </w:tcPr>
          <w:p>
            <w:pPr>
              <w:pStyle w:val="TableText"/>
              <w:ind w:left="618"/>
              <w:spacing w:before="77" w:line="199" w:lineRule="auto"/>
              <w:rPr/>
            </w:pPr>
            <w:r>
              <w:rPr>
                <w:color w:val="231F20"/>
                <w:spacing w:val="-11"/>
              </w:rPr>
              <w:t>18.58</w:t>
            </w:r>
            <w:r>
              <w:rPr>
                <w:color w:val="231F20"/>
                <w:spacing w:val="-4"/>
              </w:rPr>
              <w:t xml:space="preserve"> </w:t>
            </w:r>
            <w:r>
              <w:rPr>
                <w:color w:val="231F20"/>
                <w:spacing w:val="-11"/>
              </w:rPr>
              <w:t>± 3.71</w:t>
            </w:r>
          </w:p>
        </w:tc>
      </w:tr>
      <w:tr>
        <w:trPr>
          <w:trHeight w:val="343" w:hRule="atLeast"/>
        </w:trPr>
        <w:tc>
          <w:tcPr>
            <w:tcW w:w="2393" w:type="dxa"/>
            <w:vAlign w:val="top"/>
            <w:tcBorders>
              <w:bottom w:val="single" w:color="231F20" w:sz="2" w:space="0"/>
            </w:tcBorders>
          </w:tcPr>
          <w:p>
            <w:pPr>
              <w:pStyle w:val="TableText"/>
              <w:ind w:left="852"/>
              <w:spacing w:before="88" w:line="194" w:lineRule="auto"/>
              <w:rPr/>
            </w:pPr>
            <w:r>
              <w:rPr>
                <w:color w:val="231F20"/>
                <w:spacing w:val="-1"/>
              </w:rPr>
              <w:t>A 组</w:t>
            </w:r>
          </w:p>
        </w:tc>
        <w:tc>
          <w:tcPr>
            <w:tcW w:w="1765" w:type="dxa"/>
            <w:vAlign w:val="top"/>
            <w:tcBorders>
              <w:bottom w:val="single" w:color="231F20" w:sz="2" w:space="0"/>
            </w:tcBorders>
          </w:tcPr>
          <w:p>
            <w:pPr>
              <w:pStyle w:val="TableText"/>
              <w:ind w:left="587"/>
              <w:spacing w:before="88" w:line="201" w:lineRule="auto"/>
              <w:rPr/>
            </w:pPr>
            <w:r>
              <w:rPr>
                <w:color w:val="231F20"/>
                <w:spacing w:val="-10"/>
              </w:rPr>
              <w:t>30</w:t>
            </w:r>
          </w:p>
        </w:tc>
        <w:tc>
          <w:tcPr>
            <w:tcW w:w="2408" w:type="dxa"/>
            <w:vAlign w:val="top"/>
            <w:tcBorders>
              <w:bottom w:val="single" w:color="231F20" w:sz="2" w:space="0"/>
            </w:tcBorders>
          </w:tcPr>
          <w:p>
            <w:pPr>
              <w:pStyle w:val="TableText"/>
              <w:ind w:left="501"/>
              <w:spacing w:before="88" w:line="201" w:lineRule="auto"/>
              <w:rPr/>
            </w:pPr>
            <w:r>
              <w:rPr>
                <w:color w:val="231F20"/>
                <w:spacing w:val="-6"/>
              </w:rPr>
              <w:t>22.87 ±2.05</w:t>
            </w:r>
          </w:p>
        </w:tc>
        <w:tc>
          <w:tcPr>
            <w:tcW w:w="1572" w:type="dxa"/>
            <w:vAlign w:val="top"/>
            <w:tcBorders>
              <w:bottom w:val="single" w:color="231F20" w:sz="2" w:space="0"/>
            </w:tcBorders>
          </w:tcPr>
          <w:p>
            <w:pPr>
              <w:pStyle w:val="TableText"/>
              <w:ind w:left="132"/>
              <w:spacing w:before="88" w:line="201" w:lineRule="auto"/>
              <w:rPr/>
            </w:pPr>
            <w:r>
              <w:rPr>
                <w:color w:val="231F20"/>
                <w:spacing w:val="-9"/>
              </w:rPr>
              <w:t>40.85 ± 3.87</w:t>
            </w:r>
          </w:p>
        </w:tc>
        <w:tc>
          <w:tcPr>
            <w:tcW w:w="2067" w:type="dxa"/>
            <w:vAlign w:val="top"/>
            <w:tcBorders>
              <w:bottom w:val="single" w:color="231F20" w:sz="2" w:space="0"/>
            </w:tcBorders>
          </w:tcPr>
          <w:p>
            <w:pPr>
              <w:pStyle w:val="TableText"/>
              <w:ind w:left="603"/>
              <w:spacing w:before="88" w:line="201" w:lineRule="auto"/>
              <w:rPr/>
            </w:pPr>
            <w:r>
              <w:rPr>
                <w:color w:val="231F20"/>
                <w:spacing w:val="-1"/>
              </w:rPr>
              <w:t>24.72±4.25</w:t>
            </w:r>
          </w:p>
        </w:tc>
      </w:tr>
      <w:tr>
        <w:trPr>
          <w:trHeight w:val="330" w:hRule="atLeast"/>
        </w:trPr>
        <w:tc>
          <w:tcPr>
            <w:tcW w:w="2393" w:type="dxa"/>
            <w:vAlign w:val="top"/>
            <w:tcBorders>
              <w:top w:val="single" w:color="231F20" w:sz="2" w:space="0"/>
            </w:tcBorders>
          </w:tcPr>
          <w:p>
            <w:pPr>
              <w:pStyle w:val="TableText"/>
              <w:ind w:left="886"/>
              <w:spacing w:before="80" w:line="188" w:lineRule="auto"/>
              <w:rPr/>
            </w:pPr>
            <w:r>
              <w:rPr>
                <w:rFonts w:ascii="Arial" w:hAnsi="Arial" w:eastAsia="Arial" w:cs="Arial"/>
                <w:color w:val="231F20"/>
                <w:spacing w:val="1"/>
              </w:rPr>
              <w:t>t </w:t>
            </w:r>
            <w:r>
              <w:rPr>
                <w:color w:val="231F20"/>
                <w:spacing w:val="1"/>
              </w:rPr>
              <w:t>值</w:t>
            </w:r>
          </w:p>
        </w:tc>
        <w:tc>
          <w:tcPr>
            <w:tcW w:w="1765" w:type="dxa"/>
            <w:vAlign w:val="top"/>
            <w:tcBorders>
              <w:top w:val="single" w:color="231F20" w:sz="2" w:space="0"/>
            </w:tcBorders>
          </w:tcPr>
          <w:p>
            <w:pPr>
              <w:rPr>
                <w:rFonts w:ascii="Arial"/>
                <w:sz w:val="21"/>
              </w:rPr>
            </w:pPr>
            <w:r/>
          </w:p>
        </w:tc>
        <w:tc>
          <w:tcPr>
            <w:tcW w:w="2408" w:type="dxa"/>
            <w:vAlign w:val="top"/>
            <w:tcBorders>
              <w:top w:val="single" w:color="231F20" w:sz="2" w:space="0"/>
            </w:tcBorders>
          </w:tcPr>
          <w:p>
            <w:pPr>
              <w:pStyle w:val="TableText"/>
              <w:ind w:left="838"/>
              <w:spacing w:before="80" w:line="197" w:lineRule="auto"/>
              <w:rPr/>
            </w:pPr>
            <w:r>
              <w:rPr>
                <w:color w:val="231F20"/>
                <w:spacing w:val="-7"/>
              </w:rPr>
              <w:t>6.872</w:t>
            </w:r>
          </w:p>
        </w:tc>
        <w:tc>
          <w:tcPr>
            <w:tcW w:w="1572" w:type="dxa"/>
            <w:vAlign w:val="top"/>
            <w:tcBorders>
              <w:top w:val="single" w:color="231F20" w:sz="2" w:space="0"/>
            </w:tcBorders>
          </w:tcPr>
          <w:p>
            <w:pPr>
              <w:pStyle w:val="TableText"/>
              <w:ind w:left="470"/>
              <w:spacing w:before="80" w:line="197" w:lineRule="auto"/>
              <w:rPr/>
            </w:pPr>
            <w:r>
              <w:rPr>
                <w:color w:val="231F20"/>
                <w:spacing w:val="-7"/>
              </w:rPr>
              <w:t>9.777</w:t>
            </w:r>
          </w:p>
        </w:tc>
        <w:tc>
          <w:tcPr>
            <w:tcW w:w="2067" w:type="dxa"/>
            <w:vAlign w:val="top"/>
            <w:tcBorders>
              <w:top w:val="single" w:color="231F20" w:sz="2" w:space="0"/>
            </w:tcBorders>
          </w:tcPr>
          <w:p>
            <w:pPr>
              <w:pStyle w:val="TableText"/>
              <w:ind w:left="939"/>
              <w:spacing w:before="80" w:line="197" w:lineRule="auto"/>
              <w:rPr/>
            </w:pPr>
            <w:r>
              <w:rPr>
                <w:color w:val="231F20"/>
                <w:spacing w:val="-7"/>
              </w:rPr>
              <w:t>5.961</w:t>
            </w:r>
          </w:p>
        </w:tc>
      </w:tr>
      <w:tr>
        <w:trPr>
          <w:trHeight w:val="342" w:hRule="atLeast"/>
        </w:trPr>
        <w:tc>
          <w:tcPr>
            <w:tcW w:w="2393" w:type="dxa"/>
            <w:vAlign w:val="top"/>
            <w:tcBorders>
              <w:bottom w:val="single" w:color="231F20" w:sz="6" w:space="0"/>
            </w:tcBorders>
          </w:tcPr>
          <w:p>
            <w:pPr>
              <w:pStyle w:val="TableText"/>
              <w:ind w:left="859"/>
              <w:spacing w:before="90" w:line="188" w:lineRule="auto"/>
              <w:rPr/>
            </w:pPr>
            <w:r>
              <w:rPr>
                <w:rFonts w:ascii="Arial" w:hAnsi="Arial" w:eastAsia="Arial" w:cs="Arial"/>
                <w:color w:val="231F20"/>
                <w:spacing w:val="18"/>
              </w:rPr>
              <w:t>P</w:t>
            </w:r>
            <w:r>
              <w:rPr>
                <w:color w:val="231F20"/>
                <w:spacing w:val="18"/>
              </w:rPr>
              <w:t>值</w:t>
            </w:r>
          </w:p>
        </w:tc>
        <w:tc>
          <w:tcPr>
            <w:tcW w:w="1765" w:type="dxa"/>
            <w:vAlign w:val="top"/>
            <w:tcBorders>
              <w:bottom w:val="single" w:color="231F20" w:sz="6" w:space="0"/>
            </w:tcBorders>
          </w:tcPr>
          <w:p>
            <w:pPr>
              <w:rPr>
                <w:rFonts w:ascii="Arial"/>
                <w:sz w:val="21"/>
              </w:rPr>
            </w:pPr>
            <w:r/>
          </w:p>
        </w:tc>
        <w:tc>
          <w:tcPr>
            <w:tcW w:w="2408" w:type="dxa"/>
            <w:vAlign w:val="top"/>
            <w:tcBorders>
              <w:bottom w:val="single" w:color="231F20" w:sz="6" w:space="0"/>
            </w:tcBorders>
          </w:tcPr>
          <w:p>
            <w:pPr>
              <w:pStyle w:val="TableText"/>
              <w:ind w:left="675"/>
              <w:spacing w:before="91" w:line="198" w:lineRule="auto"/>
              <w:rPr/>
            </w:pPr>
            <w:r>
              <w:rPr>
                <w:color w:val="231F20"/>
                <w:spacing w:val="-4"/>
              </w:rPr>
              <w:t>&lt;</w:t>
            </w:r>
            <w:r>
              <w:rPr>
                <w:color w:val="231F20"/>
                <w:spacing w:val="-24"/>
              </w:rPr>
              <w:t xml:space="preserve"> </w:t>
            </w:r>
            <w:r>
              <w:rPr>
                <w:color w:val="231F20"/>
                <w:spacing w:val="-4"/>
              </w:rPr>
              <w:t>0.001</w:t>
            </w:r>
          </w:p>
        </w:tc>
        <w:tc>
          <w:tcPr>
            <w:tcW w:w="1572" w:type="dxa"/>
            <w:vAlign w:val="top"/>
            <w:tcBorders>
              <w:bottom w:val="single" w:color="231F20" w:sz="6" w:space="0"/>
            </w:tcBorders>
          </w:tcPr>
          <w:p>
            <w:pPr>
              <w:pStyle w:val="TableText"/>
              <w:ind w:left="308"/>
              <w:spacing w:before="91" w:line="198" w:lineRule="auto"/>
              <w:rPr/>
            </w:pPr>
            <w:r>
              <w:rPr>
                <w:color w:val="231F20"/>
                <w:spacing w:val="-4"/>
              </w:rPr>
              <w:t>&lt;</w:t>
            </w:r>
            <w:r>
              <w:rPr>
                <w:color w:val="231F20"/>
                <w:spacing w:val="-24"/>
              </w:rPr>
              <w:t xml:space="preserve"> </w:t>
            </w:r>
            <w:r>
              <w:rPr>
                <w:color w:val="231F20"/>
                <w:spacing w:val="-4"/>
              </w:rPr>
              <w:t>0.001</w:t>
            </w:r>
          </w:p>
        </w:tc>
        <w:tc>
          <w:tcPr>
            <w:tcW w:w="2067" w:type="dxa"/>
            <w:vAlign w:val="top"/>
            <w:tcBorders>
              <w:bottom w:val="single" w:color="231F20" w:sz="6" w:space="0"/>
            </w:tcBorders>
          </w:tcPr>
          <w:p>
            <w:pPr>
              <w:pStyle w:val="TableText"/>
              <w:ind w:left="777"/>
              <w:spacing w:before="91" w:line="198" w:lineRule="auto"/>
              <w:rPr/>
            </w:pPr>
            <w:r>
              <w:rPr>
                <w:color w:val="231F20"/>
                <w:spacing w:val="-4"/>
              </w:rPr>
              <w:t>&lt;</w:t>
            </w:r>
            <w:r>
              <w:rPr>
                <w:color w:val="231F20"/>
                <w:spacing w:val="-24"/>
              </w:rPr>
              <w:t xml:space="preserve"> </w:t>
            </w:r>
            <w:r>
              <w:rPr>
                <w:color w:val="231F20"/>
                <w:spacing w:val="-4"/>
              </w:rPr>
              <w:t>0.001</w:t>
            </w:r>
          </w:p>
        </w:tc>
      </w:tr>
      <w:tr>
        <w:trPr>
          <w:trHeight w:val="304" w:hRule="atLeast"/>
        </w:trPr>
        <w:tc>
          <w:tcPr>
            <w:tcW w:w="2393" w:type="dxa"/>
            <w:vAlign w:val="top"/>
            <w:tcBorders>
              <w:bottom w:val="single" w:color="231F20" w:sz="6" w:space="0"/>
              <w:top w:val="single" w:color="231F20" w:sz="6" w:space="0"/>
            </w:tcBorders>
          </w:tcPr>
          <w:p>
            <w:pPr>
              <w:rPr>
                <w:rFonts w:ascii="Arial"/>
                <w:sz w:val="21"/>
              </w:rPr>
            </w:pPr>
            <w:r/>
          </w:p>
        </w:tc>
        <w:tc>
          <w:tcPr>
            <w:tcW w:w="1765" w:type="dxa"/>
            <w:vAlign w:val="top"/>
            <w:tcBorders>
              <w:bottom w:val="single" w:color="231F20" w:sz="6" w:space="0"/>
              <w:top w:val="single" w:color="231F20" w:sz="6" w:space="0"/>
            </w:tcBorders>
          </w:tcPr>
          <w:p>
            <w:pPr>
              <w:pStyle w:val="TableText"/>
              <w:ind w:left="1361"/>
              <w:spacing w:before="54" w:line="197" w:lineRule="auto"/>
              <w:rPr/>
            </w:pPr>
            <w:r>
              <w:rPr>
                <w:color w:val="231F20"/>
              </w:rPr>
              <w:t>表 3</w:t>
            </w:r>
          </w:p>
        </w:tc>
        <w:tc>
          <w:tcPr>
            <w:tcW w:w="2408" w:type="dxa"/>
            <w:vAlign w:val="top"/>
            <w:tcBorders>
              <w:bottom w:val="single" w:color="231F20" w:sz="6" w:space="0"/>
              <w:top w:val="single" w:color="231F20" w:sz="6" w:space="0"/>
            </w:tcBorders>
          </w:tcPr>
          <w:p>
            <w:pPr>
              <w:pStyle w:val="TableText"/>
              <w:spacing w:before="52" w:line="194" w:lineRule="auto"/>
              <w:jc w:val="right"/>
              <w:rPr/>
            </w:pPr>
            <w:r>
              <w:pict>
                <v:shape id="_x0000_s22" style="position:absolute;margin-left:-24.2pt;margin-top:2.51741pt;mso-position-vertical-relative:top-margin-area;mso-position-horizontal-relative:right-margin-area;width:3.2pt;height:0.2pt;z-index:-251656192;" filled="false" strokecolor="#231F20" strokeweight="0.19pt" coordsize="64,4" coordorigin="0,0" path="m0,1l63,1e">
                  <v:stroke joinstyle="miter" miterlimit="10"/>
                </v:shape>
              </w:pict>
            </w:r>
            <w:r>
              <w:rPr>
                <w:color w:val="231F20"/>
                <w:spacing w:val="1"/>
              </w:rPr>
              <w:t>2 组 </w:t>
            </w:r>
            <w:r>
              <w:rPr>
                <w:color w:val="231F20"/>
              </w:rPr>
              <w:t>SF</w:t>
            </w:r>
            <w:r>
              <w:rPr>
                <w:color w:val="231F20"/>
                <w:spacing w:val="1"/>
              </w:rPr>
              <w:t>-36 评分对比（</w:t>
            </w:r>
            <w:r>
              <w:rPr>
                <w:rFonts w:ascii="Arial" w:hAnsi="Arial" w:eastAsia="Arial" w:cs="Arial"/>
                <w:color w:val="231F20"/>
                <w:spacing w:val="1"/>
              </w:rPr>
              <w:t>x</w:t>
            </w:r>
            <w:r>
              <w:rPr>
                <w:rFonts w:ascii="Arial" w:hAnsi="Arial" w:eastAsia="Arial" w:cs="Arial"/>
                <w:color w:val="231F20"/>
                <w:spacing w:val="1"/>
              </w:rPr>
              <w:t xml:space="preserve"> </w:t>
            </w:r>
            <w:r>
              <w:rPr>
                <w:color w:val="231F20"/>
                <w:spacing w:val="1"/>
              </w:rPr>
              <w:t>±</w:t>
            </w:r>
            <w:r>
              <w:rPr>
                <w:rFonts w:ascii="Arial" w:hAnsi="Arial" w:eastAsia="Arial" w:cs="Arial"/>
                <w:color w:val="231F20"/>
                <w:spacing w:val="1"/>
              </w:rPr>
              <w:t>s</w:t>
            </w:r>
            <w:r>
              <w:rPr>
                <w:color w:val="231F20"/>
                <w:spacing w:val="1"/>
              </w:rPr>
              <w:t>）</w:t>
            </w:r>
          </w:p>
        </w:tc>
        <w:tc>
          <w:tcPr>
            <w:tcW w:w="1572" w:type="dxa"/>
            <w:vAlign w:val="top"/>
            <w:tcBorders>
              <w:bottom w:val="single" w:color="231F20" w:sz="6" w:space="0"/>
              <w:top w:val="single" w:color="231F20" w:sz="6" w:space="0"/>
            </w:tcBorders>
          </w:tcPr>
          <w:p>
            <w:pPr>
              <w:rPr>
                <w:rFonts w:ascii="Arial"/>
                <w:sz w:val="21"/>
              </w:rPr>
            </w:pPr>
            <w:r/>
          </w:p>
        </w:tc>
        <w:tc>
          <w:tcPr>
            <w:tcW w:w="2067" w:type="dxa"/>
            <w:vAlign w:val="top"/>
            <w:tcBorders>
              <w:bottom w:val="single" w:color="231F20" w:sz="6" w:space="0"/>
              <w:top w:val="single" w:color="231F20" w:sz="6" w:space="0"/>
            </w:tcBorders>
          </w:tcPr>
          <w:p>
            <w:pPr>
              <w:pStyle w:val="TableText"/>
              <w:ind w:left="1307"/>
              <w:spacing w:before="54" w:line="197" w:lineRule="auto"/>
              <w:rPr/>
            </w:pPr>
            <w:r>
              <w:rPr>
                <w:color w:val="231F20"/>
                <w:spacing w:val="-3"/>
              </w:rPr>
              <w:t>单位</w:t>
            </w:r>
            <w:r>
              <w:rPr>
                <w:color w:val="231F20"/>
                <w:spacing w:val="-17"/>
              </w:rPr>
              <w:t xml:space="preserve"> </w:t>
            </w:r>
            <w:r>
              <w:rPr>
                <w:color w:val="231F20"/>
                <w:spacing w:val="-3"/>
              </w:rPr>
              <w:t>：分</w:t>
            </w:r>
          </w:p>
        </w:tc>
      </w:tr>
      <w:tr>
        <w:trPr>
          <w:trHeight w:val="324" w:hRule="atLeast"/>
        </w:trPr>
        <w:tc>
          <w:tcPr>
            <w:tcW w:w="2393" w:type="dxa"/>
            <w:vAlign w:val="top"/>
            <w:tcBorders>
              <w:bottom w:val="single" w:color="231F20" w:sz="2" w:space="0"/>
              <w:top w:val="single" w:color="231F20" w:sz="6" w:space="0"/>
            </w:tcBorders>
          </w:tcPr>
          <w:p>
            <w:pPr>
              <w:pStyle w:val="TableText"/>
              <w:ind w:left="437"/>
              <w:spacing w:before="63" w:line="206" w:lineRule="auto"/>
              <w:rPr/>
            </w:pPr>
            <w:r>
              <w:rPr>
                <w:color w:val="231F20"/>
                <w:spacing w:val="6"/>
              </w:rPr>
              <w:t>组别</w:t>
            </w:r>
            <w:r>
              <w:rPr>
                <w:color w:val="231F20"/>
              </w:rPr>
              <w:t xml:space="preserve">               </w:t>
            </w:r>
            <w:r>
              <w:rPr>
                <w:color w:val="231F20"/>
                <w:spacing w:val="6"/>
              </w:rPr>
              <w:t>例数</w:t>
            </w:r>
          </w:p>
        </w:tc>
        <w:tc>
          <w:tcPr>
            <w:tcW w:w="1765" w:type="dxa"/>
            <w:vAlign w:val="top"/>
            <w:tcBorders>
              <w:bottom w:val="single" w:color="231F20" w:sz="2" w:space="0"/>
              <w:top w:val="single" w:color="231F20" w:sz="6" w:space="0"/>
            </w:tcBorders>
          </w:tcPr>
          <w:p>
            <w:pPr>
              <w:pStyle w:val="TableText"/>
              <w:ind w:left="767"/>
              <w:spacing w:before="72" w:line="191" w:lineRule="auto"/>
              <w:rPr/>
            </w:pPr>
            <w:r>
              <w:rPr>
                <w:color w:val="231F20"/>
                <w:spacing w:val="7"/>
              </w:rPr>
              <w:t>术前</w:t>
            </w:r>
          </w:p>
        </w:tc>
        <w:tc>
          <w:tcPr>
            <w:tcW w:w="2408" w:type="dxa"/>
            <w:vAlign w:val="top"/>
            <w:tcBorders>
              <w:bottom w:val="single" w:color="231F20" w:sz="2" w:space="0"/>
              <w:top w:val="single" w:color="231F20" w:sz="6" w:space="0"/>
            </w:tcBorders>
          </w:tcPr>
          <w:p>
            <w:pPr>
              <w:pStyle w:val="TableText"/>
              <w:ind w:left="1023"/>
              <w:spacing w:before="73" w:line="189" w:lineRule="auto"/>
              <w:rPr/>
            </w:pPr>
            <w:r>
              <w:rPr>
                <w:color w:val="231F20"/>
                <w:spacing w:val="-1"/>
              </w:rPr>
              <w:t>术后</w:t>
            </w:r>
            <w:r>
              <w:rPr>
                <w:color w:val="231F20"/>
                <w:spacing w:val="14"/>
                <w:w w:val="101"/>
              </w:rPr>
              <w:t xml:space="preserve"> </w:t>
            </w:r>
            <w:r>
              <w:rPr>
                <w:color w:val="231F20"/>
                <w:spacing w:val="-1"/>
              </w:rPr>
              <w:t>1 个月</w:t>
            </w:r>
          </w:p>
        </w:tc>
        <w:tc>
          <w:tcPr>
            <w:tcW w:w="1572" w:type="dxa"/>
            <w:vAlign w:val="top"/>
            <w:tcBorders>
              <w:bottom w:val="single" w:color="231F20" w:sz="2" w:space="0"/>
              <w:top w:val="single" w:color="231F20" w:sz="6" w:space="0"/>
            </w:tcBorders>
          </w:tcPr>
          <w:p>
            <w:pPr>
              <w:pStyle w:val="TableText"/>
              <w:ind w:left="952"/>
              <w:spacing w:before="73" w:line="188" w:lineRule="auto"/>
              <w:rPr/>
            </w:pPr>
            <w:r>
              <w:rPr>
                <w:rFonts w:ascii="Arial" w:hAnsi="Arial" w:eastAsia="Arial" w:cs="Arial"/>
                <w:color w:val="231F20"/>
                <w:spacing w:val="1"/>
              </w:rPr>
              <w:t>t </w:t>
            </w:r>
            <w:r>
              <w:rPr>
                <w:color w:val="231F20"/>
                <w:spacing w:val="1"/>
              </w:rPr>
              <w:t>值</w:t>
            </w:r>
          </w:p>
        </w:tc>
        <w:tc>
          <w:tcPr>
            <w:tcW w:w="2067" w:type="dxa"/>
            <w:vAlign w:val="top"/>
            <w:tcBorders>
              <w:bottom w:val="single" w:color="231F20" w:sz="2" w:space="0"/>
              <w:top w:val="single" w:color="231F20" w:sz="6" w:space="0"/>
            </w:tcBorders>
          </w:tcPr>
          <w:p>
            <w:pPr>
              <w:pStyle w:val="TableText"/>
              <w:ind w:left="1054"/>
              <w:spacing w:before="73" w:line="188" w:lineRule="auto"/>
              <w:rPr/>
            </w:pPr>
            <w:r>
              <w:rPr>
                <w:rFonts w:ascii="Arial" w:hAnsi="Arial" w:eastAsia="Arial" w:cs="Arial"/>
                <w:color w:val="231F20"/>
                <w:spacing w:val="18"/>
              </w:rPr>
              <w:t>P</w:t>
            </w:r>
            <w:r>
              <w:rPr>
                <w:color w:val="231F20"/>
                <w:spacing w:val="18"/>
              </w:rPr>
              <w:t>值</w:t>
            </w:r>
          </w:p>
        </w:tc>
      </w:tr>
      <w:tr>
        <w:trPr>
          <w:trHeight w:val="329" w:hRule="atLeast"/>
        </w:trPr>
        <w:tc>
          <w:tcPr>
            <w:tcW w:w="2393" w:type="dxa"/>
            <w:vAlign w:val="top"/>
            <w:tcBorders>
              <w:top w:val="single" w:color="231F20" w:sz="2" w:space="0"/>
            </w:tcBorders>
          </w:tcPr>
          <w:p>
            <w:pPr>
              <w:pStyle w:val="TableText"/>
              <w:ind w:left="452"/>
              <w:spacing w:before="84" w:line="193" w:lineRule="auto"/>
              <w:rPr/>
            </w:pPr>
            <w:r>
              <w:rPr>
                <w:color w:val="231F20"/>
                <w:spacing w:val="-5"/>
              </w:rPr>
              <w:t>B 组</w:t>
            </w:r>
            <w:r>
              <w:rPr>
                <w:color w:val="231F20"/>
              </w:rPr>
              <w:t xml:space="preserve">                 </w:t>
            </w:r>
            <w:r>
              <w:rPr>
                <w:color w:val="231F20"/>
                <w:spacing w:val="-5"/>
              </w:rPr>
              <w:t>30</w:t>
            </w:r>
          </w:p>
        </w:tc>
        <w:tc>
          <w:tcPr>
            <w:tcW w:w="1765" w:type="dxa"/>
            <w:vAlign w:val="top"/>
            <w:tcBorders>
              <w:top w:val="single" w:color="231F20" w:sz="2" w:space="0"/>
            </w:tcBorders>
          </w:tcPr>
          <w:p>
            <w:pPr>
              <w:pStyle w:val="TableText"/>
              <w:ind w:left="499"/>
              <w:spacing w:before="84" w:line="193" w:lineRule="auto"/>
              <w:rPr/>
            </w:pPr>
            <w:r>
              <w:rPr>
                <w:color w:val="231F20"/>
                <w:spacing w:val="-9"/>
              </w:rPr>
              <w:t>42.37 ± 3.59</w:t>
            </w:r>
          </w:p>
        </w:tc>
        <w:tc>
          <w:tcPr>
            <w:tcW w:w="2408" w:type="dxa"/>
            <w:vAlign w:val="top"/>
            <w:tcBorders>
              <w:top w:val="single" w:color="231F20" w:sz="2" w:space="0"/>
            </w:tcBorders>
          </w:tcPr>
          <w:p>
            <w:pPr>
              <w:pStyle w:val="TableText"/>
              <w:ind w:left="1025"/>
              <w:spacing w:before="84" w:line="193" w:lineRule="auto"/>
              <w:rPr/>
            </w:pPr>
            <w:r>
              <w:rPr>
                <w:color w:val="231F20"/>
                <w:spacing w:val="-6"/>
              </w:rPr>
              <w:t>56.75 ±4.58</w:t>
            </w:r>
          </w:p>
        </w:tc>
        <w:tc>
          <w:tcPr>
            <w:tcW w:w="1572" w:type="dxa"/>
            <w:vAlign w:val="top"/>
            <w:tcBorders>
              <w:top w:val="single" w:color="231F20" w:sz="2" w:space="0"/>
            </w:tcBorders>
          </w:tcPr>
          <w:p>
            <w:pPr>
              <w:pStyle w:val="TableText"/>
              <w:ind w:left="860"/>
              <w:spacing w:before="84" w:line="193" w:lineRule="auto"/>
              <w:rPr/>
            </w:pPr>
            <w:r>
              <w:rPr>
                <w:color w:val="231F20"/>
                <w:spacing w:val="-10"/>
              </w:rPr>
              <w:t>13.545</w:t>
            </w:r>
          </w:p>
        </w:tc>
        <w:tc>
          <w:tcPr>
            <w:tcW w:w="2067" w:type="dxa"/>
            <w:vAlign w:val="top"/>
            <w:tcBorders>
              <w:top w:val="single" w:color="231F20" w:sz="2" w:space="0"/>
            </w:tcBorders>
          </w:tcPr>
          <w:p>
            <w:pPr>
              <w:pStyle w:val="TableText"/>
              <w:ind w:left="946"/>
              <w:spacing w:before="85" w:line="192" w:lineRule="auto"/>
              <w:rPr/>
            </w:pPr>
            <w:r>
              <w:rPr>
                <w:color w:val="231F20"/>
                <w:spacing w:val="-4"/>
              </w:rPr>
              <w:t>&lt;</w:t>
            </w:r>
            <w:r>
              <w:rPr>
                <w:color w:val="231F20"/>
                <w:spacing w:val="-24"/>
              </w:rPr>
              <w:t xml:space="preserve"> </w:t>
            </w:r>
            <w:r>
              <w:rPr>
                <w:color w:val="231F20"/>
                <w:spacing w:val="-4"/>
              </w:rPr>
              <w:t>0.001</w:t>
            </w:r>
          </w:p>
        </w:tc>
      </w:tr>
      <w:tr>
        <w:trPr>
          <w:trHeight w:val="343" w:hRule="atLeast"/>
        </w:trPr>
        <w:tc>
          <w:tcPr>
            <w:tcW w:w="2393" w:type="dxa"/>
            <w:vAlign w:val="top"/>
            <w:tcBorders>
              <w:bottom w:val="single" w:color="231F20" w:sz="2" w:space="0"/>
            </w:tcBorders>
          </w:tcPr>
          <w:p>
            <w:pPr>
              <w:pStyle w:val="TableText"/>
              <w:ind w:left="445"/>
              <w:spacing w:before="96" w:line="195" w:lineRule="auto"/>
              <w:rPr/>
            </w:pPr>
            <w:r>
              <w:rPr>
                <w:color w:val="231F20"/>
                <w:spacing w:val="-5"/>
              </w:rPr>
              <w:t>A 组</w:t>
            </w:r>
            <w:r>
              <w:rPr>
                <w:color w:val="231F20"/>
              </w:rPr>
              <w:t xml:space="preserve">                 </w:t>
            </w:r>
            <w:r>
              <w:rPr>
                <w:color w:val="231F20"/>
                <w:spacing w:val="-5"/>
              </w:rPr>
              <w:t>30</w:t>
            </w:r>
          </w:p>
        </w:tc>
        <w:tc>
          <w:tcPr>
            <w:tcW w:w="1765" w:type="dxa"/>
            <w:vAlign w:val="top"/>
            <w:tcBorders>
              <w:bottom w:val="single" w:color="231F20" w:sz="2" w:space="0"/>
            </w:tcBorders>
          </w:tcPr>
          <w:p>
            <w:pPr>
              <w:pStyle w:val="TableText"/>
              <w:ind w:left="499"/>
              <w:spacing w:before="96" w:line="195" w:lineRule="auto"/>
              <w:rPr/>
            </w:pPr>
            <w:r>
              <w:rPr>
                <w:color w:val="231F20"/>
                <w:spacing w:val="-9"/>
              </w:rPr>
              <w:t>42.49 ± 3.78</w:t>
            </w:r>
          </w:p>
        </w:tc>
        <w:tc>
          <w:tcPr>
            <w:tcW w:w="2408" w:type="dxa"/>
            <w:vAlign w:val="top"/>
            <w:tcBorders>
              <w:bottom w:val="single" w:color="231F20" w:sz="2" w:space="0"/>
            </w:tcBorders>
          </w:tcPr>
          <w:p>
            <w:pPr>
              <w:pStyle w:val="TableText"/>
              <w:ind w:left="1025"/>
              <w:spacing w:before="96" w:line="195" w:lineRule="auto"/>
              <w:rPr/>
            </w:pPr>
            <w:r>
              <w:rPr>
                <w:color w:val="231F20"/>
                <w:spacing w:val="-6"/>
              </w:rPr>
              <w:t>50.28 ±5.17</w:t>
            </w:r>
          </w:p>
        </w:tc>
        <w:tc>
          <w:tcPr>
            <w:tcW w:w="1572" w:type="dxa"/>
            <w:vAlign w:val="top"/>
            <w:tcBorders>
              <w:bottom w:val="single" w:color="231F20" w:sz="2" w:space="0"/>
            </w:tcBorders>
          </w:tcPr>
          <w:p>
            <w:pPr>
              <w:pStyle w:val="TableText"/>
              <w:ind w:left="936"/>
              <w:spacing w:before="96" w:line="195" w:lineRule="auto"/>
              <w:rPr/>
            </w:pPr>
            <w:r>
              <w:rPr>
                <w:color w:val="231F20"/>
                <w:spacing w:val="-7"/>
              </w:rPr>
              <w:t>6.662</w:t>
            </w:r>
          </w:p>
        </w:tc>
        <w:tc>
          <w:tcPr>
            <w:tcW w:w="2067" w:type="dxa"/>
            <w:vAlign w:val="top"/>
            <w:tcBorders>
              <w:bottom w:val="single" w:color="231F20" w:sz="2" w:space="0"/>
            </w:tcBorders>
          </w:tcPr>
          <w:p>
            <w:pPr>
              <w:pStyle w:val="TableText"/>
              <w:ind w:left="946"/>
              <w:spacing w:before="97" w:line="194" w:lineRule="auto"/>
              <w:rPr/>
            </w:pPr>
            <w:r>
              <w:rPr>
                <w:color w:val="231F20"/>
                <w:spacing w:val="-4"/>
              </w:rPr>
              <w:t>&lt;</w:t>
            </w:r>
            <w:r>
              <w:rPr>
                <w:color w:val="231F20"/>
                <w:spacing w:val="-24"/>
              </w:rPr>
              <w:t xml:space="preserve"> </w:t>
            </w:r>
            <w:r>
              <w:rPr>
                <w:color w:val="231F20"/>
                <w:spacing w:val="-4"/>
              </w:rPr>
              <w:t>0.001</w:t>
            </w:r>
          </w:p>
        </w:tc>
      </w:tr>
      <w:tr>
        <w:trPr>
          <w:trHeight w:val="681" w:hRule="atLeast"/>
        </w:trPr>
        <w:tc>
          <w:tcPr>
            <w:tcW w:w="2393" w:type="dxa"/>
            <w:vAlign w:val="top"/>
            <w:tcBorders>
              <w:top w:val="single" w:color="231F20" w:sz="2" w:space="0"/>
              <w:bottom w:val="single" w:color="231F20" w:sz="6" w:space="0"/>
            </w:tcBorders>
          </w:tcPr>
          <w:p>
            <w:pPr>
              <w:pStyle w:val="TableText"/>
              <w:ind w:left="478"/>
              <w:spacing w:before="87" w:line="188" w:lineRule="auto"/>
              <w:rPr/>
            </w:pPr>
            <w:r>
              <w:rPr>
                <w:rFonts w:ascii="Arial" w:hAnsi="Arial" w:eastAsia="Arial" w:cs="Arial"/>
                <w:color w:val="231F20"/>
                <w:spacing w:val="1"/>
              </w:rPr>
              <w:t>t </w:t>
            </w:r>
            <w:r>
              <w:rPr>
                <w:color w:val="231F20"/>
                <w:spacing w:val="1"/>
              </w:rPr>
              <w:t>值</w:t>
            </w:r>
          </w:p>
          <w:p>
            <w:pPr>
              <w:pStyle w:val="TableText"/>
              <w:ind w:left="450"/>
              <w:spacing w:before="111" w:line="188" w:lineRule="auto"/>
              <w:rPr/>
            </w:pPr>
            <w:r>
              <w:rPr>
                <w:rFonts w:ascii="Arial" w:hAnsi="Arial" w:eastAsia="Arial" w:cs="Arial"/>
                <w:color w:val="231F20"/>
                <w:spacing w:val="18"/>
              </w:rPr>
              <w:t>P</w:t>
            </w:r>
            <w:r>
              <w:rPr>
                <w:color w:val="231F20"/>
                <w:spacing w:val="18"/>
              </w:rPr>
              <w:t>值</w:t>
            </w:r>
          </w:p>
        </w:tc>
        <w:tc>
          <w:tcPr>
            <w:tcW w:w="1765" w:type="dxa"/>
            <w:vAlign w:val="top"/>
            <w:tcBorders>
              <w:top w:val="single" w:color="231F20" w:sz="2" w:space="0"/>
              <w:bottom w:val="single" w:color="231F20" w:sz="6" w:space="0"/>
            </w:tcBorders>
          </w:tcPr>
          <w:p>
            <w:pPr>
              <w:pStyle w:val="TableText"/>
              <w:ind w:left="747"/>
              <w:spacing w:before="87" w:line="207" w:lineRule="auto"/>
              <w:rPr/>
            </w:pPr>
            <w:r>
              <w:rPr>
                <w:color w:val="231F20"/>
                <w:spacing w:val="-7"/>
              </w:rPr>
              <w:t>0.126</w:t>
            </w:r>
          </w:p>
          <w:p>
            <w:pPr>
              <w:pStyle w:val="TableText"/>
              <w:ind w:left="747"/>
              <w:spacing w:before="89" w:line="199" w:lineRule="auto"/>
              <w:rPr/>
            </w:pPr>
            <w:r>
              <w:rPr>
                <w:color w:val="231F20"/>
                <w:spacing w:val="-7"/>
              </w:rPr>
              <w:t>0.900</w:t>
            </w:r>
          </w:p>
        </w:tc>
        <w:tc>
          <w:tcPr>
            <w:tcW w:w="6047" w:type="dxa"/>
            <w:vAlign w:val="top"/>
            <w:gridSpan w:val="3"/>
            <w:tcBorders>
              <w:top w:val="single" w:color="231F20" w:sz="2" w:space="0"/>
              <w:bottom w:val="single" w:color="231F20" w:sz="6" w:space="0"/>
            </w:tcBorders>
          </w:tcPr>
          <w:p>
            <w:pPr>
              <w:pStyle w:val="TableText"/>
              <w:ind w:left="1359"/>
              <w:spacing w:before="87" w:line="207" w:lineRule="auto"/>
              <w:rPr/>
            </w:pPr>
            <w:r>
              <w:rPr>
                <w:color w:val="231F20"/>
                <w:spacing w:val="-7"/>
              </w:rPr>
              <w:t>5.131</w:t>
            </w:r>
          </w:p>
          <w:p>
            <w:pPr>
              <w:pStyle w:val="TableText"/>
              <w:ind w:left="1197"/>
              <w:spacing w:before="90" w:line="199" w:lineRule="auto"/>
              <w:rPr/>
            </w:pPr>
            <w:r>
              <w:rPr>
                <w:color w:val="231F20"/>
                <w:spacing w:val="-4"/>
              </w:rPr>
              <w:t>&lt;</w:t>
            </w:r>
            <w:r>
              <w:rPr>
                <w:color w:val="231F20"/>
                <w:spacing w:val="-24"/>
              </w:rPr>
              <w:t xml:space="preserve"> </w:t>
            </w:r>
            <w:r>
              <w:rPr>
                <w:color w:val="231F20"/>
                <w:spacing w:val="-4"/>
              </w:rPr>
              <w:t>0.001</w:t>
            </w:r>
          </w:p>
        </w:tc>
      </w:tr>
    </w:tbl>
    <w:p>
      <w:pPr>
        <w:spacing w:line="14" w:lineRule="auto"/>
        <w:rPr>
          <w:rFonts w:ascii="Arial"/>
          <w:sz w:val="2"/>
        </w:rPr>
      </w:pPr>
      <w:r/>
    </w:p>
    <w:p>
      <w:pPr>
        <w:spacing w:line="14" w:lineRule="auto"/>
        <w:sectPr>
          <w:type w:val="continuous"/>
          <w:pgSz w:w="11905" w:h="16836"/>
          <w:pgMar w:top="1497" w:right="784" w:bottom="917" w:left="424" w:header="1046" w:footer="776" w:gutter="0"/>
          <w:cols w:equalWidth="0" w:num="1">
            <w:col w:w="10696" w:space="0"/>
          </w:cols>
        </w:sectPr>
        <w:rPr>
          <w:rFonts w:ascii="Arial" w:hAnsi="Arial" w:eastAsia="Arial" w:cs="Arial"/>
          <w:sz w:val="2"/>
          <w:szCs w:val="2"/>
        </w:rPr>
      </w:pPr>
    </w:p>
    <w:p>
      <w:pPr>
        <w:spacing w:line="184" w:lineRule="exact"/>
        <w:rPr/>
      </w:pPr>
      <w:r/>
    </w:p>
    <w:p>
      <w:pPr>
        <w:spacing w:line="184" w:lineRule="exact"/>
        <w:sectPr>
          <w:headerReference w:type="default" r:id="rId6"/>
          <w:footerReference w:type="default" r:id="rId7"/>
          <w:pgSz w:w="11905" w:h="16836"/>
          <w:pgMar w:top="1497" w:right="771" w:bottom="917" w:left="424" w:header="1136" w:footer="776" w:gutter="0"/>
          <w:cols w:equalWidth="0" w:num="1">
            <w:col w:w="10709" w:space="0"/>
          </w:cols>
        </w:sectPr>
        <w:rPr/>
      </w:pPr>
    </w:p>
    <w:p>
      <w:pPr>
        <w:pStyle w:val="BodyText"/>
        <w:ind w:left="4337"/>
        <w:spacing w:before="37" w:line="182" w:lineRule="auto"/>
        <w:outlineLvl w:val="2"/>
        <w:rPr>
          <w:sz w:val="17"/>
          <w:szCs w:val="17"/>
        </w:rPr>
      </w:pPr>
      <w:r>
        <w:rPr>
          <w:sz w:val="17"/>
          <w:szCs w:val="17"/>
          <w:color w:val="231F20"/>
          <w:spacing w:val="4"/>
        </w:rPr>
        <w:t>表 4</w:t>
      </w:r>
      <w:r>
        <w:rPr>
          <w:sz w:val="17"/>
          <w:szCs w:val="17"/>
          <w:color w:val="231F20"/>
          <w:spacing w:val="12"/>
          <w:w w:val="101"/>
        </w:rPr>
        <w:t xml:space="preserve">   </w:t>
      </w:r>
      <w:r>
        <w:rPr>
          <w:sz w:val="17"/>
          <w:szCs w:val="17"/>
          <w:color w:val="231F20"/>
          <w:spacing w:val="4"/>
        </w:rPr>
        <w:t>2 组并发症发生情况对比</w:t>
      </w:r>
    </w:p>
    <w:p>
      <w:pPr>
        <w:spacing w:line="14" w:lineRule="auto"/>
        <w:rPr>
          <w:rFonts w:ascii="Arial"/>
          <w:sz w:val="2"/>
        </w:rPr>
      </w:pPr>
      <w:r>
        <w:rPr>
          <w:rFonts w:ascii="Arial" w:hAnsi="Arial" w:eastAsia="Arial" w:cs="Arial"/>
          <w:sz w:val="2"/>
          <w:szCs w:val="2"/>
        </w:rPr>
        <w:br w:type="column"/>
      </w:r>
    </w:p>
    <w:p>
      <w:pPr>
        <w:pStyle w:val="BodyText"/>
        <w:spacing w:before="36" w:line="182" w:lineRule="auto"/>
        <w:rPr>
          <w:sz w:val="17"/>
          <w:szCs w:val="17"/>
        </w:rPr>
      </w:pPr>
      <w:r>
        <w:rPr>
          <w:sz w:val="17"/>
          <w:szCs w:val="17"/>
          <w:color w:val="231F20"/>
        </w:rPr>
        <w:t>单位</w:t>
      </w:r>
      <w:r>
        <w:rPr>
          <w:sz w:val="17"/>
          <w:szCs w:val="17"/>
          <w:color w:val="231F20"/>
          <w:spacing w:val="-13"/>
        </w:rPr>
        <w:t xml:space="preserve"> </w:t>
      </w:r>
      <w:r>
        <w:rPr>
          <w:sz w:val="17"/>
          <w:szCs w:val="17"/>
          <w:color w:val="231F20"/>
        </w:rPr>
        <w:t>：例（%）</w:t>
      </w:r>
    </w:p>
    <w:p>
      <w:pPr>
        <w:spacing w:line="182" w:lineRule="auto"/>
        <w:sectPr>
          <w:type w:val="continuous"/>
          <w:pgSz w:w="11905" w:h="16836"/>
          <w:pgMar w:top="1497" w:right="771" w:bottom="917" w:left="424" w:header="1136" w:footer="776" w:gutter="0"/>
          <w:cols w:equalWidth="0" w:num="2">
            <w:col w:w="9347" w:space="100"/>
            <w:col w:w="1262" w:space="0"/>
          </w:cols>
        </w:sectPr>
        <w:rPr>
          <w:sz w:val="17"/>
          <w:szCs w:val="17"/>
        </w:rPr>
      </w:pPr>
    </w:p>
    <w:p>
      <w:pPr>
        <w:spacing w:line="41" w:lineRule="exact"/>
        <w:rPr/>
      </w:pPr>
      <w:r/>
    </w:p>
    <w:tbl>
      <w:tblPr>
        <w:tblStyle w:val="TableNormal"/>
        <w:tblW w:w="10205" w:type="dxa"/>
        <w:tblInd w:w="42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54"/>
        <w:gridCol w:w="1371"/>
        <w:gridCol w:w="1455"/>
        <w:gridCol w:w="1674"/>
        <w:gridCol w:w="1328"/>
        <w:gridCol w:w="1427"/>
        <w:gridCol w:w="1496"/>
      </w:tblGrid>
      <w:tr>
        <w:trPr>
          <w:trHeight w:val="361" w:hRule="atLeast"/>
        </w:trPr>
        <w:tc>
          <w:tcPr>
            <w:tcW w:w="1454" w:type="dxa"/>
            <w:vAlign w:val="top"/>
            <w:tcBorders>
              <w:bottom w:val="single" w:color="231F20" w:sz="2" w:space="0"/>
              <w:top w:val="single" w:color="231F20" w:sz="6" w:space="0"/>
            </w:tcBorders>
          </w:tcPr>
          <w:p>
            <w:pPr>
              <w:pStyle w:val="TableText"/>
              <w:ind w:left="553"/>
              <w:spacing w:before="79" w:line="209" w:lineRule="auto"/>
              <w:rPr/>
            </w:pPr>
            <w:r>
              <w:rPr>
                <w:color w:val="231F20"/>
                <w:spacing w:val="6"/>
              </w:rPr>
              <w:t>组别</w:t>
            </w:r>
          </w:p>
        </w:tc>
        <w:tc>
          <w:tcPr>
            <w:tcW w:w="1371" w:type="dxa"/>
            <w:vAlign w:val="top"/>
            <w:tcBorders>
              <w:bottom w:val="single" w:color="231F20" w:sz="2" w:space="0"/>
              <w:top w:val="single" w:color="231F20" w:sz="6" w:space="0"/>
            </w:tcBorders>
          </w:tcPr>
          <w:p>
            <w:pPr>
              <w:pStyle w:val="TableText"/>
              <w:ind w:left="558"/>
              <w:spacing w:before="89" w:line="188" w:lineRule="auto"/>
              <w:rPr/>
            </w:pPr>
            <w:r>
              <w:rPr>
                <w:color w:val="231F20"/>
                <w:spacing w:val="6"/>
              </w:rPr>
              <w:t>例数</w:t>
            </w:r>
          </w:p>
        </w:tc>
        <w:tc>
          <w:tcPr>
            <w:tcW w:w="1455" w:type="dxa"/>
            <w:vAlign w:val="top"/>
            <w:tcBorders>
              <w:bottom w:val="single" w:color="231F20" w:sz="2" w:space="0"/>
              <w:top w:val="single" w:color="231F20" w:sz="6" w:space="0"/>
            </w:tcBorders>
          </w:tcPr>
          <w:p>
            <w:pPr>
              <w:pStyle w:val="TableText"/>
              <w:ind w:left="465"/>
              <w:spacing w:before="88" w:line="188" w:lineRule="auto"/>
              <w:rPr/>
            </w:pPr>
            <w:r>
              <w:rPr>
                <w:color w:val="231F20"/>
                <w:spacing w:val="7"/>
              </w:rPr>
              <w:t>切口感染</w:t>
            </w:r>
          </w:p>
        </w:tc>
        <w:tc>
          <w:tcPr>
            <w:tcW w:w="1674" w:type="dxa"/>
            <w:vAlign w:val="top"/>
            <w:tcBorders>
              <w:bottom w:val="single" w:color="231F20" w:sz="2" w:space="0"/>
              <w:top w:val="single" w:color="231F20" w:sz="6" w:space="0"/>
            </w:tcBorders>
          </w:tcPr>
          <w:p>
            <w:pPr>
              <w:pStyle w:val="TableText"/>
              <w:ind w:left="289"/>
              <w:spacing w:before="88" w:line="201" w:lineRule="auto"/>
              <w:rPr/>
            </w:pPr>
            <w:r>
              <w:rPr>
                <w:color w:val="231F20"/>
                <w:spacing w:val="7"/>
              </w:rPr>
              <w:t>粘连性肠梗阻</w:t>
            </w:r>
          </w:p>
        </w:tc>
        <w:tc>
          <w:tcPr>
            <w:tcW w:w="1328" w:type="dxa"/>
            <w:vAlign w:val="top"/>
            <w:tcBorders>
              <w:bottom w:val="single" w:color="231F20" w:sz="2" w:space="0"/>
              <w:top w:val="single" w:color="231F20" w:sz="6" w:space="0"/>
            </w:tcBorders>
          </w:tcPr>
          <w:p>
            <w:pPr>
              <w:pStyle w:val="TableText"/>
              <w:ind w:left="430"/>
              <w:spacing w:before="89" w:line="187" w:lineRule="auto"/>
              <w:rPr/>
            </w:pPr>
            <w:r>
              <w:rPr>
                <w:color w:val="231F20"/>
                <w:spacing w:val="7"/>
              </w:rPr>
              <w:t>腹痛</w:t>
            </w:r>
          </w:p>
        </w:tc>
        <w:tc>
          <w:tcPr>
            <w:tcW w:w="1427" w:type="dxa"/>
            <w:vAlign w:val="top"/>
            <w:tcBorders>
              <w:bottom w:val="single" w:color="231F20" w:sz="2" w:space="0"/>
              <w:top w:val="single" w:color="231F20" w:sz="6" w:space="0"/>
            </w:tcBorders>
          </w:tcPr>
          <w:p>
            <w:pPr>
              <w:pStyle w:val="TableText"/>
              <w:ind w:left="559"/>
              <w:spacing w:before="88" w:line="187" w:lineRule="auto"/>
              <w:rPr/>
            </w:pPr>
            <w:r>
              <w:rPr>
                <w:color w:val="231F20"/>
                <w:spacing w:val="7"/>
              </w:rPr>
              <w:t>粪漏</w:t>
            </w:r>
          </w:p>
        </w:tc>
        <w:tc>
          <w:tcPr>
            <w:tcW w:w="1496" w:type="dxa"/>
            <w:vAlign w:val="top"/>
            <w:tcBorders>
              <w:bottom w:val="single" w:color="231F20" w:sz="2" w:space="0"/>
              <w:top w:val="single" w:color="231F20" w:sz="6" w:space="0"/>
            </w:tcBorders>
          </w:tcPr>
          <w:p>
            <w:pPr>
              <w:pStyle w:val="TableText"/>
              <w:ind w:left="508"/>
              <w:spacing w:before="79" w:line="209" w:lineRule="auto"/>
              <w:rPr/>
            </w:pPr>
            <w:r>
              <w:rPr>
                <w:color w:val="231F20"/>
                <w:spacing w:val="5"/>
              </w:rPr>
              <w:t>总发生</w:t>
            </w:r>
          </w:p>
        </w:tc>
      </w:tr>
      <w:tr>
        <w:trPr>
          <w:trHeight w:val="359" w:hRule="atLeast"/>
        </w:trPr>
        <w:tc>
          <w:tcPr>
            <w:tcW w:w="1454" w:type="dxa"/>
            <w:vAlign w:val="top"/>
            <w:tcBorders>
              <w:top w:val="single" w:color="231F20" w:sz="2" w:space="0"/>
            </w:tcBorders>
          </w:tcPr>
          <w:p>
            <w:pPr>
              <w:pStyle w:val="TableText"/>
              <w:ind w:left="568"/>
              <w:spacing w:before="93" w:line="194" w:lineRule="auto"/>
              <w:rPr/>
            </w:pPr>
            <w:r>
              <w:rPr>
                <w:color w:val="231F20"/>
                <w:spacing w:val="-1"/>
              </w:rPr>
              <w:t>B 组</w:t>
            </w:r>
          </w:p>
        </w:tc>
        <w:tc>
          <w:tcPr>
            <w:tcW w:w="1371" w:type="dxa"/>
            <w:vAlign w:val="top"/>
            <w:tcBorders>
              <w:top w:val="single" w:color="231F20" w:sz="2" w:space="0"/>
            </w:tcBorders>
          </w:tcPr>
          <w:p>
            <w:pPr>
              <w:pStyle w:val="TableText"/>
              <w:ind w:left="650"/>
              <w:spacing w:before="92" w:line="207" w:lineRule="auto"/>
              <w:rPr/>
            </w:pPr>
            <w:r>
              <w:rPr>
                <w:color w:val="231F20"/>
                <w:spacing w:val="-10"/>
              </w:rPr>
              <w:t>30</w:t>
            </w:r>
          </w:p>
        </w:tc>
        <w:tc>
          <w:tcPr>
            <w:tcW w:w="1455" w:type="dxa"/>
            <w:vAlign w:val="top"/>
            <w:tcBorders>
              <w:top w:val="single" w:color="231F20" w:sz="2" w:space="0"/>
            </w:tcBorders>
          </w:tcPr>
          <w:p>
            <w:pPr>
              <w:pStyle w:val="TableText"/>
              <w:ind w:left="549"/>
              <w:spacing w:before="93" w:line="184" w:lineRule="auto"/>
              <w:rPr/>
            </w:pPr>
            <w:r>
              <w:rPr>
                <w:color w:val="231F20"/>
                <w:spacing w:val="-20"/>
              </w:rPr>
              <w:t>1（3.33）</w:t>
            </w:r>
          </w:p>
        </w:tc>
        <w:tc>
          <w:tcPr>
            <w:tcW w:w="1674" w:type="dxa"/>
            <w:vAlign w:val="top"/>
            <w:tcBorders>
              <w:top w:val="single" w:color="231F20" w:sz="2" w:space="0"/>
            </w:tcBorders>
          </w:tcPr>
          <w:p>
            <w:pPr>
              <w:pStyle w:val="TableText"/>
              <w:ind w:left="647"/>
              <w:spacing w:before="93" w:line="184" w:lineRule="auto"/>
              <w:rPr/>
            </w:pPr>
            <w:r>
              <w:rPr>
                <w:color w:val="231F20"/>
                <w:spacing w:val="-21"/>
                <w:w w:val="95"/>
              </w:rPr>
              <w:t>0（0）</w:t>
            </w:r>
          </w:p>
        </w:tc>
        <w:tc>
          <w:tcPr>
            <w:tcW w:w="1328" w:type="dxa"/>
            <w:vAlign w:val="top"/>
            <w:tcBorders>
              <w:top w:val="single" w:color="231F20" w:sz="2" w:space="0"/>
            </w:tcBorders>
          </w:tcPr>
          <w:p>
            <w:pPr>
              <w:pStyle w:val="TableText"/>
              <w:ind w:left="321"/>
              <w:spacing w:before="93" w:line="184" w:lineRule="auto"/>
              <w:rPr/>
            </w:pPr>
            <w:r>
              <w:rPr>
                <w:color w:val="231F20"/>
                <w:spacing w:val="-18"/>
              </w:rPr>
              <w:t>2（6.67）</w:t>
            </w:r>
          </w:p>
        </w:tc>
        <w:tc>
          <w:tcPr>
            <w:tcW w:w="1427" w:type="dxa"/>
            <w:vAlign w:val="top"/>
            <w:tcBorders>
              <w:top w:val="single" w:color="231F20" w:sz="2" w:space="0"/>
            </w:tcBorders>
          </w:tcPr>
          <w:p>
            <w:pPr>
              <w:pStyle w:val="TableText"/>
              <w:ind w:left="465"/>
              <w:spacing w:before="93" w:line="184" w:lineRule="auto"/>
              <w:rPr/>
            </w:pPr>
            <w:r>
              <w:rPr>
                <w:color w:val="231F20"/>
                <w:spacing w:val="-20"/>
              </w:rPr>
              <w:t>1（3.33）</w:t>
            </w:r>
          </w:p>
        </w:tc>
        <w:tc>
          <w:tcPr>
            <w:tcW w:w="1496" w:type="dxa"/>
            <w:vAlign w:val="top"/>
            <w:tcBorders>
              <w:top w:val="single" w:color="231F20" w:sz="2" w:space="0"/>
            </w:tcBorders>
          </w:tcPr>
          <w:p>
            <w:pPr>
              <w:pStyle w:val="TableText"/>
              <w:ind w:left="434"/>
              <w:spacing w:before="93" w:line="184" w:lineRule="auto"/>
              <w:rPr/>
            </w:pPr>
            <w:r>
              <w:rPr>
                <w:color w:val="231F20"/>
                <w:spacing w:val="-17"/>
              </w:rPr>
              <w:t>4（13.33）</w:t>
            </w:r>
          </w:p>
        </w:tc>
      </w:tr>
      <w:tr>
        <w:trPr>
          <w:trHeight w:val="370" w:hRule="atLeast"/>
        </w:trPr>
        <w:tc>
          <w:tcPr>
            <w:tcW w:w="1454" w:type="dxa"/>
            <w:vAlign w:val="top"/>
            <w:tcBorders>
              <w:bottom w:val="single" w:color="231F20" w:sz="2" w:space="0"/>
            </w:tcBorders>
          </w:tcPr>
          <w:p>
            <w:pPr>
              <w:pStyle w:val="TableText"/>
              <w:ind w:left="561"/>
              <w:spacing w:before="104" w:line="194" w:lineRule="auto"/>
              <w:rPr/>
            </w:pPr>
            <w:r>
              <w:rPr>
                <w:color w:val="231F20"/>
                <w:spacing w:val="-1"/>
              </w:rPr>
              <w:t>A 组</w:t>
            </w:r>
          </w:p>
        </w:tc>
        <w:tc>
          <w:tcPr>
            <w:tcW w:w="1371" w:type="dxa"/>
            <w:vAlign w:val="top"/>
            <w:tcBorders>
              <w:bottom w:val="single" w:color="231F20" w:sz="2" w:space="0"/>
            </w:tcBorders>
          </w:tcPr>
          <w:p>
            <w:pPr>
              <w:pStyle w:val="TableText"/>
              <w:ind w:left="650"/>
              <w:spacing w:before="104" w:line="207" w:lineRule="auto"/>
              <w:rPr/>
            </w:pPr>
            <w:r>
              <w:rPr>
                <w:color w:val="231F20"/>
                <w:spacing w:val="-10"/>
              </w:rPr>
              <w:t>30</w:t>
            </w:r>
          </w:p>
        </w:tc>
        <w:tc>
          <w:tcPr>
            <w:tcW w:w="1455" w:type="dxa"/>
            <w:vAlign w:val="top"/>
            <w:tcBorders>
              <w:bottom w:val="single" w:color="231F20" w:sz="2" w:space="0"/>
            </w:tcBorders>
          </w:tcPr>
          <w:p>
            <w:pPr>
              <w:pStyle w:val="TableText"/>
              <w:ind w:left="644"/>
              <w:spacing w:before="104" w:line="184" w:lineRule="auto"/>
              <w:rPr/>
            </w:pPr>
            <w:r>
              <w:rPr>
                <w:color w:val="231F20"/>
                <w:spacing w:val="-21"/>
                <w:w w:val="95"/>
              </w:rPr>
              <w:t>0（0）</w:t>
            </w:r>
          </w:p>
        </w:tc>
        <w:tc>
          <w:tcPr>
            <w:tcW w:w="1674" w:type="dxa"/>
            <w:vAlign w:val="top"/>
            <w:tcBorders>
              <w:bottom w:val="single" w:color="231F20" w:sz="2" w:space="0"/>
            </w:tcBorders>
          </w:tcPr>
          <w:p>
            <w:pPr>
              <w:pStyle w:val="TableText"/>
              <w:ind w:left="552"/>
              <w:spacing w:before="104" w:line="184" w:lineRule="auto"/>
              <w:rPr/>
            </w:pPr>
            <w:r>
              <w:rPr>
                <w:color w:val="231F20"/>
                <w:spacing w:val="-20"/>
              </w:rPr>
              <w:t>1（3.33）</w:t>
            </w:r>
          </w:p>
        </w:tc>
        <w:tc>
          <w:tcPr>
            <w:tcW w:w="1328" w:type="dxa"/>
            <w:vAlign w:val="top"/>
            <w:tcBorders>
              <w:bottom w:val="single" w:color="231F20" w:sz="2" w:space="0"/>
            </w:tcBorders>
          </w:tcPr>
          <w:p>
            <w:pPr>
              <w:pStyle w:val="TableText"/>
              <w:ind w:left="431"/>
              <w:spacing w:before="104" w:line="184" w:lineRule="auto"/>
              <w:rPr/>
            </w:pPr>
            <w:r>
              <w:rPr>
                <w:color w:val="231F20"/>
                <w:spacing w:val="-21"/>
                <w:w w:val="95"/>
              </w:rPr>
              <w:t>0（0）</w:t>
            </w:r>
          </w:p>
        </w:tc>
        <w:tc>
          <w:tcPr>
            <w:tcW w:w="1427" w:type="dxa"/>
            <w:vAlign w:val="top"/>
            <w:tcBorders>
              <w:bottom w:val="single" w:color="231F20" w:sz="2" w:space="0"/>
            </w:tcBorders>
          </w:tcPr>
          <w:p>
            <w:pPr>
              <w:pStyle w:val="TableText"/>
              <w:ind w:left="466"/>
              <w:spacing w:before="104" w:line="184" w:lineRule="auto"/>
              <w:rPr/>
            </w:pPr>
            <w:r>
              <w:rPr>
                <w:color w:val="231F20"/>
                <w:spacing w:val="-20"/>
              </w:rPr>
              <w:t>1（3.33）</w:t>
            </w:r>
          </w:p>
        </w:tc>
        <w:tc>
          <w:tcPr>
            <w:tcW w:w="1496" w:type="dxa"/>
            <w:vAlign w:val="top"/>
            <w:tcBorders>
              <w:bottom w:val="single" w:color="231F20" w:sz="2" w:space="0"/>
            </w:tcBorders>
          </w:tcPr>
          <w:p>
            <w:pPr>
              <w:pStyle w:val="TableText"/>
              <w:ind w:left="482"/>
              <w:spacing w:before="104" w:line="184" w:lineRule="auto"/>
              <w:rPr/>
            </w:pPr>
            <w:r>
              <w:rPr>
                <w:color w:val="231F20"/>
                <w:spacing w:val="-18"/>
              </w:rPr>
              <w:t>2（6.67）</w:t>
            </w:r>
          </w:p>
        </w:tc>
      </w:tr>
      <w:tr>
        <w:trPr>
          <w:trHeight w:val="738" w:hRule="atLeast"/>
        </w:trPr>
        <w:tc>
          <w:tcPr>
            <w:tcW w:w="1454" w:type="dxa"/>
            <w:vAlign w:val="top"/>
            <w:tcBorders>
              <w:top w:val="single" w:color="231F20" w:sz="2" w:space="0"/>
              <w:bottom w:val="single" w:color="231F20" w:sz="6" w:space="0"/>
            </w:tcBorders>
          </w:tcPr>
          <w:p>
            <w:pPr>
              <w:pStyle w:val="TableText"/>
              <w:ind w:left="523"/>
              <w:spacing w:before="98" w:line="191" w:lineRule="auto"/>
              <w:rPr/>
            </w:pPr>
            <w:r>
              <w:rPr>
                <w:rFonts w:ascii="Arial" w:hAnsi="Arial" w:eastAsia="Arial" w:cs="Arial"/>
                <w:color w:val="231F20"/>
                <w:spacing w:val="4"/>
                <w:position w:val="-1"/>
              </w:rPr>
              <w:t>χ</w:t>
            </w:r>
            <w:r>
              <w:rPr>
                <w:sz w:val="10"/>
                <w:szCs w:val="10"/>
                <w:color w:val="231F20"/>
                <w:spacing w:val="4"/>
                <w:position w:val="5"/>
              </w:rPr>
              <w:t>2</w:t>
            </w:r>
            <w:r>
              <w:rPr>
                <w:sz w:val="10"/>
                <w:szCs w:val="10"/>
                <w:color w:val="231F20"/>
                <w:spacing w:val="13"/>
                <w:position w:val="5"/>
              </w:rPr>
              <w:t xml:space="preserve"> </w:t>
            </w:r>
            <w:r>
              <w:rPr>
                <w:color w:val="231F20"/>
                <w:spacing w:val="4"/>
                <w:position w:val="-1"/>
              </w:rPr>
              <w:t>值</w:t>
            </w:r>
          </w:p>
          <w:p>
            <w:pPr>
              <w:pStyle w:val="TableText"/>
              <w:ind w:left="566"/>
              <w:spacing w:before="138" w:line="188" w:lineRule="auto"/>
              <w:rPr/>
            </w:pPr>
            <w:r>
              <w:rPr>
                <w:rFonts w:ascii="Arial" w:hAnsi="Arial" w:eastAsia="Arial" w:cs="Arial"/>
                <w:color w:val="231F20"/>
                <w:spacing w:val="18"/>
              </w:rPr>
              <w:t>P</w:t>
            </w:r>
            <w:r>
              <w:rPr>
                <w:color w:val="231F20"/>
                <w:spacing w:val="18"/>
              </w:rPr>
              <w:t>值</w:t>
            </w:r>
          </w:p>
        </w:tc>
        <w:tc>
          <w:tcPr>
            <w:tcW w:w="8751" w:type="dxa"/>
            <w:vAlign w:val="top"/>
            <w:gridSpan w:val="6"/>
            <w:tcBorders>
              <w:top w:val="single" w:color="231F20" w:sz="2" w:space="0"/>
              <w:bottom w:val="single" w:color="231F20" w:sz="6" w:space="0"/>
            </w:tcBorders>
          </w:tcPr>
          <w:p>
            <w:pPr>
              <w:pStyle w:val="TableText"/>
              <w:ind w:left="7825"/>
              <w:spacing w:before="98" w:line="207" w:lineRule="auto"/>
              <w:rPr/>
            </w:pPr>
            <w:r>
              <w:rPr>
                <w:color w:val="231F20"/>
                <w:spacing w:val="-7"/>
              </w:rPr>
              <w:t>0.185</w:t>
            </w:r>
          </w:p>
          <w:p>
            <w:pPr>
              <w:pStyle w:val="TableText"/>
              <w:ind w:left="7825"/>
              <w:spacing w:before="118" w:line="207" w:lineRule="auto"/>
              <w:rPr/>
            </w:pPr>
            <w:r>
              <w:rPr>
                <w:color w:val="231F20"/>
                <w:spacing w:val="-7"/>
              </w:rPr>
              <w:t>0.667</w:t>
            </w:r>
          </w:p>
        </w:tc>
      </w:tr>
    </w:tbl>
    <w:p>
      <w:pPr>
        <w:spacing w:line="73" w:lineRule="exact"/>
        <w:rPr>
          <w:rFonts w:ascii="Arial"/>
          <w:sz w:val="6"/>
        </w:rPr>
      </w:pPr>
      <w:r/>
    </w:p>
    <w:p>
      <w:pPr>
        <w:spacing w:line="73" w:lineRule="exact"/>
        <w:sectPr>
          <w:type w:val="continuous"/>
          <w:pgSz w:w="11905" w:h="16836"/>
          <w:pgMar w:top="1497" w:right="771" w:bottom="917" w:left="424" w:header="1136" w:footer="776" w:gutter="0"/>
          <w:cols w:equalWidth="0" w:num="1">
            <w:col w:w="10709" w:space="0"/>
          </w:cols>
        </w:sectPr>
        <w:rPr>
          <w:rFonts w:ascii="Arial" w:hAnsi="Arial" w:eastAsia="Arial" w:cs="Arial"/>
          <w:sz w:val="6"/>
          <w:szCs w:val="6"/>
        </w:rPr>
      </w:pPr>
    </w:p>
    <w:p>
      <w:pPr>
        <w:pStyle w:val="BodyText"/>
        <w:ind w:left="429" w:right="257" w:firstLine="1"/>
        <w:spacing w:before="54" w:line="222" w:lineRule="auto"/>
        <w:jc w:val="both"/>
        <w:rPr/>
      </w:pPr>
      <w:r>
        <w:rPr>
          <w:color w:val="231F20"/>
          <w:spacing w:val="12"/>
        </w:rPr>
        <w:t>尾炎切除术成功与否的重要因素</w:t>
      </w:r>
      <w:r>
        <w:rPr>
          <w:color w:val="231F20"/>
          <w:spacing w:val="-18"/>
        </w:rPr>
        <w:t xml:space="preserve"> </w:t>
      </w:r>
      <w:r>
        <w:rPr>
          <w:color w:val="231F20"/>
          <w:spacing w:val="12"/>
        </w:rPr>
        <w:t>。患者极易于术后发</w:t>
      </w:r>
      <w:r>
        <w:rPr>
          <w:color w:val="231F20"/>
        </w:rPr>
        <w:t xml:space="preserve"> </w:t>
      </w:r>
      <w:r>
        <w:rPr>
          <w:color w:val="231F20"/>
          <w:spacing w:val="11"/>
        </w:rPr>
        <w:t>生粪漏</w:t>
      </w:r>
      <w:r>
        <w:rPr>
          <w:color w:val="231F20"/>
          <w:spacing w:val="-34"/>
        </w:rPr>
        <w:t xml:space="preserve"> </w:t>
      </w:r>
      <w:r>
        <w:rPr>
          <w:color w:val="231F20"/>
          <w:spacing w:val="11"/>
        </w:rPr>
        <w:t>、腹痛等多种并发症</w:t>
      </w:r>
      <w:r>
        <w:rPr>
          <w:color w:val="231F20"/>
          <w:spacing w:val="-19"/>
        </w:rPr>
        <w:t xml:space="preserve"> </w:t>
      </w:r>
      <w:r>
        <w:rPr>
          <w:color w:val="231F20"/>
          <w:spacing w:val="11"/>
        </w:rPr>
        <w:t>，部分严重者需行二次手</w:t>
      </w:r>
      <w:r>
        <w:rPr>
          <w:color w:val="231F20"/>
        </w:rPr>
        <w:t xml:space="preserve"> </w:t>
      </w:r>
      <w:r>
        <w:rPr>
          <w:color w:val="231F20"/>
          <w:spacing w:val="12"/>
        </w:rPr>
        <w:t>术</w:t>
      </w:r>
      <w:r>
        <w:rPr>
          <w:color w:val="231F20"/>
          <w:spacing w:val="3"/>
        </w:rPr>
        <w:t xml:space="preserve"> </w:t>
      </w:r>
      <w:r>
        <w:rPr>
          <w:color w:val="231F20"/>
          <w:spacing w:val="12"/>
        </w:rPr>
        <w:t>，严重降低患者手术治疗获益</w:t>
      </w:r>
      <w:r>
        <w:rPr>
          <w:sz w:val="11"/>
          <w:szCs w:val="11"/>
          <w:color w:val="231F20"/>
          <w:spacing w:val="12"/>
          <w:position w:val="7"/>
        </w:rPr>
        <w:t>[9]</w:t>
      </w:r>
      <w:r>
        <w:rPr>
          <w:sz w:val="11"/>
          <w:szCs w:val="11"/>
          <w:color w:val="231F20"/>
          <w:spacing w:val="-14"/>
          <w:position w:val="7"/>
        </w:rPr>
        <w:t xml:space="preserve"> </w:t>
      </w:r>
      <w:r>
        <w:rPr>
          <w:color w:val="231F20"/>
          <w:spacing w:val="12"/>
        </w:rPr>
        <w:t>。临床需重点关注</w:t>
      </w:r>
      <w:r>
        <w:rPr>
          <w:color w:val="231F20"/>
        </w:rPr>
        <w:t xml:space="preserve"> </w:t>
      </w:r>
      <w:r>
        <w:rPr>
          <w:color w:val="231F20"/>
          <w:spacing w:val="12"/>
        </w:rPr>
        <w:t>腹腔镜阑尾切除术患者阑尾残端处理情况，</w:t>
      </w:r>
      <w:r>
        <w:rPr>
          <w:color w:val="231F20"/>
          <w:spacing w:val="-17"/>
        </w:rPr>
        <w:t xml:space="preserve"> </w:t>
      </w:r>
      <w:r>
        <w:rPr>
          <w:color w:val="231F20"/>
          <w:spacing w:val="12"/>
        </w:rPr>
        <w:t>确保患者</w:t>
      </w:r>
      <w:r>
        <w:rPr>
          <w:color w:val="231F20"/>
        </w:rPr>
        <w:t xml:space="preserve"> </w:t>
      </w:r>
      <w:r>
        <w:rPr>
          <w:color w:val="231F20"/>
          <w:spacing w:val="7"/>
        </w:rPr>
        <w:t>手术顺利实施。</w:t>
      </w:r>
    </w:p>
    <w:p>
      <w:pPr>
        <w:pStyle w:val="BodyText"/>
        <w:ind w:left="430" w:right="182" w:firstLine="459"/>
        <w:spacing w:before="12" w:line="223" w:lineRule="auto"/>
        <w:jc w:val="both"/>
        <w:rPr/>
      </w:pPr>
      <w:r>
        <w:rPr>
          <w:color w:val="231F20"/>
          <w:spacing w:val="12"/>
        </w:rPr>
        <w:t>目前</w:t>
      </w:r>
      <w:r>
        <w:rPr>
          <w:color w:val="231F20"/>
          <w:spacing w:val="1"/>
        </w:rPr>
        <w:t xml:space="preserve"> </w:t>
      </w:r>
      <w:r>
        <w:rPr>
          <w:color w:val="231F20"/>
          <w:spacing w:val="12"/>
        </w:rPr>
        <w:t>，</w:t>
      </w:r>
      <w:r>
        <w:rPr>
          <w:color w:val="231F20"/>
          <w:spacing w:val="-37"/>
        </w:rPr>
        <w:t xml:space="preserve"> </w:t>
      </w:r>
      <w:r>
        <w:rPr>
          <w:color w:val="231F20"/>
          <w:spacing w:val="12"/>
        </w:rPr>
        <w:t>常规阑尾残端处理方法主要包括夹闭法、</w:t>
      </w:r>
      <w:r>
        <w:rPr>
          <w:color w:val="231F20"/>
        </w:rPr>
        <w:t xml:space="preserve"> </w:t>
      </w:r>
      <w:r>
        <w:rPr>
          <w:color w:val="231F20"/>
          <w:spacing w:val="10"/>
        </w:rPr>
        <w:t>荷包缝合法</w:t>
      </w:r>
      <w:r>
        <w:rPr>
          <w:color w:val="231F20"/>
          <w:spacing w:val="-13"/>
        </w:rPr>
        <w:t xml:space="preserve"> </w:t>
      </w:r>
      <w:r>
        <w:rPr>
          <w:color w:val="231F20"/>
          <w:spacing w:val="10"/>
        </w:rPr>
        <w:t>。荷包缝合法是经典方法</w:t>
      </w:r>
      <w:r>
        <w:rPr>
          <w:color w:val="231F20"/>
          <w:spacing w:val="-17"/>
        </w:rPr>
        <w:t xml:space="preserve"> </w:t>
      </w:r>
      <w:r>
        <w:rPr>
          <w:color w:val="231F20"/>
          <w:spacing w:val="10"/>
        </w:rPr>
        <w:t>，常用于疽累及</w:t>
      </w:r>
      <w:r>
        <w:rPr>
          <w:color w:val="231F20"/>
        </w:rPr>
        <w:t xml:space="preserve">  </w:t>
      </w:r>
      <w:r>
        <w:rPr>
          <w:color w:val="231F20"/>
          <w:spacing w:val="10"/>
        </w:rPr>
        <w:t>阑尾根部情况</w:t>
      </w:r>
      <w:r>
        <w:rPr>
          <w:color w:val="231F20"/>
          <w:spacing w:val="-13"/>
        </w:rPr>
        <w:t xml:space="preserve"> </w:t>
      </w:r>
      <w:r>
        <w:rPr>
          <w:color w:val="231F20"/>
          <w:spacing w:val="10"/>
        </w:rPr>
        <w:t>，术中修剪操作较多</w:t>
      </w:r>
      <w:r>
        <w:rPr>
          <w:color w:val="231F20"/>
          <w:spacing w:val="-17"/>
        </w:rPr>
        <w:t xml:space="preserve"> </w:t>
      </w:r>
      <w:r>
        <w:rPr>
          <w:color w:val="231F20"/>
          <w:spacing w:val="10"/>
        </w:rPr>
        <w:t>，可在一定程度上</w:t>
      </w:r>
      <w:r>
        <w:rPr>
          <w:color w:val="231F20"/>
        </w:rPr>
        <w:t xml:space="preserve">  </w:t>
      </w:r>
      <w:r>
        <w:rPr>
          <w:color w:val="231F20"/>
          <w:spacing w:val="12"/>
        </w:rPr>
        <w:t>降低肠粘连以及阑尾残株炎风险</w:t>
      </w:r>
      <w:r>
        <w:rPr>
          <w:color w:val="231F20"/>
          <w:spacing w:val="-17"/>
        </w:rPr>
        <w:t xml:space="preserve"> </w:t>
      </w:r>
      <w:r>
        <w:rPr>
          <w:color w:val="231F20"/>
          <w:spacing w:val="12"/>
        </w:rPr>
        <w:t>。荷包缝合法操作复</w:t>
      </w:r>
      <w:r>
        <w:rPr>
          <w:color w:val="231F20"/>
        </w:rPr>
        <w:t xml:space="preserve">  </w:t>
      </w:r>
      <w:r>
        <w:rPr>
          <w:color w:val="231F20"/>
          <w:spacing w:val="11"/>
        </w:rPr>
        <w:t>杂，</w:t>
      </w:r>
      <w:r>
        <w:rPr>
          <w:color w:val="231F20"/>
          <w:spacing w:val="-24"/>
        </w:rPr>
        <w:t xml:space="preserve"> </w:t>
      </w:r>
      <w:r>
        <w:rPr>
          <w:color w:val="231F20"/>
          <w:spacing w:val="11"/>
        </w:rPr>
        <w:t>对手术医师的操作水平要求严格</w:t>
      </w:r>
      <w:r>
        <w:rPr>
          <w:color w:val="231F20"/>
          <w:spacing w:val="-29"/>
        </w:rPr>
        <w:t xml:space="preserve"> </w:t>
      </w:r>
      <w:r>
        <w:rPr>
          <w:color w:val="231F20"/>
          <w:spacing w:val="11"/>
        </w:rPr>
        <w:t>。夹闭法直接夹</w:t>
      </w:r>
      <w:r>
        <w:rPr>
          <w:color w:val="231F20"/>
        </w:rPr>
        <w:t xml:space="preserve">  </w:t>
      </w:r>
      <w:r>
        <w:rPr>
          <w:color w:val="231F20"/>
          <w:spacing w:val="10"/>
        </w:rPr>
        <w:t>闭患者阑尾残端</w:t>
      </w:r>
      <w:r>
        <w:rPr>
          <w:color w:val="231F20"/>
          <w:spacing w:val="-13"/>
        </w:rPr>
        <w:t xml:space="preserve"> </w:t>
      </w:r>
      <w:r>
        <w:rPr>
          <w:color w:val="231F20"/>
          <w:spacing w:val="10"/>
        </w:rPr>
        <w:t>，然后实施止血操作</w:t>
      </w:r>
      <w:r>
        <w:rPr>
          <w:color w:val="231F20"/>
          <w:spacing w:val="-17"/>
        </w:rPr>
        <w:t xml:space="preserve"> </w:t>
      </w:r>
      <w:r>
        <w:rPr>
          <w:color w:val="231F20"/>
          <w:spacing w:val="10"/>
        </w:rPr>
        <w:t>，手术操作较为</w:t>
      </w:r>
      <w:r>
        <w:rPr>
          <w:color w:val="231F20"/>
        </w:rPr>
        <w:t xml:space="preserve">  </w:t>
      </w:r>
      <w:r>
        <w:rPr>
          <w:color w:val="231F20"/>
          <w:spacing w:val="11"/>
        </w:rPr>
        <w:t>简单</w:t>
      </w:r>
      <w:r>
        <w:rPr>
          <w:color w:val="231F20"/>
          <w:spacing w:val="-13"/>
        </w:rPr>
        <w:t xml:space="preserve"> </w:t>
      </w:r>
      <w:r>
        <w:rPr>
          <w:color w:val="231F20"/>
          <w:spacing w:val="11"/>
        </w:rPr>
        <w:t>，但留置的钛夹会增加并发症发生风险</w:t>
      </w:r>
      <w:r>
        <w:rPr>
          <w:color w:val="231F20"/>
          <w:spacing w:val="-28"/>
        </w:rPr>
        <w:t xml:space="preserve"> </w:t>
      </w:r>
      <w:r>
        <w:rPr>
          <w:color w:val="231F20"/>
          <w:spacing w:val="11"/>
        </w:rPr>
        <w:t>。2 种阑</w:t>
      </w:r>
      <w:r>
        <w:rPr>
          <w:color w:val="231F20"/>
        </w:rPr>
        <w:t xml:space="preserve">  </w:t>
      </w:r>
      <w:r>
        <w:rPr>
          <w:color w:val="231F20"/>
          <w:spacing w:val="12"/>
        </w:rPr>
        <w:t>尾残端处理方式均可有效处理阑尾残端组织</w:t>
      </w:r>
      <w:r>
        <w:rPr>
          <w:color w:val="231F20"/>
          <w:spacing w:val="-17"/>
        </w:rPr>
        <w:t xml:space="preserve"> </w:t>
      </w:r>
      <w:r>
        <w:rPr>
          <w:color w:val="231F20"/>
          <w:spacing w:val="12"/>
        </w:rPr>
        <w:t>，但具体</w:t>
      </w:r>
      <w:r>
        <w:rPr>
          <w:color w:val="231F20"/>
        </w:rPr>
        <w:t xml:space="preserve">  </w:t>
      </w:r>
      <w:r>
        <w:rPr>
          <w:color w:val="231F20"/>
          <w:spacing w:val="6"/>
        </w:rPr>
        <w:t>优劣性临床尚未达成一致</w:t>
      </w:r>
      <w:r>
        <w:rPr>
          <w:color w:val="231F20"/>
          <w:spacing w:val="-6"/>
        </w:rPr>
        <w:t xml:space="preserve"> </w:t>
      </w:r>
      <w:r>
        <w:rPr>
          <w:color w:val="231F20"/>
          <w:spacing w:val="6"/>
        </w:rPr>
        <w:t>，需进一步比对。</w:t>
      </w:r>
    </w:p>
    <w:p>
      <w:pPr>
        <w:pStyle w:val="BodyText"/>
        <w:ind w:left="428" w:right="180" w:firstLine="420"/>
        <w:spacing w:before="12" w:line="222" w:lineRule="auto"/>
        <w:jc w:val="both"/>
        <w:rPr/>
      </w:pPr>
      <w:r>
        <w:rPr>
          <w:color w:val="231F20"/>
          <w:spacing w:val="11"/>
        </w:rPr>
        <w:t>本研究结果显示，</w:t>
      </w:r>
      <w:r>
        <w:rPr>
          <w:color w:val="231F20"/>
          <w:spacing w:val="-15"/>
        </w:rPr>
        <w:t xml:space="preserve"> </w:t>
      </w:r>
      <w:r>
        <w:rPr>
          <w:color w:val="231F20"/>
          <w:spacing w:val="11"/>
        </w:rPr>
        <w:t>B 组手术时间</w:t>
      </w:r>
      <w:r>
        <w:rPr>
          <w:color w:val="231F20"/>
          <w:spacing w:val="-31"/>
        </w:rPr>
        <w:t xml:space="preserve"> </w:t>
      </w:r>
      <w:r>
        <w:rPr>
          <w:color w:val="231F20"/>
          <w:spacing w:val="11"/>
        </w:rPr>
        <w:t>、住院时间短于</w:t>
      </w:r>
      <w:r>
        <w:rPr>
          <w:color w:val="231F20"/>
        </w:rPr>
        <w:t xml:space="preserve">  </w:t>
      </w:r>
      <w:r>
        <w:rPr>
          <w:color w:val="231F20"/>
          <w:spacing w:val="8"/>
        </w:rPr>
        <w:t>A 组，</w:t>
      </w:r>
      <w:r>
        <w:rPr>
          <w:color w:val="231F20"/>
          <w:spacing w:val="-25"/>
        </w:rPr>
        <w:t xml:space="preserve"> </w:t>
      </w:r>
      <w:r>
        <w:rPr>
          <w:color w:val="231F20"/>
          <w:spacing w:val="8"/>
        </w:rPr>
        <w:t>B 组术中出血量及住院费用少于 A 组，</w:t>
      </w:r>
      <w:r>
        <w:rPr>
          <w:color w:val="231F20"/>
          <w:spacing w:val="-26"/>
        </w:rPr>
        <w:t xml:space="preserve"> </w:t>
      </w:r>
      <w:r>
        <w:rPr>
          <w:color w:val="231F20"/>
          <w:spacing w:val="8"/>
        </w:rPr>
        <w:t>B 组肠</w:t>
      </w:r>
      <w:r>
        <w:rPr>
          <w:color w:val="231F20"/>
        </w:rPr>
        <w:t xml:space="preserve">  </w:t>
      </w:r>
      <w:r>
        <w:rPr>
          <w:color w:val="231F20"/>
          <w:spacing w:val="12"/>
        </w:rPr>
        <w:t>蠕动恢复</w:t>
      </w:r>
      <w:r>
        <w:rPr>
          <w:color w:val="231F20"/>
          <w:spacing w:val="-16"/>
        </w:rPr>
        <w:t xml:space="preserve"> </w:t>
      </w:r>
      <w:r>
        <w:rPr>
          <w:color w:val="231F20"/>
          <w:spacing w:val="12"/>
        </w:rPr>
        <w:t>、肛门首次排气以及肠鸣音首次出现时间均</w:t>
      </w:r>
      <w:r>
        <w:rPr>
          <w:color w:val="231F20"/>
        </w:rPr>
        <w:t xml:space="preserve">  </w:t>
      </w:r>
      <w:r>
        <w:rPr>
          <w:color w:val="231F20"/>
          <w:spacing w:val="2"/>
        </w:rPr>
        <w:t>短于 A 组</w:t>
      </w:r>
      <w:r>
        <w:rPr>
          <w:color w:val="231F20"/>
          <w:spacing w:val="-30"/>
        </w:rPr>
        <w:t xml:space="preserve"> </w:t>
      </w:r>
      <w:r>
        <w:rPr>
          <w:color w:val="231F20"/>
          <w:spacing w:val="2"/>
        </w:rPr>
        <w:t>（</w:t>
      </w:r>
      <w:r>
        <w:rPr>
          <w:rFonts w:ascii="Arial" w:hAnsi="Arial" w:eastAsia="Arial" w:cs="Arial"/>
          <w:color w:val="231F20"/>
          <w:spacing w:val="2"/>
        </w:rPr>
        <w:t>P</w:t>
      </w:r>
      <w:r>
        <w:rPr>
          <w:color w:val="231F20"/>
          <w:spacing w:val="2"/>
        </w:rPr>
        <w:t>＜0.05）。上述结果提示</w:t>
      </w:r>
      <w:r>
        <w:rPr>
          <w:color w:val="231F20"/>
          <w:spacing w:val="-17"/>
        </w:rPr>
        <w:t xml:space="preserve"> </w:t>
      </w:r>
      <w:r>
        <w:rPr>
          <w:color w:val="231F20"/>
          <w:spacing w:val="2"/>
        </w:rPr>
        <w:t>，相较于荷包缝</w:t>
      </w:r>
      <w:r>
        <w:rPr>
          <w:color w:val="231F20"/>
        </w:rPr>
        <w:t xml:space="preserve">  </w:t>
      </w:r>
      <w:r>
        <w:rPr>
          <w:color w:val="231F20"/>
          <w:spacing w:val="7"/>
        </w:rPr>
        <w:t>合法</w:t>
      </w:r>
      <w:r>
        <w:rPr>
          <w:color w:val="231F20"/>
          <w:spacing w:val="-11"/>
        </w:rPr>
        <w:t xml:space="preserve"> </w:t>
      </w:r>
      <w:r>
        <w:rPr>
          <w:color w:val="231F20"/>
          <w:spacing w:val="7"/>
        </w:rPr>
        <w:t>，</w:t>
      </w:r>
      <w:r>
        <w:rPr>
          <w:color w:val="231F20"/>
        </w:rPr>
        <w:t>Hemolok</w:t>
      </w:r>
      <w:r>
        <w:rPr>
          <w:color w:val="231F20"/>
          <w:spacing w:val="7"/>
        </w:rPr>
        <w:t xml:space="preserve"> 夹闭法有助于改善腹腔镜阑尾切除术</w:t>
      </w:r>
      <w:r>
        <w:rPr>
          <w:color w:val="231F20"/>
        </w:rPr>
        <w:t xml:space="preserve">  </w:t>
      </w:r>
      <w:r>
        <w:rPr>
          <w:color w:val="231F20"/>
          <w:spacing w:val="11"/>
        </w:rPr>
        <w:t>患者的手术指标</w:t>
      </w:r>
      <w:r>
        <w:rPr>
          <w:color w:val="231F20"/>
          <w:spacing w:val="-19"/>
        </w:rPr>
        <w:t xml:space="preserve"> </w:t>
      </w:r>
      <w:r>
        <w:rPr>
          <w:color w:val="231F20"/>
          <w:spacing w:val="11"/>
        </w:rPr>
        <w:t>，缩短术后胃肠功能恢复时间</w:t>
      </w:r>
      <w:r>
        <w:rPr>
          <w:color w:val="231F20"/>
          <w:spacing w:val="-30"/>
        </w:rPr>
        <w:t xml:space="preserve"> </w:t>
      </w:r>
      <w:r>
        <w:rPr>
          <w:color w:val="231F20"/>
          <w:spacing w:val="10"/>
        </w:rPr>
        <w:t>。荷包</w:t>
      </w:r>
      <w:r>
        <w:rPr>
          <w:color w:val="231F20"/>
        </w:rPr>
        <w:t xml:space="preserve">  </w:t>
      </w:r>
      <w:r>
        <w:rPr>
          <w:color w:val="231F20"/>
          <w:spacing w:val="10"/>
        </w:rPr>
        <w:t>缝合法采用“</w:t>
      </w:r>
      <w:r>
        <w:rPr>
          <w:color w:val="231F20"/>
          <w:spacing w:val="-31"/>
        </w:rPr>
        <w:t xml:space="preserve"> </w:t>
      </w:r>
      <w:r>
        <w:rPr>
          <w:color w:val="231F20"/>
          <w:spacing w:val="10"/>
        </w:rPr>
        <w:t>8</w:t>
      </w:r>
      <w:r>
        <w:rPr>
          <w:color w:val="231F20"/>
          <w:spacing w:val="-43"/>
        </w:rPr>
        <w:t xml:space="preserve"> </w:t>
      </w:r>
      <w:r>
        <w:rPr>
          <w:color w:val="231F20"/>
          <w:spacing w:val="10"/>
        </w:rPr>
        <w:t>”字缝合或间断缝合后再行</w:t>
      </w:r>
      <w:r>
        <w:rPr>
          <w:color w:val="231F20"/>
          <w:spacing w:val="9"/>
        </w:rPr>
        <w:t>荷包缝合，</w:t>
      </w:r>
      <w:r>
        <w:rPr>
          <w:color w:val="231F20"/>
        </w:rPr>
        <w:t xml:space="preserve"> </w:t>
      </w:r>
      <w:r>
        <w:rPr>
          <w:color w:val="231F20"/>
          <w:spacing w:val="14"/>
        </w:rPr>
        <w:t>涉及多种创伤性操作</w:t>
      </w:r>
      <w:r>
        <w:rPr>
          <w:color w:val="231F20"/>
          <w:spacing w:val="1"/>
        </w:rPr>
        <w:t xml:space="preserve"> </w:t>
      </w:r>
      <w:r>
        <w:rPr>
          <w:color w:val="231F20"/>
          <w:spacing w:val="14"/>
        </w:rPr>
        <w:t>，对患者阑尾组织的创伤较大，</w:t>
      </w:r>
      <w:r>
        <w:rPr>
          <w:color w:val="231F20"/>
        </w:rPr>
        <w:t xml:space="preserve"> </w:t>
      </w:r>
      <w:r>
        <w:rPr>
          <w:color w:val="231F20"/>
          <w:spacing w:val="10"/>
        </w:rPr>
        <w:t>术中出血量增加，</w:t>
      </w:r>
      <w:r>
        <w:rPr>
          <w:color w:val="231F20"/>
          <w:spacing w:val="-28"/>
        </w:rPr>
        <w:t xml:space="preserve"> </w:t>
      </w:r>
      <w:r>
        <w:rPr>
          <w:color w:val="231F20"/>
          <w:spacing w:val="10"/>
        </w:rPr>
        <w:t>延长患者术后恢复时间</w:t>
      </w:r>
      <w:r>
        <w:rPr>
          <w:color w:val="231F20"/>
          <w:spacing w:val="-28"/>
        </w:rPr>
        <w:t xml:space="preserve"> </w:t>
      </w:r>
      <w:r>
        <w:rPr>
          <w:color w:val="231F20"/>
          <w:spacing w:val="10"/>
        </w:rPr>
        <w:t>。有研究</w:t>
      </w:r>
      <w:r>
        <w:rPr>
          <w:sz w:val="11"/>
          <w:szCs w:val="11"/>
          <w:color w:val="231F20"/>
          <w:spacing w:val="10"/>
          <w:position w:val="7"/>
        </w:rPr>
        <w:t>[10]</w:t>
      </w:r>
      <w:r>
        <w:rPr>
          <w:sz w:val="11"/>
          <w:szCs w:val="11"/>
          <w:color w:val="231F20"/>
          <w:position w:val="7"/>
        </w:rPr>
        <w:t xml:space="preserve">   </w:t>
      </w:r>
      <w:r>
        <w:rPr>
          <w:color w:val="231F20"/>
          <w:spacing w:val="10"/>
        </w:rPr>
        <w:t>指出</w:t>
      </w:r>
      <w:r>
        <w:rPr>
          <w:color w:val="231F20"/>
          <w:spacing w:val="-12"/>
        </w:rPr>
        <w:t xml:space="preserve"> </w:t>
      </w:r>
      <w:r>
        <w:rPr>
          <w:color w:val="231F20"/>
          <w:spacing w:val="10"/>
        </w:rPr>
        <w:t>，荷包缝合法的操作难度较高</w:t>
      </w:r>
      <w:r>
        <w:rPr>
          <w:color w:val="231F20"/>
          <w:spacing w:val="-17"/>
        </w:rPr>
        <w:t xml:space="preserve"> </w:t>
      </w:r>
      <w:r>
        <w:rPr>
          <w:color w:val="231F20"/>
          <w:spacing w:val="10"/>
        </w:rPr>
        <w:t>，对手术医师专业</w:t>
      </w:r>
      <w:r>
        <w:rPr>
          <w:color w:val="231F20"/>
        </w:rPr>
        <w:t xml:space="preserve">  </w:t>
      </w:r>
      <w:r>
        <w:rPr>
          <w:color w:val="231F20"/>
          <w:spacing w:val="13"/>
        </w:rPr>
        <w:t>技术要求更为严格，</w:t>
      </w:r>
      <w:r>
        <w:rPr>
          <w:color w:val="231F20"/>
          <w:spacing w:val="-39"/>
        </w:rPr>
        <w:t xml:space="preserve"> </w:t>
      </w:r>
      <w:r>
        <w:rPr>
          <w:color w:val="231F20"/>
          <w:spacing w:val="13"/>
        </w:rPr>
        <w:t>且双重结扎过程会因患者阑尾组</w:t>
      </w:r>
      <w:r>
        <w:rPr>
          <w:color w:val="231F20"/>
        </w:rPr>
        <w:t xml:space="preserve">  </w:t>
      </w:r>
      <w:r>
        <w:rPr>
          <w:color w:val="231F20"/>
          <w:spacing w:val="8"/>
        </w:rPr>
        <w:t>织肿胀导致结扎不牢固，大幅增加术后并发症的发生。</w:t>
      </w:r>
      <w:r>
        <w:rPr>
          <w:color w:val="231F20"/>
          <w:spacing w:val="5"/>
        </w:rPr>
        <w:t xml:space="preserve"> </w:t>
      </w:r>
      <w:r>
        <w:rPr>
          <w:color w:val="231F20"/>
        </w:rPr>
        <w:t>Hemolok 夹闭法采用 Hemolok 夹直接夹闭患者阑</w:t>
      </w:r>
      <w:r>
        <w:rPr>
          <w:color w:val="231F20"/>
          <w:spacing w:val="-1"/>
        </w:rPr>
        <w:t>尾残</w:t>
      </w:r>
      <w:r>
        <w:rPr>
          <w:color w:val="231F20"/>
        </w:rPr>
        <w:t xml:space="preserve">  </w:t>
      </w:r>
      <w:r>
        <w:rPr>
          <w:color w:val="231F20"/>
          <w:spacing w:val="5"/>
        </w:rPr>
        <w:t>端</w:t>
      </w:r>
      <w:r>
        <w:rPr>
          <w:color w:val="231F20"/>
          <w:spacing w:val="-2"/>
        </w:rPr>
        <w:t xml:space="preserve"> </w:t>
      </w:r>
      <w:r>
        <w:rPr>
          <w:color w:val="231F20"/>
          <w:spacing w:val="5"/>
        </w:rPr>
        <w:t>，而后给予电刀凝结止血</w:t>
      </w:r>
      <w:r>
        <w:rPr>
          <w:color w:val="231F20"/>
          <w:spacing w:val="-28"/>
        </w:rPr>
        <w:t xml:space="preserve"> </w:t>
      </w:r>
      <w:r>
        <w:rPr>
          <w:color w:val="231F20"/>
          <w:spacing w:val="5"/>
        </w:rPr>
        <w:t>。</w:t>
      </w:r>
      <w:r>
        <w:rPr>
          <w:color w:val="231F20"/>
        </w:rPr>
        <w:t>Hemolok</w:t>
      </w:r>
      <w:r>
        <w:rPr>
          <w:color w:val="231F20"/>
          <w:spacing w:val="5"/>
        </w:rPr>
        <w:t xml:space="preserve"> 夹是一种带锁</w:t>
      </w:r>
    </w:p>
    <w:p>
      <w:pPr>
        <w:spacing w:line="14" w:lineRule="auto"/>
        <w:rPr>
          <w:rFonts w:ascii="Arial"/>
          <w:sz w:val="2"/>
        </w:rPr>
      </w:pPr>
      <w:r>
        <w:rPr>
          <w:rFonts w:ascii="Arial" w:hAnsi="Arial" w:eastAsia="Arial" w:cs="Arial"/>
          <w:sz w:val="2"/>
          <w:szCs w:val="2"/>
        </w:rPr>
        <w:br w:type="column"/>
      </w:r>
    </w:p>
    <w:p>
      <w:pPr>
        <w:pStyle w:val="BodyText"/>
        <w:ind w:right="12" w:firstLine="2"/>
        <w:spacing w:before="47" w:line="224" w:lineRule="auto"/>
        <w:jc w:val="both"/>
        <w:rPr/>
      </w:pPr>
      <w:r>
        <w:rPr>
          <w:color w:val="231F20"/>
          <w:spacing w:val="11"/>
        </w:rPr>
        <w:t>扣的塑料夹</w:t>
      </w:r>
      <w:r>
        <w:rPr>
          <w:color w:val="231F20"/>
          <w:spacing w:val="-20"/>
        </w:rPr>
        <w:t xml:space="preserve"> </w:t>
      </w:r>
      <w:r>
        <w:rPr>
          <w:color w:val="231F20"/>
          <w:spacing w:val="11"/>
        </w:rPr>
        <w:t>，一旦夹闭患者伤口，</w:t>
      </w:r>
      <w:r>
        <w:rPr>
          <w:color w:val="231F20"/>
          <w:spacing w:val="-30"/>
        </w:rPr>
        <w:t xml:space="preserve"> </w:t>
      </w:r>
      <w:r>
        <w:rPr>
          <w:color w:val="231F20"/>
          <w:spacing w:val="11"/>
        </w:rPr>
        <w:t>可牢牢固定开口区</w:t>
      </w:r>
      <w:r>
        <w:rPr>
          <w:color w:val="231F20"/>
        </w:rPr>
        <w:t xml:space="preserve">  </w:t>
      </w:r>
      <w:r>
        <w:rPr>
          <w:color w:val="231F20"/>
          <w:spacing w:val="9"/>
        </w:rPr>
        <w:t>域</w:t>
      </w:r>
      <w:r>
        <w:rPr>
          <w:color w:val="231F20"/>
          <w:spacing w:val="-12"/>
        </w:rPr>
        <w:t xml:space="preserve"> </w:t>
      </w:r>
      <w:r>
        <w:rPr>
          <w:color w:val="231F20"/>
          <w:spacing w:val="9"/>
        </w:rPr>
        <w:t>，相较于丝结扎更为简便</w:t>
      </w:r>
      <w:r>
        <w:rPr>
          <w:color w:val="231F20"/>
          <w:spacing w:val="-32"/>
        </w:rPr>
        <w:t xml:space="preserve"> </w:t>
      </w:r>
      <w:r>
        <w:rPr>
          <w:color w:val="231F20"/>
          <w:spacing w:val="9"/>
        </w:rPr>
        <w:t>、省时</w:t>
      </w:r>
      <w:r>
        <w:rPr>
          <w:color w:val="231F20"/>
          <w:spacing w:val="-17"/>
        </w:rPr>
        <w:t xml:space="preserve"> </w:t>
      </w:r>
      <w:r>
        <w:rPr>
          <w:color w:val="231F20"/>
          <w:spacing w:val="9"/>
        </w:rPr>
        <w:t>，可大幅提高手术</w:t>
      </w:r>
      <w:r>
        <w:rPr>
          <w:color w:val="231F20"/>
        </w:rPr>
        <w:t xml:space="preserve">  </w:t>
      </w:r>
      <w:r>
        <w:rPr>
          <w:color w:val="231F20"/>
          <w:spacing w:val="-3"/>
        </w:rPr>
        <w:t>效率</w:t>
      </w:r>
      <w:r>
        <w:rPr>
          <w:color w:val="231F20"/>
          <w:spacing w:val="-23"/>
        </w:rPr>
        <w:t xml:space="preserve"> </w:t>
      </w:r>
      <w:r>
        <w:rPr>
          <w:color w:val="231F20"/>
          <w:spacing w:val="-3"/>
        </w:rPr>
        <w:t>，缩短手术时间</w:t>
      </w:r>
      <w:r>
        <w:rPr>
          <w:sz w:val="11"/>
          <w:szCs w:val="11"/>
          <w:color w:val="231F20"/>
          <w:spacing w:val="-3"/>
          <w:position w:val="7"/>
        </w:rPr>
        <w:t>[11]</w:t>
      </w:r>
      <w:r>
        <w:rPr>
          <w:sz w:val="11"/>
          <w:szCs w:val="11"/>
          <w:color w:val="231F20"/>
          <w:spacing w:val="-14"/>
          <w:position w:val="7"/>
        </w:rPr>
        <w:t xml:space="preserve"> </w:t>
      </w:r>
      <w:r>
        <w:rPr>
          <w:color w:val="231F20"/>
          <w:spacing w:val="-3"/>
        </w:rPr>
        <w:t>。研究指出</w:t>
      </w:r>
      <w:r>
        <w:rPr>
          <w:color w:val="231F20"/>
          <w:spacing w:val="-23"/>
        </w:rPr>
        <w:t xml:space="preserve"> </w:t>
      </w:r>
      <w:r>
        <w:rPr>
          <w:color w:val="231F20"/>
          <w:spacing w:val="-3"/>
        </w:rPr>
        <w:t>，Hemo</w:t>
      </w:r>
      <w:r>
        <w:rPr>
          <w:color w:val="231F20"/>
          <w:spacing w:val="-4"/>
        </w:rPr>
        <w:t>lok 夹闭法直</w:t>
      </w:r>
      <w:r>
        <w:rPr>
          <w:color w:val="231F20"/>
        </w:rPr>
        <w:t xml:space="preserve">  </w:t>
      </w:r>
      <w:r>
        <w:rPr>
          <w:color w:val="231F20"/>
          <w:spacing w:val="11"/>
        </w:rPr>
        <w:t>接夹闭阑尾残端组织，</w:t>
      </w:r>
      <w:r>
        <w:rPr>
          <w:color w:val="231F20"/>
          <w:spacing w:val="-31"/>
        </w:rPr>
        <w:t xml:space="preserve"> </w:t>
      </w:r>
      <w:r>
        <w:rPr>
          <w:color w:val="231F20"/>
          <w:spacing w:val="11"/>
        </w:rPr>
        <w:t>有效规避了术中缝合操作</w:t>
      </w:r>
      <w:r>
        <w:rPr>
          <w:color w:val="231F20"/>
          <w:spacing w:val="-17"/>
        </w:rPr>
        <w:t xml:space="preserve"> </w:t>
      </w:r>
      <w:r>
        <w:rPr>
          <w:color w:val="231F20"/>
          <w:spacing w:val="11"/>
        </w:rPr>
        <w:t>，避</w:t>
      </w:r>
      <w:r>
        <w:rPr>
          <w:color w:val="231F20"/>
        </w:rPr>
        <w:t xml:space="preserve">  </w:t>
      </w:r>
      <w:r>
        <w:rPr>
          <w:color w:val="231F20"/>
          <w:spacing w:val="15"/>
        </w:rPr>
        <w:t>免对阑尾组织的二次创伤</w:t>
      </w:r>
      <w:r>
        <w:rPr>
          <w:color w:val="231F20"/>
          <w:spacing w:val="-14"/>
        </w:rPr>
        <w:t xml:space="preserve"> </w:t>
      </w:r>
      <w:r>
        <w:rPr>
          <w:color w:val="231F20"/>
          <w:spacing w:val="15"/>
        </w:rPr>
        <w:t>，在提高手术效率</w:t>
      </w:r>
      <w:r>
        <w:rPr>
          <w:color w:val="231F20"/>
          <w:spacing w:val="14"/>
        </w:rPr>
        <w:t>的同时，</w:t>
      </w:r>
      <w:r>
        <w:rPr>
          <w:color w:val="231F20"/>
        </w:rPr>
        <w:t xml:space="preserve"> </w:t>
      </w:r>
      <w:r>
        <w:rPr>
          <w:color w:val="231F20"/>
          <w:spacing w:val="8"/>
        </w:rPr>
        <w:t>显著降低术中出血量，有助于缩短患者术后</w:t>
      </w:r>
      <w:r>
        <w:rPr>
          <w:color w:val="231F20"/>
          <w:spacing w:val="7"/>
        </w:rPr>
        <w:t>恢复时间，</w:t>
      </w:r>
      <w:r>
        <w:rPr>
          <w:color w:val="231F20"/>
        </w:rPr>
        <w:t xml:space="preserve"> </w:t>
      </w:r>
      <w:r>
        <w:rPr>
          <w:color w:val="231F20"/>
          <w:spacing w:val="2"/>
          <w:position w:val="-1"/>
        </w:rPr>
        <w:t>促使患者术后胃肠功能恢复</w:t>
      </w:r>
      <w:r>
        <w:rPr>
          <w:sz w:val="11"/>
          <w:szCs w:val="11"/>
          <w:color w:val="231F20"/>
          <w:spacing w:val="2"/>
          <w:position w:val="6"/>
        </w:rPr>
        <w:t>[12-13]</w:t>
      </w:r>
      <w:r>
        <w:rPr>
          <w:color w:val="231F20"/>
          <w:spacing w:val="2"/>
          <w:position w:val="-1"/>
        </w:rPr>
        <w:t>。</w:t>
      </w:r>
    </w:p>
    <w:p>
      <w:pPr>
        <w:pStyle w:val="BodyText"/>
        <w:ind w:firstLine="420"/>
        <w:spacing w:before="15" w:line="222" w:lineRule="auto"/>
        <w:jc w:val="both"/>
        <w:rPr/>
      </w:pPr>
      <w:r>
        <w:rPr>
          <w:color w:val="231F20"/>
          <w:spacing w:val="-1"/>
        </w:rPr>
        <w:t>本</w:t>
      </w:r>
      <w:r>
        <w:rPr>
          <w:color w:val="231F20"/>
          <w:spacing w:val="-20"/>
        </w:rPr>
        <w:t xml:space="preserve"> </w:t>
      </w:r>
      <w:r>
        <w:rPr>
          <w:color w:val="231F20"/>
          <w:spacing w:val="-1"/>
        </w:rPr>
        <w:t>研</w:t>
      </w:r>
      <w:r>
        <w:rPr>
          <w:color w:val="231F20"/>
          <w:spacing w:val="-25"/>
        </w:rPr>
        <w:t xml:space="preserve"> </w:t>
      </w:r>
      <w:r>
        <w:rPr>
          <w:color w:val="231F20"/>
          <w:spacing w:val="-1"/>
        </w:rPr>
        <w:t>究</w:t>
      </w:r>
      <w:r>
        <w:rPr>
          <w:color w:val="231F20"/>
          <w:spacing w:val="-24"/>
        </w:rPr>
        <w:t xml:space="preserve"> </w:t>
      </w:r>
      <w:r>
        <w:rPr>
          <w:color w:val="231F20"/>
          <w:spacing w:val="-1"/>
        </w:rPr>
        <w:t>结</w:t>
      </w:r>
      <w:r>
        <w:rPr>
          <w:color w:val="231F20"/>
          <w:spacing w:val="-25"/>
        </w:rPr>
        <w:t xml:space="preserve"> </w:t>
      </w:r>
      <w:r>
        <w:rPr>
          <w:color w:val="231F20"/>
          <w:spacing w:val="-1"/>
        </w:rPr>
        <w:t>果</w:t>
      </w:r>
      <w:r>
        <w:rPr>
          <w:color w:val="231F20"/>
          <w:spacing w:val="-23"/>
        </w:rPr>
        <w:t xml:space="preserve"> </w:t>
      </w:r>
      <w:r>
        <w:rPr>
          <w:color w:val="231F20"/>
          <w:spacing w:val="-1"/>
        </w:rPr>
        <w:t>还</w:t>
      </w:r>
      <w:r>
        <w:rPr>
          <w:color w:val="231F20"/>
          <w:spacing w:val="-24"/>
        </w:rPr>
        <w:t xml:space="preserve"> </w:t>
      </w:r>
      <w:r>
        <w:rPr>
          <w:color w:val="231F20"/>
          <w:spacing w:val="-1"/>
        </w:rPr>
        <w:t>显</w:t>
      </w:r>
      <w:r>
        <w:rPr>
          <w:color w:val="231F20"/>
          <w:spacing w:val="-26"/>
        </w:rPr>
        <w:t xml:space="preserve"> </w:t>
      </w:r>
      <w:r>
        <w:rPr>
          <w:color w:val="231F20"/>
          <w:spacing w:val="-1"/>
        </w:rPr>
        <w:t>示 ，</w:t>
      </w:r>
      <w:r>
        <w:rPr>
          <w:color w:val="231F20"/>
          <w:spacing w:val="-20"/>
        </w:rPr>
        <w:t xml:space="preserve"> </w:t>
      </w:r>
      <w:r>
        <w:rPr>
          <w:color w:val="231F20"/>
          <w:spacing w:val="-1"/>
        </w:rPr>
        <w:t>术</w:t>
      </w:r>
      <w:r>
        <w:rPr>
          <w:color w:val="231F20"/>
          <w:spacing w:val="-23"/>
        </w:rPr>
        <w:t xml:space="preserve"> </w:t>
      </w:r>
      <w:r>
        <w:rPr>
          <w:color w:val="231F20"/>
          <w:spacing w:val="-1"/>
        </w:rPr>
        <w:t>后</w:t>
      </w:r>
      <w:r>
        <w:rPr>
          <w:color w:val="231F20"/>
          <w:spacing w:val="49"/>
        </w:rPr>
        <w:t xml:space="preserve"> </w:t>
      </w:r>
      <w:r>
        <w:rPr>
          <w:color w:val="231F20"/>
          <w:spacing w:val="-1"/>
        </w:rPr>
        <w:t>1</w:t>
      </w:r>
      <w:r>
        <w:rPr>
          <w:color w:val="231F20"/>
          <w:spacing w:val="29"/>
          <w:w w:val="101"/>
        </w:rPr>
        <w:t xml:space="preserve"> </w:t>
      </w:r>
      <w:r>
        <w:rPr>
          <w:color w:val="231F20"/>
          <w:spacing w:val="-1"/>
        </w:rPr>
        <w:t>个</w:t>
      </w:r>
      <w:r>
        <w:rPr>
          <w:color w:val="231F20"/>
          <w:spacing w:val="-19"/>
        </w:rPr>
        <w:t xml:space="preserve"> </w:t>
      </w:r>
      <w:r>
        <w:rPr>
          <w:color w:val="231F20"/>
          <w:spacing w:val="-1"/>
        </w:rPr>
        <w:t>月 ，</w:t>
      </w:r>
      <w:r>
        <w:rPr>
          <w:color w:val="231F20"/>
          <w:spacing w:val="-19"/>
        </w:rPr>
        <w:t xml:space="preserve"> </w:t>
      </w:r>
      <w:r>
        <w:rPr>
          <w:color w:val="231F20"/>
          <w:spacing w:val="-1"/>
        </w:rPr>
        <w:t>2</w:t>
      </w:r>
      <w:r>
        <w:rPr>
          <w:color w:val="231F20"/>
          <w:spacing w:val="32"/>
        </w:rPr>
        <w:t xml:space="preserve"> </w:t>
      </w:r>
      <w:r>
        <w:rPr>
          <w:color w:val="231F20"/>
          <w:spacing w:val="-1"/>
        </w:rPr>
        <w:t>组</w:t>
      </w:r>
      <w:r>
        <w:rPr>
          <w:color w:val="231F20"/>
          <w:spacing w:val="-17"/>
        </w:rPr>
        <w:t xml:space="preserve"> </w:t>
      </w:r>
      <w:r>
        <w:rPr>
          <w:color w:val="231F20"/>
          <w:spacing w:val="-1"/>
        </w:rPr>
        <w:t>患</w:t>
      </w:r>
      <w:r>
        <w:rPr>
          <w:color w:val="231F20"/>
          <w:spacing w:val="-21"/>
        </w:rPr>
        <w:t xml:space="preserve"> </w:t>
      </w:r>
      <w:r>
        <w:rPr>
          <w:color w:val="231F20"/>
          <w:spacing w:val="-1"/>
        </w:rPr>
        <w:t>者</w:t>
      </w:r>
      <w:r>
        <w:rPr>
          <w:color w:val="231F20"/>
        </w:rPr>
        <w:t xml:space="preserve">  </w:t>
      </w:r>
      <w:r>
        <w:rPr>
          <w:color w:val="231F20"/>
          <w:spacing w:val="-1"/>
        </w:rPr>
        <w:t>SF-36 评分均高于术前，且 B 组高于 A 组（</w:t>
      </w:r>
      <w:r>
        <w:rPr>
          <w:rFonts w:ascii="Arial" w:hAnsi="Arial" w:eastAsia="Arial" w:cs="Arial"/>
          <w:color w:val="231F20"/>
          <w:spacing w:val="-1"/>
        </w:rPr>
        <w:t>P</w:t>
      </w:r>
      <w:r>
        <w:rPr>
          <w:color w:val="231F20"/>
          <w:spacing w:val="-1"/>
        </w:rPr>
        <w:t>＜0</w:t>
      </w:r>
      <w:r>
        <w:rPr>
          <w:color w:val="231F20"/>
          <w:spacing w:val="-2"/>
        </w:rPr>
        <w:t>.05）。</w:t>
      </w:r>
      <w:r>
        <w:rPr>
          <w:color w:val="231F20"/>
        </w:rPr>
        <w:t xml:space="preserve"> </w:t>
      </w:r>
      <w:r>
        <w:rPr>
          <w:color w:val="231F20"/>
          <w:spacing w:val="7"/>
        </w:rPr>
        <w:t>可见</w:t>
      </w:r>
      <w:r>
        <w:rPr>
          <w:color w:val="231F20"/>
          <w:spacing w:val="-7"/>
        </w:rPr>
        <w:t xml:space="preserve"> </w:t>
      </w:r>
      <w:r>
        <w:rPr>
          <w:color w:val="231F20"/>
          <w:spacing w:val="7"/>
        </w:rPr>
        <w:t>，</w:t>
      </w:r>
      <w:r>
        <w:rPr>
          <w:color w:val="231F20"/>
        </w:rPr>
        <w:t>Hemolok</w:t>
      </w:r>
      <w:r>
        <w:rPr>
          <w:color w:val="231F20"/>
          <w:spacing w:val="7"/>
        </w:rPr>
        <w:t xml:space="preserve"> 夹闭法有助于改善腹腔镜阑尾切除术</w:t>
      </w:r>
      <w:r>
        <w:rPr>
          <w:color w:val="231F20"/>
        </w:rPr>
        <w:t xml:space="preserve">  </w:t>
      </w:r>
      <w:r>
        <w:rPr>
          <w:color w:val="231F20"/>
          <w:spacing w:val="5"/>
        </w:rPr>
        <w:t>患者生命质量</w:t>
      </w:r>
      <w:r>
        <w:rPr>
          <w:color w:val="231F20"/>
          <w:spacing w:val="-11"/>
        </w:rPr>
        <w:t xml:space="preserve"> </w:t>
      </w:r>
      <w:r>
        <w:rPr>
          <w:color w:val="231F20"/>
          <w:spacing w:val="5"/>
        </w:rPr>
        <w:t>。分析原因</w:t>
      </w:r>
      <w:r>
        <w:rPr>
          <w:color w:val="231F20"/>
          <w:spacing w:val="-15"/>
        </w:rPr>
        <w:t xml:space="preserve"> </w:t>
      </w:r>
      <w:r>
        <w:rPr>
          <w:color w:val="231F20"/>
          <w:spacing w:val="5"/>
        </w:rPr>
        <w:t>，</w:t>
      </w:r>
      <w:r>
        <w:rPr>
          <w:color w:val="231F20"/>
        </w:rPr>
        <w:t>Hemolok</w:t>
      </w:r>
      <w:r>
        <w:rPr>
          <w:color w:val="231F20"/>
          <w:spacing w:val="5"/>
        </w:rPr>
        <w:t xml:space="preserve"> 夹闭法中使用的</w:t>
      </w:r>
      <w:r>
        <w:rPr>
          <w:color w:val="231F20"/>
        </w:rPr>
        <w:t xml:space="preserve">  </w:t>
      </w:r>
      <w:r>
        <w:rPr>
          <w:color w:val="231F20"/>
        </w:rPr>
        <w:t>Hemolok</w:t>
      </w:r>
      <w:r>
        <w:rPr>
          <w:color w:val="231F20"/>
          <w:spacing w:val="7"/>
        </w:rPr>
        <w:t xml:space="preserve"> 夹是由不可吸收材料制成</w:t>
      </w:r>
      <w:r>
        <w:rPr>
          <w:color w:val="231F20"/>
          <w:spacing w:val="-7"/>
        </w:rPr>
        <w:t xml:space="preserve"> </w:t>
      </w:r>
      <w:r>
        <w:rPr>
          <w:color w:val="231F20"/>
          <w:spacing w:val="7"/>
        </w:rPr>
        <w:t>，实施血管结扎的</w:t>
      </w:r>
      <w:r>
        <w:rPr>
          <w:color w:val="231F20"/>
        </w:rPr>
        <w:t xml:space="preserve">  </w:t>
      </w:r>
      <w:r>
        <w:rPr>
          <w:color w:val="231F20"/>
          <w:spacing w:val="10"/>
        </w:rPr>
        <w:t>夹闭效果良好</w:t>
      </w:r>
      <w:r>
        <w:rPr>
          <w:color w:val="231F20"/>
          <w:spacing w:val="-8"/>
        </w:rPr>
        <w:t xml:space="preserve"> </w:t>
      </w:r>
      <w:r>
        <w:rPr>
          <w:color w:val="231F20"/>
          <w:spacing w:val="10"/>
        </w:rPr>
        <w:t>，可有效减少对于阑尾组织的损伤</w:t>
      </w:r>
      <w:r>
        <w:rPr>
          <w:color w:val="231F20"/>
          <w:spacing w:val="-17"/>
        </w:rPr>
        <w:t xml:space="preserve"> </w:t>
      </w:r>
      <w:r>
        <w:rPr>
          <w:color w:val="231F20"/>
          <w:spacing w:val="10"/>
        </w:rPr>
        <w:t>，利</w:t>
      </w:r>
      <w:r>
        <w:rPr>
          <w:color w:val="231F20"/>
        </w:rPr>
        <w:t xml:space="preserve">  </w:t>
      </w:r>
      <w:r>
        <w:rPr>
          <w:color w:val="231F20"/>
          <w:spacing w:val="-1"/>
        </w:rPr>
        <w:t>于患者术后恢复</w:t>
      </w:r>
      <w:r>
        <w:rPr>
          <w:color w:val="231F20"/>
          <w:spacing w:val="-33"/>
        </w:rPr>
        <w:t xml:space="preserve"> </w:t>
      </w:r>
      <w:r>
        <w:rPr>
          <w:color w:val="231F20"/>
          <w:spacing w:val="-1"/>
        </w:rPr>
        <w:t>，改善其生命质量。本研究结果还显</w:t>
      </w:r>
      <w:r>
        <w:rPr>
          <w:color w:val="231F20"/>
          <w:spacing w:val="-2"/>
        </w:rPr>
        <w:t>示，</w:t>
      </w:r>
      <w:r>
        <w:rPr>
          <w:color w:val="231F20"/>
        </w:rPr>
        <w:t xml:space="preserve"> </w:t>
      </w:r>
      <w:r>
        <w:rPr>
          <w:color w:val="231F20"/>
          <w:spacing w:val="-1"/>
        </w:rPr>
        <w:t>2 组并发症发生率比较</w:t>
      </w:r>
      <w:r>
        <w:rPr>
          <w:color w:val="231F20"/>
          <w:spacing w:val="-29"/>
        </w:rPr>
        <w:t xml:space="preserve"> </w:t>
      </w:r>
      <w:r>
        <w:rPr>
          <w:color w:val="231F20"/>
          <w:spacing w:val="-1"/>
        </w:rPr>
        <w:t>，差异无统计学意义（</w:t>
      </w:r>
      <w:r>
        <w:rPr>
          <w:rFonts w:ascii="Arial" w:hAnsi="Arial" w:eastAsia="Arial" w:cs="Arial"/>
          <w:color w:val="231F20"/>
          <w:spacing w:val="-2"/>
        </w:rPr>
        <w:t>P</w:t>
      </w:r>
      <w:r>
        <w:rPr>
          <w:color w:val="231F20"/>
          <w:spacing w:val="-2"/>
        </w:rPr>
        <w:t>＞0.05</w:t>
      </w:r>
      <w:r>
        <w:rPr>
          <w:color w:val="231F20"/>
          <w:spacing w:val="-46"/>
          <w:w w:val="96"/>
        </w:rPr>
        <w:t>），</w:t>
      </w:r>
      <w:r>
        <w:rPr>
          <w:color w:val="231F20"/>
        </w:rPr>
        <w:t xml:space="preserve"> </w:t>
      </w:r>
      <w:r>
        <w:rPr>
          <w:color w:val="231F20"/>
          <w:spacing w:val="2"/>
        </w:rPr>
        <w:t>但 B 组略高于 A 组</w:t>
      </w:r>
      <w:r>
        <w:rPr>
          <w:color w:val="231F20"/>
          <w:spacing w:val="-18"/>
        </w:rPr>
        <w:t xml:space="preserve"> </w:t>
      </w:r>
      <w:r>
        <w:rPr>
          <w:color w:val="231F20"/>
          <w:spacing w:val="2"/>
        </w:rPr>
        <w:t>。这可能是因为</w:t>
      </w:r>
      <w:r>
        <w:rPr>
          <w:color w:val="231F20"/>
        </w:rPr>
        <w:t>Hemolok</w:t>
      </w:r>
      <w:r>
        <w:rPr>
          <w:color w:val="231F20"/>
          <w:spacing w:val="2"/>
        </w:rPr>
        <w:t xml:space="preserve"> 夹是不可</w:t>
      </w:r>
      <w:r>
        <w:rPr>
          <w:color w:val="231F20"/>
        </w:rPr>
        <w:t xml:space="preserve">  </w:t>
      </w:r>
      <w:r>
        <w:rPr>
          <w:color w:val="231F20"/>
          <w:spacing w:val="7"/>
        </w:rPr>
        <w:t>吸收材料制成</w:t>
      </w:r>
      <w:r>
        <w:rPr>
          <w:color w:val="231F20"/>
          <w:spacing w:val="-23"/>
        </w:rPr>
        <w:t xml:space="preserve"> </w:t>
      </w:r>
      <w:r>
        <w:rPr>
          <w:color w:val="231F20"/>
          <w:spacing w:val="7"/>
        </w:rPr>
        <w:t>，夹闭血管后留置于患者阑尾</w:t>
      </w:r>
      <w:r>
        <w:rPr>
          <w:color w:val="231F20"/>
          <w:spacing w:val="6"/>
        </w:rPr>
        <w:t>组织外周，</w:t>
      </w:r>
      <w:r>
        <w:rPr>
          <w:color w:val="231F20"/>
        </w:rPr>
        <w:t xml:space="preserve"> </w:t>
      </w:r>
      <w:r>
        <w:rPr>
          <w:color w:val="231F20"/>
          <w:spacing w:val="10"/>
        </w:rPr>
        <w:t>增加术后并发症的发生</w:t>
      </w:r>
      <w:r>
        <w:rPr>
          <w:sz w:val="11"/>
          <w:szCs w:val="11"/>
          <w:color w:val="231F20"/>
          <w:spacing w:val="10"/>
          <w:position w:val="7"/>
        </w:rPr>
        <w:t>[14]</w:t>
      </w:r>
      <w:r>
        <w:rPr>
          <w:sz w:val="11"/>
          <w:szCs w:val="11"/>
          <w:color w:val="231F20"/>
          <w:spacing w:val="-15"/>
          <w:position w:val="7"/>
        </w:rPr>
        <w:t xml:space="preserve"> </w:t>
      </w:r>
      <w:r>
        <w:rPr>
          <w:color w:val="231F20"/>
          <w:spacing w:val="10"/>
        </w:rPr>
        <w:t>。本研究存在局限之处</w:t>
      </w:r>
      <w:r>
        <w:rPr>
          <w:color w:val="231F20"/>
          <w:spacing w:val="-16"/>
        </w:rPr>
        <w:t xml:space="preserve"> </w:t>
      </w:r>
      <w:r>
        <w:rPr>
          <w:color w:val="231F20"/>
          <w:spacing w:val="10"/>
        </w:rPr>
        <w:t>，例</w:t>
      </w:r>
      <w:r>
        <w:rPr>
          <w:color w:val="231F20"/>
        </w:rPr>
        <w:t xml:space="preserve">  </w:t>
      </w:r>
      <w:r>
        <w:rPr>
          <w:color w:val="231F20"/>
          <w:spacing w:val="12"/>
        </w:rPr>
        <w:t>如选取样本来自于同一家医院</w:t>
      </w:r>
      <w:r>
        <w:rPr>
          <w:color w:val="231F20"/>
          <w:spacing w:val="-12"/>
        </w:rPr>
        <w:t xml:space="preserve"> </w:t>
      </w:r>
      <w:r>
        <w:rPr>
          <w:color w:val="231F20"/>
          <w:spacing w:val="12"/>
        </w:rPr>
        <w:t>，纳入样本数量相对较</w:t>
      </w:r>
      <w:r>
        <w:rPr>
          <w:color w:val="231F20"/>
        </w:rPr>
        <w:t xml:space="preserve">  </w:t>
      </w:r>
      <w:r>
        <w:rPr>
          <w:color w:val="231F20"/>
          <w:spacing w:val="10"/>
        </w:rPr>
        <w:t>少</w:t>
      </w:r>
      <w:r>
        <w:rPr>
          <w:color w:val="231F20"/>
          <w:spacing w:val="-8"/>
        </w:rPr>
        <w:t xml:space="preserve"> </w:t>
      </w:r>
      <w:r>
        <w:rPr>
          <w:color w:val="231F20"/>
          <w:spacing w:val="10"/>
        </w:rPr>
        <w:t>，可能影响到统计学结果</w:t>
      </w:r>
      <w:r>
        <w:rPr>
          <w:color w:val="231F20"/>
          <w:spacing w:val="-17"/>
        </w:rPr>
        <w:t xml:space="preserve"> </w:t>
      </w:r>
      <w:r>
        <w:rPr>
          <w:color w:val="231F20"/>
          <w:spacing w:val="10"/>
        </w:rPr>
        <w:t>，导致得出的研究结论存</w:t>
      </w:r>
      <w:r>
        <w:rPr>
          <w:color w:val="231F20"/>
        </w:rPr>
        <w:t xml:space="preserve">  </w:t>
      </w:r>
      <w:r>
        <w:rPr>
          <w:color w:val="231F20"/>
          <w:spacing w:val="13"/>
        </w:rPr>
        <w:t>在误差</w:t>
      </w:r>
      <w:r>
        <w:rPr>
          <w:color w:val="231F20"/>
          <w:spacing w:val="-32"/>
        </w:rPr>
        <w:t xml:space="preserve"> </w:t>
      </w:r>
      <w:r>
        <w:rPr>
          <w:color w:val="231F20"/>
          <w:spacing w:val="13"/>
        </w:rPr>
        <w:t>。建议后续相关研究可采取前瞻性多中</w:t>
      </w:r>
      <w:r>
        <w:rPr>
          <w:color w:val="231F20"/>
          <w:spacing w:val="12"/>
        </w:rPr>
        <w:t>心样本</w:t>
      </w:r>
      <w:r>
        <w:rPr>
          <w:color w:val="231F20"/>
        </w:rPr>
        <w:t xml:space="preserve">  </w:t>
      </w:r>
      <w:r>
        <w:rPr>
          <w:color w:val="231F20"/>
          <w:spacing w:val="4"/>
        </w:rPr>
        <w:t>研究</w:t>
      </w:r>
      <w:r>
        <w:rPr>
          <w:color w:val="231F20"/>
          <w:spacing w:val="-11"/>
        </w:rPr>
        <w:t xml:space="preserve"> </w:t>
      </w:r>
      <w:r>
        <w:rPr>
          <w:color w:val="231F20"/>
          <w:spacing w:val="4"/>
        </w:rPr>
        <w:t>，为进一步明确 </w:t>
      </w:r>
      <w:r>
        <w:rPr>
          <w:color w:val="231F20"/>
        </w:rPr>
        <w:t>Hemolok</w:t>
      </w:r>
      <w:r>
        <w:rPr>
          <w:color w:val="231F20"/>
          <w:spacing w:val="4"/>
        </w:rPr>
        <w:t xml:space="preserve"> 夹闭法腹腔镜阑尾切除</w:t>
      </w:r>
      <w:r>
        <w:rPr>
          <w:color w:val="231F20"/>
        </w:rPr>
        <w:t xml:space="preserve">  </w:t>
      </w:r>
      <w:r>
        <w:rPr>
          <w:color w:val="231F20"/>
          <w:spacing w:val="8"/>
        </w:rPr>
        <w:t>术阑尾残端处理中的应用价值提供科学依据。</w:t>
      </w:r>
    </w:p>
    <w:p>
      <w:pPr>
        <w:pStyle w:val="BodyText"/>
        <w:ind w:right="75" w:firstLine="418"/>
        <w:spacing w:before="1" w:line="223" w:lineRule="auto"/>
        <w:jc w:val="both"/>
        <w:rPr/>
      </w:pPr>
      <w:r>
        <w:rPr>
          <w:color w:val="231F20"/>
          <w:spacing w:val="3"/>
        </w:rPr>
        <w:t>综上所述</w:t>
      </w:r>
      <w:r>
        <w:rPr>
          <w:color w:val="231F20"/>
          <w:spacing w:val="-7"/>
        </w:rPr>
        <w:t xml:space="preserve"> </w:t>
      </w:r>
      <w:r>
        <w:rPr>
          <w:color w:val="231F20"/>
          <w:spacing w:val="3"/>
        </w:rPr>
        <w:t>，相较于荷包缝合法</w:t>
      </w:r>
      <w:r>
        <w:rPr>
          <w:color w:val="231F20"/>
          <w:spacing w:val="-13"/>
        </w:rPr>
        <w:t xml:space="preserve"> </w:t>
      </w:r>
      <w:r>
        <w:rPr>
          <w:color w:val="231F20"/>
          <w:spacing w:val="3"/>
        </w:rPr>
        <w:t>，</w:t>
      </w:r>
      <w:r>
        <w:rPr>
          <w:color w:val="231F20"/>
          <w:spacing w:val="-38"/>
        </w:rPr>
        <w:t xml:space="preserve"> </w:t>
      </w:r>
      <w:r>
        <w:rPr>
          <w:color w:val="231F20"/>
        </w:rPr>
        <w:t>Hemolok</w:t>
      </w:r>
      <w:r>
        <w:rPr>
          <w:color w:val="231F20"/>
          <w:spacing w:val="3"/>
        </w:rPr>
        <w:t xml:space="preserve"> 夹闭法</w:t>
      </w:r>
      <w:r>
        <w:rPr>
          <w:color w:val="231F20"/>
        </w:rPr>
        <w:t xml:space="preserve"> </w:t>
      </w:r>
      <w:r>
        <w:rPr>
          <w:color w:val="231F20"/>
          <w:spacing w:val="12"/>
        </w:rPr>
        <w:t>有助于改善腹腔镜阑尾切除术患者的手术指标</w:t>
      </w:r>
      <w:r>
        <w:rPr>
          <w:color w:val="231F20"/>
          <w:spacing w:val="-13"/>
        </w:rPr>
        <w:t xml:space="preserve"> </w:t>
      </w:r>
      <w:r>
        <w:rPr>
          <w:color w:val="231F20"/>
          <w:spacing w:val="12"/>
        </w:rPr>
        <w:t>，缩短</w:t>
      </w:r>
      <w:r>
        <w:rPr>
          <w:color w:val="231F20"/>
        </w:rPr>
        <w:t xml:space="preserve"> </w:t>
      </w:r>
      <w:r>
        <w:rPr>
          <w:color w:val="231F20"/>
          <w:spacing w:val="11"/>
        </w:rPr>
        <w:t>术后胃肠功能恢复时间</w:t>
      </w:r>
      <w:r>
        <w:rPr>
          <w:color w:val="231F20"/>
          <w:spacing w:val="-19"/>
        </w:rPr>
        <w:t xml:space="preserve"> </w:t>
      </w:r>
      <w:r>
        <w:rPr>
          <w:color w:val="231F20"/>
          <w:spacing w:val="11"/>
        </w:rPr>
        <w:t>，提高患者生命质量</w:t>
      </w:r>
      <w:r>
        <w:rPr>
          <w:color w:val="231F20"/>
          <w:spacing w:val="-30"/>
        </w:rPr>
        <w:t xml:space="preserve"> </w:t>
      </w:r>
      <w:r>
        <w:rPr>
          <w:color w:val="231F20"/>
          <w:spacing w:val="11"/>
        </w:rPr>
        <w:t>。临床可</w:t>
      </w:r>
      <w:r>
        <w:rPr>
          <w:color w:val="231F20"/>
        </w:rPr>
        <w:t xml:space="preserve"> </w:t>
      </w:r>
      <w:r>
        <w:rPr>
          <w:color w:val="231F20"/>
          <w:spacing w:val="9"/>
        </w:rPr>
        <w:t>结合患者实际病情情况优先选用</w:t>
      </w:r>
      <w:r>
        <w:rPr>
          <w:color w:val="231F20"/>
        </w:rPr>
        <w:t>Hemolok</w:t>
      </w:r>
      <w:r>
        <w:rPr>
          <w:color w:val="231F20"/>
          <w:spacing w:val="9"/>
        </w:rPr>
        <w:t xml:space="preserve"> 夹闭法处理</w:t>
      </w:r>
      <w:r>
        <w:rPr>
          <w:color w:val="231F20"/>
          <w:spacing w:val="11"/>
        </w:rPr>
        <w:t xml:space="preserve"> </w:t>
      </w:r>
      <w:r>
        <w:rPr>
          <w:color w:val="231F20"/>
          <w:spacing w:val="6"/>
        </w:rPr>
        <w:t>阑尾残端</w:t>
      </w:r>
      <w:r>
        <w:rPr>
          <w:color w:val="231F20"/>
          <w:spacing w:val="-23"/>
        </w:rPr>
        <w:t xml:space="preserve"> </w:t>
      </w:r>
      <w:r>
        <w:rPr>
          <w:color w:val="231F20"/>
          <w:spacing w:val="6"/>
        </w:rPr>
        <w:t>，减少手术创伤</w:t>
      </w:r>
      <w:r>
        <w:rPr>
          <w:color w:val="231F20"/>
          <w:spacing w:val="-23"/>
        </w:rPr>
        <w:t xml:space="preserve"> </w:t>
      </w:r>
      <w:r>
        <w:rPr>
          <w:color w:val="231F20"/>
          <w:spacing w:val="6"/>
        </w:rPr>
        <w:t>，缩短患者术后康</w:t>
      </w:r>
      <w:r>
        <w:rPr>
          <w:color w:val="231F20"/>
          <w:spacing w:val="5"/>
        </w:rPr>
        <w:t>复进程。</w:t>
      </w:r>
    </w:p>
    <w:p>
      <w:pPr>
        <w:spacing w:line="223" w:lineRule="auto"/>
        <w:sectPr>
          <w:type w:val="continuous"/>
          <w:pgSz w:w="11905" w:h="16836"/>
          <w:pgMar w:top="1497" w:right="771" w:bottom="917" w:left="424" w:header="1136" w:footer="776" w:gutter="0"/>
          <w:cols w:equalWidth="0" w:num="2">
            <w:col w:w="5608" w:space="100"/>
            <w:col w:w="5001" w:space="0"/>
          </w:cols>
        </w:sectPr>
        <w:rPr/>
      </w:pPr>
    </w:p>
    <w:p>
      <w:pPr>
        <w:pStyle w:val="BodyText"/>
        <w:ind w:left="420"/>
        <w:spacing w:before="341" w:line="190" w:lineRule="auto"/>
        <w:outlineLvl w:val="1"/>
        <w:rPr>
          <w:sz w:val="24"/>
          <w:szCs w:val="24"/>
        </w:rPr>
      </w:pPr>
      <w:r>
        <w:rPr>
          <w:sz w:val="24"/>
          <w:szCs w:val="24"/>
          <w:color w:val="231F20"/>
          <w:spacing w:val="-2"/>
        </w:rPr>
        <w:t>参考文献</w:t>
      </w:r>
    </w:p>
    <w:p>
      <w:pPr>
        <w:pStyle w:val="BodyText"/>
        <w:ind w:left="780" w:right="78" w:hanging="360"/>
        <w:spacing w:before="90" w:line="246" w:lineRule="auto"/>
        <w:rPr>
          <w:rFonts w:ascii="Arial" w:hAnsi="Arial" w:eastAsia="Arial" w:cs="Arial"/>
          <w:sz w:val="17"/>
          <w:szCs w:val="17"/>
        </w:rPr>
      </w:pPr>
      <w:r>
        <w:rPr>
          <w:rFonts w:ascii="Arial" w:hAnsi="Arial" w:eastAsia="Arial" w:cs="Arial"/>
          <w:sz w:val="17"/>
          <w:szCs w:val="17"/>
          <w:color w:val="231F20"/>
        </w:rPr>
        <w:t>[1]</w:t>
      </w:r>
      <w:r>
        <w:rPr>
          <w:rFonts w:ascii="Arial" w:hAnsi="Arial" w:eastAsia="Arial" w:cs="Arial"/>
          <w:sz w:val="17"/>
          <w:szCs w:val="17"/>
          <w:color w:val="231F20"/>
          <w:spacing w:val="19"/>
        </w:rPr>
        <w:t xml:space="preserve">   </w:t>
      </w:r>
      <w:r>
        <w:rPr>
          <w:sz w:val="17"/>
          <w:szCs w:val="17"/>
          <w:color w:val="231F20"/>
        </w:rPr>
        <w:t>高成钢，黄一雄，陈开进，等</w:t>
      </w:r>
      <w:r>
        <w:rPr>
          <w:rFonts w:ascii="Arial" w:hAnsi="Arial" w:eastAsia="Arial" w:cs="Arial"/>
          <w:sz w:val="17"/>
          <w:szCs w:val="17"/>
          <w:color w:val="231F20"/>
        </w:rPr>
        <w:t>.</w:t>
      </w:r>
      <w:r>
        <w:rPr>
          <w:sz w:val="17"/>
          <w:szCs w:val="17"/>
          <w:color w:val="231F20"/>
        </w:rPr>
        <w:t>腹腔镜阑尾切除术中残端缝合包埋、双重结扎及 </w:t>
      </w:r>
      <w:r>
        <w:rPr>
          <w:rFonts w:ascii="Arial" w:hAnsi="Arial" w:eastAsia="Arial" w:cs="Arial"/>
          <w:sz w:val="17"/>
          <w:szCs w:val="17"/>
          <w:color w:val="231F20"/>
        </w:rPr>
        <w:t>Hemolock </w:t>
      </w:r>
      <w:r>
        <w:rPr>
          <w:sz w:val="17"/>
          <w:szCs w:val="17"/>
          <w:color w:val="231F20"/>
        </w:rPr>
        <w:t>夹毕 </w:t>
      </w:r>
      <w:r>
        <w:rPr>
          <w:rFonts w:ascii="Arial" w:hAnsi="Arial" w:eastAsia="Arial" w:cs="Arial"/>
          <w:sz w:val="17"/>
          <w:szCs w:val="17"/>
          <w:color w:val="231F20"/>
        </w:rPr>
        <w:t>3 </w:t>
      </w:r>
      <w:r>
        <w:rPr>
          <w:sz w:val="17"/>
          <w:szCs w:val="17"/>
          <w:color w:val="231F20"/>
        </w:rPr>
        <w:t>种处理的效果对比研究</w:t>
      </w:r>
      <w:r>
        <w:rPr>
          <w:rFonts w:ascii="Arial" w:hAnsi="Arial" w:eastAsia="Arial" w:cs="Arial"/>
          <w:sz w:val="17"/>
          <w:szCs w:val="17"/>
          <w:color w:val="231F20"/>
        </w:rPr>
        <w:t>[J].</w:t>
      </w:r>
      <w:r>
        <w:rPr>
          <w:sz w:val="17"/>
          <w:szCs w:val="17"/>
          <w:color w:val="231F20"/>
        </w:rPr>
        <w:t>解放军医</w:t>
      </w:r>
      <w:r>
        <w:rPr>
          <w:sz w:val="17"/>
          <w:szCs w:val="17"/>
          <w:color w:val="231F20"/>
          <w:spacing w:val="1"/>
        </w:rPr>
        <w:t xml:space="preserve"> </w:t>
      </w:r>
      <w:r>
        <w:rPr>
          <w:sz w:val="17"/>
          <w:szCs w:val="17"/>
          <w:color w:val="231F20"/>
          <w:spacing w:val="-10"/>
        </w:rPr>
        <w:t>药杂志，</w:t>
      </w:r>
      <w:r>
        <w:rPr>
          <w:rFonts w:ascii="Arial" w:hAnsi="Arial" w:eastAsia="Arial" w:cs="Arial"/>
          <w:sz w:val="17"/>
          <w:szCs w:val="17"/>
          <w:color w:val="231F20"/>
          <w:spacing w:val="-10"/>
        </w:rPr>
        <w:t>2021</w:t>
      </w:r>
      <w:r>
        <w:rPr>
          <w:sz w:val="17"/>
          <w:szCs w:val="17"/>
          <w:color w:val="231F20"/>
          <w:spacing w:val="-10"/>
        </w:rPr>
        <w:t>，</w:t>
      </w:r>
      <w:r>
        <w:rPr>
          <w:rFonts w:ascii="Arial" w:hAnsi="Arial" w:eastAsia="Arial" w:cs="Arial"/>
          <w:sz w:val="17"/>
          <w:szCs w:val="17"/>
          <w:color w:val="231F20"/>
          <w:spacing w:val="-10"/>
        </w:rPr>
        <w:t>33</w:t>
      </w:r>
      <w:r>
        <w:rPr>
          <w:sz w:val="17"/>
          <w:szCs w:val="17"/>
          <w:color w:val="231F20"/>
          <w:spacing w:val="-10"/>
        </w:rPr>
        <w:t>（</w:t>
      </w:r>
      <w:r>
        <w:rPr>
          <w:rFonts w:ascii="Arial" w:hAnsi="Arial" w:eastAsia="Arial" w:cs="Arial"/>
          <w:sz w:val="17"/>
          <w:szCs w:val="17"/>
          <w:color w:val="231F20"/>
          <w:spacing w:val="-10"/>
        </w:rPr>
        <w:t>11</w:t>
      </w:r>
      <w:r>
        <w:rPr>
          <w:sz w:val="17"/>
          <w:szCs w:val="17"/>
          <w:color w:val="231F20"/>
          <w:spacing w:val="-27"/>
          <w:w w:val="58"/>
        </w:rPr>
        <w:t>）：</w:t>
      </w:r>
      <w:r>
        <w:rPr>
          <w:rFonts w:ascii="Arial" w:hAnsi="Arial" w:eastAsia="Arial" w:cs="Arial"/>
          <w:sz w:val="17"/>
          <w:szCs w:val="17"/>
          <w:color w:val="231F20"/>
          <w:spacing w:val="-10"/>
        </w:rPr>
        <w:t>49-52.</w:t>
      </w:r>
    </w:p>
    <w:p>
      <w:pPr>
        <w:ind w:left="1625"/>
        <w:spacing w:line="24" w:lineRule="exact"/>
        <w:rPr>
          <w:rFonts w:ascii="Arial" w:hAnsi="Arial" w:eastAsia="Arial" w:cs="Arial"/>
          <w:sz w:val="5"/>
          <w:szCs w:val="5"/>
        </w:rPr>
      </w:pPr>
      <w:r>
        <w:rPr>
          <w:rFonts w:ascii="Arial" w:hAnsi="Arial" w:eastAsia="Arial" w:cs="Arial"/>
          <w:sz w:val="5"/>
          <w:szCs w:val="5"/>
          <w:color w:val="231F20"/>
          <w:spacing w:val="23"/>
          <w:w w:val="151"/>
        </w:rPr>
        <w:t>.</w:t>
      </w:r>
    </w:p>
    <w:p>
      <w:pPr>
        <w:pStyle w:val="BodyText"/>
        <w:ind w:left="789" w:right="25" w:hanging="369"/>
        <w:spacing w:before="4" w:line="208" w:lineRule="auto"/>
        <w:rPr>
          <w:rFonts w:ascii="Arial" w:hAnsi="Arial" w:eastAsia="Arial" w:cs="Arial"/>
          <w:sz w:val="17"/>
          <w:szCs w:val="17"/>
        </w:rPr>
      </w:pPr>
      <w:r>
        <w:rPr>
          <w:rFonts w:ascii="Arial" w:hAnsi="Arial" w:eastAsia="Arial" w:cs="Arial"/>
          <w:sz w:val="17"/>
          <w:szCs w:val="17"/>
          <w:color w:val="231F20"/>
          <w:spacing w:val="-7"/>
        </w:rPr>
        <w:t>[2]    ERGIN  A</w:t>
      </w:r>
      <w:r>
        <w:rPr>
          <w:sz w:val="17"/>
          <w:szCs w:val="17"/>
          <w:color w:val="231F20"/>
          <w:spacing w:val="-7"/>
          <w:position w:val="-4"/>
        </w:rPr>
        <w:t>，</w:t>
      </w:r>
      <w:r>
        <w:rPr>
          <w:rFonts w:ascii="Arial" w:hAnsi="Arial" w:eastAsia="Arial" w:cs="Arial"/>
          <w:color w:val="231F20"/>
          <w:spacing w:val="-7"/>
          <w:position w:val="-4"/>
        </w:rPr>
        <w:t>I</w:t>
      </w:r>
      <w:r>
        <w:rPr>
          <w:rFonts w:ascii="Arial" w:hAnsi="Arial" w:eastAsia="Arial" w:cs="Arial"/>
          <w:color w:val="231F20"/>
          <w:spacing w:val="-7"/>
          <w:position w:val="-2"/>
        </w:rPr>
        <w:t>S,</w:t>
      </w:r>
      <w:r>
        <w:rPr>
          <w:rFonts w:ascii="Arial" w:hAnsi="Arial" w:eastAsia="Arial" w:cs="Arial"/>
          <w:color w:val="231F20"/>
          <w:spacing w:val="-17"/>
          <w:position w:val="-2"/>
        </w:rPr>
        <w:t xml:space="preserve"> </w:t>
      </w:r>
      <w:r>
        <w:rPr>
          <w:rFonts w:ascii="Arial" w:hAnsi="Arial" w:eastAsia="Arial" w:cs="Arial"/>
          <w:sz w:val="17"/>
          <w:szCs w:val="17"/>
          <w:color w:val="231F20"/>
          <w:spacing w:val="-7"/>
        </w:rPr>
        <w:t>CAN</w:t>
      </w:r>
      <w:r>
        <w:rPr>
          <w:rFonts w:ascii="Arial" w:hAnsi="Arial" w:eastAsia="Arial" w:cs="Arial"/>
          <w:sz w:val="17"/>
          <w:szCs w:val="17"/>
          <w:color w:val="231F20"/>
          <w:spacing w:val="25"/>
        </w:rPr>
        <w:t xml:space="preserve"> </w:t>
      </w:r>
      <w:r>
        <w:rPr>
          <w:rFonts w:ascii="Arial" w:hAnsi="Arial" w:eastAsia="Arial" w:cs="Arial"/>
          <w:sz w:val="17"/>
          <w:szCs w:val="17"/>
          <w:color w:val="231F20"/>
          <w:spacing w:val="-7"/>
        </w:rPr>
        <w:t>Y</w:t>
      </w:r>
      <w:r>
        <w:rPr>
          <w:sz w:val="17"/>
          <w:szCs w:val="17"/>
          <w:color w:val="231F20"/>
          <w:spacing w:val="-7"/>
        </w:rPr>
        <w:t>，</w:t>
      </w:r>
      <w:r>
        <w:rPr>
          <w:rFonts w:ascii="Arial" w:hAnsi="Arial" w:eastAsia="Arial" w:cs="Arial"/>
          <w:sz w:val="17"/>
          <w:szCs w:val="17"/>
          <w:color w:val="231F20"/>
          <w:spacing w:val="-7"/>
        </w:rPr>
        <w:t>ÇIYILTEPE</w:t>
      </w:r>
      <w:r>
        <w:rPr>
          <w:rFonts w:ascii="Arial" w:hAnsi="Arial" w:eastAsia="Arial" w:cs="Arial"/>
          <w:sz w:val="17"/>
          <w:szCs w:val="17"/>
          <w:color w:val="231F20"/>
          <w:spacing w:val="28"/>
          <w:w w:val="101"/>
        </w:rPr>
        <w:t xml:space="preserve"> </w:t>
      </w:r>
      <w:r>
        <w:rPr>
          <w:rFonts w:ascii="Arial" w:hAnsi="Arial" w:eastAsia="Arial" w:cs="Arial"/>
          <w:sz w:val="17"/>
          <w:szCs w:val="17"/>
          <w:color w:val="231F20"/>
          <w:spacing w:val="-7"/>
        </w:rPr>
        <w:t>H</w:t>
      </w:r>
      <w:r>
        <w:rPr>
          <w:sz w:val="17"/>
          <w:szCs w:val="17"/>
          <w:color w:val="231F20"/>
          <w:spacing w:val="-7"/>
        </w:rPr>
        <w:t>，</w:t>
      </w:r>
      <w:r>
        <w:rPr>
          <w:rFonts w:ascii="Arial" w:hAnsi="Arial" w:eastAsia="Arial" w:cs="Arial"/>
          <w:sz w:val="17"/>
          <w:szCs w:val="17"/>
          <w:color w:val="231F20"/>
          <w:spacing w:val="-7"/>
        </w:rPr>
        <w:t>et</w:t>
      </w:r>
      <w:r>
        <w:rPr>
          <w:rFonts w:ascii="Arial" w:hAnsi="Arial" w:eastAsia="Arial" w:cs="Arial"/>
          <w:sz w:val="17"/>
          <w:szCs w:val="17"/>
          <w:color w:val="231F20"/>
          <w:spacing w:val="26"/>
          <w:w w:val="102"/>
        </w:rPr>
        <w:t xml:space="preserve"> </w:t>
      </w:r>
      <w:r>
        <w:rPr>
          <w:rFonts w:ascii="Arial" w:hAnsi="Arial" w:eastAsia="Arial" w:cs="Arial"/>
          <w:sz w:val="17"/>
          <w:szCs w:val="17"/>
          <w:color w:val="231F20"/>
          <w:spacing w:val="-7"/>
        </w:rPr>
        <w:t>al.Comparison</w:t>
      </w:r>
      <w:r>
        <w:rPr>
          <w:rFonts w:ascii="Arial" w:hAnsi="Arial" w:eastAsia="Arial" w:cs="Arial"/>
          <w:sz w:val="17"/>
          <w:szCs w:val="17"/>
          <w:color w:val="231F20"/>
          <w:spacing w:val="25"/>
          <w:w w:val="101"/>
        </w:rPr>
        <w:t xml:space="preserve"> </w:t>
      </w:r>
      <w:r>
        <w:rPr>
          <w:rFonts w:ascii="Arial" w:hAnsi="Arial" w:eastAsia="Arial" w:cs="Arial"/>
          <w:sz w:val="17"/>
          <w:szCs w:val="17"/>
          <w:color w:val="231F20"/>
          <w:spacing w:val="-8"/>
        </w:rPr>
        <w:t>of</w:t>
      </w:r>
      <w:r>
        <w:rPr>
          <w:rFonts w:ascii="Arial" w:hAnsi="Arial" w:eastAsia="Arial" w:cs="Arial"/>
          <w:sz w:val="17"/>
          <w:szCs w:val="17"/>
          <w:color w:val="231F20"/>
          <w:spacing w:val="17"/>
        </w:rPr>
        <w:t xml:space="preserve"> </w:t>
      </w:r>
      <w:r>
        <w:rPr>
          <w:rFonts w:ascii="Arial" w:hAnsi="Arial" w:eastAsia="Arial" w:cs="Arial"/>
          <w:sz w:val="17"/>
          <w:szCs w:val="17"/>
          <w:color w:val="231F20"/>
          <w:spacing w:val="-8"/>
        </w:rPr>
        <w:t>single-dermatome</w:t>
      </w:r>
      <w:r>
        <w:rPr>
          <w:rFonts w:ascii="Arial" w:hAnsi="Arial" w:eastAsia="Arial" w:cs="Arial"/>
          <w:sz w:val="17"/>
          <w:szCs w:val="17"/>
          <w:color w:val="231F20"/>
          <w:spacing w:val="24"/>
          <w:w w:val="101"/>
        </w:rPr>
        <w:t xml:space="preserve"> </w:t>
      </w:r>
      <w:r>
        <w:rPr>
          <w:rFonts w:ascii="Arial" w:hAnsi="Arial" w:eastAsia="Arial" w:cs="Arial"/>
          <w:sz w:val="17"/>
          <w:szCs w:val="17"/>
          <w:color w:val="231F20"/>
          <w:spacing w:val="-8"/>
        </w:rPr>
        <w:t>laparoscopic</w:t>
      </w:r>
      <w:r>
        <w:rPr>
          <w:rFonts w:ascii="Arial" w:hAnsi="Arial" w:eastAsia="Arial" w:cs="Arial"/>
          <w:sz w:val="17"/>
          <w:szCs w:val="17"/>
          <w:color w:val="231F20"/>
          <w:spacing w:val="26"/>
          <w:w w:val="102"/>
        </w:rPr>
        <w:t xml:space="preserve"> </w:t>
      </w:r>
      <w:r>
        <w:rPr>
          <w:rFonts w:ascii="Arial" w:hAnsi="Arial" w:eastAsia="Arial" w:cs="Arial"/>
          <w:sz w:val="17"/>
          <w:szCs w:val="17"/>
          <w:color w:val="231F20"/>
          <w:spacing w:val="-8"/>
        </w:rPr>
        <w:t>appendectomy</w:t>
      </w:r>
      <w:r>
        <w:rPr>
          <w:rFonts w:ascii="Arial" w:hAnsi="Arial" w:eastAsia="Arial" w:cs="Arial"/>
          <w:sz w:val="17"/>
          <w:szCs w:val="17"/>
          <w:color w:val="231F20"/>
          <w:spacing w:val="22"/>
        </w:rPr>
        <w:t xml:space="preserve"> </w:t>
      </w:r>
      <w:r>
        <w:rPr>
          <w:rFonts w:ascii="Arial" w:hAnsi="Arial" w:eastAsia="Arial" w:cs="Arial"/>
          <w:sz w:val="17"/>
          <w:szCs w:val="17"/>
          <w:color w:val="231F20"/>
          <w:spacing w:val="-8"/>
        </w:rPr>
        <w:t>with</w:t>
      </w:r>
      <w:r>
        <w:rPr>
          <w:rFonts w:ascii="Arial" w:hAnsi="Arial" w:eastAsia="Arial" w:cs="Arial"/>
          <w:sz w:val="17"/>
          <w:szCs w:val="17"/>
          <w:color w:val="231F20"/>
          <w:spacing w:val="28"/>
        </w:rPr>
        <w:t xml:space="preserve"> </w:t>
      </w:r>
      <w:r>
        <w:rPr>
          <w:rFonts w:ascii="Arial" w:hAnsi="Arial" w:eastAsia="Arial" w:cs="Arial"/>
          <w:sz w:val="17"/>
          <w:szCs w:val="17"/>
          <w:color w:val="231F20"/>
          <w:spacing w:val="-8"/>
        </w:rPr>
        <w:t>standard</w:t>
      </w:r>
      <w:r>
        <w:rPr>
          <w:rFonts w:ascii="Arial" w:hAnsi="Arial" w:eastAsia="Arial" w:cs="Arial"/>
          <w:sz w:val="17"/>
          <w:szCs w:val="17"/>
          <w:color w:val="231F20"/>
          <w:spacing w:val="24"/>
        </w:rPr>
        <w:t xml:space="preserve"> </w:t>
      </w:r>
      <w:r>
        <w:rPr>
          <w:rFonts w:ascii="Arial" w:hAnsi="Arial" w:eastAsia="Arial" w:cs="Arial"/>
          <w:sz w:val="17"/>
          <w:szCs w:val="17"/>
          <w:color w:val="231F20"/>
          <w:spacing w:val="-8"/>
        </w:rPr>
        <w:t>laparoscopic</w:t>
      </w:r>
      <w:r>
        <w:rPr>
          <w:rFonts w:ascii="Arial" w:hAnsi="Arial" w:eastAsia="Arial" w:cs="Arial"/>
          <w:sz w:val="17"/>
          <w:szCs w:val="17"/>
          <w:color w:val="231F20"/>
          <w:spacing w:val="28"/>
          <w:w w:val="101"/>
        </w:rPr>
        <w:t xml:space="preserve"> </w:t>
      </w:r>
      <w:r>
        <w:rPr>
          <w:rFonts w:ascii="Arial" w:hAnsi="Arial" w:eastAsia="Arial" w:cs="Arial"/>
          <w:sz w:val="17"/>
          <w:szCs w:val="17"/>
          <w:color w:val="231F20"/>
          <w:spacing w:val="-8"/>
        </w:rPr>
        <w:t>ap-</w:t>
      </w:r>
      <w:r>
        <w:rPr>
          <w:rFonts w:ascii="Arial" w:hAnsi="Arial" w:eastAsia="Arial" w:cs="Arial"/>
          <w:sz w:val="17"/>
          <w:szCs w:val="17"/>
          <w:color w:val="231F20"/>
        </w:rPr>
        <w:t xml:space="preserve"> </w:t>
      </w:r>
      <w:r>
        <w:rPr>
          <w:rFonts w:ascii="Arial" w:hAnsi="Arial" w:eastAsia="Arial" w:cs="Arial"/>
          <w:sz w:val="17"/>
          <w:szCs w:val="17"/>
          <w:color w:val="231F20"/>
          <w:spacing w:val="-7"/>
        </w:rPr>
        <w:t>pendectomy</w:t>
      </w:r>
      <w:r>
        <w:rPr>
          <w:rFonts w:ascii="Arial" w:hAnsi="Arial" w:eastAsia="Arial" w:cs="Arial"/>
          <w:sz w:val="17"/>
          <w:szCs w:val="17"/>
          <w:color w:val="231F20"/>
          <w:spacing w:val="17"/>
          <w:w w:val="101"/>
        </w:rPr>
        <w:t xml:space="preserve"> </w:t>
      </w:r>
      <w:r>
        <w:rPr>
          <w:rFonts w:ascii="Arial" w:hAnsi="Arial" w:eastAsia="Arial" w:cs="Arial"/>
          <w:sz w:val="17"/>
          <w:szCs w:val="17"/>
          <w:color w:val="231F20"/>
          <w:spacing w:val="-7"/>
        </w:rPr>
        <w:t>in</w:t>
      </w:r>
      <w:r>
        <w:rPr>
          <w:rFonts w:ascii="Arial" w:hAnsi="Arial" w:eastAsia="Arial" w:cs="Arial"/>
          <w:sz w:val="17"/>
          <w:szCs w:val="17"/>
          <w:color w:val="231F20"/>
          <w:spacing w:val="15"/>
          <w:w w:val="102"/>
        </w:rPr>
        <w:t xml:space="preserve"> </w:t>
      </w:r>
      <w:r>
        <w:rPr>
          <w:rFonts w:ascii="Arial" w:hAnsi="Arial" w:eastAsia="Arial" w:cs="Arial"/>
          <w:sz w:val="17"/>
          <w:szCs w:val="17"/>
          <w:color w:val="231F20"/>
          <w:spacing w:val="-7"/>
        </w:rPr>
        <w:t>terms</w:t>
      </w:r>
      <w:r>
        <w:rPr>
          <w:rFonts w:ascii="Arial" w:hAnsi="Arial" w:eastAsia="Arial" w:cs="Arial"/>
          <w:sz w:val="17"/>
          <w:szCs w:val="17"/>
          <w:color w:val="231F20"/>
          <w:spacing w:val="18"/>
        </w:rPr>
        <w:t xml:space="preserve"> </w:t>
      </w:r>
      <w:r>
        <w:rPr>
          <w:rFonts w:ascii="Arial" w:hAnsi="Arial" w:eastAsia="Arial" w:cs="Arial"/>
          <w:sz w:val="17"/>
          <w:szCs w:val="17"/>
          <w:color w:val="231F20"/>
          <w:spacing w:val="-7"/>
        </w:rPr>
        <w:t>of postoperative</w:t>
      </w:r>
      <w:r>
        <w:rPr>
          <w:rFonts w:ascii="Arial" w:hAnsi="Arial" w:eastAsia="Arial" w:cs="Arial"/>
          <w:sz w:val="17"/>
          <w:szCs w:val="17"/>
          <w:color w:val="231F20"/>
          <w:spacing w:val="17"/>
        </w:rPr>
        <w:t xml:space="preserve"> </w:t>
      </w:r>
      <w:r>
        <w:rPr>
          <w:rFonts w:ascii="Arial" w:hAnsi="Arial" w:eastAsia="Arial" w:cs="Arial"/>
          <w:sz w:val="17"/>
          <w:szCs w:val="17"/>
          <w:color w:val="231F20"/>
          <w:spacing w:val="-7"/>
        </w:rPr>
        <w:t>pain</w:t>
      </w:r>
      <w:r>
        <w:rPr>
          <w:rFonts w:ascii="Arial" w:hAnsi="Arial" w:eastAsia="Arial" w:cs="Arial"/>
          <w:sz w:val="17"/>
          <w:szCs w:val="17"/>
          <w:color w:val="231F20"/>
          <w:spacing w:val="18"/>
          <w:w w:val="101"/>
        </w:rPr>
        <w:t xml:space="preserve"> </w:t>
      </w:r>
      <w:r>
        <w:rPr>
          <w:rFonts w:ascii="Arial" w:hAnsi="Arial" w:eastAsia="Arial" w:cs="Arial"/>
          <w:sz w:val="17"/>
          <w:szCs w:val="17"/>
          <w:color w:val="231F20"/>
          <w:spacing w:val="-7"/>
        </w:rPr>
        <w:t>and</w:t>
      </w:r>
      <w:r>
        <w:rPr>
          <w:rFonts w:ascii="Arial" w:hAnsi="Arial" w:eastAsia="Arial" w:cs="Arial"/>
          <w:sz w:val="17"/>
          <w:szCs w:val="17"/>
          <w:color w:val="231F20"/>
          <w:spacing w:val="17"/>
        </w:rPr>
        <w:t xml:space="preserve"> </w:t>
      </w:r>
      <w:r>
        <w:rPr>
          <w:rFonts w:ascii="Arial" w:hAnsi="Arial" w:eastAsia="Arial" w:cs="Arial"/>
          <w:sz w:val="17"/>
          <w:szCs w:val="17"/>
          <w:color w:val="231F20"/>
          <w:spacing w:val="-7"/>
        </w:rPr>
        <w:t>patient</w:t>
      </w:r>
      <w:r>
        <w:rPr>
          <w:rFonts w:ascii="Arial" w:hAnsi="Arial" w:eastAsia="Arial" w:cs="Arial"/>
          <w:sz w:val="17"/>
          <w:szCs w:val="17"/>
          <w:color w:val="231F20"/>
          <w:spacing w:val="20"/>
        </w:rPr>
        <w:t xml:space="preserve"> </w:t>
      </w:r>
      <w:r>
        <w:rPr>
          <w:rFonts w:ascii="Arial" w:hAnsi="Arial" w:eastAsia="Arial" w:cs="Arial"/>
          <w:sz w:val="17"/>
          <w:szCs w:val="17"/>
          <w:color w:val="231F20"/>
          <w:spacing w:val="-7"/>
        </w:rPr>
        <w:t>sat</w:t>
      </w:r>
      <w:r>
        <w:rPr>
          <w:rFonts w:ascii="Arial" w:hAnsi="Arial" w:eastAsia="Arial" w:cs="Arial"/>
          <w:sz w:val="17"/>
          <w:szCs w:val="17"/>
          <w:color w:val="231F20"/>
          <w:spacing w:val="-8"/>
        </w:rPr>
        <w:t>isfaction</w:t>
      </w:r>
      <w:r>
        <w:rPr>
          <w:sz w:val="17"/>
          <w:szCs w:val="17"/>
          <w:color w:val="231F20"/>
          <w:spacing w:val="-8"/>
        </w:rPr>
        <w:t>：</w:t>
      </w:r>
      <w:r>
        <w:rPr>
          <w:rFonts w:ascii="Arial" w:hAnsi="Arial" w:eastAsia="Arial" w:cs="Arial"/>
          <w:sz w:val="17"/>
          <w:szCs w:val="17"/>
          <w:color w:val="231F20"/>
          <w:spacing w:val="-8"/>
        </w:rPr>
        <w:t>a</w:t>
      </w:r>
      <w:r>
        <w:rPr>
          <w:rFonts w:ascii="Arial" w:hAnsi="Arial" w:eastAsia="Arial" w:cs="Arial"/>
          <w:sz w:val="17"/>
          <w:szCs w:val="17"/>
          <w:color w:val="231F20"/>
          <w:spacing w:val="17"/>
        </w:rPr>
        <w:t xml:space="preserve"> </w:t>
      </w:r>
      <w:r>
        <w:rPr>
          <w:rFonts w:ascii="Arial" w:hAnsi="Arial" w:eastAsia="Arial" w:cs="Arial"/>
          <w:sz w:val="17"/>
          <w:szCs w:val="17"/>
          <w:color w:val="231F20"/>
          <w:spacing w:val="-8"/>
        </w:rPr>
        <w:t>randomized</w:t>
      </w:r>
      <w:r>
        <w:rPr>
          <w:rFonts w:ascii="Arial" w:hAnsi="Arial" w:eastAsia="Arial" w:cs="Arial"/>
          <w:sz w:val="17"/>
          <w:szCs w:val="17"/>
          <w:color w:val="231F20"/>
          <w:spacing w:val="18"/>
          <w:w w:val="101"/>
        </w:rPr>
        <w:t xml:space="preserve"> </w:t>
      </w:r>
      <w:r>
        <w:rPr>
          <w:rFonts w:ascii="Arial" w:hAnsi="Arial" w:eastAsia="Arial" w:cs="Arial"/>
          <w:sz w:val="17"/>
          <w:szCs w:val="17"/>
          <w:color w:val="231F20"/>
          <w:spacing w:val="-8"/>
        </w:rPr>
        <w:t>controlled</w:t>
      </w:r>
      <w:r>
        <w:rPr>
          <w:rFonts w:ascii="Arial" w:hAnsi="Arial" w:eastAsia="Arial" w:cs="Arial"/>
          <w:sz w:val="17"/>
          <w:szCs w:val="17"/>
          <w:color w:val="231F20"/>
          <w:spacing w:val="16"/>
        </w:rPr>
        <w:t xml:space="preserve"> </w:t>
      </w:r>
      <w:r>
        <w:rPr>
          <w:rFonts w:ascii="Arial" w:hAnsi="Arial" w:eastAsia="Arial" w:cs="Arial"/>
          <w:sz w:val="17"/>
          <w:szCs w:val="17"/>
          <w:color w:val="231F20"/>
          <w:spacing w:val="-8"/>
        </w:rPr>
        <w:t>trial[J].Surg</w:t>
      </w:r>
      <w:r>
        <w:rPr>
          <w:rFonts w:ascii="Arial" w:hAnsi="Arial" w:eastAsia="Arial" w:cs="Arial"/>
          <w:sz w:val="17"/>
          <w:szCs w:val="17"/>
          <w:color w:val="231F20"/>
          <w:spacing w:val="19"/>
          <w:w w:val="101"/>
        </w:rPr>
        <w:t xml:space="preserve"> </w:t>
      </w:r>
      <w:r>
        <w:rPr>
          <w:rFonts w:ascii="Arial" w:hAnsi="Arial" w:eastAsia="Arial" w:cs="Arial"/>
          <w:sz w:val="17"/>
          <w:szCs w:val="17"/>
          <w:color w:val="231F20"/>
          <w:spacing w:val="-8"/>
        </w:rPr>
        <w:t>Laparosc</w:t>
      </w:r>
      <w:r>
        <w:rPr>
          <w:rFonts w:ascii="Arial" w:hAnsi="Arial" w:eastAsia="Arial" w:cs="Arial"/>
          <w:sz w:val="17"/>
          <w:szCs w:val="17"/>
          <w:color w:val="231F20"/>
          <w:spacing w:val="18"/>
        </w:rPr>
        <w:t xml:space="preserve"> </w:t>
      </w:r>
      <w:r>
        <w:rPr>
          <w:rFonts w:ascii="Arial" w:hAnsi="Arial" w:eastAsia="Arial" w:cs="Arial"/>
          <w:sz w:val="17"/>
          <w:szCs w:val="17"/>
          <w:color w:val="231F20"/>
          <w:spacing w:val="-8"/>
        </w:rPr>
        <w:t>Endosc</w:t>
      </w:r>
      <w:r>
        <w:rPr>
          <w:rFonts w:ascii="Arial" w:hAnsi="Arial" w:eastAsia="Arial" w:cs="Arial"/>
          <w:sz w:val="17"/>
          <w:szCs w:val="17"/>
          <w:color w:val="231F20"/>
          <w:spacing w:val="17"/>
          <w:w w:val="101"/>
        </w:rPr>
        <w:t xml:space="preserve"> </w:t>
      </w:r>
      <w:r>
        <w:rPr>
          <w:rFonts w:ascii="Arial" w:hAnsi="Arial" w:eastAsia="Arial" w:cs="Arial"/>
          <w:sz w:val="17"/>
          <w:szCs w:val="17"/>
          <w:color w:val="231F20"/>
          <w:spacing w:val="-8"/>
        </w:rPr>
        <w:t>Percutan</w:t>
      </w:r>
      <w:r>
        <w:rPr>
          <w:rFonts w:ascii="Arial" w:hAnsi="Arial" w:eastAsia="Arial" w:cs="Arial"/>
          <w:sz w:val="17"/>
          <w:szCs w:val="17"/>
          <w:color w:val="231F20"/>
          <w:spacing w:val="15"/>
        </w:rPr>
        <w:t xml:space="preserve"> </w:t>
      </w:r>
      <w:r>
        <w:rPr>
          <w:rFonts w:ascii="Arial" w:hAnsi="Arial" w:eastAsia="Arial" w:cs="Arial"/>
          <w:sz w:val="17"/>
          <w:szCs w:val="17"/>
          <w:color w:val="231F20"/>
          <w:spacing w:val="-8"/>
        </w:rPr>
        <w:t>Tech</w:t>
      </w:r>
      <w:r>
        <w:rPr>
          <w:sz w:val="17"/>
          <w:szCs w:val="17"/>
          <w:color w:val="231F20"/>
          <w:spacing w:val="-8"/>
        </w:rPr>
        <w:t>，</w:t>
      </w:r>
      <w:r>
        <w:rPr>
          <w:sz w:val="17"/>
          <w:szCs w:val="17"/>
          <w:color w:val="231F20"/>
        </w:rPr>
        <w:t xml:space="preserve"> </w:t>
      </w:r>
      <w:r>
        <w:rPr>
          <w:rFonts w:ascii="Arial" w:hAnsi="Arial" w:eastAsia="Arial" w:cs="Arial"/>
          <w:sz w:val="17"/>
          <w:szCs w:val="17"/>
          <w:color w:val="231F20"/>
          <w:spacing w:val="-9"/>
        </w:rPr>
        <w:t>2022</w:t>
      </w:r>
      <w:r>
        <w:rPr>
          <w:sz w:val="17"/>
          <w:szCs w:val="17"/>
          <w:color w:val="231F20"/>
          <w:spacing w:val="-9"/>
        </w:rPr>
        <w:t>，</w:t>
      </w:r>
      <w:r>
        <w:rPr>
          <w:rFonts w:ascii="Arial" w:hAnsi="Arial" w:eastAsia="Arial" w:cs="Arial"/>
          <w:sz w:val="17"/>
          <w:szCs w:val="17"/>
          <w:color w:val="231F20"/>
          <w:spacing w:val="-9"/>
        </w:rPr>
        <w:t>32</w:t>
      </w:r>
      <w:r>
        <w:rPr>
          <w:sz w:val="17"/>
          <w:szCs w:val="17"/>
          <w:color w:val="231F20"/>
          <w:spacing w:val="-9"/>
        </w:rPr>
        <w:t>（</w:t>
      </w:r>
      <w:r>
        <w:rPr>
          <w:rFonts w:ascii="Arial" w:hAnsi="Arial" w:eastAsia="Arial" w:cs="Arial"/>
          <w:sz w:val="17"/>
          <w:szCs w:val="17"/>
          <w:color w:val="231F20"/>
          <w:spacing w:val="-9"/>
        </w:rPr>
        <w:t>4</w:t>
      </w:r>
      <w:r>
        <w:rPr>
          <w:sz w:val="17"/>
          <w:szCs w:val="17"/>
          <w:color w:val="231F20"/>
          <w:spacing w:val="-28"/>
          <w:w w:val="60"/>
        </w:rPr>
        <w:t>）：</w:t>
      </w:r>
      <w:r>
        <w:rPr>
          <w:rFonts w:ascii="Arial" w:hAnsi="Arial" w:eastAsia="Arial" w:cs="Arial"/>
          <w:sz w:val="17"/>
          <w:szCs w:val="17"/>
          <w:color w:val="231F20"/>
          <w:spacing w:val="-9"/>
        </w:rPr>
        <w:t>415-419.</w:t>
      </w:r>
    </w:p>
    <w:p>
      <w:pPr>
        <w:pStyle w:val="BodyText"/>
        <w:ind w:left="9192" w:right="16" w:hanging="8772"/>
        <w:spacing w:before="53" w:line="191" w:lineRule="auto"/>
        <w:rPr/>
      </w:pPr>
      <w:r>
        <w:rPr>
          <w:rFonts w:ascii="Arial" w:hAnsi="Arial" w:eastAsia="Arial" w:cs="Arial"/>
          <w:sz w:val="17"/>
          <w:szCs w:val="17"/>
          <w:color w:val="231F20"/>
        </w:rPr>
        <w:t>[3]</w:t>
      </w:r>
      <w:r>
        <w:rPr>
          <w:rFonts w:ascii="Arial" w:hAnsi="Arial" w:eastAsia="Arial" w:cs="Arial"/>
          <w:sz w:val="17"/>
          <w:szCs w:val="17"/>
          <w:color w:val="231F20"/>
          <w:spacing w:val="13"/>
        </w:rPr>
        <w:t xml:space="preserve">   </w:t>
      </w:r>
      <w:r>
        <w:rPr>
          <w:sz w:val="17"/>
          <w:szCs w:val="17"/>
          <w:color w:val="231F20"/>
        </w:rPr>
        <w:t>李超，汪宏，刘玉海，等</w:t>
      </w:r>
      <w:r>
        <w:rPr>
          <w:rFonts w:ascii="Arial" w:hAnsi="Arial" w:eastAsia="Arial" w:cs="Arial"/>
          <w:sz w:val="17"/>
          <w:szCs w:val="17"/>
          <w:color w:val="231F20"/>
        </w:rPr>
        <w:t>.</w:t>
      </w:r>
      <w:r>
        <w:rPr>
          <w:sz w:val="17"/>
          <w:szCs w:val="17"/>
          <w:color w:val="231F20"/>
        </w:rPr>
        <w:t>外科腹腔镜下阑尾切除术联合经腹膜前腹股沟疝修补术的临床可行性探讨</w:t>
      </w:r>
      <w:r>
        <w:rPr>
          <w:rFonts w:ascii="Arial" w:hAnsi="Arial" w:eastAsia="Arial" w:cs="Arial"/>
          <w:sz w:val="17"/>
          <w:szCs w:val="17"/>
          <w:color w:val="231F20"/>
        </w:rPr>
        <w:t>[J].</w:t>
      </w:r>
      <w:r>
        <w:rPr>
          <w:sz w:val="17"/>
          <w:szCs w:val="17"/>
          <w:color w:val="231F20"/>
        </w:rPr>
        <w:t>河北</w:t>
      </w:r>
      <w:r>
        <w:rPr>
          <w:sz w:val="17"/>
          <w:szCs w:val="17"/>
          <w:color w:val="231F20"/>
          <w:spacing w:val="-1"/>
        </w:rPr>
        <w:t>医科大学学报，</w:t>
      </w:r>
      <w:r>
        <w:rPr>
          <w:rFonts w:ascii="Arial" w:hAnsi="Arial" w:eastAsia="Arial" w:cs="Arial"/>
          <w:sz w:val="17"/>
          <w:szCs w:val="17"/>
          <w:color w:val="231F20"/>
          <w:spacing w:val="-1"/>
        </w:rPr>
        <w:t>2019</w:t>
      </w:r>
      <w:r>
        <w:rPr>
          <w:sz w:val="17"/>
          <w:szCs w:val="17"/>
          <w:color w:val="231F20"/>
          <w:spacing w:val="-1"/>
        </w:rPr>
        <w:t>，</w:t>
      </w:r>
      <w:r>
        <w:rPr>
          <w:rFonts w:ascii="Arial" w:hAnsi="Arial" w:eastAsia="Arial" w:cs="Arial"/>
          <w:sz w:val="17"/>
          <w:szCs w:val="17"/>
          <w:color w:val="231F20"/>
          <w:spacing w:val="-1"/>
        </w:rPr>
        <w:t>40</w:t>
      </w:r>
      <w:r>
        <w:rPr>
          <w:rFonts w:ascii="Arial" w:hAnsi="Arial" w:eastAsia="Arial" w:cs="Arial"/>
          <w:sz w:val="17"/>
          <w:szCs w:val="17"/>
          <w:color w:val="231F20"/>
        </w:rPr>
        <w:t xml:space="preserve">  </w:t>
      </w:r>
      <w:r>
        <w:rPr>
          <w:color w:val="231F20"/>
          <w:spacing w:val="-9"/>
        </w:rPr>
        <w:t>（下转第 44</w:t>
      </w:r>
      <w:r>
        <w:rPr>
          <w:color w:val="231F20"/>
          <w:spacing w:val="25"/>
        </w:rPr>
        <w:t xml:space="preserve"> </w:t>
      </w:r>
      <w:r>
        <w:rPr>
          <w:color w:val="231F20"/>
          <w:spacing w:val="-9"/>
        </w:rPr>
        <w:t>页）</w:t>
      </w:r>
    </w:p>
    <w:p>
      <w:pPr>
        <w:spacing w:line="191" w:lineRule="auto"/>
        <w:sectPr>
          <w:type w:val="continuous"/>
          <w:pgSz w:w="11905" w:h="16836"/>
          <w:pgMar w:top="1497" w:right="771" w:bottom="917" w:left="424" w:header="1136" w:footer="776" w:gutter="0"/>
          <w:cols w:equalWidth="0" w:num="1">
            <w:col w:w="10709" w:space="0"/>
          </w:cols>
        </w:sectPr>
        <w:rPr/>
      </w:pPr>
    </w:p>
    <w:p>
      <w:pPr>
        <w:spacing w:line="144" w:lineRule="exact"/>
        <w:rPr/>
      </w:pPr>
      <w:r/>
    </w:p>
    <w:p>
      <w:pPr>
        <w:spacing w:line="144" w:lineRule="exact"/>
        <w:sectPr>
          <w:headerReference w:type="default" r:id="rId8"/>
          <w:footerReference w:type="default" r:id="rId9"/>
          <w:pgSz w:w="11905" w:h="16836"/>
          <w:pgMar w:top="1497" w:right="787" w:bottom="917" w:left="424" w:header="1046" w:footer="776" w:gutter="0"/>
          <w:cols w:equalWidth="0" w:num="1">
            <w:col w:w="10693" w:space="0"/>
          </w:cols>
        </w:sectPr>
        <w:rPr/>
      </w:pPr>
    </w:p>
    <w:p>
      <w:pPr>
        <w:pStyle w:val="BodyText"/>
        <w:ind w:left="429" w:right="196" w:firstLine="2"/>
        <w:spacing w:before="47" w:line="223" w:lineRule="auto"/>
        <w:rPr/>
      </w:pPr>
      <w:r>
        <w:rPr>
          <w:color w:val="231F20"/>
          <w:spacing w:val="13"/>
        </w:rPr>
        <w:t>子生成</w:t>
      </w:r>
      <w:r>
        <w:rPr>
          <w:color w:val="231F20"/>
          <w:spacing w:val="3"/>
        </w:rPr>
        <w:t xml:space="preserve"> </w:t>
      </w:r>
      <w:r>
        <w:rPr>
          <w:color w:val="231F20"/>
          <w:spacing w:val="13"/>
        </w:rPr>
        <w:t>，</w:t>
      </w:r>
      <w:r>
        <w:rPr>
          <w:color w:val="231F20"/>
          <w:spacing w:val="-39"/>
        </w:rPr>
        <w:t xml:space="preserve"> </w:t>
      </w:r>
      <w:r>
        <w:rPr>
          <w:color w:val="231F20"/>
          <w:spacing w:val="13"/>
        </w:rPr>
        <w:t>又能通过抑制内皮细胞表面黏附因子表达，</w:t>
      </w:r>
      <w:r>
        <w:rPr>
          <w:color w:val="231F20"/>
        </w:rPr>
        <w:t xml:space="preserve"> </w:t>
      </w:r>
      <w:r>
        <w:rPr>
          <w:color w:val="231F20"/>
          <w:spacing w:val="6"/>
        </w:rPr>
        <w:t>对 T 细胞的增殖与凋亡产生调节作用。</w:t>
      </w:r>
    </w:p>
    <w:p>
      <w:pPr>
        <w:pStyle w:val="BodyText"/>
        <w:ind w:left="848"/>
        <w:spacing w:line="207" w:lineRule="auto"/>
        <w:rPr/>
      </w:pPr>
      <w:r>
        <w:rPr>
          <w:color w:val="231F20"/>
          <w:spacing w:val="16"/>
        </w:rPr>
        <w:t>综上所述</w:t>
      </w:r>
      <w:r>
        <w:rPr>
          <w:color w:val="231F20"/>
          <w:spacing w:val="-13"/>
        </w:rPr>
        <w:t xml:space="preserve"> </w:t>
      </w:r>
      <w:r>
        <w:rPr>
          <w:color w:val="231F20"/>
          <w:spacing w:val="16"/>
        </w:rPr>
        <w:t>，沙利度胺联合 </w:t>
      </w:r>
      <w:r>
        <w:rPr>
          <w:color w:val="231F20"/>
        </w:rPr>
        <w:t>XELOX</w:t>
      </w:r>
      <w:r>
        <w:rPr>
          <w:color w:val="231F20"/>
          <w:spacing w:val="16"/>
        </w:rPr>
        <w:t xml:space="preserve"> 化疗方案治疗</w:t>
      </w:r>
    </w:p>
    <w:p>
      <w:pPr>
        <w:spacing w:line="14" w:lineRule="auto"/>
        <w:rPr>
          <w:rFonts w:ascii="Arial"/>
          <w:sz w:val="2"/>
        </w:rPr>
      </w:pPr>
      <w:r>
        <w:rPr>
          <w:rFonts w:ascii="Arial" w:hAnsi="Arial" w:eastAsia="Arial" w:cs="Arial"/>
          <w:sz w:val="2"/>
          <w:szCs w:val="2"/>
        </w:rPr>
        <w:br w:type="column"/>
      </w:r>
    </w:p>
    <w:p>
      <w:pPr>
        <w:pStyle w:val="BodyText"/>
        <w:ind w:right="59"/>
        <w:spacing w:before="53" w:line="228" w:lineRule="auto"/>
        <w:jc w:val="both"/>
        <w:rPr/>
      </w:pPr>
      <w:r>
        <w:rPr>
          <w:color w:val="231F20"/>
          <w:spacing w:val="12"/>
        </w:rPr>
        <w:t>转移性结直肠癌可取得良好近期效果</w:t>
      </w:r>
      <w:r>
        <w:rPr>
          <w:color w:val="231F20"/>
          <w:spacing w:val="-16"/>
        </w:rPr>
        <w:t xml:space="preserve"> </w:t>
      </w:r>
      <w:r>
        <w:rPr>
          <w:color w:val="231F20"/>
          <w:spacing w:val="12"/>
        </w:rPr>
        <w:t>，该方案有助于</w:t>
      </w:r>
      <w:r>
        <w:rPr>
          <w:color w:val="231F20"/>
        </w:rPr>
        <w:t xml:space="preserve"> </w:t>
      </w:r>
      <w:r>
        <w:rPr>
          <w:color w:val="231F20"/>
          <w:spacing w:val="9"/>
        </w:rPr>
        <w:t>提升患者免疫功能</w:t>
      </w:r>
      <w:r>
        <w:rPr>
          <w:color w:val="231F20"/>
          <w:spacing w:val="-19"/>
        </w:rPr>
        <w:t xml:space="preserve"> </w:t>
      </w:r>
      <w:r>
        <w:rPr>
          <w:color w:val="231F20"/>
          <w:spacing w:val="9"/>
        </w:rPr>
        <w:t>，促使肿瘤标志物水平下降</w:t>
      </w:r>
      <w:r>
        <w:rPr>
          <w:color w:val="231F20"/>
          <w:spacing w:val="-18"/>
        </w:rPr>
        <w:t xml:space="preserve"> </w:t>
      </w:r>
      <w:r>
        <w:rPr>
          <w:color w:val="231F20"/>
          <w:spacing w:val="9"/>
        </w:rPr>
        <w:t>，</w:t>
      </w:r>
      <w:r>
        <w:rPr>
          <w:color w:val="231F20"/>
          <w:spacing w:val="-28"/>
        </w:rPr>
        <w:t xml:space="preserve"> </w:t>
      </w:r>
      <w:r>
        <w:rPr>
          <w:color w:val="231F20"/>
          <w:spacing w:val="9"/>
        </w:rPr>
        <w:t>同时</w:t>
      </w:r>
      <w:r>
        <w:rPr>
          <w:color w:val="231F20"/>
        </w:rPr>
        <w:t xml:space="preserve"> </w:t>
      </w:r>
      <w:r>
        <w:rPr>
          <w:color w:val="231F20"/>
          <w:spacing w:val="6"/>
        </w:rPr>
        <w:t>不良反应少，安全性高</w:t>
      </w:r>
      <w:r>
        <w:rPr>
          <w:color w:val="231F20"/>
          <w:spacing w:val="-10"/>
        </w:rPr>
        <w:t xml:space="preserve"> </w:t>
      </w:r>
      <w:r>
        <w:rPr>
          <w:color w:val="231F20"/>
          <w:spacing w:val="6"/>
        </w:rPr>
        <w:t>，值得临床推广。</w:t>
      </w:r>
    </w:p>
    <w:p>
      <w:pPr>
        <w:spacing w:line="228" w:lineRule="auto"/>
        <w:sectPr>
          <w:type w:val="continuous"/>
          <w:pgSz w:w="11905" w:h="16836"/>
          <w:pgMar w:top="1497" w:right="787" w:bottom="917" w:left="424" w:header="1046" w:footer="776" w:gutter="0"/>
          <w:cols w:equalWidth="0" w:num="2">
            <w:col w:w="5612" w:space="100"/>
            <w:col w:w="4981" w:space="0"/>
          </w:cols>
        </w:sectPr>
        <w:rPr/>
      </w:pPr>
    </w:p>
    <w:p>
      <w:pPr>
        <w:pStyle w:val="BodyText"/>
        <w:ind w:left="435"/>
        <w:spacing w:before="300" w:line="190" w:lineRule="auto"/>
        <w:outlineLvl w:val="1"/>
        <w:rPr>
          <w:sz w:val="24"/>
          <w:szCs w:val="24"/>
        </w:rPr>
      </w:pPr>
      <w:r>
        <w:rPr>
          <w:sz w:val="24"/>
          <w:szCs w:val="24"/>
          <w:color w:val="231F20"/>
          <w:spacing w:val="-2"/>
        </w:rPr>
        <w:t>参考文献</w:t>
      </w:r>
    </w:p>
    <w:p>
      <w:pPr>
        <w:pStyle w:val="BodyText"/>
        <w:ind w:left="818" w:right="48" w:hanging="383"/>
        <w:spacing w:before="96" w:line="253" w:lineRule="auto"/>
        <w:rPr>
          <w:rFonts w:ascii="Arial" w:hAnsi="Arial" w:eastAsia="Arial" w:cs="Arial"/>
          <w:sz w:val="17"/>
          <w:szCs w:val="17"/>
        </w:rPr>
      </w:pPr>
      <w:r>
        <w:rPr>
          <w:rFonts w:ascii="Arial" w:hAnsi="Arial" w:eastAsia="Arial" w:cs="Arial"/>
          <w:sz w:val="17"/>
          <w:szCs w:val="17"/>
          <w:color w:val="231F20"/>
          <w:spacing w:val="2"/>
        </w:rPr>
        <w:t>[1]</w:t>
      </w:r>
      <w:r>
        <w:rPr>
          <w:rFonts w:ascii="Arial" w:hAnsi="Arial" w:eastAsia="Arial" w:cs="Arial"/>
          <w:sz w:val="17"/>
          <w:szCs w:val="17"/>
          <w:color w:val="231F20"/>
        </w:rPr>
        <w:t xml:space="preserve">    </w:t>
      </w:r>
      <w:r>
        <w:rPr>
          <w:sz w:val="17"/>
          <w:szCs w:val="17"/>
          <w:color w:val="231F20"/>
          <w:spacing w:val="2"/>
        </w:rPr>
        <w:t>李瑜珩，余利坚，潘广彪，等</w:t>
      </w:r>
      <w:r>
        <w:rPr>
          <w:rFonts w:ascii="Arial" w:hAnsi="Arial" w:eastAsia="Arial" w:cs="Arial"/>
          <w:sz w:val="17"/>
          <w:szCs w:val="17"/>
          <w:color w:val="231F20"/>
          <w:spacing w:val="2"/>
        </w:rPr>
        <w:t>.</w:t>
      </w:r>
      <w:r>
        <w:rPr>
          <w:sz w:val="17"/>
          <w:szCs w:val="17"/>
          <w:color w:val="231F20"/>
          <w:spacing w:val="2"/>
        </w:rPr>
        <w:t>瑞戈非尼联合 </w:t>
      </w:r>
      <w:r>
        <w:rPr>
          <w:rFonts w:ascii="Arial" w:hAnsi="Arial" w:eastAsia="Arial" w:cs="Arial"/>
          <w:sz w:val="17"/>
          <w:szCs w:val="17"/>
          <w:color w:val="231F20"/>
        </w:rPr>
        <w:t>XELOX</w:t>
      </w:r>
      <w:r>
        <w:rPr>
          <w:rFonts w:ascii="Arial" w:hAnsi="Arial" w:eastAsia="Arial" w:cs="Arial"/>
          <w:sz w:val="17"/>
          <w:szCs w:val="17"/>
          <w:color w:val="231F20"/>
          <w:spacing w:val="2"/>
        </w:rPr>
        <w:t xml:space="preserve"> </w:t>
      </w:r>
      <w:r>
        <w:rPr>
          <w:sz w:val="17"/>
          <w:szCs w:val="17"/>
          <w:color w:val="231F20"/>
          <w:spacing w:val="2"/>
        </w:rPr>
        <w:t>化疗方案治疗结直肠癌的临床研究</w:t>
      </w:r>
      <w:r>
        <w:rPr>
          <w:rFonts w:ascii="Arial" w:hAnsi="Arial" w:eastAsia="Arial" w:cs="Arial"/>
          <w:sz w:val="17"/>
          <w:szCs w:val="17"/>
          <w:color w:val="231F20"/>
          <w:spacing w:val="2"/>
        </w:rPr>
        <w:t>[J].</w:t>
      </w:r>
      <w:r>
        <w:rPr>
          <w:sz w:val="17"/>
          <w:szCs w:val="17"/>
          <w:color w:val="231F20"/>
          <w:spacing w:val="2"/>
        </w:rPr>
        <w:t>现代药物与临</w:t>
      </w:r>
      <w:r>
        <w:rPr>
          <w:sz w:val="17"/>
          <w:szCs w:val="17"/>
          <w:color w:val="231F20"/>
          <w:spacing w:val="1"/>
        </w:rPr>
        <w:t>床，</w:t>
      </w:r>
      <w:r>
        <w:rPr>
          <w:rFonts w:ascii="Arial" w:hAnsi="Arial" w:eastAsia="Arial" w:cs="Arial"/>
          <w:sz w:val="17"/>
          <w:szCs w:val="17"/>
          <w:color w:val="231F20"/>
          <w:spacing w:val="1"/>
        </w:rPr>
        <w:t>2023</w:t>
      </w:r>
      <w:r>
        <w:rPr>
          <w:sz w:val="17"/>
          <w:szCs w:val="17"/>
          <w:color w:val="231F20"/>
          <w:spacing w:val="1"/>
        </w:rPr>
        <w:t>，</w:t>
      </w:r>
      <w:r>
        <w:rPr>
          <w:rFonts w:ascii="Arial" w:hAnsi="Arial" w:eastAsia="Arial" w:cs="Arial"/>
          <w:sz w:val="17"/>
          <w:szCs w:val="17"/>
          <w:color w:val="231F20"/>
          <w:spacing w:val="1"/>
        </w:rPr>
        <w:t>38</w:t>
      </w:r>
      <w:r>
        <w:rPr>
          <w:sz w:val="17"/>
          <w:szCs w:val="17"/>
          <w:color w:val="231F20"/>
          <w:spacing w:val="1"/>
        </w:rPr>
        <w:t>（</w:t>
      </w:r>
      <w:r>
        <w:rPr>
          <w:rFonts w:ascii="Arial" w:hAnsi="Arial" w:eastAsia="Arial" w:cs="Arial"/>
          <w:sz w:val="17"/>
          <w:szCs w:val="17"/>
          <w:color w:val="231F20"/>
          <w:spacing w:val="1"/>
        </w:rPr>
        <w:t>5</w:t>
      </w:r>
      <w:r>
        <w:rPr>
          <w:sz w:val="17"/>
          <w:szCs w:val="17"/>
          <w:color w:val="231F20"/>
          <w:spacing w:val="-38"/>
          <w:w w:val="80"/>
        </w:rPr>
        <w:t>）：</w:t>
      </w:r>
      <w:r>
        <w:rPr>
          <w:rFonts w:ascii="Arial" w:hAnsi="Arial" w:eastAsia="Arial" w:cs="Arial"/>
          <w:sz w:val="17"/>
          <w:szCs w:val="17"/>
          <w:color w:val="231F20"/>
          <w:spacing w:val="1"/>
        </w:rPr>
        <w:t>1175-</w:t>
      </w:r>
      <w:r>
        <w:rPr>
          <w:rFonts w:ascii="Arial" w:hAnsi="Arial" w:eastAsia="Arial" w:cs="Arial"/>
          <w:sz w:val="17"/>
          <w:szCs w:val="17"/>
          <w:color w:val="231F20"/>
          <w:spacing w:val="2"/>
        </w:rPr>
        <w:t xml:space="preserve"> </w:t>
      </w:r>
      <w:r>
        <w:rPr>
          <w:rFonts w:ascii="Arial" w:hAnsi="Arial" w:eastAsia="Arial" w:cs="Arial"/>
          <w:sz w:val="17"/>
          <w:szCs w:val="17"/>
          <w:color w:val="231F20"/>
          <w:spacing w:val="-8"/>
        </w:rPr>
        <w:t>1180.</w:t>
      </w:r>
    </w:p>
    <w:p>
      <w:pPr>
        <w:pStyle w:val="BodyText"/>
        <w:ind w:left="435"/>
        <w:spacing w:before="63" w:line="193" w:lineRule="auto"/>
        <w:rPr>
          <w:rFonts w:ascii="Arial" w:hAnsi="Arial" w:eastAsia="Arial" w:cs="Arial"/>
          <w:sz w:val="17"/>
          <w:szCs w:val="17"/>
        </w:rPr>
      </w:pPr>
      <w:r>
        <w:rPr>
          <w:rFonts w:ascii="Arial" w:hAnsi="Arial" w:eastAsia="Arial" w:cs="Arial"/>
          <w:sz w:val="17"/>
          <w:szCs w:val="17"/>
          <w:color w:val="231F20"/>
          <w:spacing w:val="2"/>
        </w:rPr>
        <w:t>[2]</w:t>
      </w:r>
      <w:r>
        <w:rPr>
          <w:rFonts w:ascii="Arial" w:hAnsi="Arial" w:eastAsia="Arial" w:cs="Arial"/>
          <w:sz w:val="17"/>
          <w:szCs w:val="17"/>
          <w:color w:val="231F20"/>
          <w:spacing w:val="15"/>
          <w:w w:val="101"/>
        </w:rPr>
        <w:t xml:space="preserve">   </w:t>
      </w:r>
      <w:r>
        <w:rPr>
          <w:sz w:val="17"/>
          <w:szCs w:val="17"/>
          <w:color w:val="231F20"/>
          <w:spacing w:val="2"/>
        </w:rPr>
        <w:t>王义东</w:t>
      </w:r>
      <w:r>
        <w:rPr>
          <w:rFonts w:ascii="Arial" w:hAnsi="Arial" w:eastAsia="Arial" w:cs="Arial"/>
          <w:sz w:val="17"/>
          <w:szCs w:val="17"/>
          <w:color w:val="231F20"/>
          <w:spacing w:val="2"/>
        </w:rPr>
        <w:t>.</w:t>
      </w:r>
      <w:r>
        <w:rPr>
          <w:rFonts w:ascii="Arial" w:hAnsi="Arial" w:eastAsia="Arial" w:cs="Arial"/>
          <w:sz w:val="17"/>
          <w:szCs w:val="17"/>
          <w:color w:val="231F20"/>
        </w:rPr>
        <w:t>XELOX</w:t>
      </w:r>
      <w:r>
        <w:rPr>
          <w:rFonts w:ascii="Arial" w:hAnsi="Arial" w:eastAsia="Arial" w:cs="Arial"/>
          <w:sz w:val="17"/>
          <w:szCs w:val="17"/>
          <w:color w:val="231F20"/>
          <w:spacing w:val="2"/>
        </w:rPr>
        <w:t xml:space="preserve"> </w:t>
      </w:r>
      <w:r>
        <w:rPr>
          <w:sz w:val="17"/>
          <w:szCs w:val="17"/>
          <w:color w:val="231F20"/>
          <w:spacing w:val="2"/>
        </w:rPr>
        <w:t>化疗方案联合贝伐单抗靶向治疗对晚</w:t>
      </w:r>
      <w:r>
        <w:rPr>
          <w:sz w:val="17"/>
          <w:szCs w:val="17"/>
          <w:color w:val="231F20"/>
          <w:spacing w:val="1"/>
        </w:rPr>
        <w:t>期结直肠癌患者治疗效果及生存质量的影响</w:t>
      </w:r>
      <w:r>
        <w:rPr>
          <w:rFonts w:ascii="Arial" w:hAnsi="Arial" w:eastAsia="Arial" w:cs="Arial"/>
          <w:sz w:val="17"/>
          <w:szCs w:val="17"/>
          <w:color w:val="231F20"/>
          <w:spacing w:val="1"/>
        </w:rPr>
        <w:t>[J].</w:t>
      </w:r>
      <w:r>
        <w:rPr>
          <w:sz w:val="17"/>
          <w:szCs w:val="17"/>
          <w:color w:val="231F20"/>
          <w:spacing w:val="1"/>
        </w:rPr>
        <w:t>名医，</w:t>
      </w:r>
      <w:r>
        <w:rPr>
          <w:rFonts w:ascii="Arial" w:hAnsi="Arial" w:eastAsia="Arial" w:cs="Arial"/>
          <w:sz w:val="17"/>
          <w:szCs w:val="17"/>
          <w:color w:val="231F20"/>
          <w:spacing w:val="1"/>
        </w:rPr>
        <w:t>2022</w:t>
      </w:r>
      <w:r>
        <w:rPr>
          <w:sz w:val="17"/>
          <w:szCs w:val="17"/>
          <w:color w:val="231F20"/>
          <w:spacing w:val="1"/>
        </w:rPr>
        <w:t>（</w:t>
      </w:r>
      <w:r>
        <w:rPr>
          <w:rFonts w:ascii="Arial" w:hAnsi="Arial" w:eastAsia="Arial" w:cs="Arial"/>
          <w:sz w:val="17"/>
          <w:szCs w:val="17"/>
          <w:color w:val="231F20"/>
          <w:spacing w:val="1"/>
        </w:rPr>
        <w:t>20</w:t>
      </w:r>
      <w:r>
        <w:rPr>
          <w:sz w:val="17"/>
          <w:szCs w:val="17"/>
          <w:color w:val="231F20"/>
          <w:spacing w:val="-38"/>
          <w:w w:val="80"/>
        </w:rPr>
        <w:t>）：</w:t>
      </w:r>
      <w:r>
        <w:rPr>
          <w:rFonts w:ascii="Arial" w:hAnsi="Arial" w:eastAsia="Arial" w:cs="Arial"/>
          <w:sz w:val="17"/>
          <w:szCs w:val="17"/>
          <w:color w:val="231F20"/>
          <w:spacing w:val="1"/>
        </w:rPr>
        <w:t>162-164.</w:t>
      </w:r>
    </w:p>
    <w:p>
      <w:pPr>
        <w:pStyle w:val="BodyText"/>
        <w:ind w:right="33"/>
        <w:spacing w:before="52" w:line="193" w:lineRule="auto"/>
        <w:jc w:val="right"/>
        <w:rPr>
          <w:rFonts w:ascii="Arial" w:hAnsi="Arial" w:eastAsia="Arial" w:cs="Arial"/>
          <w:sz w:val="17"/>
          <w:szCs w:val="17"/>
        </w:rPr>
      </w:pPr>
      <w:r>
        <w:rPr>
          <w:rFonts w:ascii="Arial" w:hAnsi="Arial" w:eastAsia="Arial" w:cs="Arial"/>
          <w:sz w:val="17"/>
          <w:szCs w:val="17"/>
          <w:color w:val="231F20"/>
          <w:spacing w:val="-4"/>
        </w:rPr>
        <w:t>[3]    </w:t>
      </w:r>
      <w:r>
        <w:rPr>
          <w:sz w:val="17"/>
          <w:szCs w:val="17"/>
          <w:color w:val="231F20"/>
          <w:spacing w:val="-4"/>
        </w:rPr>
        <w:t>张洋，杨帆，王景景</w:t>
      </w:r>
      <w:r>
        <w:rPr>
          <w:rFonts w:ascii="Arial" w:hAnsi="Arial" w:eastAsia="Arial" w:cs="Arial"/>
          <w:sz w:val="17"/>
          <w:szCs w:val="17"/>
          <w:color w:val="231F20"/>
          <w:spacing w:val="-4"/>
        </w:rPr>
        <w:t>.</w:t>
      </w:r>
      <w:r>
        <w:rPr>
          <w:sz w:val="17"/>
          <w:szCs w:val="17"/>
          <w:color w:val="231F20"/>
          <w:spacing w:val="-4"/>
        </w:rPr>
        <w:t>沙利</w:t>
      </w:r>
      <w:r>
        <w:rPr>
          <w:sz w:val="17"/>
          <w:szCs w:val="17"/>
          <w:color w:val="231F20"/>
          <w:spacing w:val="-5"/>
        </w:rPr>
        <w:t>度胺联合 </w:t>
      </w:r>
      <w:r>
        <w:rPr>
          <w:rFonts w:ascii="Arial" w:hAnsi="Arial" w:eastAsia="Arial" w:cs="Arial"/>
          <w:sz w:val="17"/>
          <w:szCs w:val="17"/>
          <w:color w:val="231F20"/>
          <w:spacing w:val="-5"/>
        </w:rPr>
        <w:t>XELOX </w:t>
      </w:r>
      <w:r>
        <w:rPr>
          <w:sz w:val="17"/>
          <w:szCs w:val="17"/>
          <w:color w:val="231F20"/>
          <w:spacing w:val="-5"/>
        </w:rPr>
        <w:t>方案化疗治疗转移性结直肠癌的疗效及对生存率的影响</w:t>
      </w:r>
      <w:r>
        <w:rPr>
          <w:rFonts w:ascii="Arial" w:hAnsi="Arial" w:eastAsia="Arial" w:cs="Arial"/>
          <w:sz w:val="17"/>
          <w:szCs w:val="17"/>
          <w:color w:val="231F20"/>
          <w:spacing w:val="-5"/>
        </w:rPr>
        <w:t>[J].</w:t>
      </w:r>
      <w:r>
        <w:rPr>
          <w:sz w:val="17"/>
          <w:szCs w:val="17"/>
          <w:color w:val="231F20"/>
          <w:spacing w:val="-5"/>
        </w:rPr>
        <w:t>癌症进展，</w:t>
      </w:r>
      <w:r>
        <w:rPr>
          <w:rFonts w:ascii="Arial" w:hAnsi="Arial" w:eastAsia="Arial" w:cs="Arial"/>
          <w:sz w:val="17"/>
          <w:szCs w:val="17"/>
          <w:color w:val="231F20"/>
          <w:spacing w:val="-5"/>
        </w:rPr>
        <w:t>2022</w:t>
      </w:r>
      <w:r>
        <w:rPr>
          <w:sz w:val="17"/>
          <w:szCs w:val="17"/>
          <w:color w:val="231F20"/>
          <w:spacing w:val="-5"/>
        </w:rPr>
        <w:t>，</w:t>
      </w:r>
      <w:r>
        <w:rPr>
          <w:rFonts w:ascii="Arial" w:hAnsi="Arial" w:eastAsia="Arial" w:cs="Arial"/>
          <w:sz w:val="17"/>
          <w:szCs w:val="17"/>
          <w:color w:val="231F20"/>
          <w:spacing w:val="-5"/>
        </w:rPr>
        <w:t>20</w:t>
      </w:r>
      <w:r>
        <w:rPr>
          <w:sz w:val="17"/>
          <w:szCs w:val="17"/>
          <w:color w:val="231F20"/>
          <w:spacing w:val="-5"/>
        </w:rPr>
        <w:t>（</w:t>
      </w:r>
      <w:r>
        <w:rPr>
          <w:rFonts w:ascii="Arial" w:hAnsi="Arial" w:eastAsia="Arial" w:cs="Arial"/>
          <w:sz w:val="17"/>
          <w:szCs w:val="17"/>
          <w:color w:val="231F20"/>
          <w:spacing w:val="-5"/>
        </w:rPr>
        <w:t>7</w:t>
      </w:r>
      <w:r>
        <w:rPr>
          <w:sz w:val="17"/>
          <w:szCs w:val="17"/>
          <w:color w:val="231F20"/>
          <w:spacing w:val="-25"/>
          <w:w w:val="54"/>
        </w:rPr>
        <w:t>）：</w:t>
      </w:r>
      <w:r>
        <w:rPr>
          <w:rFonts w:ascii="Arial" w:hAnsi="Arial" w:eastAsia="Arial" w:cs="Arial"/>
          <w:sz w:val="17"/>
          <w:szCs w:val="17"/>
          <w:color w:val="231F20"/>
          <w:spacing w:val="-5"/>
        </w:rPr>
        <w:t>727-730.</w:t>
      </w:r>
    </w:p>
    <w:p>
      <w:pPr>
        <w:pStyle w:val="BodyText"/>
        <w:ind w:left="811" w:right="48" w:hanging="376"/>
        <w:spacing w:before="54" w:line="219" w:lineRule="auto"/>
        <w:rPr>
          <w:rFonts w:ascii="Arial" w:hAnsi="Arial" w:eastAsia="Arial" w:cs="Arial"/>
          <w:sz w:val="17"/>
          <w:szCs w:val="17"/>
        </w:rPr>
      </w:pPr>
      <w:r>
        <w:rPr>
          <w:rFonts w:ascii="Arial" w:hAnsi="Arial" w:eastAsia="Arial" w:cs="Arial"/>
          <w:sz w:val="17"/>
          <w:szCs w:val="17"/>
          <w:color w:val="231F20"/>
          <w:spacing w:val="1"/>
        </w:rPr>
        <w:t>[4]</w:t>
      </w:r>
      <w:r>
        <w:rPr>
          <w:rFonts w:ascii="Arial" w:hAnsi="Arial" w:eastAsia="Arial" w:cs="Arial"/>
          <w:sz w:val="17"/>
          <w:szCs w:val="17"/>
          <w:color w:val="231F20"/>
          <w:spacing w:val="13"/>
          <w:w w:val="101"/>
        </w:rPr>
        <w:t xml:space="preserve">   </w:t>
      </w:r>
      <w:r>
        <w:rPr>
          <w:sz w:val="17"/>
          <w:szCs w:val="17"/>
          <w:color w:val="231F20"/>
          <w:spacing w:val="1"/>
        </w:rPr>
        <w:t>袁瑛，丁克峰，张苏展</w:t>
      </w:r>
      <w:r>
        <w:rPr>
          <w:rFonts w:ascii="Arial" w:hAnsi="Arial" w:eastAsia="Arial" w:cs="Arial"/>
          <w:sz w:val="17"/>
          <w:szCs w:val="17"/>
          <w:color w:val="231F20"/>
          <w:spacing w:val="1"/>
        </w:rPr>
        <w:t>.</w:t>
      </w:r>
      <w:r>
        <w:rPr>
          <w:rFonts w:ascii="Arial" w:hAnsi="Arial" w:eastAsia="Arial" w:cs="Arial"/>
          <w:sz w:val="17"/>
          <w:szCs w:val="17"/>
          <w:color w:val="231F20"/>
        </w:rPr>
        <w:t>CSCO</w:t>
      </w:r>
      <w:r>
        <w:rPr>
          <w:rFonts w:ascii="Arial" w:hAnsi="Arial" w:eastAsia="Arial" w:cs="Arial"/>
          <w:sz w:val="17"/>
          <w:szCs w:val="17"/>
          <w:color w:val="231F20"/>
          <w:spacing w:val="1"/>
        </w:rPr>
        <w:t xml:space="preserve"> </w:t>
      </w:r>
      <w:r>
        <w:rPr>
          <w:sz w:val="17"/>
          <w:szCs w:val="17"/>
          <w:color w:val="231F20"/>
          <w:spacing w:val="1"/>
        </w:rPr>
        <w:t>结直肠癌指南 </w:t>
      </w:r>
      <w:r>
        <w:rPr>
          <w:rFonts w:ascii="Arial" w:hAnsi="Arial" w:eastAsia="Arial" w:cs="Arial"/>
          <w:sz w:val="17"/>
          <w:szCs w:val="17"/>
          <w:color w:val="231F20"/>
          <w:spacing w:val="1"/>
        </w:rPr>
        <w:t>2018 </w:t>
      </w:r>
      <w:r>
        <w:rPr>
          <w:sz w:val="17"/>
          <w:szCs w:val="17"/>
          <w:color w:val="231F20"/>
          <w:spacing w:val="1"/>
        </w:rPr>
        <w:t>年更新</w:t>
      </w:r>
      <w:r>
        <w:rPr>
          <w:rFonts w:ascii="Arial" w:hAnsi="Arial" w:eastAsia="Arial" w:cs="Arial"/>
          <w:sz w:val="17"/>
          <w:szCs w:val="17"/>
          <w:color w:val="231F20"/>
          <w:spacing w:val="1"/>
        </w:rPr>
        <w:t>[G</w:t>
      </w:r>
      <w:r>
        <w:rPr>
          <w:rFonts w:ascii="Arial" w:hAnsi="Arial" w:eastAsia="Arial" w:cs="Arial"/>
          <w:sz w:val="17"/>
          <w:szCs w:val="17"/>
          <w:color w:val="231F20"/>
        </w:rPr>
        <w:t>]//</w:t>
      </w:r>
      <w:r>
        <w:rPr>
          <w:sz w:val="17"/>
          <w:szCs w:val="17"/>
          <w:color w:val="231F20"/>
        </w:rPr>
        <w:t>第二十一届全国临床肿瘤学大会暨 </w:t>
      </w:r>
      <w:r>
        <w:rPr>
          <w:rFonts w:ascii="Arial" w:hAnsi="Arial" w:eastAsia="Arial" w:cs="Arial"/>
          <w:sz w:val="17"/>
          <w:szCs w:val="17"/>
          <w:color w:val="231F20"/>
        </w:rPr>
        <w:t>2018 </w:t>
      </w:r>
      <w:r>
        <w:rPr>
          <w:sz w:val="17"/>
          <w:szCs w:val="17"/>
          <w:color w:val="231F20"/>
        </w:rPr>
        <w:t>年 </w:t>
      </w:r>
      <w:r>
        <w:rPr>
          <w:rFonts w:ascii="Arial" w:hAnsi="Arial" w:eastAsia="Arial" w:cs="Arial"/>
          <w:sz w:val="17"/>
          <w:szCs w:val="17"/>
          <w:color w:val="231F20"/>
        </w:rPr>
        <w:t>CSCO </w:t>
      </w:r>
      <w:r>
        <w:rPr>
          <w:sz w:val="17"/>
          <w:szCs w:val="17"/>
          <w:color w:val="231F20"/>
        </w:rPr>
        <w:t>学术年会论文集</w:t>
      </w:r>
      <w:r>
        <w:rPr>
          <w:rFonts w:ascii="Arial" w:hAnsi="Arial" w:eastAsia="Arial" w:cs="Arial"/>
          <w:sz w:val="17"/>
          <w:szCs w:val="17"/>
          <w:color w:val="231F20"/>
        </w:rPr>
        <w:t>.</w:t>
      </w:r>
      <w:r>
        <w:rPr>
          <w:sz w:val="17"/>
          <w:szCs w:val="17"/>
          <w:color w:val="231F20"/>
        </w:rPr>
        <w:t>厦 </w:t>
      </w:r>
      <w:r>
        <w:rPr>
          <w:sz w:val="17"/>
          <w:szCs w:val="17"/>
          <w:color w:val="231F20"/>
          <w:spacing w:val="-8"/>
        </w:rPr>
        <w:t>门：中国临床肿瘤学会，</w:t>
      </w:r>
      <w:r>
        <w:rPr>
          <w:rFonts w:ascii="Arial" w:hAnsi="Arial" w:eastAsia="Arial" w:cs="Arial"/>
          <w:sz w:val="17"/>
          <w:szCs w:val="17"/>
          <w:color w:val="231F20"/>
          <w:spacing w:val="-8"/>
        </w:rPr>
        <w:t>2018</w:t>
      </w:r>
      <w:r>
        <w:rPr>
          <w:sz w:val="17"/>
          <w:szCs w:val="17"/>
          <w:color w:val="231F20"/>
          <w:spacing w:val="-8"/>
        </w:rPr>
        <w:t>：</w:t>
      </w:r>
      <w:r>
        <w:rPr>
          <w:rFonts w:ascii="Arial" w:hAnsi="Arial" w:eastAsia="Arial" w:cs="Arial"/>
          <w:sz w:val="17"/>
          <w:szCs w:val="17"/>
          <w:color w:val="231F20"/>
          <w:spacing w:val="-8"/>
        </w:rPr>
        <w:t>284-286.</w:t>
      </w:r>
    </w:p>
    <w:p>
      <w:pPr>
        <w:pStyle w:val="BodyText"/>
        <w:ind w:left="435"/>
        <w:spacing w:before="33" w:line="201" w:lineRule="auto"/>
        <w:rPr>
          <w:rFonts w:ascii="Arial" w:hAnsi="Arial" w:eastAsia="Arial" w:cs="Arial"/>
          <w:sz w:val="17"/>
          <w:szCs w:val="17"/>
        </w:rPr>
      </w:pPr>
      <w:r>
        <w:rPr>
          <w:rFonts w:ascii="Arial" w:hAnsi="Arial" w:eastAsia="Arial" w:cs="Arial"/>
          <w:sz w:val="17"/>
          <w:szCs w:val="17"/>
          <w:color w:val="231F20"/>
          <w:spacing w:val="1"/>
        </w:rPr>
        <w:t>[5]</w:t>
      </w:r>
      <w:r>
        <w:rPr>
          <w:rFonts w:ascii="Arial" w:hAnsi="Arial" w:eastAsia="Arial" w:cs="Arial"/>
          <w:sz w:val="17"/>
          <w:szCs w:val="17"/>
          <w:color w:val="231F20"/>
          <w:spacing w:val="15"/>
          <w:w w:val="101"/>
        </w:rPr>
        <w:t xml:space="preserve">   </w:t>
      </w:r>
      <w:r>
        <w:rPr>
          <w:sz w:val="17"/>
          <w:szCs w:val="17"/>
          <w:color w:val="231F20"/>
          <w:spacing w:val="1"/>
        </w:rPr>
        <w:t>张晓鹏</w:t>
      </w:r>
      <w:r>
        <w:rPr>
          <w:rFonts w:ascii="Arial" w:hAnsi="Arial" w:eastAsia="Arial" w:cs="Arial"/>
          <w:sz w:val="17"/>
          <w:szCs w:val="17"/>
          <w:color w:val="231F20"/>
          <w:spacing w:val="1"/>
        </w:rPr>
        <w:t>.</w:t>
      </w:r>
      <w:r>
        <w:rPr>
          <w:sz w:val="17"/>
          <w:szCs w:val="17"/>
          <w:color w:val="231F20"/>
          <w:spacing w:val="1"/>
        </w:rPr>
        <w:t>从实体瘤疗效评价标准发展看肿瘤影</w:t>
      </w:r>
      <w:r>
        <w:rPr>
          <w:sz w:val="17"/>
          <w:szCs w:val="17"/>
          <w:color w:val="231F20"/>
        </w:rPr>
        <w:t>像学的任务与挑战</w:t>
      </w:r>
      <w:r>
        <w:rPr>
          <w:rFonts w:ascii="Arial" w:hAnsi="Arial" w:eastAsia="Arial" w:cs="Arial"/>
          <w:sz w:val="17"/>
          <w:szCs w:val="17"/>
          <w:color w:val="231F20"/>
        </w:rPr>
        <w:t>[J].</w:t>
      </w:r>
      <w:r>
        <w:rPr>
          <w:sz w:val="17"/>
          <w:szCs w:val="17"/>
          <w:color w:val="231F20"/>
        </w:rPr>
        <w:t>中华放射学杂志，</w:t>
      </w:r>
      <w:r>
        <w:rPr>
          <w:rFonts w:ascii="Arial" w:hAnsi="Arial" w:eastAsia="Arial" w:cs="Arial"/>
          <w:sz w:val="17"/>
          <w:szCs w:val="17"/>
          <w:color w:val="231F20"/>
        </w:rPr>
        <w:t>2010</w:t>
      </w:r>
      <w:r>
        <w:rPr>
          <w:sz w:val="17"/>
          <w:szCs w:val="17"/>
          <w:color w:val="231F20"/>
        </w:rPr>
        <w:t>，</w:t>
      </w:r>
      <w:r>
        <w:rPr>
          <w:rFonts w:ascii="Arial" w:hAnsi="Arial" w:eastAsia="Arial" w:cs="Arial"/>
          <w:sz w:val="17"/>
          <w:szCs w:val="17"/>
          <w:color w:val="231F20"/>
        </w:rPr>
        <w:t>44</w:t>
      </w:r>
      <w:r>
        <w:rPr>
          <w:sz w:val="17"/>
          <w:szCs w:val="17"/>
          <w:color w:val="231F20"/>
        </w:rPr>
        <w:t>（</w:t>
      </w:r>
      <w:r>
        <w:rPr>
          <w:rFonts w:ascii="Arial" w:hAnsi="Arial" w:eastAsia="Arial" w:cs="Arial"/>
          <w:sz w:val="17"/>
          <w:szCs w:val="17"/>
          <w:color w:val="231F20"/>
        </w:rPr>
        <w:t>4</w:t>
      </w:r>
      <w:r>
        <w:rPr>
          <w:sz w:val="17"/>
          <w:szCs w:val="17"/>
          <w:color w:val="231F20"/>
          <w:spacing w:val="-28"/>
          <w:w w:val="59"/>
        </w:rPr>
        <w:t>）：</w:t>
      </w:r>
      <w:r>
        <w:rPr>
          <w:rFonts w:ascii="Arial" w:hAnsi="Arial" w:eastAsia="Arial" w:cs="Arial"/>
          <w:sz w:val="17"/>
          <w:szCs w:val="17"/>
          <w:color w:val="231F20"/>
        </w:rPr>
        <w:t>341-342.</w:t>
      </w:r>
    </w:p>
    <w:p>
      <w:pPr>
        <w:pStyle w:val="BodyText"/>
        <w:ind w:left="797" w:right="52" w:hanging="362"/>
        <w:spacing w:before="44" w:line="221" w:lineRule="auto"/>
        <w:rPr>
          <w:rFonts w:ascii="Arial" w:hAnsi="Arial" w:eastAsia="Arial" w:cs="Arial"/>
          <w:sz w:val="17"/>
          <w:szCs w:val="17"/>
        </w:rPr>
      </w:pPr>
      <w:r>
        <w:rPr>
          <w:rFonts w:ascii="Arial" w:hAnsi="Arial" w:eastAsia="Arial" w:cs="Arial"/>
          <w:sz w:val="17"/>
          <w:szCs w:val="17"/>
          <w:color w:val="231F20"/>
          <w:spacing w:val="4"/>
        </w:rPr>
        <w:t>[6]</w:t>
      </w:r>
      <w:r>
        <w:rPr>
          <w:rFonts w:ascii="Arial" w:hAnsi="Arial" w:eastAsia="Arial" w:cs="Arial"/>
          <w:sz w:val="17"/>
          <w:szCs w:val="17"/>
          <w:color w:val="231F20"/>
          <w:spacing w:val="14"/>
        </w:rPr>
        <w:t xml:space="preserve">   </w:t>
      </w:r>
      <w:r>
        <w:rPr>
          <w:sz w:val="17"/>
          <w:szCs w:val="17"/>
          <w:color w:val="231F20"/>
          <w:spacing w:val="4"/>
        </w:rPr>
        <w:t>卢元丽，张志国，张颖，等</w:t>
      </w:r>
      <w:r>
        <w:rPr>
          <w:rFonts w:ascii="Arial" w:hAnsi="Arial" w:eastAsia="Arial" w:cs="Arial"/>
          <w:sz w:val="17"/>
          <w:szCs w:val="17"/>
          <w:color w:val="231F20"/>
          <w:spacing w:val="4"/>
        </w:rPr>
        <w:t>.</w:t>
      </w:r>
      <w:r>
        <w:rPr>
          <w:sz w:val="17"/>
          <w:szCs w:val="17"/>
          <w:color w:val="231F20"/>
          <w:spacing w:val="4"/>
        </w:rPr>
        <w:t>贝伐珠单抗联合 </w:t>
      </w:r>
      <w:r>
        <w:rPr>
          <w:rFonts w:ascii="Arial" w:hAnsi="Arial" w:eastAsia="Arial" w:cs="Arial"/>
          <w:sz w:val="17"/>
          <w:szCs w:val="17"/>
          <w:color w:val="231F20"/>
        </w:rPr>
        <w:t>XELOX</w:t>
      </w:r>
      <w:r>
        <w:rPr>
          <w:rFonts w:ascii="Arial" w:hAnsi="Arial" w:eastAsia="Arial" w:cs="Arial"/>
          <w:sz w:val="17"/>
          <w:szCs w:val="17"/>
          <w:color w:val="231F20"/>
          <w:spacing w:val="4"/>
        </w:rPr>
        <w:t xml:space="preserve"> </w:t>
      </w:r>
      <w:r>
        <w:rPr>
          <w:sz w:val="17"/>
          <w:szCs w:val="17"/>
          <w:color w:val="231F20"/>
          <w:spacing w:val="4"/>
        </w:rPr>
        <w:t>化疗方案治疗老年晚期结直肠癌</w:t>
      </w:r>
      <w:r>
        <w:rPr>
          <w:sz w:val="17"/>
          <w:szCs w:val="17"/>
          <w:color w:val="231F20"/>
          <w:spacing w:val="3"/>
        </w:rPr>
        <w:t>肝转移患者的临床观察</w:t>
      </w:r>
      <w:r>
        <w:rPr>
          <w:rFonts w:ascii="Arial" w:hAnsi="Arial" w:eastAsia="Arial" w:cs="Arial"/>
          <w:sz w:val="17"/>
          <w:szCs w:val="17"/>
          <w:color w:val="231F20"/>
          <w:spacing w:val="3"/>
        </w:rPr>
        <w:t>[J].</w:t>
      </w:r>
      <w:r>
        <w:rPr>
          <w:sz w:val="17"/>
          <w:szCs w:val="17"/>
          <w:color w:val="231F20"/>
          <w:spacing w:val="3"/>
        </w:rPr>
        <w:t>中西医结合肝病杂</w:t>
      </w:r>
      <w:r>
        <w:rPr>
          <w:sz w:val="17"/>
          <w:szCs w:val="17"/>
          <w:color w:val="231F20"/>
          <w:spacing w:val="1"/>
        </w:rPr>
        <w:t xml:space="preserve"> </w:t>
      </w:r>
      <w:r>
        <w:rPr>
          <w:sz w:val="17"/>
          <w:szCs w:val="17"/>
          <w:color w:val="231F20"/>
          <w:spacing w:val="-15"/>
        </w:rPr>
        <w:t>志，</w:t>
      </w:r>
      <w:r>
        <w:rPr>
          <w:rFonts w:ascii="Arial" w:hAnsi="Arial" w:eastAsia="Arial" w:cs="Arial"/>
          <w:sz w:val="17"/>
          <w:szCs w:val="17"/>
          <w:color w:val="231F20"/>
          <w:spacing w:val="-15"/>
        </w:rPr>
        <w:t>2021</w:t>
      </w:r>
      <w:r>
        <w:rPr>
          <w:sz w:val="17"/>
          <w:szCs w:val="17"/>
          <w:color w:val="231F20"/>
          <w:spacing w:val="-15"/>
        </w:rPr>
        <w:t>，</w:t>
      </w:r>
      <w:r>
        <w:rPr>
          <w:rFonts w:ascii="Arial" w:hAnsi="Arial" w:eastAsia="Arial" w:cs="Arial"/>
          <w:sz w:val="17"/>
          <w:szCs w:val="17"/>
          <w:color w:val="231F20"/>
          <w:spacing w:val="-15"/>
        </w:rPr>
        <w:t>31</w:t>
      </w:r>
      <w:r>
        <w:rPr>
          <w:sz w:val="17"/>
          <w:szCs w:val="17"/>
          <w:color w:val="231F20"/>
          <w:spacing w:val="-15"/>
        </w:rPr>
        <w:t>（</w:t>
      </w:r>
      <w:r>
        <w:rPr>
          <w:rFonts w:ascii="Arial" w:hAnsi="Arial" w:eastAsia="Arial" w:cs="Arial"/>
          <w:sz w:val="17"/>
          <w:szCs w:val="17"/>
          <w:color w:val="231F20"/>
          <w:spacing w:val="-15"/>
        </w:rPr>
        <w:t>9</w:t>
      </w:r>
      <w:r>
        <w:rPr>
          <w:sz w:val="17"/>
          <w:szCs w:val="17"/>
          <w:color w:val="231F20"/>
          <w:spacing w:val="-30"/>
          <w:w w:val="64"/>
        </w:rPr>
        <w:t>）：</w:t>
      </w:r>
      <w:r>
        <w:rPr>
          <w:rFonts w:ascii="Arial" w:hAnsi="Arial" w:eastAsia="Arial" w:cs="Arial"/>
          <w:sz w:val="17"/>
          <w:szCs w:val="17"/>
          <w:color w:val="231F20"/>
          <w:spacing w:val="-15"/>
        </w:rPr>
        <w:t>806-808</w:t>
      </w:r>
      <w:r>
        <w:rPr>
          <w:sz w:val="17"/>
          <w:szCs w:val="17"/>
          <w:color w:val="231F20"/>
          <w:spacing w:val="-15"/>
        </w:rPr>
        <w:t>，</w:t>
      </w:r>
      <w:r>
        <w:rPr>
          <w:rFonts w:ascii="Arial" w:hAnsi="Arial" w:eastAsia="Arial" w:cs="Arial"/>
          <w:sz w:val="17"/>
          <w:szCs w:val="17"/>
          <w:color w:val="231F20"/>
          <w:spacing w:val="-15"/>
        </w:rPr>
        <w:t>812.</w:t>
      </w:r>
    </w:p>
    <w:p>
      <w:pPr>
        <w:pStyle w:val="BodyText"/>
        <w:ind w:left="435"/>
        <w:spacing w:before="48" w:line="193" w:lineRule="auto"/>
        <w:rPr>
          <w:rFonts w:ascii="Arial" w:hAnsi="Arial" w:eastAsia="Arial" w:cs="Arial"/>
          <w:sz w:val="17"/>
          <w:szCs w:val="17"/>
        </w:rPr>
      </w:pPr>
      <w:r>
        <w:rPr>
          <w:rFonts w:ascii="Arial" w:hAnsi="Arial" w:eastAsia="Arial" w:cs="Arial"/>
          <w:sz w:val="17"/>
          <w:szCs w:val="17"/>
          <w:color w:val="231F20"/>
          <w:spacing w:val="-2"/>
        </w:rPr>
        <w:t>[7]    </w:t>
      </w:r>
      <w:r>
        <w:rPr>
          <w:sz w:val="17"/>
          <w:szCs w:val="17"/>
          <w:color w:val="231F20"/>
          <w:spacing w:val="-2"/>
        </w:rPr>
        <w:t>马凯文，彭勇，张喜梅</w:t>
      </w:r>
      <w:r>
        <w:rPr>
          <w:rFonts w:ascii="Arial" w:hAnsi="Arial" w:eastAsia="Arial" w:cs="Arial"/>
          <w:sz w:val="17"/>
          <w:szCs w:val="17"/>
          <w:color w:val="231F20"/>
          <w:spacing w:val="-2"/>
        </w:rPr>
        <w:t>.</w:t>
      </w:r>
      <w:r>
        <w:rPr>
          <w:sz w:val="17"/>
          <w:szCs w:val="17"/>
          <w:color w:val="231F20"/>
          <w:spacing w:val="-2"/>
        </w:rPr>
        <w:t>阿帕替尼联合 </w:t>
      </w:r>
      <w:r>
        <w:rPr>
          <w:rFonts w:ascii="Arial" w:hAnsi="Arial" w:eastAsia="Arial" w:cs="Arial"/>
          <w:sz w:val="17"/>
          <w:szCs w:val="17"/>
          <w:color w:val="231F20"/>
          <w:spacing w:val="-2"/>
        </w:rPr>
        <w:t>XELOX </w:t>
      </w:r>
      <w:r>
        <w:rPr>
          <w:sz w:val="17"/>
          <w:szCs w:val="17"/>
          <w:color w:val="231F20"/>
          <w:spacing w:val="-2"/>
        </w:rPr>
        <w:t>化疗方案治疗中晚期结直肠癌患者的疗效评价</w:t>
      </w:r>
      <w:r>
        <w:rPr>
          <w:rFonts w:ascii="Arial" w:hAnsi="Arial" w:eastAsia="Arial" w:cs="Arial"/>
          <w:sz w:val="17"/>
          <w:szCs w:val="17"/>
          <w:color w:val="231F20"/>
          <w:spacing w:val="-2"/>
        </w:rPr>
        <w:t>[J].</w:t>
      </w:r>
      <w:r>
        <w:rPr>
          <w:sz w:val="17"/>
          <w:szCs w:val="17"/>
          <w:color w:val="231F20"/>
          <w:spacing w:val="-2"/>
        </w:rPr>
        <w:t>中国处</w:t>
      </w:r>
      <w:r>
        <w:rPr>
          <w:sz w:val="17"/>
          <w:szCs w:val="17"/>
          <w:color w:val="231F20"/>
          <w:spacing w:val="-3"/>
        </w:rPr>
        <w:t>方药，</w:t>
      </w:r>
      <w:r>
        <w:rPr>
          <w:rFonts w:ascii="Arial" w:hAnsi="Arial" w:eastAsia="Arial" w:cs="Arial"/>
          <w:sz w:val="17"/>
          <w:szCs w:val="17"/>
          <w:color w:val="231F20"/>
          <w:spacing w:val="-3"/>
        </w:rPr>
        <w:t>2021</w:t>
      </w:r>
      <w:r>
        <w:rPr>
          <w:sz w:val="17"/>
          <w:szCs w:val="17"/>
          <w:color w:val="231F20"/>
          <w:spacing w:val="-3"/>
        </w:rPr>
        <w:t>，</w:t>
      </w:r>
      <w:r>
        <w:rPr>
          <w:rFonts w:ascii="Arial" w:hAnsi="Arial" w:eastAsia="Arial" w:cs="Arial"/>
          <w:sz w:val="17"/>
          <w:szCs w:val="17"/>
          <w:color w:val="231F20"/>
          <w:spacing w:val="-3"/>
        </w:rPr>
        <w:t>19</w:t>
      </w:r>
      <w:r>
        <w:rPr>
          <w:sz w:val="17"/>
          <w:szCs w:val="17"/>
          <w:color w:val="231F20"/>
          <w:spacing w:val="-3"/>
        </w:rPr>
        <w:t>（</w:t>
      </w:r>
      <w:r>
        <w:rPr>
          <w:rFonts w:ascii="Arial" w:hAnsi="Arial" w:eastAsia="Arial" w:cs="Arial"/>
          <w:sz w:val="17"/>
          <w:szCs w:val="17"/>
          <w:color w:val="231F20"/>
          <w:spacing w:val="-3"/>
        </w:rPr>
        <w:t>9</w:t>
      </w:r>
      <w:r>
        <w:rPr>
          <w:sz w:val="17"/>
          <w:szCs w:val="17"/>
          <w:color w:val="231F20"/>
          <w:spacing w:val="-38"/>
          <w:w w:val="80"/>
        </w:rPr>
        <w:t>）：</w:t>
      </w:r>
      <w:r>
        <w:rPr>
          <w:rFonts w:ascii="Arial" w:hAnsi="Arial" w:eastAsia="Arial" w:cs="Arial"/>
          <w:sz w:val="17"/>
          <w:szCs w:val="17"/>
          <w:color w:val="231F20"/>
          <w:spacing w:val="-3"/>
        </w:rPr>
        <w:t>134-136.</w:t>
      </w:r>
    </w:p>
    <w:p>
      <w:pPr>
        <w:pStyle w:val="BodyText"/>
        <w:ind w:left="795" w:right="52" w:hanging="360"/>
        <w:spacing w:before="52" w:line="216" w:lineRule="auto"/>
        <w:rPr>
          <w:rFonts w:ascii="Arial" w:hAnsi="Arial" w:eastAsia="Arial" w:cs="Arial"/>
          <w:sz w:val="17"/>
          <w:szCs w:val="17"/>
        </w:rPr>
      </w:pPr>
      <w:r>
        <w:rPr>
          <w:rFonts w:ascii="Arial" w:hAnsi="Arial" w:eastAsia="Arial" w:cs="Arial"/>
          <w:sz w:val="17"/>
          <w:szCs w:val="17"/>
          <w:color w:val="231F20"/>
          <w:spacing w:val="4"/>
        </w:rPr>
        <w:t>[8]</w:t>
      </w:r>
      <w:r>
        <w:rPr>
          <w:rFonts w:ascii="Arial" w:hAnsi="Arial" w:eastAsia="Arial" w:cs="Arial"/>
          <w:sz w:val="17"/>
          <w:szCs w:val="17"/>
          <w:color w:val="231F20"/>
          <w:spacing w:val="14"/>
          <w:w w:val="101"/>
        </w:rPr>
        <w:t xml:space="preserve">   </w:t>
      </w:r>
      <w:r>
        <w:rPr>
          <w:sz w:val="17"/>
          <w:szCs w:val="17"/>
          <w:color w:val="231F20"/>
          <w:spacing w:val="4"/>
        </w:rPr>
        <w:t>曹玉娟，赵聪，姚艳红，等</w:t>
      </w:r>
      <w:r>
        <w:rPr>
          <w:rFonts w:ascii="Arial" w:hAnsi="Arial" w:eastAsia="Arial" w:cs="Arial"/>
          <w:sz w:val="17"/>
          <w:szCs w:val="17"/>
          <w:color w:val="231F20"/>
          <w:spacing w:val="4"/>
        </w:rPr>
        <w:t>.</w:t>
      </w:r>
      <w:r>
        <w:rPr>
          <w:sz w:val="17"/>
          <w:szCs w:val="17"/>
          <w:color w:val="231F20"/>
          <w:spacing w:val="4"/>
        </w:rPr>
        <w:t>西妥昔单抗联合化疗治疗 </w:t>
      </w:r>
      <w:r>
        <w:rPr>
          <w:rFonts w:ascii="Arial" w:hAnsi="Arial" w:eastAsia="Arial" w:cs="Arial"/>
          <w:sz w:val="17"/>
          <w:szCs w:val="17"/>
          <w:color w:val="231F20"/>
        </w:rPr>
        <w:t>KRAS</w:t>
      </w:r>
      <w:r>
        <w:rPr>
          <w:rFonts w:ascii="Arial" w:hAnsi="Arial" w:eastAsia="Arial" w:cs="Arial"/>
          <w:sz w:val="17"/>
          <w:szCs w:val="17"/>
          <w:color w:val="231F20"/>
          <w:spacing w:val="4"/>
        </w:rPr>
        <w:t xml:space="preserve"> </w:t>
      </w:r>
      <w:r>
        <w:rPr>
          <w:sz w:val="17"/>
          <w:szCs w:val="17"/>
          <w:color w:val="231F20"/>
          <w:spacing w:val="4"/>
        </w:rPr>
        <w:t>基因野生型</w:t>
      </w:r>
      <w:r>
        <w:rPr>
          <w:sz w:val="17"/>
          <w:szCs w:val="17"/>
          <w:color w:val="231F20"/>
          <w:spacing w:val="3"/>
        </w:rPr>
        <w:t>晚期结直肠癌伴肝转移患者临床效果观察及预后影响因素</w:t>
      </w:r>
      <w:r>
        <w:rPr>
          <w:sz w:val="17"/>
          <w:szCs w:val="17"/>
          <w:color w:val="231F20"/>
          <w:spacing w:val="1"/>
        </w:rPr>
        <w:t xml:space="preserve"> </w:t>
      </w:r>
      <w:r>
        <w:rPr>
          <w:sz w:val="17"/>
          <w:szCs w:val="17"/>
          <w:color w:val="231F20"/>
          <w:spacing w:val="-6"/>
        </w:rPr>
        <w:t>分析</w:t>
      </w:r>
      <w:r>
        <w:rPr>
          <w:rFonts w:ascii="Arial" w:hAnsi="Arial" w:eastAsia="Arial" w:cs="Arial"/>
          <w:sz w:val="17"/>
          <w:szCs w:val="17"/>
          <w:color w:val="231F20"/>
          <w:spacing w:val="-6"/>
        </w:rPr>
        <w:t>[J].</w:t>
      </w:r>
      <w:r>
        <w:rPr>
          <w:sz w:val="17"/>
          <w:szCs w:val="17"/>
          <w:color w:val="231F20"/>
          <w:spacing w:val="-6"/>
        </w:rPr>
        <w:t>临床军医杂志，</w:t>
      </w:r>
      <w:r>
        <w:rPr>
          <w:rFonts w:ascii="Arial" w:hAnsi="Arial" w:eastAsia="Arial" w:cs="Arial"/>
          <w:sz w:val="17"/>
          <w:szCs w:val="17"/>
          <w:color w:val="231F20"/>
          <w:spacing w:val="-6"/>
        </w:rPr>
        <w:t>2021</w:t>
      </w:r>
      <w:r>
        <w:rPr>
          <w:sz w:val="17"/>
          <w:szCs w:val="17"/>
          <w:color w:val="231F20"/>
          <w:spacing w:val="-6"/>
        </w:rPr>
        <w:t>，</w:t>
      </w:r>
      <w:r>
        <w:rPr>
          <w:rFonts w:ascii="Arial" w:hAnsi="Arial" w:eastAsia="Arial" w:cs="Arial"/>
          <w:sz w:val="17"/>
          <w:szCs w:val="17"/>
          <w:color w:val="231F20"/>
          <w:spacing w:val="-6"/>
        </w:rPr>
        <w:t>49</w:t>
      </w:r>
      <w:r>
        <w:rPr>
          <w:sz w:val="17"/>
          <w:szCs w:val="17"/>
          <w:color w:val="231F20"/>
          <w:spacing w:val="-6"/>
        </w:rPr>
        <w:t>（</w:t>
      </w:r>
      <w:r>
        <w:rPr>
          <w:rFonts w:ascii="Arial" w:hAnsi="Arial" w:eastAsia="Arial" w:cs="Arial"/>
          <w:sz w:val="17"/>
          <w:szCs w:val="17"/>
          <w:color w:val="231F20"/>
          <w:spacing w:val="-6"/>
        </w:rPr>
        <w:t>8</w:t>
      </w:r>
      <w:r>
        <w:rPr>
          <w:sz w:val="17"/>
          <w:szCs w:val="17"/>
          <w:color w:val="231F20"/>
          <w:spacing w:val="-27"/>
          <w:w w:val="58"/>
        </w:rPr>
        <w:t>）：</w:t>
      </w:r>
      <w:r>
        <w:rPr>
          <w:rFonts w:ascii="Arial" w:hAnsi="Arial" w:eastAsia="Arial" w:cs="Arial"/>
          <w:sz w:val="17"/>
          <w:szCs w:val="17"/>
          <w:color w:val="231F20"/>
          <w:spacing w:val="-6"/>
        </w:rPr>
        <w:t>883-886.</w:t>
      </w:r>
    </w:p>
    <w:p>
      <w:pPr>
        <w:pStyle w:val="BodyText"/>
        <w:spacing w:before="52" w:line="193" w:lineRule="auto"/>
        <w:jc w:val="right"/>
        <w:rPr>
          <w:sz w:val="17"/>
          <w:szCs w:val="17"/>
        </w:rPr>
      </w:pPr>
      <w:r>
        <w:rPr>
          <w:rFonts w:ascii="Arial" w:hAnsi="Arial" w:eastAsia="Arial" w:cs="Arial"/>
          <w:sz w:val="17"/>
          <w:szCs w:val="17"/>
          <w:color w:val="231F20"/>
          <w:spacing w:val="2"/>
        </w:rPr>
        <w:t>[9]</w:t>
      </w:r>
      <w:r>
        <w:rPr>
          <w:rFonts w:ascii="Arial" w:hAnsi="Arial" w:eastAsia="Arial" w:cs="Arial"/>
          <w:sz w:val="17"/>
          <w:szCs w:val="17"/>
          <w:color w:val="231F20"/>
          <w:spacing w:val="15"/>
          <w:w w:val="101"/>
        </w:rPr>
        <w:t xml:space="preserve">   </w:t>
      </w:r>
      <w:r>
        <w:rPr>
          <w:sz w:val="17"/>
          <w:szCs w:val="17"/>
          <w:color w:val="231F20"/>
          <w:spacing w:val="2"/>
        </w:rPr>
        <w:t>杨景波，江丹</w:t>
      </w:r>
      <w:r>
        <w:rPr>
          <w:rFonts w:ascii="Arial" w:hAnsi="Arial" w:eastAsia="Arial" w:cs="Arial"/>
          <w:sz w:val="17"/>
          <w:szCs w:val="17"/>
          <w:color w:val="231F20"/>
          <w:spacing w:val="2"/>
        </w:rPr>
        <w:t>.</w:t>
      </w:r>
      <w:r>
        <w:rPr>
          <w:sz w:val="17"/>
          <w:szCs w:val="17"/>
          <w:color w:val="231F20"/>
          <w:spacing w:val="2"/>
        </w:rPr>
        <w:t>贝伐珠单抗注射液联合 </w:t>
      </w:r>
      <w:r>
        <w:rPr>
          <w:rFonts w:ascii="Arial" w:hAnsi="Arial" w:eastAsia="Arial" w:cs="Arial"/>
          <w:sz w:val="17"/>
          <w:szCs w:val="17"/>
          <w:color w:val="231F20"/>
        </w:rPr>
        <w:t>XELOX</w:t>
      </w:r>
      <w:r>
        <w:rPr>
          <w:rFonts w:ascii="Arial" w:hAnsi="Arial" w:eastAsia="Arial" w:cs="Arial"/>
          <w:sz w:val="17"/>
          <w:szCs w:val="17"/>
          <w:color w:val="231F20"/>
          <w:spacing w:val="2"/>
        </w:rPr>
        <w:t xml:space="preserve"> </w:t>
      </w:r>
      <w:r>
        <w:rPr>
          <w:sz w:val="17"/>
          <w:szCs w:val="17"/>
          <w:color w:val="231F20"/>
          <w:spacing w:val="2"/>
        </w:rPr>
        <w:t>化疗方案治疗晚期结直肠癌的疗效及不良反应</w:t>
      </w:r>
      <w:r>
        <w:rPr>
          <w:rFonts w:ascii="Arial" w:hAnsi="Arial" w:eastAsia="Arial" w:cs="Arial"/>
          <w:sz w:val="17"/>
          <w:szCs w:val="17"/>
          <w:color w:val="231F20"/>
          <w:spacing w:val="2"/>
        </w:rPr>
        <w:t>[J].</w:t>
      </w:r>
      <w:r>
        <w:rPr>
          <w:sz w:val="17"/>
          <w:szCs w:val="17"/>
          <w:color w:val="231F20"/>
          <w:spacing w:val="2"/>
        </w:rPr>
        <w:t>现代诊断与治疗，</w:t>
      </w:r>
      <w:r>
        <w:rPr>
          <w:rFonts w:ascii="Arial" w:hAnsi="Arial" w:eastAsia="Arial" w:cs="Arial"/>
          <w:sz w:val="17"/>
          <w:szCs w:val="17"/>
          <w:color w:val="231F20"/>
          <w:spacing w:val="2"/>
        </w:rPr>
        <w:t>2021</w:t>
      </w:r>
      <w:r>
        <w:rPr>
          <w:sz w:val="17"/>
          <w:szCs w:val="17"/>
          <w:color w:val="231F20"/>
          <w:spacing w:val="2"/>
        </w:rPr>
        <w:t>，</w:t>
      </w:r>
      <w:r>
        <w:rPr>
          <w:rFonts w:ascii="Arial" w:hAnsi="Arial" w:eastAsia="Arial" w:cs="Arial"/>
          <w:sz w:val="17"/>
          <w:szCs w:val="17"/>
          <w:color w:val="231F20"/>
          <w:spacing w:val="2"/>
        </w:rPr>
        <w:t>32</w:t>
      </w:r>
      <w:r>
        <w:rPr>
          <w:sz w:val="17"/>
          <w:szCs w:val="17"/>
          <w:color w:val="231F20"/>
          <w:spacing w:val="2"/>
        </w:rPr>
        <w:t>（</w:t>
      </w:r>
      <w:r>
        <w:rPr>
          <w:rFonts w:ascii="Arial" w:hAnsi="Arial" w:eastAsia="Arial" w:cs="Arial"/>
          <w:sz w:val="17"/>
          <w:szCs w:val="17"/>
          <w:color w:val="231F20"/>
          <w:spacing w:val="2"/>
        </w:rPr>
        <w:t>13</w:t>
      </w:r>
      <w:r>
        <w:rPr>
          <w:sz w:val="17"/>
          <w:szCs w:val="17"/>
          <w:color w:val="231F20"/>
          <w:spacing w:val="-45"/>
          <w:w w:val="96"/>
        </w:rPr>
        <w:t>）：</w:t>
      </w:r>
    </w:p>
    <w:p>
      <w:pPr>
        <w:ind w:left="800"/>
        <w:spacing w:before="80" w:line="199" w:lineRule="exact"/>
        <w:rPr>
          <w:rFonts w:ascii="Arial" w:hAnsi="Arial" w:eastAsia="Arial" w:cs="Arial"/>
          <w:sz w:val="17"/>
          <w:szCs w:val="17"/>
        </w:rPr>
      </w:pPr>
      <w:r>
        <w:rPr>
          <w:rFonts w:ascii="Arial" w:hAnsi="Arial" w:eastAsia="Arial" w:cs="Arial"/>
          <w:sz w:val="17"/>
          <w:szCs w:val="17"/>
          <w:color w:val="231F20"/>
          <w:spacing w:val="-1"/>
        </w:rPr>
        <w:t>2071-2072.</w:t>
      </w:r>
    </w:p>
    <w:p>
      <w:pPr>
        <w:pStyle w:val="BodyText"/>
        <w:ind w:left="890" w:hanging="455"/>
        <w:spacing w:before="63" w:line="252" w:lineRule="auto"/>
        <w:rPr>
          <w:rFonts w:ascii="Arial" w:hAnsi="Arial" w:eastAsia="Arial" w:cs="Arial"/>
          <w:sz w:val="17"/>
          <w:szCs w:val="17"/>
        </w:rPr>
      </w:pPr>
      <w:r>
        <w:rPr>
          <w:rFonts w:ascii="Arial" w:hAnsi="Arial" w:eastAsia="Arial" w:cs="Arial"/>
          <w:sz w:val="17"/>
          <w:szCs w:val="17"/>
          <w:color w:val="231F20"/>
          <w:spacing w:val="-1"/>
        </w:rPr>
        <w:t>[10]</w:t>
      </w:r>
      <w:r>
        <w:rPr>
          <w:rFonts w:ascii="Arial" w:hAnsi="Arial" w:eastAsia="Arial" w:cs="Arial"/>
          <w:sz w:val="17"/>
          <w:szCs w:val="17"/>
          <w:color w:val="231F20"/>
          <w:spacing w:val="14"/>
          <w:w w:val="101"/>
        </w:rPr>
        <w:t xml:space="preserve">   </w:t>
      </w:r>
      <w:r>
        <w:rPr>
          <w:sz w:val="17"/>
          <w:szCs w:val="17"/>
          <w:color w:val="231F20"/>
          <w:spacing w:val="-1"/>
        </w:rPr>
        <w:t>黄文金，邱子丹，郑俊琼</w:t>
      </w:r>
      <w:r>
        <w:rPr>
          <w:rFonts w:ascii="Arial" w:hAnsi="Arial" w:eastAsia="Arial" w:cs="Arial"/>
          <w:sz w:val="17"/>
          <w:szCs w:val="17"/>
          <w:color w:val="231F20"/>
          <w:spacing w:val="-1"/>
        </w:rPr>
        <w:t>.</w:t>
      </w:r>
      <w:r>
        <w:rPr>
          <w:sz w:val="17"/>
          <w:szCs w:val="17"/>
          <w:color w:val="231F20"/>
          <w:spacing w:val="-1"/>
        </w:rPr>
        <w:t>沙利度胺联合奥沙利铂和卡培他滨治疗转移性结肠癌的疗效观察</w:t>
      </w:r>
      <w:r>
        <w:rPr>
          <w:rFonts w:ascii="Arial" w:hAnsi="Arial" w:eastAsia="Arial" w:cs="Arial"/>
          <w:sz w:val="17"/>
          <w:szCs w:val="17"/>
          <w:color w:val="231F20"/>
          <w:spacing w:val="-1"/>
        </w:rPr>
        <w:t>[J].</w:t>
      </w:r>
      <w:r>
        <w:rPr>
          <w:sz w:val="17"/>
          <w:szCs w:val="17"/>
          <w:color w:val="231F20"/>
          <w:spacing w:val="-1"/>
        </w:rPr>
        <w:t>中国肿瘤临床与康复，</w:t>
      </w:r>
      <w:r>
        <w:rPr>
          <w:rFonts w:ascii="Arial" w:hAnsi="Arial" w:eastAsia="Arial" w:cs="Arial"/>
          <w:sz w:val="17"/>
          <w:szCs w:val="17"/>
          <w:color w:val="231F20"/>
          <w:spacing w:val="-1"/>
        </w:rPr>
        <w:t>2020</w:t>
      </w:r>
      <w:r>
        <w:rPr>
          <w:sz w:val="17"/>
          <w:szCs w:val="17"/>
          <w:color w:val="231F20"/>
          <w:spacing w:val="-1"/>
        </w:rPr>
        <w:t>，</w:t>
      </w:r>
      <w:r>
        <w:rPr>
          <w:rFonts w:ascii="Arial" w:hAnsi="Arial" w:eastAsia="Arial" w:cs="Arial"/>
          <w:sz w:val="17"/>
          <w:szCs w:val="17"/>
          <w:color w:val="231F20"/>
          <w:spacing w:val="-1"/>
        </w:rPr>
        <w:t>27</w:t>
      </w:r>
      <w:r>
        <w:rPr>
          <w:sz w:val="17"/>
          <w:szCs w:val="17"/>
          <w:color w:val="231F20"/>
          <w:spacing w:val="-1"/>
        </w:rPr>
        <w:t>（</w:t>
      </w:r>
      <w:r>
        <w:rPr>
          <w:rFonts w:ascii="Arial" w:hAnsi="Arial" w:eastAsia="Arial" w:cs="Arial"/>
          <w:sz w:val="17"/>
          <w:szCs w:val="17"/>
          <w:color w:val="231F20"/>
          <w:spacing w:val="-1"/>
        </w:rPr>
        <w:t>7</w:t>
      </w:r>
      <w:r>
        <w:rPr>
          <w:sz w:val="17"/>
          <w:szCs w:val="17"/>
          <w:color w:val="231F20"/>
          <w:spacing w:val="-46"/>
        </w:rPr>
        <w:t>）：</w:t>
      </w:r>
      <w:r>
        <w:rPr>
          <w:sz w:val="17"/>
          <w:szCs w:val="17"/>
          <w:color w:val="231F20"/>
        </w:rPr>
        <w:t xml:space="preserve"> </w:t>
      </w:r>
      <w:r>
        <w:rPr>
          <w:rFonts w:ascii="Arial" w:hAnsi="Arial" w:eastAsia="Arial" w:cs="Arial"/>
          <w:sz w:val="17"/>
          <w:szCs w:val="17"/>
          <w:color w:val="231F20"/>
          <w:spacing w:val="-1"/>
        </w:rPr>
        <w:t>853-855.</w:t>
      </w:r>
    </w:p>
    <w:p>
      <w:pPr>
        <w:pStyle w:val="BodyText"/>
        <w:ind w:left="884" w:right="52" w:hanging="449"/>
        <w:spacing w:before="57" w:line="220" w:lineRule="auto"/>
        <w:rPr>
          <w:rFonts w:ascii="Arial" w:hAnsi="Arial" w:eastAsia="Arial" w:cs="Arial"/>
          <w:sz w:val="17"/>
          <w:szCs w:val="17"/>
        </w:rPr>
      </w:pPr>
      <w:r>
        <w:rPr>
          <w:rFonts w:ascii="Arial" w:hAnsi="Arial" w:eastAsia="Arial" w:cs="Arial"/>
          <w:sz w:val="17"/>
          <w:szCs w:val="17"/>
          <w:color w:val="231F20"/>
          <w:spacing w:val="2"/>
        </w:rPr>
        <w:t>[11]</w:t>
      </w:r>
      <w:r>
        <w:rPr>
          <w:rFonts w:ascii="Arial" w:hAnsi="Arial" w:eastAsia="Arial" w:cs="Arial"/>
          <w:sz w:val="17"/>
          <w:szCs w:val="17"/>
          <w:color w:val="231F20"/>
          <w:spacing w:val="15"/>
        </w:rPr>
        <w:t xml:space="preserve">   </w:t>
      </w:r>
      <w:r>
        <w:rPr>
          <w:sz w:val="17"/>
          <w:szCs w:val="17"/>
          <w:color w:val="231F20"/>
          <w:spacing w:val="2"/>
        </w:rPr>
        <w:t>温林春，朱信强，陆锡燕，等</w:t>
      </w:r>
      <w:r>
        <w:rPr>
          <w:rFonts w:ascii="Arial" w:hAnsi="Arial" w:eastAsia="Arial" w:cs="Arial"/>
          <w:sz w:val="17"/>
          <w:szCs w:val="17"/>
          <w:color w:val="231F20"/>
          <w:spacing w:val="2"/>
        </w:rPr>
        <w:t>.</w:t>
      </w:r>
      <w:r>
        <w:rPr>
          <w:sz w:val="17"/>
          <w:szCs w:val="17"/>
          <w:color w:val="231F20"/>
          <w:spacing w:val="2"/>
        </w:rPr>
        <w:t>高频热疗联合 </w:t>
      </w:r>
      <w:r>
        <w:rPr>
          <w:rFonts w:ascii="Arial" w:hAnsi="Arial" w:eastAsia="Arial" w:cs="Arial"/>
          <w:sz w:val="17"/>
          <w:szCs w:val="17"/>
          <w:color w:val="231F20"/>
        </w:rPr>
        <w:t>XELOX</w:t>
      </w:r>
      <w:r>
        <w:rPr>
          <w:rFonts w:ascii="Arial" w:hAnsi="Arial" w:eastAsia="Arial" w:cs="Arial"/>
          <w:sz w:val="17"/>
          <w:szCs w:val="17"/>
          <w:color w:val="231F20"/>
          <w:spacing w:val="2"/>
        </w:rPr>
        <w:t xml:space="preserve"> </w:t>
      </w:r>
      <w:r>
        <w:rPr>
          <w:sz w:val="17"/>
          <w:szCs w:val="17"/>
          <w:color w:val="231F20"/>
          <w:spacing w:val="2"/>
        </w:rPr>
        <w:t>方案化疗治疗晚期结直肠癌的疗效和对血清血管内皮生长因子水平的影响</w:t>
      </w:r>
      <w:r>
        <w:rPr>
          <w:rFonts w:ascii="Arial" w:hAnsi="Arial" w:eastAsia="Arial" w:cs="Arial"/>
          <w:sz w:val="17"/>
          <w:szCs w:val="17"/>
          <w:color w:val="231F20"/>
          <w:spacing w:val="2"/>
        </w:rPr>
        <w:t>[J].</w:t>
      </w:r>
      <w:r>
        <w:rPr>
          <w:rFonts w:ascii="Arial" w:hAnsi="Arial" w:eastAsia="Arial" w:cs="Arial"/>
          <w:sz w:val="17"/>
          <w:szCs w:val="17"/>
          <w:color w:val="231F20"/>
          <w:spacing w:val="1"/>
        </w:rPr>
        <w:t xml:space="preserve"> </w:t>
      </w:r>
      <w:r>
        <w:rPr>
          <w:sz w:val="17"/>
          <w:szCs w:val="17"/>
          <w:color w:val="231F20"/>
          <w:spacing w:val="-7"/>
        </w:rPr>
        <w:t>肿瘤基础与临床，</w:t>
      </w:r>
      <w:r>
        <w:rPr>
          <w:rFonts w:ascii="Arial" w:hAnsi="Arial" w:eastAsia="Arial" w:cs="Arial"/>
          <w:sz w:val="17"/>
          <w:szCs w:val="17"/>
          <w:color w:val="231F20"/>
          <w:spacing w:val="-7"/>
        </w:rPr>
        <w:t>2019</w:t>
      </w:r>
      <w:r>
        <w:rPr>
          <w:sz w:val="17"/>
          <w:szCs w:val="17"/>
          <w:color w:val="231F20"/>
          <w:spacing w:val="-7"/>
        </w:rPr>
        <w:t>，</w:t>
      </w:r>
      <w:r>
        <w:rPr>
          <w:rFonts w:ascii="Arial" w:hAnsi="Arial" w:eastAsia="Arial" w:cs="Arial"/>
          <w:sz w:val="17"/>
          <w:szCs w:val="17"/>
          <w:color w:val="231F20"/>
          <w:spacing w:val="-7"/>
        </w:rPr>
        <w:t>32</w:t>
      </w:r>
      <w:r>
        <w:rPr>
          <w:sz w:val="17"/>
          <w:szCs w:val="17"/>
          <w:color w:val="231F20"/>
          <w:spacing w:val="-7"/>
        </w:rPr>
        <w:t>（</w:t>
      </w:r>
      <w:r>
        <w:rPr>
          <w:rFonts w:ascii="Arial" w:hAnsi="Arial" w:eastAsia="Arial" w:cs="Arial"/>
          <w:sz w:val="17"/>
          <w:szCs w:val="17"/>
          <w:color w:val="231F20"/>
          <w:spacing w:val="-7"/>
        </w:rPr>
        <w:t>3</w:t>
      </w:r>
      <w:r>
        <w:rPr>
          <w:sz w:val="17"/>
          <w:szCs w:val="17"/>
          <w:color w:val="231F20"/>
          <w:spacing w:val="-28"/>
          <w:w w:val="60"/>
        </w:rPr>
        <w:t>）：</w:t>
      </w:r>
      <w:r>
        <w:rPr>
          <w:rFonts w:ascii="Arial" w:hAnsi="Arial" w:eastAsia="Arial" w:cs="Arial"/>
          <w:sz w:val="17"/>
          <w:szCs w:val="17"/>
          <w:color w:val="231F20"/>
          <w:spacing w:val="-7"/>
        </w:rPr>
        <w:t>205-207.</w:t>
      </w:r>
    </w:p>
    <w:p>
      <w:pPr>
        <w:pStyle w:val="BodyText"/>
        <w:ind w:left="435"/>
        <w:spacing w:before="38" w:line="201" w:lineRule="auto"/>
        <w:rPr>
          <w:rFonts w:ascii="Arial" w:hAnsi="Arial" w:eastAsia="Arial" w:cs="Arial"/>
          <w:sz w:val="17"/>
          <w:szCs w:val="17"/>
        </w:rPr>
      </w:pPr>
      <w:r>
        <w:rPr>
          <w:rFonts w:ascii="Arial" w:hAnsi="Arial" w:eastAsia="Arial" w:cs="Arial"/>
          <w:sz w:val="17"/>
          <w:szCs w:val="17"/>
          <w:color w:val="231F20"/>
          <w:spacing w:val="1"/>
        </w:rPr>
        <w:t>[12]</w:t>
      </w:r>
      <w:r>
        <w:rPr>
          <w:rFonts w:ascii="Arial" w:hAnsi="Arial" w:eastAsia="Arial" w:cs="Arial"/>
          <w:sz w:val="17"/>
          <w:szCs w:val="17"/>
          <w:color w:val="231F20"/>
        </w:rPr>
        <w:t xml:space="preserve">    </w:t>
      </w:r>
      <w:r>
        <w:rPr>
          <w:sz w:val="17"/>
          <w:szCs w:val="17"/>
          <w:color w:val="231F20"/>
          <w:spacing w:val="1"/>
        </w:rPr>
        <w:t>张倩馨，孔妍</w:t>
      </w:r>
      <w:r>
        <w:rPr>
          <w:rFonts w:ascii="Arial" w:hAnsi="Arial" w:eastAsia="Arial" w:cs="Arial"/>
          <w:sz w:val="17"/>
          <w:szCs w:val="17"/>
          <w:color w:val="231F20"/>
          <w:spacing w:val="1"/>
        </w:rPr>
        <w:t>.</w:t>
      </w:r>
      <w:r>
        <w:rPr>
          <w:sz w:val="17"/>
          <w:szCs w:val="17"/>
          <w:color w:val="231F20"/>
          <w:spacing w:val="1"/>
        </w:rPr>
        <w:t>奥沙利铂与卡培他滨化疗联合阿瓦</w:t>
      </w:r>
      <w:r>
        <w:rPr>
          <w:sz w:val="17"/>
          <w:szCs w:val="17"/>
          <w:color w:val="231F20"/>
        </w:rPr>
        <w:t>斯汀靶向治疗转移性结肠癌的临床疗效</w:t>
      </w:r>
      <w:r>
        <w:rPr>
          <w:rFonts w:ascii="Arial" w:hAnsi="Arial" w:eastAsia="Arial" w:cs="Arial"/>
          <w:sz w:val="17"/>
          <w:szCs w:val="17"/>
          <w:color w:val="231F20"/>
        </w:rPr>
        <w:t>[J].</w:t>
      </w:r>
      <w:r>
        <w:rPr>
          <w:sz w:val="17"/>
          <w:szCs w:val="17"/>
          <w:color w:val="231F20"/>
        </w:rPr>
        <w:t>中国药物经济学，</w:t>
      </w:r>
      <w:r>
        <w:rPr>
          <w:rFonts w:ascii="Arial" w:hAnsi="Arial" w:eastAsia="Arial" w:cs="Arial"/>
          <w:sz w:val="17"/>
          <w:szCs w:val="17"/>
          <w:color w:val="231F20"/>
        </w:rPr>
        <w:t>2019</w:t>
      </w:r>
      <w:r>
        <w:rPr>
          <w:sz w:val="17"/>
          <w:szCs w:val="17"/>
          <w:color w:val="231F20"/>
        </w:rPr>
        <w:t>，</w:t>
      </w:r>
      <w:r>
        <w:rPr>
          <w:rFonts w:ascii="Arial" w:hAnsi="Arial" w:eastAsia="Arial" w:cs="Arial"/>
          <w:sz w:val="17"/>
          <w:szCs w:val="17"/>
          <w:color w:val="231F20"/>
        </w:rPr>
        <w:t>14</w:t>
      </w:r>
      <w:r>
        <w:rPr>
          <w:sz w:val="17"/>
          <w:szCs w:val="17"/>
          <w:color w:val="231F20"/>
        </w:rPr>
        <w:t>（</w:t>
      </w:r>
      <w:r>
        <w:rPr>
          <w:rFonts w:ascii="Arial" w:hAnsi="Arial" w:eastAsia="Arial" w:cs="Arial"/>
          <w:sz w:val="17"/>
          <w:szCs w:val="17"/>
          <w:color w:val="231F20"/>
        </w:rPr>
        <w:t>2</w:t>
      </w:r>
      <w:r>
        <w:rPr>
          <w:sz w:val="17"/>
          <w:szCs w:val="17"/>
          <w:color w:val="231F20"/>
          <w:spacing w:val="-27"/>
          <w:w w:val="57"/>
        </w:rPr>
        <w:t>）：</w:t>
      </w:r>
      <w:r>
        <w:rPr>
          <w:rFonts w:ascii="Arial" w:hAnsi="Arial" w:eastAsia="Arial" w:cs="Arial"/>
          <w:sz w:val="17"/>
          <w:szCs w:val="17"/>
          <w:color w:val="231F20"/>
        </w:rPr>
        <w:t>87-90.</w:t>
      </w:r>
    </w:p>
    <w:p>
      <w:pPr>
        <w:pStyle w:val="BodyText"/>
        <w:spacing w:before="55" w:line="187" w:lineRule="auto"/>
        <w:jc w:val="right"/>
        <w:rPr/>
      </w:pPr>
      <w:r>
        <w:rPr>
          <w:color w:val="231F20"/>
          <w:spacing w:val="-15"/>
        </w:rPr>
        <w:t>（编辑：</w:t>
      </w:r>
      <w:r>
        <w:rPr>
          <w:color w:val="231F20"/>
          <w:spacing w:val="18"/>
        </w:rPr>
        <w:t xml:space="preserve"> </w:t>
      </w:r>
      <w:r>
        <w:rPr>
          <w:color w:val="231F20"/>
          <w:spacing w:val="-15"/>
        </w:rPr>
        <w:t>肖宇琦）</w:t>
      </w:r>
    </w:p>
    <w:p>
      <w:pPr>
        <w:spacing w:line="417" w:lineRule="auto"/>
        <w:rPr>
          <w:rFonts w:ascii="Arial"/>
          <w:sz w:val="21"/>
        </w:rPr>
      </w:pPr>
      <w:r>
        <w:drawing>
          <wp:anchor distT="0" distB="0" distL="0" distR="0" simplePos="0" relativeHeight="251661312" behindDoc="0" locked="0" layoutInCell="1" allowOverlap="1">
            <wp:simplePos x="0" y="0"/>
            <wp:positionH relativeFrom="column">
              <wp:posOffset>270509</wp:posOffset>
            </wp:positionH>
            <wp:positionV relativeFrom="paragraph">
              <wp:posOffset>121151</wp:posOffset>
            </wp:positionV>
            <wp:extent cx="6480809" cy="6350"/>
            <wp:effectExtent l="0" t="0" r="0" b="0"/>
            <wp:wrapNone/>
            <wp:docPr id="18" name="IM 18"/>
            <wp:cNvGraphicFramePr/>
            <a:graphic>
              <a:graphicData uri="http://schemas.openxmlformats.org/drawingml/2006/picture">
                <pic:pic>
                  <pic:nvPicPr>
                    <pic:cNvPr id="18" name="IM 18"/>
                    <pic:cNvPicPr/>
                  </pic:nvPicPr>
                  <pic:blipFill>
                    <a:blip r:embed="rId10"/>
                    <a:stretch>
                      <a:fillRect/>
                    </a:stretch>
                  </pic:blipFill>
                  <pic:spPr>
                    <a:xfrm rot="0">
                      <a:off x="0" y="0"/>
                      <a:ext cx="6480809" cy="6350"/>
                    </a:xfrm>
                    <a:prstGeom prst="rect">
                      <a:avLst/>
                    </a:prstGeom>
                  </pic:spPr>
                </pic:pic>
              </a:graphicData>
            </a:graphic>
          </wp:anchor>
        </w:drawing>
      </w:r>
      <w:r/>
    </w:p>
    <w:p>
      <w:pPr>
        <w:pStyle w:val="BodyText"/>
        <w:ind w:left="321"/>
        <w:spacing w:before="87" w:line="186" w:lineRule="auto"/>
        <w:rPr/>
      </w:pPr>
      <w:r>
        <w:rPr>
          <w:color w:val="231F20"/>
          <w:spacing w:val="-5"/>
        </w:rPr>
        <w:t>（上接第 33</w:t>
      </w:r>
      <w:r>
        <w:rPr>
          <w:color w:val="231F20"/>
          <w:spacing w:val="22"/>
        </w:rPr>
        <w:t xml:space="preserve"> </w:t>
      </w:r>
      <w:r>
        <w:rPr>
          <w:color w:val="231F20"/>
          <w:spacing w:val="-5"/>
        </w:rPr>
        <w:t>页）</w:t>
      </w:r>
    </w:p>
    <w:p>
      <w:pPr>
        <w:pStyle w:val="BodyText"/>
        <w:ind w:left="732"/>
        <w:spacing w:before="54" w:line="196" w:lineRule="auto"/>
        <w:rPr>
          <w:rFonts w:ascii="Arial" w:hAnsi="Arial" w:eastAsia="Arial" w:cs="Arial"/>
          <w:sz w:val="17"/>
          <w:szCs w:val="17"/>
        </w:rPr>
      </w:pPr>
      <w:r>
        <w:rPr>
          <w:sz w:val="17"/>
          <w:szCs w:val="17"/>
          <w:color w:val="231F20"/>
          <w:spacing w:val="3"/>
        </w:rPr>
        <w:t>（</w:t>
      </w:r>
      <w:r>
        <w:rPr>
          <w:rFonts w:ascii="Arial" w:hAnsi="Arial" w:eastAsia="Arial" w:cs="Arial"/>
          <w:sz w:val="17"/>
          <w:szCs w:val="17"/>
          <w:color w:val="231F20"/>
          <w:spacing w:val="3"/>
        </w:rPr>
        <w:t>7</w:t>
      </w:r>
      <w:r>
        <w:rPr>
          <w:sz w:val="17"/>
          <w:szCs w:val="17"/>
          <w:color w:val="231F20"/>
          <w:spacing w:val="-29"/>
          <w:w w:val="61"/>
        </w:rPr>
        <w:t>）：</w:t>
      </w:r>
      <w:r>
        <w:rPr>
          <w:rFonts w:ascii="Arial" w:hAnsi="Arial" w:eastAsia="Arial" w:cs="Arial"/>
          <w:sz w:val="17"/>
          <w:szCs w:val="17"/>
          <w:color w:val="231F20"/>
          <w:spacing w:val="3"/>
        </w:rPr>
        <w:t>799-802.</w:t>
      </w:r>
    </w:p>
    <w:p>
      <w:pPr>
        <w:pStyle w:val="BodyText"/>
        <w:ind w:left="412"/>
        <w:spacing w:before="48" w:line="193" w:lineRule="auto"/>
        <w:rPr>
          <w:rFonts w:ascii="Arial" w:hAnsi="Arial" w:eastAsia="Arial" w:cs="Arial"/>
          <w:sz w:val="17"/>
          <w:szCs w:val="17"/>
        </w:rPr>
      </w:pPr>
      <w:r>
        <w:rPr>
          <w:rFonts w:ascii="Arial" w:hAnsi="Arial" w:eastAsia="Arial" w:cs="Arial"/>
          <w:sz w:val="17"/>
          <w:szCs w:val="17"/>
          <w:color w:val="231F20"/>
          <w:spacing w:val="1"/>
        </w:rPr>
        <w:t>[4]</w:t>
      </w:r>
      <w:r>
        <w:rPr>
          <w:rFonts w:ascii="Arial" w:hAnsi="Arial" w:eastAsia="Arial" w:cs="Arial"/>
          <w:sz w:val="17"/>
          <w:szCs w:val="17"/>
          <w:color w:val="231F20"/>
          <w:spacing w:val="14"/>
          <w:w w:val="101"/>
        </w:rPr>
        <w:t xml:space="preserve">   </w:t>
      </w:r>
      <w:r>
        <w:rPr>
          <w:sz w:val="17"/>
          <w:szCs w:val="17"/>
          <w:color w:val="231F20"/>
          <w:spacing w:val="1"/>
        </w:rPr>
        <w:t>苗云峰，刘兆东</w:t>
      </w:r>
      <w:r>
        <w:rPr>
          <w:rFonts w:ascii="Arial" w:hAnsi="Arial" w:eastAsia="Arial" w:cs="Arial"/>
          <w:sz w:val="17"/>
          <w:szCs w:val="17"/>
          <w:color w:val="231F20"/>
          <w:spacing w:val="1"/>
        </w:rPr>
        <w:t>.</w:t>
      </w:r>
      <w:r>
        <w:rPr>
          <w:sz w:val="17"/>
          <w:szCs w:val="17"/>
          <w:color w:val="231F20"/>
          <w:spacing w:val="1"/>
        </w:rPr>
        <w:t>腹腔镜阑尾切除术中改良丝</w:t>
      </w:r>
      <w:r>
        <w:rPr>
          <w:sz w:val="17"/>
          <w:szCs w:val="17"/>
          <w:color w:val="231F20"/>
        </w:rPr>
        <w:t>线结扎法处理阑尾系膜及根部的临床研究</w:t>
      </w:r>
      <w:r>
        <w:rPr>
          <w:rFonts w:ascii="Arial" w:hAnsi="Arial" w:eastAsia="Arial" w:cs="Arial"/>
          <w:sz w:val="17"/>
          <w:szCs w:val="17"/>
          <w:color w:val="231F20"/>
        </w:rPr>
        <w:t>[J].</w:t>
      </w:r>
      <w:r>
        <w:rPr>
          <w:sz w:val="17"/>
          <w:szCs w:val="17"/>
          <w:color w:val="231F20"/>
        </w:rPr>
        <w:t>腹腔镜外科杂志，</w:t>
      </w:r>
      <w:r>
        <w:rPr>
          <w:rFonts w:ascii="Arial" w:hAnsi="Arial" w:eastAsia="Arial" w:cs="Arial"/>
          <w:sz w:val="17"/>
          <w:szCs w:val="17"/>
          <w:color w:val="231F20"/>
        </w:rPr>
        <w:t>2020</w:t>
      </w:r>
      <w:r>
        <w:rPr>
          <w:sz w:val="17"/>
          <w:szCs w:val="17"/>
          <w:color w:val="231F20"/>
        </w:rPr>
        <w:t>，</w:t>
      </w:r>
      <w:r>
        <w:rPr>
          <w:rFonts w:ascii="Arial" w:hAnsi="Arial" w:eastAsia="Arial" w:cs="Arial"/>
          <w:sz w:val="17"/>
          <w:szCs w:val="17"/>
          <w:color w:val="231F20"/>
        </w:rPr>
        <w:t>25</w:t>
      </w:r>
      <w:r>
        <w:rPr>
          <w:sz w:val="17"/>
          <w:szCs w:val="17"/>
          <w:color w:val="231F20"/>
        </w:rPr>
        <w:t>（</w:t>
      </w:r>
      <w:r>
        <w:rPr>
          <w:rFonts w:ascii="Arial" w:hAnsi="Arial" w:eastAsia="Arial" w:cs="Arial"/>
          <w:sz w:val="17"/>
          <w:szCs w:val="17"/>
          <w:color w:val="231F20"/>
        </w:rPr>
        <w:t>6</w:t>
      </w:r>
      <w:r>
        <w:rPr>
          <w:sz w:val="17"/>
          <w:szCs w:val="17"/>
          <w:color w:val="231F20"/>
          <w:spacing w:val="-28"/>
          <w:w w:val="59"/>
        </w:rPr>
        <w:t>）：</w:t>
      </w:r>
      <w:r>
        <w:rPr>
          <w:rFonts w:ascii="Arial" w:hAnsi="Arial" w:eastAsia="Arial" w:cs="Arial"/>
          <w:sz w:val="17"/>
          <w:szCs w:val="17"/>
          <w:color w:val="231F20"/>
        </w:rPr>
        <w:t>443-446.</w:t>
      </w:r>
    </w:p>
    <w:p>
      <w:pPr>
        <w:pStyle w:val="BodyText"/>
        <w:ind w:left="412"/>
        <w:spacing w:before="43" w:line="201" w:lineRule="auto"/>
        <w:rPr>
          <w:rFonts w:ascii="Arial" w:hAnsi="Arial" w:eastAsia="Arial" w:cs="Arial"/>
          <w:sz w:val="17"/>
          <w:szCs w:val="17"/>
        </w:rPr>
      </w:pPr>
      <w:r>
        <w:rPr>
          <w:rFonts w:ascii="Arial" w:hAnsi="Arial" w:eastAsia="Arial" w:cs="Arial"/>
          <w:sz w:val="17"/>
          <w:szCs w:val="17"/>
          <w:color w:val="231F20"/>
          <w:spacing w:val="-4"/>
        </w:rPr>
        <w:t>[5]    </w:t>
      </w:r>
      <w:r>
        <w:rPr>
          <w:sz w:val="17"/>
          <w:szCs w:val="17"/>
          <w:color w:val="231F20"/>
          <w:spacing w:val="-4"/>
        </w:rPr>
        <w:t>赵玉沛，陈孝平</w:t>
      </w:r>
      <w:r>
        <w:rPr>
          <w:rFonts w:ascii="Arial" w:hAnsi="Arial" w:eastAsia="Arial" w:cs="Arial"/>
          <w:sz w:val="17"/>
          <w:szCs w:val="17"/>
          <w:color w:val="231F20"/>
          <w:spacing w:val="-4"/>
        </w:rPr>
        <w:t>.</w:t>
      </w:r>
      <w:r>
        <w:rPr>
          <w:sz w:val="17"/>
          <w:szCs w:val="17"/>
          <w:color w:val="231F20"/>
          <w:spacing w:val="-4"/>
        </w:rPr>
        <w:t>外科学</w:t>
      </w:r>
      <w:r>
        <w:rPr>
          <w:rFonts w:ascii="Arial" w:hAnsi="Arial" w:eastAsia="Arial" w:cs="Arial"/>
          <w:sz w:val="17"/>
          <w:szCs w:val="17"/>
          <w:color w:val="231F20"/>
          <w:spacing w:val="-4"/>
        </w:rPr>
        <w:t>[M].3 </w:t>
      </w:r>
      <w:r>
        <w:rPr>
          <w:sz w:val="17"/>
          <w:szCs w:val="17"/>
          <w:color w:val="231F20"/>
          <w:spacing w:val="-4"/>
        </w:rPr>
        <w:t>版</w:t>
      </w:r>
      <w:r>
        <w:rPr>
          <w:rFonts w:ascii="Arial" w:hAnsi="Arial" w:eastAsia="Arial" w:cs="Arial"/>
          <w:sz w:val="17"/>
          <w:szCs w:val="17"/>
          <w:color w:val="231F20"/>
          <w:spacing w:val="-4"/>
        </w:rPr>
        <w:t>.</w:t>
      </w:r>
      <w:r>
        <w:rPr>
          <w:sz w:val="17"/>
          <w:szCs w:val="17"/>
          <w:color w:val="231F20"/>
          <w:spacing w:val="-4"/>
        </w:rPr>
        <w:t>北京：人民卫生出版社，</w:t>
      </w:r>
      <w:r>
        <w:rPr>
          <w:rFonts w:ascii="Arial" w:hAnsi="Arial" w:eastAsia="Arial" w:cs="Arial"/>
          <w:sz w:val="17"/>
          <w:szCs w:val="17"/>
          <w:color w:val="231F20"/>
          <w:spacing w:val="-4"/>
        </w:rPr>
        <w:t>2015</w:t>
      </w:r>
      <w:r>
        <w:rPr>
          <w:sz w:val="17"/>
          <w:szCs w:val="17"/>
          <w:color w:val="231F20"/>
          <w:spacing w:val="-4"/>
        </w:rPr>
        <w:t>：</w:t>
      </w:r>
      <w:r>
        <w:rPr>
          <w:rFonts w:ascii="Arial" w:hAnsi="Arial" w:eastAsia="Arial" w:cs="Arial"/>
          <w:sz w:val="17"/>
          <w:szCs w:val="17"/>
          <w:color w:val="231F20"/>
          <w:spacing w:val="-4"/>
        </w:rPr>
        <w:t>503-511.</w:t>
      </w:r>
    </w:p>
    <w:p>
      <w:pPr>
        <w:pStyle w:val="BodyText"/>
        <w:ind w:left="784" w:right="59" w:hanging="372"/>
        <w:spacing w:before="46" w:line="220" w:lineRule="auto"/>
        <w:rPr>
          <w:rFonts w:ascii="Arial" w:hAnsi="Arial" w:eastAsia="Arial" w:cs="Arial"/>
          <w:sz w:val="17"/>
          <w:szCs w:val="17"/>
        </w:rPr>
      </w:pPr>
      <w:r>
        <w:rPr>
          <w:rFonts w:ascii="Arial" w:hAnsi="Arial" w:eastAsia="Arial" w:cs="Arial"/>
          <w:sz w:val="17"/>
          <w:szCs w:val="17"/>
          <w:color w:val="231F20"/>
          <w:spacing w:val="6"/>
        </w:rPr>
        <w:t>[6]</w:t>
      </w:r>
      <w:r>
        <w:rPr>
          <w:rFonts w:ascii="Arial" w:hAnsi="Arial" w:eastAsia="Arial" w:cs="Arial"/>
          <w:sz w:val="17"/>
          <w:szCs w:val="17"/>
          <w:color w:val="231F20"/>
          <w:spacing w:val="21"/>
        </w:rPr>
        <w:t xml:space="preserve">   </w:t>
      </w:r>
      <w:r>
        <w:rPr>
          <w:sz w:val="17"/>
          <w:szCs w:val="17"/>
          <w:color w:val="231F20"/>
          <w:spacing w:val="6"/>
        </w:rPr>
        <w:t>王爱艳，许文青，雷毅</w:t>
      </w:r>
      <w:r>
        <w:rPr>
          <w:rFonts w:ascii="Arial" w:hAnsi="Arial" w:eastAsia="Arial" w:cs="Arial"/>
          <w:sz w:val="17"/>
          <w:szCs w:val="17"/>
          <w:color w:val="231F20"/>
          <w:spacing w:val="6"/>
        </w:rPr>
        <w:t>.</w:t>
      </w:r>
      <w:r>
        <w:rPr>
          <w:sz w:val="17"/>
          <w:szCs w:val="17"/>
          <w:color w:val="231F20"/>
          <w:spacing w:val="6"/>
        </w:rPr>
        <w:t>低温等离子射频消融腰椎间盘突出症患者中实施早期康复护理对术后疼痛及腰椎功能的影响分析</w:t>
      </w:r>
      <w:r>
        <w:rPr>
          <w:rFonts w:ascii="Arial" w:hAnsi="Arial" w:eastAsia="Arial" w:cs="Arial"/>
          <w:sz w:val="17"/>
          <w:szCs w:val="17"/>
          <w:color w:val="231F20"/>
          <w:spacing w:val="6"/>
        </w:rPr>
        <w:t>[J].</w:t>
      </w:r>
      <w:r>
        <w:rPr>
          <w:sz w:val="17"/>
          <w:szCs w:val="17"/>
          <w:color w:val="231F20"/>
          <w:spacing w:val="6"/>
        </w:rPr>
        <w:t>贵州</w:t>
      </w:r>
      <w:r>
        <w:rPr>
          <w:sz w:val="17"/>
          <w:szCs w:val="17"/>
          <w:color w:val="231F20"/>
        </w:rPr>
        <w:t xml:space="preserve"> </w:t>
      </w:r>
      <w:r>
        <w:rPr>
          <w:sz w:val="17"/>
          <w:szCs w:val="17"/>
          <w:color w:val="231F20"/>
          <w:spacing w:val="-12"/>
        </w:rPr>
        <w:t>医药，</w:t>
      </w:r>
      <w:r>
        <w:rPr>
          <w:rFonts w:ascii="Arial" w:hAnsi="Arial" w:eastAsia="Arial" w:cs="Arial"/>
          <w:sz w:val="17"/>
          <w:szCs w:val="17"/>
          <w:color w:val="231F20"/>
          <w:spacing w:val="-12"/>
        </w:rPr>
        <w:t>2023</w:t>
      </w:r>
      <w:r>
        <w:rPr>
          <w:sz w:val="17"/>
          <w:szCs w:val="17"/>
          <w:color w:val="231F20"/>
          <w:spacing w:val="-12"/>
        </w:rPr>
        <w:t>，</w:t>
      </w:r>
      <w:r>
        <w:rPr>
          <w:rFonts w:ascii="Arial" w:hAnsi="Arial" w:eastAsia="Arial" w:cs="Arial"/>
          <w:sz w:val="17"/>
          <w:szCs w:val="17"/>
          <w:color w:val="231F20"/>
          <w:spacing w:val="-12"/>
        </w:rPr>
        <w:t>47</w:t>
      </w:r>
      <w:r>
        <w:rPr>
          <w:sz w:val="17"/>
          <w:szCs w:val="17"/>
          <w:color w:val="231F20"/>
          <w:spacing w:val="-12"/>
        </w:rPr>
        <w:t>（</w:t>
      </w:r>
      <w:r>
        <w:rPr>
          <w:rFonts w:ascii="Arial" w:hAnsi="Arial" w:eastAsia="Arial" w:cs="Arial"/>
          <w:sz w:val="17"/>
          <w:szCs w:val="17"/>
          <w:color w:val="231F20"/>
          <w:spacing w:val="-12"/>
        </w:rPr>
        <w:t>4</w:t>
      </w:r>
      <w:r>
        <w:rPr>
          <w:sz w:val="17"/>
          <w:szCs w:val="17"/>
          <w:color w:val="231F20"/>
          <w:spacing w:val="-31"/>
          <w:w w:val="65"/>
        </w:rPr>
        <w:t>）：</w:t>
      </w:r>
      <w:r>
        <w:rPr>
          <w:rFonts w:ascii="Arial" w:hAnsi="Arial" w:eastAsia="Arial" w:cs="Arial"/>
          <w:sz w:val="17"/>
          <w:szCs w:val="17"/>
          <w:color w:val="231F20"/>
          <w:spacing w:val="-12"/>
        </w:rPr>
        <w:t>627-628.</w:t>
      </w:r>
    </w:p>
    <w:p>
      <w:pPr>
        <w:pStyle w:val="BodyText"/>
        <w:ind w:left="777" w:right="5" w:hanging="365"/>
        <w:spacing w:before="76" w:line="216" w:lineRule="auto"/>
        <w:rPr>
          <w:rFonts w:ascii="Arial" w:hAnsi="Arial" w:eastAsia="Arial" w:cs="Arial"/>
          <w:sz w:val="17"/>
          <w:szCs w:val="17"/>
        </w:rPr>
      </w:pPr>
      <w:r>
        <w:rPr>
          <w:rFonts w:ascii="Arial" w:hAnsi="Arial" w:eastAsia="Arial" w:cs="Arial"/>
          <w:sz w:val="17"/>
          <w:szCs w:val="17"/>
          <w:color w:val="231F20"/>
          <w:spacing w:val="-8"/>
        </w:rPr>
        <w:t>[7]    DUZA</w:t>
      </w:r>
      <w:r>
        <w:rPr>
          <w:rFonts w:ascii="Arial" w:hAnsi="Arial" w:eastAsia="Arial" w:cs="Arial"/>
          <w:sz w:val="17"/>
          <w:szCs w:val="17"/>
          <w:color w:val="231F20"/>
          <w:spacing w:val="23"/>
          <w:w w:val="101"/>
        </w:rPr>
        <w:t xml:space="preserve"> </w:t>
      </w:r>
      <w:r>
        <w:rPr>
          <w:rFonts w:ascii="Arial" w:hAnsi="Arial" w:eastAsia="Arial" w:cs="Arial"/>
          <w:sz w:val="17"/>
          <w:szCs w:val="17"/>
          <w:color w:val="231F20"/>
          <w:spacing w:val="-8"/>
        </w:rPr>
        <w:t>G</w:t>
      </w:r>
      <w:r>
        <w:rPr>
          <w:sz w:val="17"/>
          <w:szCs w:val="17"/>
          <w:color w:val="231F20"/>
          <w:spacing w:val="-8"/>
        </w:rPr>
        <w:t>，</w:t>
      </w:r>
      <w:r>
        <w:rPr>
          <w:rFonts w:ascii="Arial" w:hAnsi="Arial" w:eastAsia="Arial" w:cs="Arial"/>
          <w:sz w:val="17"/>
          <w:szCs w:val="17"/>
          <w:color w:val="231F20"/>
          <w:spacing w:val="-8"/>
        </w:rPr>
        <w:t>DAVRIEUX</w:t>
      </w:r>
      <w:r>
        <w:rPr>
          <w:rFonts w:ascii="Arial" w:hAnsi="Arial" w:eastAsia="Arial" w:cs="Arial"/>
          <w:sz w:val="17"/>
          <w:szCs w:val="17"/>
          <w:color w:val="231F20"/>
          <w:spacing w:val="23"/>
        </w:rPr>
        <w:t xml:space="preserve"> </w:t>
      </w:r>
      <w:r>
        <w:rPr>
          <w:rFonts w:ascii="Arial" w:hAnsi="Arial" w:eastAsia="Arial" w:cs="Arial"/>
          <w:sz w:val="17"/>
          <w:szCs w:val="17"/>
          <w:color w:val="231F20"/>
          <w:spacing w:val="-8"/>
        </w:rPr>
        <w:t>C</w:t>
      </w:r>
      <w:r>
        <w:rPr>
          <w:rFonts w:ascii="Arial" w:hAnsi="Arial" w:eastAsia="Arial" w:cs="Arial"/>
          <w:sz w:val="17"/>
          <w:szCs w:val="17"/>
          <w:color w:val="231F20"/>
          <w:spacing w:val="21"/>
          <w:w w:val="101"/>
        </w:rPr>
        <w:t xml:space="preserve"> </w:t>
      </w:r>
      <w:r>
        <w:rPr>
          <w:rFonts w:ascii="Arial" w:hAnsi="Arial" w:eastAsia="Arial" w:cs="Arial"/>
          <w:sz w:val="17"/>
          <w:szCs w:val="17"/>
          <w:color w:val="231F20"/>
          <w:spacing w:val="-8"/>
        </w:rPr>
        <w:t>F</w:t>
      </w:r>
      <w:r>
        <w:rPr>
          <w:sz w:val="17"/>
          <w:szCs w:val="17"/>
          <w:color w:val="231F20"/>
          <w:spacing w:val="-8"/>
        </w:rPr>
        <w:t>，</w:t>
      </w:r>
      <w:r>
        <w:rPr>
          <w:rFonts w:ascii="Arial" w:hAnsi="Arial" w:eastAsia="Arial" w:cs="Arial"/>
          <w:sz w:val="17"/>
          <w:szCs w:val="17"/>
          <w:color w:val="231F20"/>
          <w:spacing w:val="-8"/>
        </w:rPr>
        <w:t>PALERMO</w:t>
      </w:r>
      <w:r>
        <w:rPr>
          <w:rFonts w:ascii="Arial" w:hAnsi="Arial" w:eastAsia="Arial" w:cs="Arial"/>
          <w:sz w:val="17"/>
          <w:szCs w:val="17"/>
          <w:color w:val="231F20"/>
          <w:spacing w:val="22"/>
        </w:rPr>
        <w:t xml:space="preserve"> </w:t>
      </w:r>
      <w:r>
        <w:rPr>
          <w:rFonts w:ascii="Arial" w:hAnsi="Arial" w:eastAsia="Arial" w:cs="Arial"/>
          <w:sz w:val="17"/>
          <w:szCs w:val="17"/>
          <w:color w:val="231F20"/>
          <w:spacing w:val="-8"/>
        </w:rPr>
        <w:t>M</w:t>
      </w:r>
      <w:r>
        <w:rPr>
          <w:sz w:val="17"/>
          <w:szCs w:val="17"/>
          <w:color w:val="231F20"/>
          <w:spacing w:val="-8"/>
        </w:rPr>
        <w:t>，</w:t>
      </w:r>
      <w:r>
        <w:rPr>
          <w:rFonts w:ascii="Arial" w:hAnsi="Arial" w:eastAsia="Arial" w:cs="Arial"/>
          <w:sz w:val="17"/>
          <w:szCs w:val="17"/>
          <w:color w:val="231F20"/>
          <w:spacing w:val="-8"/>
        </w:rPr>
        <w:t>et</w:t>
      </w:r>
      <w:r>
        <w:rPr>
          <w:rFonts w:ascii="Arial" w:hAnsi="Arial" w:eastAsia="Arial" w:cs="Arial"/>
          <w:sz w:val="17"/>
          <w:szCs w:val="17"/>
          <w:color w:val="231F20"/>
          <w:spacing w:val="21"/>
        </w:rPr>
        <w:t xml:space="preserve"> </w:t>
      </w:r>
      <w:r>
        <w:rPr>
          <w:rFonts w:ascii="Arial" w:hAnsi="Arial" w:eastAsia="Arial" w:cs="Arial"/>
          <w:sz w:val="17"/>
          <w:szCs w:val="17"/>
          <w:color w:val="231F20"/>
          <w:spacing w:val="-8"/>
        </w:rPr>
        <w:t>al.Conventional</w:t>
      </w:r>
      <w:r>
        <w:rPr>
          <w:rFonts w:ascii="Arial" w:hAnsi="Arial" w:eastAsia="Arial" w:cs="Arial"/>
          <w:sz w:val="17"/>
          <w:szCs w:val="17"/>
          <w:color w:val="231F20"/>
          <w:spacing w:val="18"/>
          <w:w w:val="101"/>
        </w:rPr>
        <w:t xml:space="preserve"> </w:t>
      </w:r>
      <w:r>
        <w:rPr>
          <w:rFonts w:ascii="Arial" w:hAnsi="Arial" w:eastAsia="Arial" w:cs="Arial"/>
          <w:sz w:val="17"/>
          <w:szCs w:val="17"/>
          <w:color w:val="231F20"/>
          <w:spacing w:val="-8"/>
        </w:rPr>
        <w:t>laparoscopic</w:t>
      </w:r>
      <w:r>
        <w:rPr>
          <w:rFonts w:ascii="Arial" w:hAnsi="Arial" w:eastAsia="Arial" w:cs="Arial"/>
          <w:sz w:val="17"/>
          <w:szCs w:val="17"/>
          <w:color w:val="231F20"/>
          <w:spacing w:val="21"/>
        </w:rPr>
        <w:t xml:space="preserve"> </w:t>
      </w:r>
      <w:r>
        <w:rPr>
          <w:rFonts w:ascii="Arial" w:hAnsi="Arial" w:eastAsia="Arial" w:cs="Arial"/>
          <w:sz w:val="17"/>
          <w:szCs w:val="17"/>
          <w:color w:val="231F20"/>
          <w:spacing w:val="-8"/>
        </w:rPr>
        <w:t>appendectomy</w:t>
      </w:r>
      <w:r>
        <w:rPr>
          <w:rFonts w:ascii="Arial" w:hAnsi="Arial" w:eastAsia="Arial" w:cs="Arial"/>
          <w:sz w:val="17"/>
          <w:szCs w:val="17"/>
          <w:color w:val="231F20"/>
          <w:spacing w:val="18"/>
          <w:w w:val="101"/>
        </w:rPr>
        <w:t xml:space="preserve"> </w:t>
      </w:r>
      <w:r>
        <w:rPr>
          <w:rFonts w:ascii="Arial" w:hAnsi="Arial" w:eastAsia="Arial" w:cs="Arial"/>
          <w:sz w:val="17"/>
          <w:szCs w:val="17"/>
          <w:color w:val="231F20"/>
          <w:spacing w:val="-8"/>
        </w:rPr>
        <w:t>versus</w:t>
      </w:r>
      <w:r>
        <w:rPr>
          <w:rFonts w:ascii="Arial" w:hAnsi="Arial" w:eastAsia="Arial" w:cs="Arial"/>
          <w:sz w:val="17"/>
          <w:szCs w:val="17"/>
          <w:color w:val="231F20"/>
          <w:spacing w:val="22"/>
        </w:rPr>
        <w:t xml:space="preserve"> </w:t>
      </w:r>
      <w:r>
        <w:rPr>
          <w:rFonts w:ascii="Arial" w:hAnsi="Arial" w:eastAsia="Arial" w:cs="Arial"/>
          <w:sz w:val="17"/>
          <w:szCs w:val="17"/>
          <w:color w:val="231F20"/>
          <w:spacing w:val="-8"/>
        </w:rPr>
        <w:t>single-port</w:t>
      </w:r>
      <w:r>
        <w:rPr>
          <w:rFonts w:ascii="Arial" w:hAnsi="Arial" w:eastAsia="Arial" w:cs="Arial"/>
          <w:sz w:val="17"/>
          <w:szCs w:val="17"/>
          <w:color w:val="231F20"/>
          <w:spacing w:val="18"/>
          <w:w w:val="101"/>
        </w:rPr>
        <w:t xml:space="preserve"> </w:t>
      </w:r>
      <w:r>
        <w:rPr>
          <w:rFonts w:ascii="Arial" w:hAnsi="Arial" w:eastAsia="Arial" w:cs="Arial"/>
          <w:sz w:val="17"/>
          <w:szCs w:val="17"/>
          <w:color w:val="231F20"/>
          <w:spacing w:val="-8"/>
        </w:rPr>
        <w:t>laparos</w:t>
      </w:r>
      <w:r>
        <w:rPr>
          <w:rFonts w:ascii="Arial" w:hAnsi="Arial" w:eastAsia="Arial" w:cs="Arial"/>
          <w:sz w:val="17"/>
          <w:szCs w:val="17"/>
          <w:color w:val="231F20"/>
          <w:spacing w:val="-9"/>
        </w:rPr>
        <w:t>copic</w:t>
      </w:r>
      <w:r>
        <w:rPr>
          <w:rFonts w:ascii="Arial" w:hAnsi="Arial" w:eastAsia="Arial" w:cs="Arial"/>
          <w:sz w:val="17"/>
          <w:szCs w:val="17"/>
          <w:color w:val="231F20"/>
          <w:spacing w:val="21"/>
        </w:rPr>
        <w:t xml:space="preserve"> </w:t>
      </w:r>
      <w:r>
        <w:rPr>
          <w:rFonts w:ascii="Arial" w:hAnsi="Arial" w:eastAsia="Arial" w:cs="Arial"/>
          <w:sz w:val="17"/>
          <w:szCs w:val="17"/>
          <w:color w:val="231F20"/>
          <w:spacing w:val="-9"/>
        </w:rPr>
        <w:t>appendectomy</w:t>
      </w:r>
      <w:r>
        <w:rPr>
          <w:sz w:val="17"/>
          <w:szCs w:val="17"/>
          <w:color w:val="231F20"/>
          <w:spacing w:val="-9"/>
        </w:rPr>
        <w:t>，</w:t>
      </w:r>
      <w:r>
        <w:rPr>
          <w:sz w:val="17"/>
          <w:szCs w:val="17"/>
          <w:color w:val="231F20"/>
        </w:rPr>
        <w:t xml:space="preserve"> </w:t>
      </w:r>
      <w:r>
        <w:rPr>
          <w:rFonts w:ascii="Arial" w:hAnsi="Arial" w:eastAsia="Arial" w:cs="Arial"/>
          <w:sz w:val="17"/>
          <w:szCs w:val="17"/>
          <w:color w:val="231F20"/>
          <w:spacing w:val="-7"/>
        </w:rPr>
        <w:t>a  multicenter  randomized  control  trial</w:t>
      </w:r>
      <w:r>
        <w:rPr>
          <w:sz w:val="17"/>
          <w:szCs w:val="17"/>
          <w:color w:val="231F20"/>
          <w:spacing w:val="-7"/>
        </w:rPr>
        <w:t>：</w:t>
      </w:r>
      <w:r>
        <w:rPr>
          <w:rFonts w:ascii="Arial" w:hAnsi="Arial" w:eastAsia="Arial" w:cs="Arial"/>
          <w:sz w:val="17"/>
          <w:szCs w:val="17"/>
          <w:color w:val="231F20"/>
          <w:spacing w:val="-7"/>
        </w:rPr>
        <w:t>a  feasible  and  safe</w:t>
      </w:r>
      <w:r>
        <w:rPr>
          <w:rFonts w:ascii="Arial" w:hAnsi="Arial" w:eastAsia="Arial" w:cs="Arial"/>
          <w:sz w:val="17"/>
          <w:szCs w:val="17"/>
          <w:color w:val="231F20"/>
        </w:rPr>
        <w:t xml:space="preserve">  </w:t>
      </w:r>
      <w:r>
        <w:rPr>
          <w:rFonts w:ascii="Arial" w:hAnsi="Arial" w:eastAsia="Arial" w:cs="Arial"/>
          <w:sz w:val="17"/>
          <w:szCs w:val="17"/>
          <w:color w:val="231F20"/>
          <w:spacing w:val="-7"/>
        </w:rPr>
        <w:t>alternative</w:t>
      </w:r>
      <w:r>
        <w:rPr>
          <w:rFonts w:ascii="Arial" w:hAnsi="Arial" w:eastAsia="Arial" w:cs="Arial"/>
          <w:sz w:val="17"/>
          <w:szCs w:val="17"/>
          <w:color w:val="231F20"/>
          <w:spacing w:val="46"/>
          <w:w w:val="101"/>
        </w:rPr>
        <w:t xml:space="preserve"> </w:t>
      </w:r>
      <w:r>
        <w:rPr>
          <w:rFonts w:ascii="Arial" w:hAnsi="Arial" w:eastAsia="Arial" w:cs="Arial"/>
          <w:sz w:val="17"/>
          <w:szCs w:val="17"/>
          <w:color w:val="231F20"/>
          <w:spacing w:val="-7"/>
        </w:rPr>
        <w:t>to</w:t>
      </w:r>
      <w:r>
        <w:rPr>
          <w:rFonts w:ascii="Arial" w:hAnsi="Arial" w:eastAsia="Arial" w:cs="Arial"/>
          <w:sz w:val="17"/>
          <w:szCs w:val="17"/>
          <w:color w:val="231F20"/>
          <w:spacing w:val="1"/>
        </w:rPr>
        <w:t xml:space="preserve">  </w:t>
      </w:r>
      <w:r>
        <w:rPr>
          <w:rFonts w:ascii="Arial" w:hAnsi="Arial" w:eastAsia="Arial" w:cs="Arial"/>
          <w:sz w:val="17"/>
          <w:szCs w:val="17"/>
          <w:color w:val="231F20"/>
          <w:spacing w:val="-7"/>
        </w:rPr>
        <w:t>standard</w:t>
      </w:r>
      <w:r>
        <w:rPr>
          <w:rFonts w:ascii="Arial" w:hAnsi="Arial" w:eastAsia="Arial" w:cs="Arial"/>
          <w:sz w:val="17"/>
          <w:szCs w:val="17"/>
          <w:color w:val="231F20"/>
          <w:spacing w:val="45"/>
          <w:w w:val="101"/>
        </w:rPr>
        <w:t xml:space="preserve"> </w:t>
      </w:r>
      <w:r>
        <w:rPr>
          <w:rFonts w:ascii="Arial" w:hAnsi="Arial" w:eastAsia="Arial" w:cs="Arial"/>
          <w:sz w:val="17"/>
          <w:szCs w:val="17"/>
          <w:color w:val="231F20"/>
          <w:spacing w:val="-7"/>
        </w:rPr>
        <w:t>laparoscopy [J].J</w:t>
      </w:r>
      <w:r>
        <w:rPr>
          <w:rFonts w:ascii="Arial" w:hAnsi="Arial" w:eastAsia="Arial" w:cs="Arial"/>
          <w:sz w:val="17"/>
          <w:szCs w:val="17"/>
          <w:color w:val="231F20"/>
        </w:rPr>
        <w:t xml:space="preserve">  </w:t>
      </w:r>
      <w:r>
        <w:rPr>
          <w:rFonts w:ascii="Arial" w:hAnsi="Arial" w:eastAsia="Arial" w:cs="Arial"/>
          <w:sz w:val="17"/>
          <w:szCs w:val="17"/>
          <w:color w:val="231F20"/>
          <w:spacing w:val="-7"/>
        </w:rPr>
        <w:t>Laparoendosc</w:t>
      </w:r>
      <w:r>
        <w:rPr>
          <w:rFonts w:ascii="Arial" w:hAnsi="Arial" w:eastAsia="Arial" w:cs="Arial"/>
          <w:sz w:val="17"/>
          <w:szCs w:val="17"/>
          <w:color w:val="231F20"/>
          <w:spacing w:val="47"/>
          <w:w w:val="101"/>
        </w:rPr>
        <w:t xml:space="preserve"> </w:t>
      </w:r>
      <w:r>
        <w:rPr>
          <w:rFonts w:ascii="Arial" w:hAnsi="Arial" w:eastAsia="Arial" w:cs="Arial"/>
          <w:sz w:val="17"/>
          <w:szCs w:val="17"/>
          <w:color w:val="231F20"/>
          <w:spacing w:val="-8"/>
        </w:rPr>
        <w:t>Adv</w:t>
      </w:r>
      <w:r>
        <w:rPr>
          <w:rFonts w:ascii="Arial" w:hAnsi="Arial" w:eastAsia="Arial" w:cs="Arial"/>
          <w:sz w:val="17"/>
          <w:szCs w:val="17"/>
          <w:color w:val="231F20"/>
          <w:spacing w:val="1"/>
        </w:rPr>
        <w:t xml:space="preserve">  </w:t>
      </w:r>
      <w:r>
        <w:rPr>
          <w:rFonts w:ascii="Arial" w:hAnsi="Arial" w:eastAsia="Arial" w:cs="Arial"/>
          <w:sz w:val="17"/>
          <w:szCs w:val="17"/>
          <w:color w:val="231F20"/>
          <w:spacing w:val="-8"/>
        </w:rPr>
        <w:t>Surg</w:t>
      </w:r>
      <w:r>
        <w:rPr>
          <w:rFonts w:ascii="Arial" w:hAnsi="Arial" w:eastAsia="Arial" w:cs="Arial"/>
          <w:sz w:val="17"/>
          <w:szCs w:val="17"/>
          <w:color w:val="231F20"/>
          <w:spacing w:val="44"/>
        </w:rPr>
        <w:t xml:space="preserve"> </w:t>
      </w:r>
      <w:r>
        <w:rPr>
          <w:rFonts w:ascii="Arial" w:hAnsi="Arial" w:eastAsia="Arial" w:cs="Arial"/>
          <w:sz w:val="17"/>
          <w:szCs w:val="17"/>
          <w:color w:val="231F20"/>
          <w:spacing w:val="-8"/>
        </w:rPr>
        <w:t>Tech</w:t>
      </w:r>
      <w:r>
        <w:rPr>
          <w:rFonts w:ascii="Arial" w:hAnsi="Arial" w:eastAsia="Arial" w:cs="Arial"/>
          <w:sz w:val="17"/>
          <w:szCs w:val="17"/>
          <w:color w:val="231F20"/>
          <w:spacing w:val="46"/>
        </w:rPr>
        <w:t xml:space="preserve"> </w:t>
      </w:r>
      <w:r>
        <w:rPr>
          <w:rFonts w:ascii="Arial" w:hAnsi="Arial" w:eastAsia="Arial" w:cs="Arial"/>
          <w:sz w:val="17"/>
          <w:szCs w:val="17"/>
          <w:color w:val="231F20"/>
          <w:spacing w:val="-8"/>
        </w:rPr>
        <w:t>A</w:t>
      </w:r>
      <w:r>
        <w:rPr>
          <w:sz w:val="17"/>
          <w:szCs w:val="17"/>
          <w:color w:val="231F20"/>
          <w:spacing w:val="-8"/>
        </w:rPr>
        <w:t>，</w:t>
      </w:r>
      <w:r>
        <w:rPr>
          <w:sz w:val="17"/>
          <w:szCs w:val="17"/>
          <w:color w:val="231F20"/>
        </w:rPr>
        <w:t xml:space="preserve"> </w:t>
      </w:r>
      <w:r>
        <w:rPr>
          <w:rFonts w:ascii="Arial" w:hAnsi="Arial" w:eastAsia="Arial" w:cs="Arial"/>
          <w:sz w:val="17"/>
          <w:szCs w:val="17"/>
          <w:color w:val="231F20"/>
          <w:spacing w:val="-12"/>
        </w:rPr>
        <w:t>2019</w:t>
      </w:r>
      <w:r>
        <w:rPr>
          <w:sz w:val="17"/>
          <w:szCs w:val="17"/>
          <w:color w:val="231F20"/>
          <w:spacing w:val="-12"/>
        </w:rPr>
        <w:t>，</w:t>
      </w:r>
      <w:r>
        <w:rPr>
          <w:rFonts w:ascii="Arial" w:hAnsi="Arial" w:eastAsia="Arial" w:cs="Arial"/>
          <w:sz w:val="17"/>
          <w:szCs w:val="17"/>
          <w:color w:val="231F20"/>
          <w:spacing w:val="-12"/>
        </w:rPr>
        <w:t>29</w:t>
      </w:r>
      <w:r>
        <w:rPr>
          <w:sz w:val="17"/>
          <w:szCs w:val="17"/>
          <w:color w:val="231F20"/>
          <w:spacing w:val="-12"/>
        </w:rPr>
        <w:t>（</w:t>
      </w:r>
      <w:r>
        <w:rPr>
          <w:rFonts w:ascii="Arial" w:hAnsi="Arial" w:eastAsia="Arial" w:cs="Arial"/>
          <w:sz w:val="17"/>
          <w:szCs w:val="17"/>
          <w:color w:val="231F20"/>
          <w:spacing w:val="-12"/>
        </w:rPr>
        <w:t>12</w:t>
      </w:r>
      <w:r>
        <w:rPr>
          <w:sz w:val="17"/>
          <w:szCs w:val="17"/>
          <w:color w:val="231F20"/>
          <w:spacing w:val="-39"/>
          <w:w w:val="83"/>
        </w:rPr>
        <w:t>）：</w:t>
      </w:r>
      <w:r>
        <w:rPr>
          <w:rFonts w:ascii="Arial" w:hAnsi="Arial" w:eastAsia="Arial" w:cs="Arial"/>
          <w:sz w:val="17"/>
          <w:szCs w:val="17"/>
          <w:color w:val="231F20"/>
          <w:spacing w:val="-12"/>
        </w:rPr>
        <w:t>1577-1584.</w:t>
      </w:r>
    </w:p>
    <w:p>
      <w:pPr>
        <w:pStyle w:val="BodyText"/>
        <w:ind w:left="781" w:right="5" w:hanging="369"/>
        <w:spacing w:before="42" w:line="220" w:lineRule="auto"/>
        <w:rPr>
          <w:rFonts w:ascii="Arial" w:hAnsi="Arial" w:eastAsia="Arial" w:cs="Arial"/>
          <w:sz w:val="17"/>
          <w:szCs w:val="17"/>
        </w:rPr>
      </w:pPr>
      <w:r>
        <w:rPr>
          <w:rFonts w:ascii="Arial" w:hAnsi="Arial" w:eastAsia="Arial" w:cs="Arial"/>
          <w:sz w:val="17"/>
          <w:szCs w:val="17"/>
          <w:color w:val="231F20"/>
          <w:spacing w:val="10"/>
        </w:rPr>
        <w:t>[8]   </w:t>
      </w:r>
      <w:r>
        <w:rPr>
          <w:sz w:val="17"/>
          <w:szCs w:val="17"/>
          <w:color w:val="231F20"/>
          <w:spacing w:val="10"/>
        </w:rPr>
        <w:t>林宏云，徐志新，冯海妹，等</w:t>
      </w:r>
      <w:r>
        <w:rPr>
          <w:rFonts w:ascii="Arial" w:hAnsi="Arial" w:eastAsia="Arial" w:cs="Arial"/>
          <w:sz w:val="17"/>
          <w:szCs w:val="17"/>
          <w:color w:val="231F20"/>
          <w:spacing w:val="10"/>
        </w:rPr>
        <w:t>.</w:t>
      </w:r>
      <w:r>
        <w:rPr>
          <w:sz w:val="17"/>
          <w:szCs w:val="17"/>
          <w:color w:val="231F20"/>
          <w:spacing w:val="10"/>
        </w:rPr>
        <w:t>地佐辛和芬太尼对腹腔镜阑尾切除患儿镇痛镇静效果和对血流动力学的影响</w:t>
      </w:r>
      <w:r>
        <w:rPr>
          <w:rFonts w:ascii="Arial" w:hAnsi="Arial" w:eastAsia="Arial" w:cs="Arial"/>
          <w:sz w:val="17"/>
          <w:szCs w:val="17"/>
          <w:color w:val="231F20"/>
          <w:spacing w:val="10"/>
        </w:rPr>
        <w:t>[J].</w:t>
      </w:r>
      <w:r>
        <w:rPr>
          <w:sz w:val="17"/>
          <w:szCs w:val="17"/>
          <w:color w:val="231F20"/>
          <w:spacing w:val="10"/>
        </w:rPr>
        <w:t>医学临床研究，</w:t>
      </w:r>
      <w:r>
        <w:rPr>
          <w:sz w:val="17"/>
          <w:szCs w:val="17"/>
          <w:color w:val="231F20"/>
          <w:spacing w:val="18"/>
          <w:w w:val="101"/>
        </w:rPr>
        <w:t xml:space="preserve"> </w:t>
      </w:r>
      <w:r>
        <w:rPr>
          <w:rFonts w:ascii="Arial" w:hAnsi="Arial" w:eastAsia="Arial" w:cs="Arial"/>
          <w:sz w:val="17"/>
          <w:szCs w:val="17"/>
          <w:color w:val="231F20"/>
          <w:spacing w:val="-12"/>
        </w:rPr>
        <w:t>2019</w:t>
      </w:r>
      <w:r>
        <w:rPr>
          <w:sz w:val="17"/>
          <w:szCs w:val="17"/>
          <w:color w:val="231F20"/>
          <w:spacing w:val="-12"/>
        </w:rPr>
        <w:t>，</w:t>
      </w:r>
      <w:r>
        <w:rPr>
          <w:rFonts w:ascii="Arial" w:hAnsi="Arial" w:eastAsia="Arial" w:cs="Arial"/>
          <w:sz w:val="17"/>
          <w:szCs w:val="17"/>
          <w:color w:val="231F20"/>
          <w:spacing w:val="-12"/>
        </w:rPr>
        <w:t>36</w:t>
      </w:r>
      <w:r>
        <w:rPr>
          <w:sz w:val="17"/>
          <w:szCs w:val="17"/>
          <w:color w:val="231F20"/>
          <w:spacing w:val="-12"/>
        </w:rPr>
        <w:t>（</w:t>
      </w:r>
      <w:r>
        <w:rPr>
          <w:rFonts w:ascii="Arial" w:hAnsi="Arial" w:eastAsia="Arial" w:cs="Arial"/>
          <w:sz w:val="17"/>
          <w:szCs w:val="17"/>
          <w:color w:val="231F20"/>
          <w:spacing w:val="-12"/>
        </w:rPr>
        <w:t>6</w:t>
      </w:r>
      <w:r>
        <w:rPr>
          <w:sz w:val="17"/>
          <w:szCs w:val="17"/>
          <w:color w:val="231F20"/>
          <w:spacing w:val="-38"/>
          <w:w w:val="81"/>
        </w:rPr>
        <w:t>）：</w:t>
      </w:r>
      <w:r>
        <w:rPr>
          <w:rFonts w:ascii="Arial" w:hAnsi="Arial" w:eastAsia="Arial" w:cs="Arial"/>
          <w:sz w:val="17"/>
          <w:szCs w:val="17"/>
          <w:color w:val="231F20"/>
          <w:spacing w:val="-12"/>
        </w:rPr>
        <w:t>1174-1176.</w:t>
      </w:r>
    </w:p>
    <w:p>
      <w:pPr>
        <w:pStyle w:val="BodyText"/>
        <w:ind w:left="773" w:right="48" w:hanging="361"/>
        <w:spacing w:before="74" w:line="204" w:lineRule="auto"/>
        <w:rPr>
          <w:rFonts w:ascii="Arial" w:hAnsi="Arial" w:eastAsia="Arial" w:cs="Arial"/>
          <w:sz w:val="17"/>
          <w:szCs w:val="17"/>
        </w:rPr>
      </w:pPr>
      <w:r>
        <w:rPr>
          <w:rFonts w:ascii="Arial" w:hAnsi="Arial" w:eastAsia="Arial" w:cs="Arial"/>
          <w:sz w:val="17"/>
          <w:szCs w:val="17"/>
          <w:color w:val="231F20"/>
          <w:spacing w:val="-9"/>
        </w:rPr>
        <w:t>[9]    BOTCHWAY</w:t>
      </w:r>
      <w:r>
        <w:rPr>
          <w:rFonts w:ascii="Arial" w:hAnsi="Arial" w:eastAsia="Arial" w:cs="Arial"/>
          <w:sz w:val="17"/>
          <w:szCs w:val="17"/>
          <w:color w:val="231F20"/>
          <w:spacing w:val="17"/>
        </w:rPr>
        <w:t xml:space="preserve"> </w:t>
      </w:r>
      <w:r>
        <w:rPr>
          <w:rFonts w:ascii="Arial" w:hAnsi="Arial" w:eastAsia="Arial" w:cs="Arial"/>
          <w:sz w:val="17"/>
          <w:szCs w:val="17"/>
          <w:color w:val="231F20"/>
          <w:spacing w:val="-9"/>
        </w:rPr>
        <w:t>E</w:t>
      </w:r>
      <w:r>
        <w:rPr>
          <w:sz w:val="17"/>
          <w:szCs w:val="17"/>
          <w:color w:val="231F20"/>
          <w:spacing w:val="-9"/>
        </w:rPr>
        <w:t>，</w:t>
      </w:r>
      <w:r>
        <w:rPr>
          <w:rFonts w:ascii="Arial" w:hAnsi="Arial" w:eastAsia="Arial" w:cs="Arial"/>
          <w:sz w:val="17"/>
          <w:szCs w:val="17"/>
          <w:color w:val="231F20"/>
          <w:spacing w:val="-9"/>
        </w:rPr>
        <w:t>MARCISZ</w:t>
      </w:r>
      <w:r>
        <w:rPr>
          <w:rFonts w:ascii="Arial" w:hAnsi="Arial" w:eastAsia="Arial" w:cs="Arial"/>
          <w:sz w:val="17"/>
          <w:szCs w:val="17"/>
          <w:color w:val="231F20"/>
          <w:spacing w:val="17"/>
        </w:rPr>
        <w:t xml:space="preserve"> </w:t>
      </w:r>
      <w:r>
        <w:rPr>
          <w:rFonts w:ascii="Arial" w:hAnsi="Arial" w:eastAsia="Arial" w:cs="Arial"/>
          <w:sz w:val="17"/>
          <w:szCs w:val="17"/>
          <w:color w:val="231F20"/>
          <w:spacing w:val="-9"/>
        </w:rPr>
        <w:t>L</w:t>
      </w:r>
      <w:r>
        <w:rPr>
          <w:sz w:val="17"/>
          <w:szCs w:val="17"/>
          <w:color w:val="231F20"/>
          <w:spacing w:val="-9"/>
        </w:rPr>
        <w:t>，</w:t>
      </w:r>
      <w:r>
        <w:rPr>
          <w:rFonts w:ascii="Arial" w:hAnsi="Arial" w:eastAsia="Arial" w:cs="Arial"/>
          <w:sz w:val="17"/>
          <w:szCs w:val="17"/>
          <w:color w:val="231F20"/>
          <w:spacing w:val="-9"/>
        </w:rPr>
        <w:t>SCHOEMAN</w:t>
      </w:r>
      <w:r>
        <w:rPr>
          <w:rFonts w:ascii="Arial" w:hAnsi="Arial" w:eastAsia="Arial" w:cs="Arial"/>
          <w:sz w:val="17"/>
          <w:szCs w:val="17"/>
          <w:color w:val="231F20"/>
          <w:spacing w:val="18"/>
          <w:w w:val="101"/>
        </w:rPr>
        <w:t xml:space="preserve"> </w:t>
      </w:r>
      <w:r>
        <w:rPr>
          <w:rFonts w:ascii="Arial" w:hAnsi="Arial" w:eastAsia="Arial" w:cs="Arial"/>
          <w:sz w:val="17"/>
          <w:szCs w:val="17"/>
          <w:color w:val="231F20"/>
          <w:spacing w:val="-9"/>
        </w:rPr>
        <w:t>H</w:t>
      </w:r>
      <w:r>
        <w:rPr>
          <w:sz w:val="17"/>
          <w:szCs w:val="17"/>
          <w:color w:val="231F20"/>
          <w:spacing w:val="-9"/>
        </w:rPr>
        <w:t>，</w:t>
      </w:r>
      <w:r>
        <w:rPr>
          <w:rFonts w:ascii="Arial" w:hAnsi="Arial" w:eastAsia="Arial" w:cs="Arial"/>
          <w:sz w:val="17"/>
          <w:szCs w:val="17"/>
          <w:color w:val="231F20"/>
          <w:spacing w:val="-9"/>
        </w:rPr>
        <w:t>et</w:t>
      </w:r>
      <w:r>
        <w:rPr>
          <w:rFonts w:ascii="Arial" w:hAnsi="Arial" w:eastAsia="Arial" w:cs="Arial"/>
          <w:sz w:val="17"/>
          <w:szCs w:val="17"/>
          <w:color w:val="231F20"/>
          <w:spacing w:val="17"/>
          <w:w w:val="101"/>
        </w:rPr>
        <w:t xml:space="preserve"> </w:t>
      </w:r>
      <w:r>
        <w:rPr>
          <w:rFonts w:ascii="Arial" w:hAnsi="Arial" w:eastAsia="Arial" w:cs="Arial"/>
          <w:sz w:val="17"/>
          <w:szCs w:val="17"/>
          <w:color w:val="231F20"/>
          <w:spacing w:val="-9"/>
        </w:rPr>
        <w:t>al.Lapa</w:t>
      </w:r>
      <w:r>
        <w:rPr>
          <w:rFonts w:ascii="Arial" w:hAnsi="Arial" w:eastAsia="Arial" w:cs="Arial"/>
          <w:sz w:val="17"/>
          <w:szCs w:val="17"/>
          <w:color w:val="231F20"/>
          <w:spacing w:val="-10"/>
        </w:rPr>
        <w:t>roscopic</w:t>
      </w:r>
      <w:r>
        <w:rPr>
          <w:rFonts w:ascii="Arial" w:hAnsi="Arial" w:eastAsia="Arial" w:cs="Arial"/>
          <w:sz w:val="17"/>
          <w:szCs w:val="17"/>
          <w:color w:val="231F20"/>
          <w:spacing w:val="14"/>
        </w:rPr>
        <w:t xml:space="preserve"> </w:t>
      </w:r>
      <w:r>
        <w:rPr>
          <w:rFonts w:ascii="Arial" w:hAnsi="Arial" w:eastAsia="Arial" w:cs="Arial"/>
          <w:sz w:val="17"/>
          <w:szCs w:val="17"/>
          <w:color w:val="231F20"/>
          <w:spacing w:val="-10"/>
        </w:rPr>
        <w:t>versus</w:t>
      </w:r>
      <w:r>
        <w:rPr>
          <w:rFonts w:ascii="Arial" w:hAnsi="Arial" w:eastAsia="Arial" w:cs="Arial"/>
          <w:sz w:val="17"/>
          <w:szCs w:val="17"/>
          <w:color w:val="231F20"/>
          <w:spacing w:val="16"/>
          <w:w w:val="101"/>
        </w:rPr>
        <w:t xml:space="preserve"> </w:t>
      </w:r>
      <w:r>
        <w:rPr>
          <w:rFonts w:ascii="Arial" w:hAnsi="Arial" w:eastAsia="Arial" w:cs="Arial"/>
          <w:sz w:val="17"/>
          <w:szCs w:val="17"/>
          <w:color w:val="231F20"/>
          <w:spacing w:val="-10"/>
        </w:rPr>
        <w:t>open</w:t>
      </w:r>
      <w:r>
        <w:rPr>
          <w:rFonts w:ascii="Arial" w:hAnsi="Arial" w:eastAsia="Arial" w:cs="Arial"/>
          <w:sz w:val="17"/>
          <w:szCs w:val="17"/>
          <w:color w:val="231F20"/>
          <w:spacing w:val="17"/>
        </w:rPr>
        <w:t xml:space="preserve"> </w:t>
      </w:r>
      <w:r>
        <w:rPr>
          <w:rFonts w:ascii="Arial" w:hAnsi="Arial" w:eastAsia="Arial" w:cs="Arial"/>
          <w:sz w:val="17"/>
          <w:szCs w:val="17"/>
          <w:color w:val="231F20"/>
          <w:spacing w:val="-10"/>
        </w:rPr>
        <w:t>appendectomy</w:t>
      </w:r>
      <w:r>
        <w:rPr>
          <w:sz w:val="17"/>
          <w:szCs w:val="17"/>
          <w:color w:val="231F20"/>
          <w:spacing w:val="-10"/>
        </w:rPr>
        <w:t>：</w:t>
      </w:r>
      <w:r>
        <w:rPr>
          <w:rFonts w:ascii="Arial" w:hAnsi="Arial" w:eastAsia="Arial" w:cs="Arial"/>
          <w:sz w:val="17"/>
          <w:szCs w:val="17"/>
          <w:color w:val="231F20"/>
          <w:spacing w:val="-10"/>
        </w:rPr>
        <w:t>a</w:t>
      </w:r>
      <w:r>
        <w:rPr>
          <w:rFonts w:ascii="Arial" w:hAnsi="Arial" w:eastAsia="Arial" w:cs="Arial"/>
          <w:sz w:val="17"/>
          <w:szCs w:val="17"/>
          <w:color w:val="231F20"/>
          <w:spacing w:val="14"/>
          <w:w w:val="101"/>
        </w:rPr>
        <w:t xml:space="preserve"> </w:t>
      </w:r>
      <w:r>
        <w:rPr>
          <w:rFonts w:ascii="Arial" w:hAnsi="Arial" w:eastAsia="Arial" w:cs="Arial"/>
          <w:sz w:val="17"/>
          <w:szCs w:val="17"/>
          <w:color w:val="231F20"/>
          <w:spacing w:val="-10"/>
        </w:rPr>
        <w:t>retrospective</w:t>
      </w:r>
      <w:r>
        <w:rPr>
          <w:rFonts w:ascii="Arial" w:hAnsi="Arial" w:eastAsia="Arial" w:cs="Arial"/>
          <w:sz w:val="17"/>
          <w:szCs w:val="17"/>
          <w:color w:val="231F20"/>
          <w:spacing w:val="17"/>
        </w:rPr>
        <w:t xml:space="preserve"> </w:t>
      </w:r>
      <w:r>
        <w:rPr>
          <w:rFonts w:ascii="Arial" w:hAnsi="Arial" w:eastAsia="Arial" w:cs="Arial"/>
          <w:sz w:val="17"/>
          <w:szCs w:val="17"/>
          <w:color w:val="231F20"/>
          <w:spacing w:val="-10"/>
        </w:rPr>
        <w:t>cohort</w:t>
      </w:r>
      <w:r>
        <w:rPr>
          <w:rFonts w:ascii="Arial" w:hAnsi="Arial" w:eastAsia="Arial" w:cs="Arial"/>
          <w:sz w:val="17"/>
          <w:szCs w:val="17"/>
          <w:color w:val="231F20"/>
          <w:spacing w:val="18"/>
          <w:w w:val="101"/>
        </w:rPr>
        <w:t xml:space="preserve"> </w:t>
      </w:r>
      <w:r>
        <w:rPr>
          <w:rFonts w:ascii="Arial" w:hAnsi="Arial" w:eastAsia="Arial" w:cs="Arial"/>
          <w:sz w:val="17"/>
          <w:szCs w:val="17"/>
          <w:color w:val="231F20"/>
          <w:spacing w:val="-10"/>
        </w:rPr>
        <w:t>study</w:t>
      </w:r>
      <w:r>
        <w:rPr>
          <w:rFonts w:ascii="Arial" w:hAnsi="Arial" w:eastAsia="Arial" w:cs="Arial"/>
          <w:sz w:val="17"/>
          <w:szCs w:val="17"/>
          <w:color w:val="231F20"/>
          <w:spacing w:val="16"/>
        </w:rPr>
        <w:t xml:space="preserve"> </w:t>
      </w:r>
      <w:r>
        <w:rPr>
          <w:rFonts w:ascii="Arial" w:hAnsi="Arial" w:eastAsia="Arial" w:cs="Arial"/>
          <w:sz w:val="17"/>
          <w:szCs w:val="17"/>
          <w:color w:val="231F20"/>
          <w:spacing w:val="-10"/>
        </w:rPr>
        <w:t>on</w:t>
      </w:r>
      <w:r>
        <w:rPr>
          <w:rFonts w:ascii="Arial" w:hAnsi="Arial" w:eastAsia="Arial" w:cs="Arial"/>
          <w:sz w:val="17"/>
          <w:szCs w:val="17"/>
          <w:color w:val="231F20"/>
          <w:spacing w:val="14"/>
        </w:rPr>
        <w:t xml:space="preserve"> </w:t>
      </w:r>
      <w:r>
        <w:rPr>
          <w:rFonts w:ascii="Arial" w:hAnsi="Arial" w:eastAsia="Arial" w:cs="Arial"/>
          <w:sz w:val="17"/>
          <w:szCs w:val="17"/>
          <w:color w:val="231F20"/>
          <w:spacing w:val="-10"/>
        </w:rPr>
        <w:t>the</w:t>
      </w:r>
      <w:r>
        <w:rPr>
          <w:rFonts w:ascii="Arial" w:hAnsi="Arial" w:eastAsia="Arial" w:cs="Arial"/>
          <w:sz w:val="17"/>
          <w:szCs w:val="17"/>
          <w:color w:val="231F20"/>
          <w:spacing w:val="16"/>
          <w:w w:val="101"/>
        </w:rPr>
        <w:t xml:space="preserve"> </w:t>
      </w:r>
      <w:r>
        <w:rPr>
          <w:rFonts w:ascii="Arial" w:hAnsi="Arial" w:eastAsia="Arial" w:cs="Arial"/>
          <w:sz w:val="17"/>
          <w:szCs w:val="17"/>
          <w:color w:val="231F20"/>
          <w:spacing w:val="-10"/>
        </w:rPr>
        <w:t>manage-</w:t>
      </w:r>
      <w:r>
        <w:rPr>
          <w:rFonts w:ascii="Arial" w:hAnsi="Arial" w:eastAsia="Arial" w:cs="Arial"/>
          <w:sz w:val="17"/>
          <w:szCs w:val="17"/>
          <w:color w:val="231F20"/>
        </w:rPr>
        <w:t xml:space="preserve"> </w:t>
      </w:r>
      <w:r>
        <w:rPr>
          <w:rFonts w:ascii="Arial" w:hAnsi="Arial" w:eastAsia="Arial" w:cs="Arial"/>
          <w:sz w:val="17"/>
          <w:szCs w:val="17"/>
          <w:color w:val="231F20"/>
          <w:spacing w:val="-8"/>
        </w:rPr>
        <w:t>ment</w:t>
      </w:r>
      <w:r>
        <w:rPr>
          <w:rFonts w:ascii="Arial" w:hAnsi="Arial" w:eastAsia="Arial" w:cs="Arial"/>
          <w:sz w:val="17"/>
          <w:szCs w:val="17"/>
          <w:color w:val="231F20"/>
          <w:spacing w:val="17"/>
          <w:w w:val="101"/>
        </w:rPr>
        <w:t xml:space="preserve"> </w:t>
      </w:r>
      <w:r>
        <w:rPr>
          <w:rFonts w:ascii="Arial" w:hAnsi="Arial" w:eastAsia="Arial" w:cs="Arial"/>
          <w:sz w:val="17"/>
          <w:szCs w:val="17"/>
          <w:color w:val="231F20"/>
          <w:spacing w:val="-8"/>
        </w:rPr>
        <w:t>of acute</w:t>
      </w:r>
      <w:r>
        <w:rPr>
          <w:rFonts w:ascii="Arial" w:hAnsi="Arial" w:eastAsia="Arial" w:cs="Arial"/>
          <w:sz w:val="17"/>
          <w:szCs w:val="17"/>
          <w:color w:val="231F20"/>
          <w:spacing w:val="17"/>
        </w:rPr>
        <w:t xml:space="preserve"> </w:t>
      </w:r>
      <w:r>
        <w:rPr>
          <w:rFonts w:ascii="Arial" w:hAnsi="Arial" w:eastAsia="Arial" w:cs="Arial"/>
          <w:sz w:val="17"/>
          <w:szCs w:val="17"/>
          <w:color w:val="231F20"/>
          <w:spacing w:val="-8"/>
        </w:rPr>
        <w:t>appendicitis</w:t>
      </w:r>
      <w:r>
        <w:rPr>
          <w:sz w:val="17"/>
          <w:szCs w:val="17"/>
          <w:color w:val="231F20"/>
          <w:spacing w:val="-8"/>
        </w:rPr>
        <w:t>（</w:t>
      </w:r>
      <w:r>
        <w:rPr>
          <w:rFonts w:ascii="Arial" w:hAnsi="Arial" w:eastAsia="Arial" w:cs="Arial"/>
          <w:sz w:val="17"/>
          <w:szCs w:val="17"/>
          <w:color w:val="231F20"/>
          <w:spacing w:val="-8"/>
        </w:rPr>
        <w:t>simple</w:t>
      </w:r>
      <w:r>
        <w:rPr>
          <w:rFonts w:ascii="Arial" w:hAnsi="Arial" w:eastAsia="Arial" w:cs="Arial"/>
          <w:sz w:val="17"/>
          <w:szCs w:val="17"/>
          <w:color w:val="231F20"/>
          <w:spacing w:val="17"/>
          <w:w w:val="101"/>
        </w:rPr>
        <w:t xml:space="preserve"> </w:t>
      </w:r>
      <w:r>
        <w:rPr>
          <w:rFonts w:ascii="Arial" w:hAnsi="Arial" w:eastAsia="Arial" w:cs="Arial"/>
          <w:sz w:val="17"/>
          <w:szCs w:val="17"/>
          <w:color w:val="231F20"/>
          <w:spacing w:val="-8"/>
        </w:rPr>
        <w:t>and</w:t>
      </w:r>
      <w:r>
        <w:rPr>
          <w:rFonts w:ascii="Arial" w:hAnsi="Arial" w:eastAsia="Arial" w:cs="Arial"/>
          <w:sz w:val="17"/>
          <w:szCs w:val="17"/>
          <w:color w:val="231F20"/>
          <w:spacing w:val="16"/>
          <w:w w:val="101"/>
        </w:rPr>
        <w:t xml:space="preserve"> </w:t>
      </w:r>
      <w:r>
        <w:rPr>
          <w:rFonts w:ascii="Arial" w:hAnsi="Arial" w:eastAsia="Arial" w:cs="Arial"/>
          <w:sz w:val="17"/>
          <w:szCs w:val="17"/>
          <w:color w:val="231F20"/>
          <w:spacing w:val="-8"/>
        </w:rPr>
        <w:t>complicated</w:t>
      </w:r>
      <w:r>
        <w:rPr>
          <w:sz w:val="17"/>
          <w:szCs w:val="17"/>
          <w:color w:val="231F20"/>
          <w:spacing w:val="-8"/>
        </w:rPr>
        <w:t>） </w:t>
      </w:r>
      <w:r>
        <w:rPr>
          <w:rFonts w:ascii="Arial" w:hAnsi="Arial" w:eastAsia="Arial" w:cs="Arial"/>
          <w:sz w:val="17"/>
          <w:szCs w:val="17"/>
          <w:color w:val="231F20"/>
          <w:spacing w:val="-8"/>
        </w:rPr>
        <w:t>in</w:t>
      </w:r>
      <w:r>
        <w:rPr>
          <w:rFonts w:ascii="Arial" w:hAnsi="Arial" w:eastAsia="Arial" w:cs="Arial"/>
          <w:sz w:val="17"/>
          <w:szCs w:val="17"/>
          <w:color w:val="231F20"/>
          <w:spacing w:val="17"/>
        </w:rPr>
        <w:t xml:space="preserve"> </w:t>
      </w:r>
      <w:r>
        <w:rPr>
          <w:rFonts w:ascii="Arial" w:hAnsi="Arial" w:eastAsia="Arial" w:cs="Arial"/>
          <w:sz w:val="17"/>
          <w:szCs w:val="17"/>
          <w:color w:val="231F20"/>
          <w:spacing w:val="-8"/>
        </w:rPr>
        <w:t>children</w:t>
      </w:r>
      <w:r>
        <w:rPr>
          <w:rFonts w:ascii="Arial" w:hAnsi="Arial" w:eastAsia="Arial" w:cs="Arial"/>
          <w:sz w:val="17"/>
          <w:szCs w:val="17"/>
          <w:color w:val="231F20"/>
          <w:spacing w:val="14"/>
          <w:w w:val="102"/>
        </w:rPr>
        <w:t xml:space="preserve"> </w:t>
      </w:r>
      <w:r>
        <w:rPr>
          <w:rFonts w:ascii="Arial" w:hAnsi="Arial" w:eastAsia="Arial" w:cs="Arial"/>
          <w:sz w:val="17"/>
          <w:szCs w:val="17"/>
          <w:color w:val="231F20"/>
          <w:spacing w:val="-8"/>
        </w:rPr>
        <w:t>under</w:t>
      </w:r>
      <w:r>
        <w:rPr>
          <w:rFonts w:ascii="Arial" w:hAnsi="Arial" w:eastAsia="Arial" w:cs="Arial"/>
          <w:sz w:val="17"/>
          <w:szCs w:val="17"/>
          <w:color w:val="231F20"/>
          <w:spacing w:val="28"/>
        </w:rPr>
        <w:t xml:space="preserve"> </w:t>
      </w:r>
      <w:r>
        <w:rPr>
          <w:rFonts w:ascii="Arial" w:hAnsi="Arial" w:eastAsia="Arial" w:cs="Arial"/>
          <w:sz w:val="17"/>
          <w:szCs w:val="17"/>
          <w:color w:val="231F20"/>
          <w:spacing w:val="-8"/>
        </w:rPr>
        <w:t>13</w:t>
      </w:r>
      <w:r>
        <w:rPr>
          <w:rFonts w:ascii="Arial" w:hAnsi="Arial" w:eastAsia="Arial" w:cs="Arial"/>
          <w:sz w:val="17"/>
          <w:szCs w:val="17"/>
          <w:color w:val="231F20"/>
          <w:spacing w:val="13"/>
        </w:rPr>
        <w:t xml:space="preserve"> </w:t>
      </w:r>
      <w:r>
        <w:rPr>
          <w:rFonts w:ascii="Arial" w:hAnsi="Arial" w:eastAsia="Arial" w:cs="Arial"/>
          <w:sz w:val="17"/>
          <w:szCs w:val="17"/>
          <w:color w:val="231F20"/>
          <w:spacing w:val="-8"/>
        </w:rPr>
        <w:t>years</w:t>
      </w:r>
      <w:r>
        <w:rPr>
          <w:rFonts w:ascii="Arial" w:hAnsi="Arial" w:eastAsia="Arial" w:cs="Arial"/>
          <w:sz w:val="17"/>
          <w:szCs w:val="17"/>
          <w:color w:val="231F20"/>
          <w:spacing w:val="16"/>
          <w:w w:val="101"/>
        </w:rPr>
        <w:t xml:space="preserve"> </w:t>
      </w:r>
      <w:r>
        <w:rPr>
          <w:rFonts w:ascii="Arial" w:hAnsi="Arial" w:eastAsia="Arial" w:cs="Arial"/>
          <w:sz w:val="17"/>
          <w:szCs w:val="17"/>
          <w:color w:val="231F20"/>
          <w:spacing w:val="-8"/>
        </w:rPr>
        <w:t>of age[J].Afr</w:t>
      </w:r>
      <w:r>
        <w:rPr>
          <w:rFonts w:ascii="Arial" w:hAnsi="Arial" w:eastAsia="Arial" w:cs="Arial"/>
          <w:sz w:val="17"/>
          <w:szCs w:val="17"/>
          <w:color w:val="231F20"/>
          <w:spacing w:val="9"/>
        </w:rPr>
        <w:t xml:space="preserve"> </w:t>
      </w:r>
      <w:r>
        <w:rPr>
          <w:rFonts w:ascii="Arial" w:hAnsi="Arial" w:eastAsia="Arial" w:cs="Arial"/>
          <w:sz w:val="17"/>
          <w:szCs w:val="17"/>
          <w:color w:val="231F20"/>
          <w:spacing w:val="-8"/>
        </w:rPr>
        <w:t>J</w:t>
      </w:r>
      <w:r>
        <w:rPr>
          <w:rFonts w:ascii="Arial" w:hAnsi="Arial" w:eastAsia="Arial" w:cs="Arial"/>
          <w:sz w:val="17"/>
          <w:szCs w:val="17"/>
          <w:color w:val="231F20"/>
          <w:spacing w:val="15"/>
          <w:w w:val="101"/>
        </w:rPr>
        <w:t xml:space="preserve"> </w:t>
      </w:r>
      <w:r>
        <w:rPr>
          <w:rFonts w:ascii="Arial" w:hAnsi="Arial" w:eastAsia="Arial" w:cs="Arial"/>
          <w:sz w:val="17"/>
          <w:szCs w:val="17"/>
          <w:color w:val="231F20"/>
          <w:spacing w:val="-8"/>
        </w:rPr>
        <w:t>Paediatr</w:t>
      </w:r>
      <w:r>
        <w:rPr>
          <w:rFonts w:ascii="Arial" w:hAnsi="Arial" w:eastAsia="Arial" w:cs="Arial"/>
          <w:sz w:val="17"/>
          <w:szCs w:val="17"/>
          <w:color w:val="231F20"/>
          <w:spacing w:val="15"/>
          <w:w w:val="101"/>
        </w:rPr>
        <w:t xml:space="preserve"> </w:t>
      </w:r>
      <w:r>
        <w:rPr>
          <w:rFonts w:ascii="Arial" w:hAnsi="Arial" w:eastAsia="Arial" w:cs="Arial"/>
          <w:sz w:val="17"/>
          <w:szCs w:val="17"/>
          <w:color w:val="231F20"/>
          <w:spacing w:val="-8"/>
        </w:rPr>
        <w:t>Surg</w:t>
      </w:r>
      <w:r>
        <w:rPr>
          <w:sz w:val="17"/>
          <w:szCs w:val="17"/>
          <w:color w:val="231F20"/>
          <w:spacing w:val="-8"/>
        </w:rPr>
        <w:t>，</w:t>
      </w:r>
      <w:r>
        <w:rPr>
          <w:rFonts w:ascii="Arial" w:hAnsi="Arial" w:eastAsia="Arial" w:cs="Arial"/>
          <w:sz w:val="17"/>
          <w:szCs w:val="17"/>
          <w:color w:val="231F20"/>
          <w:spacing w:val="-8"/>
        </w:rPr>
        <w:t>2021</w:t>
      </w:r>
      <w:r>
        <w:rPr>
          <w:sz w:val="17"/>
          <w:szCs w:val="17"/>
          <w:color w:val="231F20"/>
          <w:spacing w:val="-8"/>
        </w:rPr>
        <w:t>，</w:t>
      </w:r>
      <w:r>
        <w:rPr>
          <w:rFonts w:ascii="Arial" w:hAnsi="Arial" w:eastAsia="Arial" w:cs="Arial"/>
          <w:sz w:val="17"/>
          <w:szCs w:val="17"/>
          <w:color w:val="231F20"/>
          <w:spacing w:val="-8"/>
        </w:rPr>
        <w:t>18</w:t>
      </w:r>
      <w:r>
        <w:rPr>
          <w:sz w:val="17"/>
          <w:szCs w:val="17"/>
          <w:color w:val="231F20"/>
          <w:spacing w:val="-8"/>
        </w:rPr>
        <w:t>（</w:t>
      </w:r>
      <w:r>
        <w:rPr>
          <w:rFonts w:ascii="Arial" w:hAnsi="Arial" w:eastAsia="Arial" w:cs="Arial"/>
          <w:sz w:val="17"/>
          <w:szCs w:val="17"/>
          <w:color w:val="231F20"/>
          <w:spacing w:val="-8"/>
        </w:rPr>
        <w:t>4</w:t>
      </w:r>
      <w:r>
        <w:rPr>
          <w:sz w:val="17"/>
          <w:szCs w:val="17"/>
          <w:color w:val="231F20"/>
          <w:spacing w:val="-40"/>
          <w:w w:val="86"/>
        </w:rPr>
        <w:t>）：</w:t>
      </w:r>
      <w:r>
        <w:rPr>
          <w:rFonts w:ascii="Arial" w:hAnsi="Arial" w:eastAsia="Arial" w:cs="Arial"/>
          <w:sz w:val="17"/>
          <w:szCs w:val="17"/>
          <w:color w:val="231F20"/>
          <w:spacing w:val="-8"/>
        </w:rPr>
        <w:t>182-186.</w:t>
      </w:r>
    </w:p>
    <w:p>
      <w:pPr>
        <w:pStyle w:val="BodyText"/>
        <w:ind w:left="866" w:right="5" w:hanging="454"/>
        <w:spacing w:before="46" w:line="221" w:lineRule="auto"/>
        <w:rPr>
          <w:rFonts w:ascii="Arial" w:hAnsi="Arial" w:eastAsia="Arial" w:cs="Arial"/>
          <w:sz w:val="17"/>
          <w:szCs w:val="17"/>
        </w:rPr>
      </w:pPr>
      <w:r>
        <w:rPr>
          <w:rFonts w:ascii="Arial" w:hAnsi="Arial" w:eastAsia="Arial" w:cs="Arial"/>
          <w:sz w:val="17"/>
          <w:szCs w:val="17"/>
          <w:color w:val="231F20"/>
          <w:spacing w:val="3"/>
        </w:rPr>
        <w:t>[10]    </w:t>
      </w:r>
      <w:r>
        <w:rPr>
          <w:sz w:val="17"/>
          <w:szCs w:val="17"/>
          <w:color w:val="231F20"/>
          <w:spacing w:val="3"/>
        </w:rPr>
        <w:t>陈晓鹏，程斌，鲍胜华，等</w:t>
      </w:r>
      <w:r>
        <w:rPr>
          <w:rFonts w:ascii="Arial" w:hAnsi="Arial" w:eastAsia="Arial" w:cs="Arial"/>
          <w:sz w:val="17"/>
          <w:szCs w:val="17"/>
          <w:color w:val="231F20"/>
          <w:spacing w:val="3"/>
        </w:rPr>
        <w:t>.</w:t>
      </w:r>
      <w:r>
        <w:rPr>
          <w:sz w:val="17"/>
          <w:szCs w:val="17"/>
          <w:color w:val="231F20"/>
          <w:spacing w:val="3"/>
        </w:rPr>
        <w:t>沿“胆囊管”逆行追踪法在预防腹腔镜胆囊</w:t>
      </w:r>
      <w:r>
        <w:rPr>
          <w:sz w:val="17"/>
          <w:szCs w:val="17"/>
          <w:color w:val="231F20"/>
          <w:spacing w:val="2"/>
        </w:rPr>
        <w:t>切除术肝外胆管损伤中的应用价值</w:t>
      </w:r>
      <w:r>
        <w:rPr>
          <w:rFonts w:ascii="Arial" w:hAnsi="Arial" w:eastAsia="Arial" w:cs="Arial"/>
          <w:sz w:val="17"/>
          <w:szCs w:val="17"/>
          <w:color w:val="231F20"/>
          <w:spacing w:val="2"/>
        </w:rPr>
        <w:t>[J].</w:t>
      </w:r>
      <w:r>
        <w:rPr>
          <w:sz w:val="17"/>
          <w:szCs w:val="17"/>
          <w:color w:val="231F20"/>
          <w:spacing w:val="2"/>
        </w:rPr>
        <w:t>中国普通外科杂志，</w:t>
      </w:r>
      <w:r>
        <w:rPr>
          <w:sz w:val="17"/>
          <w:szCs w:val="17"/>
          <w:color w:val="231F20"/>
        </w:rPr>
        <w:t xml:space="preserve"> </w:t>
      </w:r>
      <w:r>
        <w:rPr>
          <w:rFonts w:ascii="Arial" w:hAnsi="Arial" w:eastAsia="Arial" w:cs="Arial"/>
          <w:sz w:val="17"/>
          <w:szCs w:val="17"/>
          <w:color w:val="231F20"/>
          <w:spacing w:val="-13"/>
        </w:rPr>
        <w:t>2019</w:t>
      </w:r>
      <w:r>
        <w:rPr>
          <w:sz w:val="17"/>
          <w:szCs w:val="17"/>
          <w:color w:val="231F20"/>
          <w:spacing w:val="-13"/>
        </w:rPr>
        <w:t>，</w:t>
      </w:r>
      <w:r>
        <w:rPr>
          <w:rFonts w:ascii="Arial" w:hAnsi="Arial" w:eastAsia="Arial" w:cs="Arial"/>
          <w:sz w:val="17"/>
          <w:szCs w:val="17"/>
          <w:color w:val="231F20"/>
          <w:spacing w:val="-13"/>
        </w:rPr>
        <w:t>28</w:t>
      </w:r>
      <w:r>
        <w:rPr>
          <w:sz w:val="17"/>
          <w:szCs w:val="17"/>
          <w:color w:val="231F20"/>
          <w:spacing w:val="-13"/>
        </w:rPr>
        <w:t>（</w:t>
      </w:r>
      <w:r>
        <w:rPr>
          <w:rFonts w:ascii="Arial" w:hAnsi="Arial" w:eastAsia="Arial" w:cs="Arial"/>
          <w:sz w:val="17"/>
          <w:szCs w:val="17"/>
          <w:color w:val="231F20"/>
          <w:spacing w:val="-13"/>
        </w:rPr>
        <w:t>2</w:t>
      </w:r>
      <w:r>
        <w:rPr>
          <w:sz w:val="17"/>
          <w:szCs w:val="17"/>
          <w:color w:val="231F20"/>
          <w:spacing w:val="-39"/>
          <w:w w:val="82"/>
        </w:rPr>
        <w:t>）：</w:t>
      </w:r>
      <w:r>
        <w:rPr>
          <w:rFonts w:ascii="Arial" w:hAnsi="Arial" w:eastAsia="Arial" w:cs="Arial"/>
          <w:sz w:val="17"/>
          <w:szCs w:val="17"/>
          <w:color w:val="231F20"/>
          <w:spacing w:val="-13"/>
        </w:rPr>
        <w:t>135-141.</w:t>
      </w:r>
    </w:p>
    <w:p>
      <w:pPr>
        <w:pStyle w:val="BodyText"/>
        <w:ind w:left="412"/>
        <w:spacing w:before="38" w:line="201" w:lineRule="auto"/>
        <w:rPr>
          <w:rFonts w:ascii="Arial" w:hAnsi="Arial" w:eastAsia="Arial" w:cs="Arial"/>
          <w:sz w:val="17"/>
          <w:szCs w:val="17"/>
        </w:rPr>
      </w:pPr>
      <w:r>
        <w:rPr>
          <w:rFonts w:ascii="Arial" w:hAnsi="Arial" w:eastAsia="Arial" w:cs="Arial"/>
          <w:sz w:val="17"/>
          <w:szCs w:val="17"/>
          <w:color w:val="231F20"/>
          <w:spacing w:val="-4"/>
        </w:rPr>
        <w:t>[11]    </w:t>
      </w:r>
      <w:r>
        <w:rPr>
          <w:sz w:val="17"/>
          <w:szCs w:val="17"/>
          <w:color w:val="231F20"/>
          <w:spacing w:val="-4"/>
        </w:rPr>
        <w:t>胡军，李绍员，李包根，等</w:t>
      </w:r>
      <w:r>
        <w:rPr>
          <w:rFonts w:ascii="Arial" w:hAnsi="Arial" w:eastAsia="Arial" w:cs="Arial"/>
          <w:sz w:val="17"/>
          <w:szCs w:val="17"/>
          <w:color w:val="231F20"/>
          <w:spacing w:val="-4"/>
        </w:rPr>
        <w:t>.</w:t>
      </w:r>
      <w:r>
        <w:rPr>
          <w:sz w:val="17"/>
          <w:szCs w:val="17"/>
          <w:color w:val="231F20"/>
          <w:spacing w:val="-4"/>
        </w:rPr>
        <w:t>腹腔镜阑尾切除术中阑尾根部结扎与 </w:t>
      </w:r>
      <w:r>
        <w:rPr>
          <w:rFonts w:ascii="Arial" w:hAnsi="Arial" w:eastAsia="Arial" w:cs="Arial"/>
          <w:sz w:val="17"/>
          <w:szCs w:val="17"/>
          <w:color w:val="231F20"/>
          <w:spacing w:val="-4"/>
        </w:rPr>
        <w:t>Hemolok </w:t>
      </w:r>
      <w:r>
        <w:rPr>
          <w:sz w:val="17"/>
          <w:szCs w:val="17"/>
          <w:color w:val="231F20"/>
          <w:spacing w:val="-4"/>
        </w:rPr>
        <w:t>夹闭的对比研究</w:t>
      </w:r>
      <w:r>
        <w:rPr>
          <w:rFonts w:ascii="Arial" w:hAnsi="Arial" w:eastAsia="Arial" w:cs="Arial"/>
          <w:sz w:val="17"/>
          <w:szCs w:val="17"/>
          <w:color w:val="231F20"/>
          <w:spacing w:val="-4"/>
        </w:rPr>
        <w:t>[J].</w:t>
      </w:r>
      <w:r>
        <w:rPr>
          <w:sz w:val="17"/>
          <w:szCs w:val="17"/>
          <w:color w:val="231F20"/>
          <w:spacing w:val="-4"/>
        </w:rPr>
        <w:t>临床外科杂志，</w:t>
      </w:r>
      <w:r>
        <w:rPr>
          <w:rFonts w:ascii="Arial" w:hAnsi="Arial" w:eastAsia="Arial" w:cs="Arial"/>
          <w:sz w:val="17"/>
          <w:szCs w:val="17"/>
          <w:color w:val="231F20"/>
          <w:spacing w:val="-4"/>
        </w:rPr>
        <w:t>2018</w:t>
      </w:r>
      <w:r>
        <w:rPr>
          <w:sz w:val="17"/>
          <w:szCs w:val="17"/>
          <w:color w:val="231F20"/>
          <w:spacing w:val="-4"/>
        </w:rPr>
        <w:t>，</w:t>
      </w:r>
      <w:r>
        <w:rPr>
          <w:rFonts w:ascii="Arial" w:hAnsi="Arial" w:eastAsia="Arial" w:cs="Arial"/>
          <w:sz w:val="17"/>
          <w:szCs w:val="17"/>
          <w:color w:val="231F20"/>
          <w:spacing w:val="-4"/>
        </w:rPr>
        <w:t>26</w:t>
      </w:r>
      <w:r>
        <w:rPr>
          <w:sz w:val="17"/>
          <w:szCs w:val="17"/>
          <w:color w:val="231F20"/>
          <w:spacing w:val="-4"/>
        </w:rPr>
        <w:t>（</w:t>
      </w:r>
      <w:r>
        <w:rPr>
          <w:rFonts w:ascii="Arial" w:hAnsi="Arial" w:eastAsia="Arial" w:cs="Arial"/>
          <w:sz w:val="17"/>
          <w:szCs w:val="17"/>
          <w:color w:val="231F20"/>
          <w:spacing w:val="-4"/>
        </w:rPr>
        <w:t>12</w:t>
      </w:r>
      <w:r>
        <w:rPr>
          <w:sz w:val="17"/>
          <w:szCs w:val="17"/>
          <w:color w:val="231F20"/>
          <w:spacing w:val="-26"/>
          <w:w w:val="56"/>
        </w:rPr>
        <w:t>）：</w:t>
      </w:r>
      <w:r>
        <w:rPr>
          <w:rFonts w:ascii="Arial" w:hAnsi="Arial" w:eastAsia="Arial" w:cs="Arial"/>
          <w:sz w:val="17"/>
          <w:szCs w:val="17"/>
          <w:color w:val="231F20"/>
          <w:spacing w:val="-4"/>
        </w:rPr>
        <w:t>920-921.</w:t>
      </w:r>
    </w:p>
    <w:p>
      <w:pPr>
        <w:pStyle w:val="BodyText"/>
        <w:ind w:left="865" w:right="7" w:hanging="453"/>
        <w:spacing w:before="44" w:line="257" w:lineRule="auto"/>
        <w:rPr>
          <w:rFonts w:ascii="Arial" w:hAnsi="Arial" w:eastAsia="Arial" w:cs="Arial"/>
          <w:sz w:val="17"/>
          <w:szCs w:val="17"/>
        </w:rPr>
      </w:pPr>
      <w:r>
        <w:rPr>
          <w:rFonts w:ascii="Arial" w:hAnsi="Arial" w:eastAsia="Arial" w:cs="Arial"/>
          <w:sz w:val="17"/>
          <w:szCs w:val="17"/>
          <w:color w:val="231F20"/>
          <w:spacing w:val="2"/>
        </w:rPr>
        <w:t>[12]</w:t>
      </w:r>
      <w:r>
        <w:rPr>
          <w:rFonts w:ascii="Arial" w:hAnsi="Arial" w:eastAsia="Arial" w:cs="Arial"/>
          <w:sz w:val="17"/>
          <w:szCs w:val="17"/>
          <w:color w:val="231F20"/>
          <w:spacing w:val="14"/>
        </w:rPr>
        <w:t xml:space="preserve">   </w:t>
      </w:r>
      <w:r>
        <w:rPr>
          <w:sz w:val="17"/>
          <w:szCs w:val="17"/>
          <w:color w:val="231F20"/>
          <w:spacing w:val="2"/>
        </w:rPr>
        <w:t>毕林刚</w:t>
      </w:r>
      <w:r>
        <w:rPr>
          <w:rFonts w:ascii="Arial" w:hAnsi="Arial" w:eastAsia="Arial" w:cs="Arial"/>
          <w:sz w:val="17"/>
          <w:szCs w:val="17"/>
          <w:color w:val="231F20"/>
          <w:spacing w:val="2"/>
        </w:rPr>
        <w:t>.</w:t>
      </w:r>
      <w:r>
        <w:rPr>
          <w:sz w:val="17"/>
          <w:szCs w:val="17"/>
          <w:color w:val="231F20"/>
          <w:spacing w:val="2"/>
        </w:rPr>
        <w:t>低相对分子质量肝素治疗腹腔镜阑尾切除术围术期阑尾炎合并心血管病患者的疗效观察</w:t>
      </w:r>
      <w:r>
        <w:rPr>
          <w:rFonts w:ascii="Arial" w:hAnsi="Arial" w:eastAsia="Arial" w:cs="Arial"/>
          <w:sz w:val="17"/>
          <w:szCs w:val="17"/>
          <w:color w:val="231F20"/>
          <w:spacing w:val="2"/>
        </w:rPr>
        <w:t>[J].</w:t>
      </w:r>
      <w:r>
        <w:rPr>
          <w:sz w:val="17"/>
          <w:szCs w:val="17"/>
          <w:color w:val="231F20"/>
          <w:spacing w:val="2"/>
        </w:rPr>
        <w:t>血栓与止血学，</w:t>
      </w:r>
      <w:r>
        <w:rPr>
          <w:rFonts w:ascii="Arial" w:hAnsi="Arial" w:eastAsia="Arial" w:cs="Arial"/>
          <w:sz w:val="17"/>
          <w:szCs w:val="17"/>
          <w:color w:val="231F20"/>
          <w:spacing w:val="2"/>
        </w:rPr>
        <w:t>2022</w:t>
      </w:r>
      <w:r>
        <w:rPr>
          <w:sz w:val="17"/>
          <w:szCs w:val="17"/>
          <w:color w:val="231F20"/>
          <w:spacing w:val="2"/>
        </w:rPr>
        <w:t>，</w:t>
      </w:r>
      <w:r>
        <w:rPr>
          <w:rFonts w:ascii="Arial" w:hAnsi="Arial" w:eastAsia="Arial" w:cs="Arial"/>
          <w:sz w:val="17"/>
          <w:szCs w:val="17"/>
          <w:color w:val="231F20"/>
          <w:spacing w:val="2"/>
        </w:rPr>
        <w:t>28</w:t>
      </w:r>
      <w:r>
        <w:rPr>
          <w:sz w:val="17"/>
          <w:szCs w:val="17"/>
          <w:color w:val="231F20"/>
          <w:spacing w:val="2"/>
        </w:rPr>
        <w:t>（</w:t>
      </w:r>
      <w:r>
        <w:rPr>
          <w:rFonts w:ascii="Arial" w:hAnsi="Arial" w:eastAsia="Arial" w:cs="Arial"/>
          <w:sz w:val="17"/>
          <w:szCs w:val="17"/>
          <w:color w:val="231F20"/>
          <w:spacing w:val="2"/>
        </w:rPr>
        <w:t>3</w:t>
      </w:r>
      <w:r>
        <w:rPr>
          <w:sz w:val="17"/>
          <w:szCs w:val="17"/>
          <w:color w:val="231F20"/>
          <w:spacing w:val="-45"/>
          <w:w w:val="96"/>
        </w:rPr>
        <w:t>）：</w:t>
      </w:r>
      <w:r>
        <w:rPr>
          <w:sz w:val="17"/>
          <w:szCs w:val="17"/>
          <w:color w:val="231F20"/>
        </w:rPr>
        <w:t xml:space="preserve"> </w:t>
      </w:r>
      <w:r>
        <w:rPr>
          <w:rFonts w:ascii="Arial" w:hAnsi="Arial" w:eastAsia="Arial" w:cs="Arial"/>
          <w:sz w:val="17"/>
          <w:szCs w:val="17"/>
          <w:color w:val="231F20"/>
        </w:rPr>
        <w:t>379-380.</w:t>
      </w:r>
    </w:p>
    <w:p>
      <w:pPr>
        <w:pStyle w:val="BodyText"/>
        <w:ind w:left="412"/>
        <w:spacing w:before="63" w:line="193" w:lineRule="auto"/>
        <w:rPr>
          <w:rFonts w:ascii="Arial" w:hAnsi="Arial" w:eastAsia="Arial" w:cs="Arial"/>
          <w:sz w:val="17"/>
          <w:szCs w:val="17"/>
        </w:rPr>
      </w:pPr>
      <w:r>
        <w:rPr>
          <w:rFonts w:ascii="Arial" w:hAnsi="Arial" w:eastAsia="Arial" w:cs="Arial"/>
          <w:sz w:val="17"/>
          <w:szCs w:val="17"/>
          <w:color w:val="231F20"/>
          <w:spacing w:val="1"/>
        </w:rPr>
        <w:t>[13]</w:t>
      </w:r>
      <w:r>
        <w:rPr>
          <w:rFonts w:ascii="Arial" w:hAnsi="Arial" w:eastAsia="Arial" w:cs="Arial"/>
          <w:sz w:val="17"/>
          <w:szCs w:val="17"/>
          <w:color w:val="231F20"/>
          <w:spacing w:val="16"/>
        </w:rPr>
        <w:t xml:space="preserve">   </w:t>
      </w:r>
      <w:r>
        <w:rPr>
          <w:sz w:val="17"/>
          <w:szCs w:val="17"/>
          <w:color w:val="231F20"/>
          <w:spacing w:val="1"/>
        </w:rPr>
        <w:t>崔凯，周子鹏</w:t>
      </w:r>
      <w:r>
        <w:rPr>
          <w:rFonts w:ascii="Arial" w:hAnsi="Arial" w:eastAsia="Arial" w:cs="Arial"/>
          <w:sz w:val="17"/>
          <w:szCs w:val="17"/>
          <w:color w:val="231F20"/>
          <w:spacing w:val="1"/>
        </w:rPr>
        <w:t>.</w:t>
      </w:r>
      <w:r>
        <w:rPr>
          <w:sz w:val="17"/>
          <w:szCs w:val="17"/>
          <w:color w:val="231F20"/>
          <w:spacing w:val="1"/>
        </w:rPr>
        <w:t>老年阑尾炎患者腹腔镜阑尾切除术对营</w:t>
      </w:r>
      <w:r>
        <w:rPr>
          <w:sz w:val="17"/>
          <w:szCs w:val="17"/>
          <w:color w:val="231F20"/>
        </w:rPr>
        <w:t>养状态炎症反应的影响及临床效果分析</w:t>
      </w:r>
      <w:r>
        <w:rPr>
          <w:rFonts w:ascii="Arial" w:hAnsi="Arial" w:eastAsia="Arial" w:cs="Arial"/>
          <w:sz w:val="17"/>
          <w:szCs w:val="17"/>
          <w:color w:val="231F20"/>
        </w:rPr>
        <w:t>[J].</w:t>
      </w:r>
      <w:r>
        <w:rPr>
          <w:sz w:val="17"/>
          <w:szCs w:val="17"/>
          <w:color w:val="231F20"/>
        </w:rPr>
        <w:t>河北医学，</w:t>
      </w:r>
      <w:r>
        <w:rPr>
          <w:rFonts w:ascii="Arial" w:hAnsi="Arial" w:eastAsia="Arial" w:cs="Arial"/>
          <w:sz w:val="17"/>
          <w:szCs w:val="17"/>
          <w:color w:val="231F20"/>
        </w:rPr>
        <w:t>2020</w:t>
      </w:r>
      <w:r>
        <w:rPr>
          <w:sz w:val="17"/>
          <w:szCs w:val="17"/>
          <w:color w:val="231F20"/>
        </w:rPr>
        <w:t>，</w:t>
      </w:r>
      <w:r>
        <w:rPr>
          <w:rFonts w:ascii="Arial" w:hAnsi="Arial" w:eastAsia="Arial" w:cs="Arial"/>
          <w:sz w:val="17"/>
          <w:szCs w:val="17"/>
          <w:color w:val="231F20"/>
        </w:rPr>
        <w:t>26</w:t>
      </w:r>
      <w:r>
        <w:rPr>
          <w:sz w:val="17"/>
          <w:szCs w:val="17"/>
          <w:color w:val="231F20"/>
        </w:rPr>
        <w:t>（</w:t>
      </w:r>
      <w:r>
        <w:rPr>
          <w:rFonts w:ascii="Arial" w:hAnsi="Arial" w:eastAsia="Arial" w:cs="Arial"/>
          <w:sz w:val="17"/>
          <w:szCs w:val="17"/>
          <w:color w:val="231F20"/>
        </w:rPr>
        <w:t>3</w:t>
      </w:r>
      <w:r>
        <w:rPr>
          <w:sz w:val="17"/>
          <w:szCs w:val="17"/>
          <w:color w:val="231F20"/>
          <w:spacing w:val="-26"/>
          <w:w w:val="55"/>
        </w:rPr>
        <w:t>）：</w:t>
      </w:r>
      <w:r>
        <w:rPr>
          <w:rFonts w:ascii="Arial" w:hAnsi="Arial" w:eastAsia="Arial" w:cs="Arial"/>
          <w:sz w:val="17"/>
          <w:szCs w:val="17"/>
          <w:color w:val="231F20"/>
        </w:rPr>
        <w:t>473-478.</w:t>
      </w:r>
    </w:p>
    <w:p>
      <w:pPr>
        <w:pStyle w:val="BodyText"/>
        <w:ind w:left="412"/>
        <w:spacing w:before="49" w:line="196" w:lineRule="auto"/>
        <w:rPr>
          <w:rFonts w:ascii="Arial" w:hAnsi="Arial" w:eastAsia="Arial" w:cs="Arial"/>
          <w:sz w:val="17"/>
          <w:szCs w:val="17"/>
        </w:rPr>
      </w:pPr>
      <w:r>
        <w:rPr>
          <w:rFonts w:ascii="Arial" w:hAnsi="Arial" w:eastAsia="Arial" w:cs="Arial"/>
          <w:sz w:val="17"/>
          <w:szCs w:val="17"/>
          <w:color w:val="231F20"/>
          <w:spacing w:val="-2"/>
        </w:rPr>
        <w:t>[14]    </w:t>
      </w:r>
      <w:r>
        <w:rPr>
          <w:sz w:val="17"/>
          <w:szCs w:val="17"/>
          <w:color w:val="231F20"/>
          <w:spacing w:val="-2"/>
        </w:rPr>
        <w:t>张昕，李毅，柏立山，等</w:t>
      </w:r>
      <w:r>
        <w:rPr>
          <w:rFonts w:ascii="Arial" w:hAnsi="Arial" w:eastAsia="Arial" w:cs="Arial"/>
          <w:sz w:val="17"/>
          <w:szCs w:val="17"/>
          <w:color w:val="231F20"/>
          <w:spacing w:val="-2"/>
        </w:rPr>
        <w:t>.</w:t>
      </w:r>
      <w:r>
        <w:rPr>
          <w:sz w:val="17"/>
          <w:szCs w:val="17"/>
          <w:color w:val="231F20"/>
          <w:spacing w:val="-2"/>
        </w:rPr>
        <w:t>腹腔镜阑尾切除术中阑尾根部及系膜不同处理方式的比较</w:t>
      </w:r>
      <w:r>
        <w:rPr>
          <w:rFonts w:ascii="Arial" w:hAnsi="Arial" w:eastAsia="Arial" w:cs="Arial"/>
          <w:sz w:val="17"/>
          <w:szCs w:val="17"/>
          <w:color w:val="231F20"/>
          <w:spacing w:val="-2"/>
        </w:rPr>
        <w:t>[J]</w:t>
      </w:r>
      <w:r>
        <w:rPr>
          <w:rFonts w:ascii="Arial" w:hAnsi="Arial" w:eastAsia="Arial" w:cs="Arial"/>
          <w:sz w:val="17"/>
          <w:szCs w:val="17"/>
          <w:color w:val="231F20"/>
          <w:spacing w:val="-3"/>
        </w:rPr>
        <w:t>.</w:t>
      </w:r>
      <w:r>
        <w:rPr>
          <w:sz w:val="17"/>
          <w:szCs w:val="17"/>
          <w:color w:val="231F20"/>
          <w:spacing w:val="-3"/>
        </w:rPr>
        <w:t>蚌埠医学院学报，</w:t>
      </w:r>
      <w:r>
        <w:rPr>
          <w:rFonts w:ascii="Arial" w:hAnsi="Arial" w:eastAsia="Arial" w:cs="Arial"/>
          <w:sz w:val="17"/>
          <w:szCs w:val="17"/>
          <w:color w:val="231F20"/>
          <w:spacing w:val="-3"/>
        </w:rPr>
        <w:t>2019</w:t>
      </w:r>
      <w:r>
        <w:rPr>
          <w:sz w:val="17"/>
          <w:szCs w:val="17"/>
          <w:color w:val="231F20"/>
          <w:spacing w:val="-3"/>
        </w:rPr>
        <w:t>，</w:t>
      </w:r>
      <w:r>
        <w:rPr>
          <w:rFonts w:ascii="Arial" w:hAnsi="Arial" w:eastAsia="Arial" w:cs="Arial"/>
          <w:sz w:val="17"/>
          <w:szCs w:val="17"/>
          <w:color w:val="231F20"/>
          <w:spacing w:val="-3"/>
        </w:rPr>
        <w:t>44</w:t>
      </w:r>
      <w:r>
        <w:rPr>
          <w:sz w:val="17"/>
          <w:szCs w:val="17"/>
          <w:color w:val="231F20"/>
          <w:spacing w:val="-3"/>
        </w:rPr>
        <w:t>（</w:t>
      </w:r>
      <w:r>
        <w:rPr>
          <w:rFonts w:ascii="Arial" w:hAnsi="Arial" w:eastAsia="Arial" w:cs="Arial"/>
          <w:sz w:val="17"/>
          <w:szCs w:val="17"/>
          <w:color w:val="231F20"/>
          <w:spacing w:val="-3"/>
        </w:rPr>
        <w:t>4</w:t>
      </w:r>
      <w:r>
        <w:rPr>
          <w:sz w:val="17"/>
          <w:szCs w:val="17"/>
          <w:color w:val="231F20"/>
          <w:spacing w:val="-27"/>
          <w:w w:val="58"/>
        </w:rPr>
        <w:t>）：</w:t>
      </w:r>
      <w:r>
        <w:rPr>
          <w:rFonts w:ascii="Arial" w:hAnsi="Arial" w:eastAsia="Arial" w:cs="Arial"/>
          <w:sz w:val="17"/>
          <w:szCs w:val="17"/>
          <w:color w:val="231F20"/>
          <w:spacing w:val="-3"/>
        </w:rPr>
        <w:t>481-483.</w:t>
      </w:r>
    </w:p>
    <w:p>
      <w:pPr>
        <w:pStyle w:val="BodyText"/>
        <w:spacing w:before="56" w:line="209" w:lineRule="exact"/>
        <w:jc w:val="right"/>
        <w:rPr/>
      </w:pPr>
      <w:r>
        <w:rPr>
          <w:color w:val="231F20"/>
          <w:spacing w:val="-15"/>
        </w:rPr>
        <w:t>（编辑：</w:t>
      </w:r>
      <w:r>
        <w:rPr>
          <w:color w:val="231F20"/>
          <w:spacing w:val="18"/>
        </w:rPr>
        <w:t xml:space="preserve"> </w:t>
      </w:r>
      <w:r>
        <w:rPr>
          <w:color w:val="231F20"/>
          <w:spacing w:val="-15"/>
        </w:rPr>
        <w:t>肖宇琦）</w:t>
      </w:r>
    </w:p>
    <w:sectPr>
      <w:type w:val="continuous"/>
      <w:pgSz w:w="11905" w:h="16836"/>
      <w:pgMar w:top="1497" w:right="787" w:bottom="917" w:left="424" w:header="1046" w:footer="776" w:gutter="0"/>
      <w:cols w:equalWidth="0" w:num="1">
        <w:col w:w="10693"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29"/>
      <w:spacing w:line="184" w:lineRule="auto"/>
      <w:rPr>
        <w:rFonts w:ascii="Arial" w:hAnsi="Arial" w:eastAsia="Arial" w:cs="Arial"/>
        <w:sz w:val="15"/>
        <w:szCs w:val="15"/>
      </w:rPr>
    </w:pPr>
    <w:r>
      <w:rPr>
        <w:rFonts w:ascii="Arial" w:hAnsi="Arial" w:eastAsia="Arial" w:cs="Arial"/>
        <w:sz w:val="15"/>
        <w:szCs w:val="15"/>
        <w:color w:val="231F20"/>
        <w:spacing w:val="-4"/>
      </w:rPr>
      <w:t>31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74"/>
      <w:spacing w:line="182" w:lineRule="auto"/>
      <w:rPr>
        <w:rFonts w:ascii="Arial" w:hAnsi="Arial" w:eastAsia="Arial" w:cs="Arial"/>
        <w:sz w:val="15"/>
        <w:szCs w:val="15"/>
      </w:rPr>
    </w:pPr>
    <w:r>
      <w:rPr>
        <w:rFonts w:ascii="Arial" w:hAnsi="Arial" w:eastAsia="Arial" w:cs="Arial"/>
        <w:sz w:val="15"/>
        <w:szCs w:val="15"/>
        <w:color w:val="231F20"/>
        <w:spacing w:val="-4"/>
      </w:rPr>
      <w:t>32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29"/>
      <w:spacing w:line="182" w:lineRule="auto"/>
      <w:rPr>
        <w:rFonts w:ascii="Arial" w:hAnsi="Arial" w:eastAsia="Arial" w:cs="Arial"/>
        <w:sz w:val="15"/>
        <w:szCs w:val="15"/>
      </w:rPr>
    </w:pPr>
    <w:r>
      <w:rPr>
        <w:rFonts w:ascii="Arial" w:hAnsi="Arial" w:eastAsia="Arial" w:cs="Arial"/>
        <w:sz w:val="15"/>
        <w:szCs w:val="15"/>
        <w:color w:val="231F20"/>
        <w:spacing w:val="-4"/>
      </w:rPr>
      <w:t>33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74"/>
      <w:spacing w:line="182" w:lineRule="auto"/>
      <w:rPr>
        <w:rFonts w:ascii="Arial" w:hAnsi="Arial" w:eastAsia="Arial" w:cs="Arial"/>
        <w:sz w:val="15"/>
        <w:szCs w:val="15"/>
      </w:rPr>
    </w:pPr>
    <w:r>
      <w:rPr>
        <w:rFonts w:ascii="Arial" w:hAnsi="Arial" w:eastAsia="Arial" w:cs="Arial"/>
        <w:sz w:val="15"/>
        <w:szCs w:val="15"/>
        <w:color w:val="231F20"/>
        <w:spacing w:val="-4"/>
      </w:rPr>
      <w:t>44</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29"/>
      <w:spacing w:before="138" w:line="189" w:lineRule="auto"/>
      <w:rPr>
        <w:sz w:val="17"/>
        <w:szCs w:val="17"/>
      </w:rPr>
    </w:pPr>
    <w:r>
      <w:pict>
        <v:shape id="WordPictureWatermark2" style="position:absolute;margin-left:21.2pt;margin-top:811.6pt;mso-position-vertical-relative:page;mso-position-horizontal-relative:page;width:168.95pt;height:12.5pt;z-index:-251658240;" o:allowincell="f" filled="false" stroked="false" type="#_x0000_t75">
          <v:imagedata o:title="" r:id="rId1"/>
        </v:shape>
      </w:pict>
    </w:r>
    <w:r>
      <w:drawing>
        <wp:anchor distT="0" distB="0" distL="0" distR="0" simplePos="0" relativeHeight="251660288" behindDoc="0" locked="0" layoutInCell="0" allowOverlap="1">
          <wp:simplePos x="0" y="0"/>
          <wp:positionH relativeFrom="page">
            <wp:posOffset>539750</wp:posOffset>
          </wp:positionH>
          <wp:positionV relativeFrom="page">
            <wp:posOffset>908049</wp:posOffset>
          </wp:positionV>
          <wp:extent cx="6480809" cy="11430"/>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6480809" cy="11430"/>
                  </a:xfrm>
                  <a:prstGeom prst="rect">
                    <a:avLst/>
                  </a:prstGeom>
                </pic:spPr>
              </pic:pic>
            </a:graphicData>
          </a:graphic>
        </wp:anchor>
      </w:drawing>
    </w:r>
    <w:r>
      <w:pict>
        <v:shape id="_x0000_s4" style="position:absolute;margin-left:458.25pt;margin-top:5.91011pt;mso-position-vertical-relative:text;mso-position-horizontal-relative:text;width:53.1pt;height:13.5pt;z-index:251661312;" filled="false" stroked="false" type="#_x0000_t202">
          <v:fill on="false"/>
          <v:stroke on="false"/>
          <v:path/>
          <v:imagedata o:title=""/>
          <o:lock v:ext="edit" aspectratio="false"/>
          <v:textbox inset="0mm,0mm,0mm,0mm">
            <w:txbxContent>
              <w:p>
                <w:pPr>
                  <w:pStyle w:val="BodyText"/>
                  <w:ind w:left="20"/>
                  <w:spacing w:before="19" w:line="189" w:lineRule="auto"/>
                  <w:rPr>
                    <w:sz w:val="17"/>
                    <w:szCs w:val="17"/>
                  </w:rPr>
                </w:pPr>
                <w:r>
                  <w:rPr>
                    <w:sz w:val="17"/>
                    <w:szCs w:val="17"/>
                    <w:color w:val="231F20"/>
                    <w:spacing w:val="-10"/>
                  </w:rPr>
                  <w:t>2024 年</w:t>
                </w:r>
                <w:r>
                  <w:rPr>
                    <w:sz w:val="17"/>
                    <w:szCs w:val="17"/>
                    <w:color w:val="231F20"/>
                    <w:spacing w:val="19"/>
                    <w:w w:val="101"/>
                  </w:rPr>
                  <w:t xml:space="preserve"> </w:t>
                </w:r>
                <w:r>
                  <w:rPr>
                    <w:sz w:val="17"/>
                    <w:szCs w:val="17"/>
                    <w:color w:val="231F20"/>
                    <w:spacing w:val="-10"/>
                  </w:rPr>
                  <w:t>11</w:t>
                </w:r>
                <w:r>
                  <w:rPr>
                    <w:sz w:val="17"/>
                    <w:szCs w:val="17"/>
                    <w:color w:val="231F20"/>
                    <w:spacing w:val="1"/>
                  </w:rPr>
                  <w:t xml:space="preserve"> </w:t>
                </w:r>
                <w:r>
                  <w:rPr>
                    <w:sz w:val="17"/>
                    <w:szCs w:val="17"/>
                    <w:color w:val="231F20"/>
                    <w:spacing w:val="-10"/>
                  </w:rPr>
                  <w:t>月</w:t>
                </w:r>
              </w:p>
            </w:txbxContent>
          </v:textbox>
        </v:shape>
      </w:pict>
    </w:r>
    <w:r>
      <w:pict>
        <v:shape id="_x0000_s6" style="position:absolute;margin-left:512.51pt;margin-top:5.91011pt;mso-position-vertical-relative:text;mso-position-horizontal-relative:text;width:9.95pt;height:14.55pt;z-index:251662336;" filled="false" stroked="false" type="#_x0000_t202">
          <v:fill on="false"/>
          <v:stroke on="false"/>
          <v:path/>
          <v:imagedata o:title=""/>
          <o:lock v:ext="edit" aspectratio="false"/>
          <v:textbox inset="0mm,0mm,0mm,0mm">
            <w:txbxContent>
              <w:p>
                <w:pPr>
                  <w:pStyle w:val="BodyText"/>
                  <w:ind w:left="20"/>
                  <w:spacing w:before="20" w:line="206" w:lineRule="auto"/>
                  <w:rPr>
                    <w:sz w:val="17"/>
                    <w:szCs w:val="17"/>
                  </w:rPr>
                </w:pPr>
                <w:r>
                  <w:rPr>
                    <w:sz w:val="17"/>
                    <w:szCs w:val="17"/>
                    <w:color w:val="231F20"/>
                    <w:spacing w:val="-16"/>
                  </w:rPr>
                  <w:t>10</w:t>
                </w:r>
              </w:p>
            </w:txbxContent>
          </v:textbox>
        </v:shape>
      </w:pict>
    </w:r>
    <w:r>
      <w:pict>
        <v:shape id="_x0000_s8" style="position:absolute;margin-left:524.776pt;margin-top:5.91011pt;mso-position-vertical-relative:text;mso-position-horizontal-relative:text;width:8.85pt;height:13.65pt;z-index:251663360;" filled="false" stroked="false" type="#_x0000_t202">
          <v:fill on="false"/>
          <v:stroke on="false"/>
          <v:path/>
          <v:imagedata o:title=""/>
          <o:lock v:ext="edit" aspectratio="false"/>
          <v:textbox inset="0mm,0mm,0mm,0mm">
            <w:txbxContent>
              <w:p>
                <w:pPr>
                  <w:pStyle w:val="BodyText"/>
                  <w:spacing w:before="19" w:line="192" w:lineRule="auto"/>
                  <w:jc w:val="right"/>
                  <w:rPr>
                    <w:sz w:val="17"/>
                    <w:szCs w:val="17"/>
                  </w:rPr>
                </w:pPr>
                <w:r>
                  <w:rPr>
                    <w:sz w:val="17"/>
                    <w:szCs w:val="17"/>
                    <w:color w:val="231F20"/>
                    <w:spacing w:val="-34"/>
                  </w:rPr>
                  <w:t>日</w:t>
                </w:r>
              </w:p>
            </w:txbxContent>
          </v:textbox>
        </v:shape>
      </w:pict>
    </w:r>
    <w:r>
      <w:drawing>
        <wp:anchor distT="0" distB="0" distL="0" distR="0" simplePos="0" relativeHeight="251659264" behindDoc="0" locked="0" layoutInCell="0" allowOverlap="1">
          <wp:simplePos x="0" y="0"/>
          <wp:positionH relativeFrom="page">
            <wp:posOffset>3272976</wp:posOffset>
          </wp:positionH>
          <wp:positionV relativeFrom="page">
            <wp:posOffset>695959</wp:posOffset>
          </wp:positionV>
          <wp:extent cx="1012816" cy="185163"/>
          <wp:effectExtent l="0" t="0" r="0" b="0"/>
          <wp:wrapNone/>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1012816" cy="185163"/>
                  </a:xfrm>
                  <a:prstGeom prst="rect">
                    <a:avLst/>
                  </a:prstGeom>
                </pic:spPr>
              </pic:pic>
            </a:graphicData>
          </a:graphic>
        </wp:anchor>
      </w:drawing>
    </w:r>
    <w:r>
      <w:rPr>
        <w:sz w:val="17"/>
        <w:szCs w:val="17"/>
        <w:color w:val="231F20"/>
        <w:spacing w:val="-5"/>
      </w:rPr>
      <w:t>2024 年 第 28 卷 第 31 期</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29"/>
      <w:spacing w:before="138" w:line="189" w:lineRule="auto"/>
      <w:rPr>
        <w:sz w:val="17"/>
        <w:szCs w:val="17"/>
      </w:rPr>
    </w:pPr>
    <w:r>
      <w:pict>
        <v:shape id="WordPictureWatermark10" style="position:absolute;margin-left:21.2pt;margin-top:811.6pt;mso-position-vertical-relative:page;mso-position-horizontal-relative:page;width:168.95pt;height:12.5pt;z-index:-251652096;" o:allowincell="f" filled="false" stroked="false" type="#_x0000_t75">
          <v:imagedata o:title="" r:id="rId1"/>
        </v:shape>
      </w:pict>
    </w:r>
    <w:r>
      <w:drawing>
        <wp:anchor distT="0" distB="0" distL="0" distR="0" simplePos="0" relativeHeight="251666432" behindDoc="0" locked="0" layoutInCell="0" allowOverlap="1">
          <wp:simplePos x="0" y="0"/>
          <wp:positionH relativeFrom="page">
            <wp:posOffset>539750</wp:posOffset>
          </wp:positionH>
          <wp:positionV relativeFrom="page">
            <wp:posOffset>908049</wp:posOffset>
          </wp:positionV>
          <wp:extent cx="6480809" cy="11430"/>
          <wp:effectExtent l="0" t="0" r="0" b="0"/>
          <wp:wrapNone/>
          <wp:docPr id="8" name="IM 8"/>
          <wp:cNvGraphicFramePr/>
          <a:graphic>
            <a:graphicData uri="http://schemas.openxmlformats.org/drawingml/2006/picture">
              <pic:pic>
                <pic:nvPicPr>
                  <pic:cNvPr id="8" name="IM 8"/>
                  <pic:cNvPicPr/>
                </pic:nvPicPr>
                <pic:blipFill>
                  <a:blip r:embed="rId2"/>
                  <a:stretch>
                    <a:fillRect/>
                  </a:stretch>
                </pic:blipFill>
                <pic:spPr>
                  <a:xfrm rot="0">
                    <a:off x="0" y="0"/>
                    <a:ext cx="6480809" cy="11430"/>
                  </a:xfrm>
                  <a:prstGeom prst="rect">
                    <a:avLst/>
                  </a:prstGeom>
                </pic:spPr>
              </pic:pic>
            </a:graphicData>
          </a:graphic>
        </wp:anchor>
      </w:drawing>
    </w:r>
    <w:r>
      <w:pict>
        <v:shape id="_x0000_s12" style="position:absolute;margin-left:458.056pt;margin-top:5.91011pt;mso-position-vertical-relative:text;mso-position-horizontal-relative:text;width:53.1pt;height:13.5pt;z-index:251667456;" filled="false" stroked="false" type="#_x0000_t202">
          <v:fill on="false"/>
          <v:stroke on="false"/>
          <v:path/>
          <v:imagedata o:title=""/>
          <o:lock v:ext="edit" aspectratio="false"/>
          <v:textbox inset="0mm,0mm,0mm,0mm">
            <w:txbxContent>
              <w:p>
                <w:pPr>
                  <w:pStyle w:val="BodyText"/>
                  <w:ind w:left="20"/>
                  <w:spacing w:before="19" w:line="189" w:lineRule="auto"/>
                  <w:rPr>
                    <w:sz w:val="17"/>
                    <w:szCs w:val="17"/>
                  </w:rPr>
                </w:pPr>
                <w:r>
                  <w:rPr>
                    <w:sz w:val="17"/>
                    <w:szCs w:val="17"/>
                    <w:color w:val="231F20"/>
                    <w:spacing w:val="-10"/>
                  </w:rPr>
                  <w:t>2024 年</w:t>
                </w:r>
                <w:r>
                  <w:rPr>
                    <w:sz w:val="17"/>
                    <w:szCs w:val="17"/>
                    <w:color w:val="231F20"/>
                    <w:spacing w:val="19"/>
                    <w:w w:val="101"/>
                  </w:rPr>
                  <w:t xml:space="preserve"> </w:t>
                </w:r>
                <w:r>
                  <w:rPr>
                    <w:sz w:val="17"/>
                    <w:szCs w:val="17"/>
                    <w:color w:val="231F20"/>
                    <w:spacing w:val="-10"/>
                  </w:rPr>
                  <w:t>11</w:t>
                </w:r>
                <w:r>
                  <w:rPr>
                    <w:sz w:val="17"/>
                    <w:szCs w:val="17"/>
                    <w:color w:val="231F20"/>
                    <w:spacing w:val="1"/>
                  </w:rPr>
                  <w:t xml:space="preserve"> </w:t>
                </w:r>
                <w:r>
                  <w:rPr>
                    <w:sz w:val="17"/>
                    <w:szCs w:val="17"/>
                    <w:color w:val="231F20"/>
                    <w:spacing w:val="-10"/>
                  </w:rPr>
                  <w:t>月</w:t>
                </w:r>
              </w:p>
            </w:txbxContent>
          </v:textbox>
        </v:shape>
      </w:pict>
    </w:r>
    <w:r>
      <w:pict>
        <v:shape id="_x0000_s14" style="position:absolute;margin-left:512.316pt;margin-top:5.91011pt;mso-position-vertical-relative:text;mso-position-horizontal-relative:text;width:9.95pt;height:14.55pt;z-index:251668480;" filled="false" stroked="false" type="#_x0000_t202">
          <v:fill on="false"/>
          <v:stroke on="false"/>
          <v:path/>
          <v:imagedata o:title=""/>
          <o:lock v:ext="edit" aspectratio="false"/>
          <v:textbox inset="0mm,0mm,0mm,0mm">
            <w:txbxContent>
              <w:p>
                <w:pPr>
                  <w:pStyle w:val="BodyText"/>
                  <w:ind w:left="20"/>
                  <w:spacing w:before="20" w:line="206" w:lineRule="auto"/>
                  <w:rPr>
                    <w:sz w:val="17"/>
                    <w:szCs w:val="17"/>
                  </w:rPr>
                </w:pPr>
                <w:r>
                  <w:rPr>
                    <w:sz w:val="17"/>
                    <w:szCs w:val="17"/>
                    <w:color w:val="231F20"/>
                    <w:spacing w:val="-16"/>
                  </w:rPr>
                  <w:t>10</w:t>
                </w:r>
              </w:p>
            </w:txbxContent>
          </v:textbox>
        </v:shape>
      </w:pict>
    </w:r>
    <w:r>
      <w:pict>
        <v:shape id="_x0000_s16" style="position:absolute;margin-left:524.582pt;margin-top:5.91011pt;mso-position-vertical-relative:text;mso-position-horizontal-relative:text;width:8.85pt;height:13.65pt;z-index:251669504;" filled="false" stroked="false" type="#_x0000_t202">
          <v:fill on="false"/>
          <v:stroke on="false"/>
          <v:path/>
          <v:imagedata o:title=""/>
          <o:lock v:ext="edit" aspectratio="false"/>
          <v:textbox inset="0mm,0mm,0mm,0mm">
            <w:txbxContent>
              <w:p>
                <w:pPr>
                  <w:pStyle w:val="BodyText"/>
                  <w:spacing w:before="19" w:line="192" w:lineRule="auto"/>
                  <w:jc w:val="right"/>
                  <w:rPr>
                    <w:sz w:val="17"/>
                    <w:szCs w:val="17"/>
                  </w:rPr>
                </w:pPr>
                <w:r>
                  <w:rPr>
                    <w:sz w:val="17"/>
                    <w:szCs w:val="17"/>
                    <w:color w:val="231F20"/>
                    <w:spacing w:val="-34"/>
                  </w:rPr>
                  <w:t>日</w:t>
                </w:r>
              </w:p>
            </w:txbxContent>
          </v:textbox>
        </v:shape>
      </w:pict>
    </w:r>
    <w:r>
      <w:drawing>
        <wp:anchor distT="0" distB="0" distL="0" distR="0" simplePos="0" relativeHeight="251665408" behindDoc="0" locked="0" layoutInCell="0" allowOverlap="1">
          <wp:simplePos x="0" y="0"/>
          <wp:positionH relativeFrom="page">
            <wp:posOffset>3272976</wp:posOffset>
          </wp:positionH>
          <wp:positionV relativeFrom="page">
            <wp:posOffset>695959</wp:posOffset>
          </wp:positionV>
          <wp:extent cx="1012816" cy="185163"/>
          <wp:effectExtent l="0" t="0" r="0" b="0"/>
          <wp:wrapNone/>
          <wp:docPr id="10" name="IM 10"/>
          <wp:cNvGraphicFramePr/>
          <a:graphic>
            <a:graphicData uri="http://schemas.openxmlformats.org/drawingml/2006/picture">
              <pic:pic>
                <pic:nvPicPr>
                  <pic:cNvPr id="10" name="IM 10"/>
                  <pic:cNvPicPr/>
                </pic:nvPicPr>
                <pic:blipFill>
                  <a:blip r:embed="rId3"/>
                  <a:stretch>
                    <a:fillRect/>
                  </a:stretch>
                </pic:blipFill>
                <pic:spPr>
                  <a:xfrm rot="0">
                    <a:off x="0" y="0"/>
                    <a:ext cx="1012816" cy="185163"/>
                  </a:xfrm>
                  <a:prstGeom prst="rect">
                    <a:avLst/>
                  </a:prstGeom>
                </pic:spPr>
              </pic:pic>
            </a:graphicData>
          </a:graphic>
        </wp:anchor>
      </w:drawing>
    </w:r>
    <w:r>
      <w:rPr>
        <w:sz w:val="17"/>
        <w:szCs w:val="17"/>
        <w:color w:val="231F20"/>
        <w:spacing w:val="-5"/>
      </w:rPr>
      <w:t>2024 年 第 28 卷 第 31 期</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767"/>
      <w:spacing w:before="48" w:line="190" w:lineRule="auto"/>
      <w:rPr>
        <w:sz w:val="17"/>
        <w:szCs w:val="17"/>
      </w:rPr>
    </w:pPr>
    <w:r>
      <w:pict>
        <v:shape id="WordPictureWatermark24" style="position:absolute;margin-left:21.2pt;margin-top:811.6pt;mso-position-vertical-relative:page;mso-position-horizontal-relative:page;width:168.95pt;height:12.5pt;z-index:-251645952;" o:allowincell="f" filled="false" stroked="false" type="#_x0000_t75">
          <v:imagedata o:title="" r:id="rId1"/>
        </v:shape>
      </w:pict>
    </w:r>
    <w:r>
      <w:drawing>
        <wp:anchor distT="0" distB="0" distL="0" distR="0" simplePos="0" relativeHeight="251671552" behindDoc="0" locked="0" layoutInCell="0" allowOverlap="1">
          <wp:simplePos x="0" y="0"/>
          <wp:positionH relativeFrom="page">
            <wp:posOffset>539750</wp:posOffset>
          </wp:positionH>
          <wp:positionV relativeFrom="page">
            <wp:posOffset>908049</wp:posOffset>
          </wp:positionV>
          <wp:extent cx="6480809" cy="11430"/>
          <wp:effectExtent l="0" t="0" r="0" b="0"/>
          <wp:wrapNone/>
          <wp:docPr id="12" name="IM 12"/>
          <wp:cNvGraphicFramePr/>
          <a:graphic>
            <a:graphicData uri="http://schemas.openxmlformats.org/drawingml/2006/picture">
              <pic:pic>
                <pic:nvPicPr>
                  <pic:cNvPr id="12" name="IM 12"/>
                  <pic:cNvPicPr/>
                </pic:nvPicPr>
                <pic:blipFill>
                  <a:blip r:embed="rId2"/>
                  <a:stretch>
                    <a:fillRect/>
                  </a:stretch>
                </pic:blipFill>
                <pic:spPr>
                  <a:xfrm rot="0">
                    <a:off x="0" y="0"/>
                    <a:ext cx="6480809" cy="11430"/>
                  </a:xfrm>
                  <a:prstGeom prst="rect">
                    <a:avLst/>
                  </a:prstGeom>
                </pic:spPr>
              </pic:pic>
            </a:graphicData>
          </a:graphic>
        </wp:anchor>
      </w:drawing>
    </w:r>
    <w:r>
      <w:rPr>
        <w:sz w:val="17"/>
        <w:szCs w:val="17"/>
        <w:color w:val="231F20"/>
        <w:spacing w:val="7"/>
      </w:rPr>
      <w:t>艾   斌</w:t>
    </w:r>
    <w:r>
      <w:rPr>
        <w:sz w:val="17"/>
        <w:szCs w:val="17"/>
        <w:color w:val="231F20"/>
        <w:spacing w:val="-1"/>
      </w:rPr>
      <w:t xml:space="preserve"> </w:t>
    </w:r>
    <w:r>
      <w:rPr>
        <w:sz w:val="17"/>
        <w:szCs w:val="17"/>
        <w:color w:val="231F20"/>
        <w:spacing w:val="7"/>
      </w:rPr>
      <w:t>：腹腔镜阑尾切除术中阑尾残端不同处理方式临床价值对比分析</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29"/>
      <w:spacing w:before="138" w:line="189" w:lineRule="auto"/>
      <w:rPr>
        <w:sz w:val="17"/>
        <w:szCs w:val="17"/>
      </w:rPr>
    </w:pPr>
    <w:r>
      <w:pict>
        <v:shape id="WordPictureWatermark26" style="position:absolute;margin-left:21.2pt;margin-top:811.6pt;mso-position-vertical-relative:page;mso-position-horizontal-relative:page;width:168.95pt;height:12.5pt;z-index:-251639808;" o:allowincell="f" filled="false" stroked="false" type="#_x0000_t75">
          <v:imagedata o:title="" r:id="rId1"/>
        </v:shape>
      </w:pict>
    </w:r>
    <w:r>
      <w:drawing>
        <wp:anchor distT="0" distB="0" distL="0" distR="0" simplePos="0" relativeHeight="251678720" behindDoc="0" locked="0" layoutInCell="0" allowOverlap="1">
          <wp:simplePos x="0" y="0"/>
          <wp:positionH relativeFrom="page">
            <wp:posOffset>539750</wp:posOffset>
          </wp:positionH>
          <wp:positionV relativeFrom="page">
            <wp:posOffset>908049</wp:posOffset>
          </wp:positionV>
          <wp:extent cx="6480809" cy="11430"/>
          <wp:effectExtent l="0" t="0" r="0" b="0"/>
          <wp:wrapNone/>
          <wp:docPr id="14" name="IM 14"/>
          <wp:cNvGraphicFramePr/>
          <a:graphic>
            <a:graphicData uri="http://schemas.openxmlformats.org/drawingml/2006/picture">
              <pic:pic>
                <pic:nvPicPr>
                  <pic:cNvPr id="14" name="IM 14"/>
                  <pic:cNvPicPr/>
                </pic:nvPicPr>
                <pic:blipFill>
                  <a:blip r:embed="rId2"/>
                  <a:stretch>
                    <a:fillRect/>
                  </a:stretch>
                </pic:blipFill>
                <pic:spPr>
                  <a:xfrm rot="0">
                    <a:off x="0" y="0"/>
                    <a:ext cx="6480809" cy="11430"/>
                  </a:xfrm>
                  <a:prstGeom prst="rect">
                    <a:avLst/>
                  </a:prstGeom>
                </pic:spPr>
              </pic:pic>
            </a:graphicData>
          </a:graphic>
        </wp:anchor>
      </w:drawing>
    </w:r>
    <w:r>
      <w:pict>
        <v:shape id="_x0000_s28" style="position:absolute;margin-left:458.056pt;margin-top:5.91011pt;mso-position-vertical-relative:text;mso-position-horizontal-relative:text;width:53.1pt;height:13.5pt;z-index:251679744;" filled="false" stroked="false" type="#_x0000_t202">
          <v:fill on="false"/>
          <v:stroke on="false"/>
          <v:path/>
          <v:imagedata o:title=""/>
          <o:lock v:ext="edit" aspectratio="false"/>
          <v:textbox inset="0mm,0mm,0mm,0mm">
            <w:txbxContent>
              <w:p>
                <w:pPr>
                  <w:pStyle w:val="BodyText"/>
                  <w:ind w:left="20"/>
                  <w:spacing w:before="19" w:line="189" w:lineRule="auto"/>
                  <w:rPr>
                    <w:sz w:val="17"/>
                    <w:szCs w:val="17"/>
                  </w:rPr>
                </w:pPr>
                <w:r>
                  <w:rPr>
                    <w:sz w:val="17"/>
                    <w:szCs w:val="17"/>
                    <w:color w:val="231F20"/>
                    <w:spacing w:val="-10"/>
                  </w:rPr>
                  <w:t>2024 年</w:t>
                </w:r>
                <w:r>
                  <w:rPr>
                    <w:sz w:val="17"/>
                    <w:szCs w:val="17"/>
                    <w:color w:val="231F20"/>
                    <w:spacing w:val="19"/>
                    <w:w w:val="101"/>
                  </w:rPr>
                  <w:t xml:space="preserve"> </w:t>
                </w:r>
                <w:r>
                  <w:rPr>
                    <w:sz w:val="17"/>
                    <w:szCs w:val="17"/>
                    <w:color w:val="231F20"/>
                    <w:spacing w:val="-10"/>
                  </w:rPr>
                  <w:t>11</w:t>
                </w:r>
                <w:r>
                  <w:rPr>
                    <w:sz w:val="17"/>
                    <w:szCs w:val="17"/>
                    <w:color w:val="231F20"/>
                    <w:spacing w:val="1"/>
                  </w:rPr>
                  <w:t xml:space="preserve"> </w:t>
                </w:r>
                <w:r>
                  <w:rPr>
                    <w:sz w:val="17"/>
                    <w:szCs w:val="17"/>
                    <w:color w:val="231F20"/>
                    <w:spacing w:val="-10"/>
                  </w:rPr>
                  <w:t>月</w:t>
                </w:r>
              </w:p>
            </w:txbxContent>
          </v:textbox>
        </v:shape>
      </w:pict>
    </w:r>
    <w:r>
      <w:pict>
        <v:shape id="_x0000_s30" style="position:absolute;margin-left:512.316pt;margin-top:5.91011pt;mso-position-vertical-relative:text;mso-position-horizontal-relative:text;width:9.95pt;height:14.55pt;z-index:251680768;" filled="false" stroked="false" type="#_x0000_t202">
          <v:fill on="false"/>
          <v:stroke on="false"/>
          <v:path/>
          <v:imagedata o:title=""/>
          <o:lock v:ext="edit" aspectratio="false"/>
          <v:textbox inset="0mm,0mm,0mm,0mm">
            <w:txbxContent>
              <w:p>
                <w:pPr>
                  <w:pStyle w:val="BodyText"/>
                  <w:ind w:left="20"/>
                  <w:spacing w:before="20" w:line="206" w:lineRule="auto"/>
                  <w:rPr>
                    <w:sz w:val="17"/>
                    <w:szCs w:val="17"/>
                  </w:rPr>
                </w:pPr>
                <w:r>
                  <w:rPr>
                    <w:sz w:val="17"/>
                    <w:szCs w:val="17"/>
                    <w:color w:val="231F20"/>
                    <w:spacing w:val="-16"/>
                  </w:rPr>
                  <w:t>10</w:t>
                </w:r>
              </w:p>
            </w:txbxContent>
          </v:textbox>
        </v:shape>
      </w:pict>
    </w:r>
    <w:r>
      <w:pict>
        <v:shape id="_x0000_s32" style="position:absolute;margin-left:524.582pt;margin-top:5.91011pt;mso-position-vertical-relative:text;mso-position-horizontal-relative:text;width:8.85pt;height:13.65pt;z-index:251681792;" filled="false" stroked="false" type="#_x0000_t202">
          <v:fill on="false"/>
          <v:stroke on="false"/>
          <v:path/>
          <v:imagedata o:title=""/>
          <o:lock v:ext="edit" aspectratio="false"/>
          <v:textbox inset="0mm,0mm,0mm,0mm">
            <w:txbxContent>
              <w:p>
                <w:pPr>
                  <w:pStyle w:val="BodyText"/>
                  <w:spacing w:before="19" w:line="192" w:lineRule="auto"/>
                  <w:jc w:val="right"/>
                  <w:rPr>
                    <w:sz w:val="17"/>
                    <w:szCs w:val="17"/>
                  </w:rPr>
                </w:pPr>
                <w:r>
                  <w:rPr>
                    <w:sz w:val="17"/>
                    <w:szCs w:val="17"/>
                    <w:color w:val="231F20"/>
                    <w:spacing w:val="-34"/>
                  </w:rPr>
                  <w:t>日</w:t>
                </w:r>
              </w:p>
            </w:txbxContent>
          </v:textbox>
        </v:shape>
      </w:pict>
    </w:r>
    <w:r>
      <w:drawing>
        <wp:anchor distT="0" distB="0" distL="0" distR="0" simplePos="0" relativeHeight="251677696" behindDoc="0" locked="0" layoutInCell="0" allowOverlap="1">
          <wp:simplePos x="0" y="0"/>
          <wp:positionH relativeFrom="page">
            <wp:posOffset>3272976</wp:posOffset>
          </wp:positionH>
          <wp:positionV relativeFrom="page">
            <wp:posOffset>695959</wp:posOffset>
          </wp:positionV>
          <wp:extent cx="1012816" cy="185163"/>
          <wp:effectExtent l="0" t="0" r="0" b="0"/>
          <wp:wrapNone/>
          <wp:docPr id="16" name="IM 16"/>
          <wp:cNvGraphicFramePr/>
          <a:graphic>
            <a:graphicData uri="http://schemas.openxmlformats.org/drawingml/2006/picture">
              <pic:pic>
                <pic:nvPicPr>
                  <pic:cNvPr id="16" name="IM 16"/>
                  <pic:cNvPicPr/>
                </pic:nvPicPr>
                <pic:blipFill>
                  <a:blip r:embed="rId3"/>
                  <a:stretch>
                    <a:fillRect/>
                  </a:stretch>
                </pic:blipFill>
                <pic:spPr>
                  <a:xfrm rot="0">
                    <a:off x="0" y="0"/>
                    <a:ext cx="1012816" cy="185163"/>
                  </a:xfrm>
                  <a:prstGeom prst="rect">
                    <a:avLst/>
                  </a:prstGeom>
                </pic:spPr>
              </pic:pic>
            </a:graphicData>
          </a:graphic>
        </wp:anchor>
      </w:drawing>
    </w:r>
    <w:r>
      <w:rPr>
        <w:sz w:val="17"/>
        <w:szCs w:val="17"/>
        <w:color w:val="231F20"/>
        <w:spacing w:val="-5"/>
      </w:rPr>
      <w:t>2024 年 第 28 卷 第 31 期</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20"/>
      <w:szCs w:val="20"/>
      <w:lang w:val="en-US" w:eastAsia="en-US" w:bidi="ar-SA"/>
    </w:rPr>
  </w:style>
  <w:style w:type="paragraph" w:styleId="TableText">
    <w:name w:val="Table Text"/>
    <w:basedOn w:val="Normal"/>
    <w:semiHidden/>
    <w:qFormat/>
    <w:pPr/>
    <w:rPr>
      <w:rFonts w:ascii="Microsoft YaHei" w:hAnsi="Microsoft YaHei" w:eastAsia="Microsoft YaHei" w:cs="Microsoft YaHei"/>
      <w:sz w:val="17"/>
      <w:szCs w:val="17"/>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4.xml"/><Relationship Id="rId7" Type="http://schemas.openxmlformats.org/officeDocument/2006/relationships/footer" Target="footer3.xml"/><Relationship Id="rId6" Type="http://schemas.openxmlformats.org/officeDocument/2006/relationships/header" Target="header3.xml"/><Relationship Id="rId5" Type="http://schemas.openxmlformats.org/officeDocument/2006/relationships/footer" Target="footer2.xml"/><Relationship Id="rId4" Type="http://schemas.openxmlformats.org/officeDocument/2006/relationships/header" Target="header2.xml"/><Relationship Id="rId3" Type="http://schemas.openxmlformats.org/officeDocument/2006/relationships/image" Target="media/image4.png"/><Relationship Id="rId2" Type="http://schemas.openxmlformats.org/officeDocument/2006/relationships/footer" Target="footer1.xml"/><Relationship Id="rId13" Type="http://schemas.openxmlformats.org/officeDocument/2006/relationships/fontTable" Target="fontTable.xml"/><Relationship Id="rId12" Type="http://schemas.openxmlformats.org/officeDocument/2006/relationships/styles" Target="styles.xml"/><Relationship Id="rId11" Type="http://schemas.openxmlformats.org/officeDocument/2006/relationships/settings" Target="settings.xml"/><Relationship Id="rId10" Type="http://schemas.openxmlformats.org/officeDocument/2006/relationships/image" Target="media/image13.png"/><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pn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header4.xml.rels><?xml version="1.0" encoding="UTF-8" standalone="yes"?>
<Relationships xmlns="http://schemas.openxmlformats.org/package/2006/relationships"><Relationship Id="rId3" Type="http://schemas.openxmlformats.org/officeDocument/2006/relationships/image" Target="media/image12.jpeg"/><Relationship Id="rId2" Type="http://schemas.openxmlformats.org/officeDocument/2006/relationships/image" Target="media/image11.png"/><Relationship Id="rId1" Type="http://schemas.openxmlformats.org/officeDocument/2006/relationships/image" Target="media/image10.png"/></Relationships>
</file>

<file path=docProps/app.xml><?xml version="1.0" encoding="utf-8"?>
<ap:Properties xmlns:vt="http://schemas.openxmlformats.org/officeDocument/2006/docPropsVTypes" xmlns:ap="http://schemas.openxmlformats.org/officeDocument/2006/extended-properties">
  <ap:Application>ReaderEx_DIS 2.5.0 Build 4087</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2024-11-22T14:44:02Z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2025-10-28T21:32:30</vt:filetime>
  </property>
</Properties>
</file>