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669"/>
        <w:spacing w:before="159" w:line="207" w:lineRule="auto"/>
        <w:rPr/>
      </w:pPr>
      <w:r>
        <w:rPr>
          <w:color w:val="AAABAF"/>
          <w:spacing w:val="-2"/>
        </w:rPr>
        <w:t>全科论著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960"/>
        <w:spacing w:before="189" w:line="179" w:lineRule="auto"/>
        <w:outlineLvl w:val="0"/>
        <w:rPr>
          <w:sz w:val="44"/>
          <w:szCs w:val="4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306760</wp:posOffset>
            </wp:positionH>
            <wp:positionV relativeFrom="paragraph">
              <wp:posOffset>-217858</wp:posOffset>
            </wp:positionV>
            <wp:extent cx="6336003" cy="209551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003" cy="2095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color w:val="231F20"/>
          <w:spacing w:val="-1"/>
        </w:rPr>
        <w:t>腹腔镜阑尾切除术治疗阑尾炎的效果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4354"/>
        <w:spacing w:before="86" w:line="182" w:lineRule="auto"/>
        <w:rPr/>
      </w:pPr>
      <w:r>
        <w:rPr>
          <w:color w:val="231F20"/>
          <w:spacing w:val="2"/>
        </w:rPr>
        <w:t>杨四美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2"/>
        </w:rPr>
        <w:t>周子荐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2"/>
        </w:rPr>
        <w:t>臧书源</w:t>
      </w:r>
    </w:p>
    <w:p>
      <w:pPr>
        <w:ind w:left="3374"/>
        <w:spacing w:before="56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（盐城市第一人民医院，江苏 盐城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224000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11" w:right="412"/>
        <w:spacing w:before="86" w:line="224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【摘要】</w:t>
      </w:r>
      <w:r>
        <w:rPr>
          <w:rFonts w:ascii="SimHei" w:hAnsi="SimHei" w:eastAsia="SimHei" w:cs="SimHei"/>
          <w:color w:val="231F20"/>
          <w:spacing w:val="-23"/>
        </w:rPr>
        <w:t xml:space="preserve"> </w:t>
      </w:r>
      <w:r>
        <w:rPr>
          <w:color w:val="231F20"/>
          <w:spacing w:val="5"/>
        </w:rPr>
        <w:t>目的：探究对阑尾炎患者进行治疗时行腹腔镜阑尾切除术的效果。方法：研究纳入本院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color w:val="231F20"/>
          <w:spacing w:val="4"/>
        </w:rPr>
        <w:t>023</w:t>
      </w:r>
      <w:r>
        <w:rPr>
          <w:color w:val="231F20"/>
          <w:spacing w:val="4"/>
        </w:rPr>
        <w:t>年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—</w:t>
      </w:r>
      <w:r>
        <w:rPr>
          <w:rFonts w:ascii="Times New Roman" w:hAnsi="Times New Roman" w:eastAsia="Times New Roman" w:cs="Times New Roman"/>
          <w:color w:val="231F20"/>
          <w:spacing w:val="8"/>
        </w:rPr>
        <w:t>12</w:t>
      </w:r>
      <w:r>
        <w:rPr>
          <w:color w:val="231F20"/>
          <w:spacing w:val="8"/>
        </w:rPr>
        <w:t>月综合临床各项检查结果满足阑尾炎诊断标准的</w:t>
      </w:r>
      <w:r>
        <w:rPr>
          <w:rFonts w:ascii="Times New Roman" w:hAnsi="Times New Roman" w:eastAsia="Times New Roman" w:cs="Times New Roman"/>
          <w:color w:val="231F20"/>
          <w:spacing w:val="8"/>
        </w:rPr>
        <w:t>71</w:t>
      </w:r>
      <w:r>
        <w:rPr>
          <w:color w:val="231F20"/>
          <w:spacing w:val="8"/>
        </w:rPr>
        <w:t>例患者，对所有患者进行随机编号后，采取随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机抽取法分为两组，对照组</w:t>
      </w:r>
      <w:r>
        <w:rPr>
          <w:rFonts w:ascii="Times New Roman" w:hAnsi="Times New Roman" w:eastAsia="Times New Roman" w:cs="Times New Roman"/>
          <w:color w:val="231F20"/>
          <w:spacing w:val="7"/>
        </w:rPr>
        <w:t>37</w:t>
      </w:r>
      <w:r>
        <w:rPr>
          <w:color w:val="231F20"/>
          <w:spacing w:val="7"/>
        </w:rPr>
        <w:t>例行开腹阑尾切除术，观</w:t>
      </w:r>
      <w:r>
        <w:rPr>
          <w:color w:val="231F20"/>
          <w:spacing w:val="6"/>
        </w:rPr>
        <w:t>察组</w:t>
      </w:r>
      <w:r>
        <w:rPr>
          <w:rFonts w:ascii="Times New Roman" w:hAnsi="Times New Roman" w:eastAsia="Times New Roman" w:cs="Times New Roman"/>
          <w:color w:val="231F20"/>
          <w:spacing w:val="6"/>
        </w:rPr>
        <w:t>34</w:t>
      </w:r>
      <w:r>
        <w:rPr>
          <w:color w:val="231F20"/>
          <w:spacing w:val="6"/>
        </w:rPr>
        <w:t>例行腹腔镜阑尾切除术。对比两组治疗效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果。结果：观察组总不良事件发生率低于对照组（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5"/>
        </w:rPr>
        <w:t>）。观察组术后首次排气时间、术后首次下床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活动时间、手术操作时间、住院时间短于对照组（</w:t>
      </w:r>
      <w:r>
        <w:rPr>
          <w:rFonts w:ascii="Times New Roman" w:hAnsi="Times New Roman" w:eastAsia="Times New Roman" w:cs="Times New Roman"/>
          <w:i/>
          <w:iCs/>
          <w:color w:val="231F20"/>
          <w:spacing w:val="9"/>
        </w:rPr>
        <w:t>P</w:t>
      </w:r>
      <w:r>
        <w:rPr>
          <w:color w:val="231F20"/>
          <w:spacing w:val="9"/>
        </w:rPr>
        <w:t>＜</w:t>
      </w:r>
      <w:r>
        <w:rPr>
          <w:rFonts w:ascii="Times New Roman" w:hAnsi="Times New Roman" w:eastAsia="Times New Roman" w:cs="Times New Roman"/>
          <w:color w:val="231F20"/>
          <w:spacing w:val="9"/>
        </w:rPr>
        <w:t>0.05</w:t>
      </w:r>
      <w:r>
        <w:rPr>
          <w:color w:val="231F20"/>
          <w:spacing w:val="9"/>
        </w:rPr>
        <w:t>）。两组炎症指标相比，干预前组间无显著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差异（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＞</w:t>
      </w:r>
      <w:r>
        <w:rPr>
          <w:rFonts w:ascii="Times New Roman" w:hAnsi="Times New Roman" w:eastAsia="Times New Roman" w:cs="Times New Roman"/>
          <w:color w:val="231F20"/>
          <w:spacing w:val="5"/>
        </w:rPr>
        <w:t>0.05 </w:t>
      </w:r>
      <w:r>
        <w:rPr>
          <w:color w:val="231F20"/>
          <w:spacing w:val="3"/>
        </w:rPr>
        <w:t>）；</w:t>
      </w:r>
      <w:r>
        <w:rPr>
          <w:color w:val="231F20"/>
          <w:spacing w:val="5"/>
        </w:rPr>
        <w:t>干预后观察组血清降钙素原水平更低、</w:t>
      </w:r>
      <w:r>
        <w:rPr>
          <w:color w:val="231F20"/>
          <w:spacing w:val="4"/>
        </w:rPr>
        <w:t>白细胞介素-</w:t>
      </w:r>
      <w:r>
        <w:rPr>
          <w:rFonts w:ascii="Times New Roman" w:hAnsi="Times New Roman" w:eastAsia="Times New Roman" w:cs="Times New Roman"/>
          <w:color w:val="231F20"/>
          <w:spacing w:val="4"/>
        </w:rPr>
        <w:t>6</w:t>
      </w:r>
      <w:r>
        <w:rPr>
          <w:color w:val="231F20"/>
          <w:spacing w:val="4"/>
        </w:rPr>
        <w:t>水平更低、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</w:t>
      </w:r>
      <w:r>
        <w:rPr>
          <w:color w:val="231F20"/>
          <w:spacing w:val="4"/>
        </w:rPr>
        <w:t>反应蛋白水平更低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＜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color w:val="231F20"/>
          <w:spacing w:val="6"/>
        </w:rPr>
        <w:t>）。干预前观察组氧化应激指标</w:t>
      </w:r>
      <w:r>
        <w:rPr>
          <w:color w:val="231F20"/>
          <w:spacing w:val="5"/>
        </w:rPr>
        <w:t>与对照组之间差异较小（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＞</w:t>
      </w:r>
      <w:r>
        <w:rPr>
          <w:rFonts w:ascii="Times New Roman" w:hAnsi="Times New Roman" w:eastAsia="Times New Roman" w:cs="Times New Roman"/>
          <w:color w:val="231F20"/>
          <w:spacing w:val="5"/>
        </w:rPr>
        <w:t>0.05 </w:t>
      </w:r>
      <w:r>
        <w:rPr>
          <w:color w:val="231F20"/>
          <w:spacing w:val="1"/>
        </w:rPr>
        <w:t>）；</w:t>
      </w:r>
      <w:r>
        <w:rPr>
          <w:color w:val="231F20"/>
          <w:spacing w:val="5"/>
        </w:rPr>
        <w:t>干预后观察组各氧化应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激指标更优（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＜</w:t>
      </w:r>
      <w:r>
        <w:rPr>
          <w:rFonts w:ascii="Times New Roman" w:hAnsi="Times New Roman" w:eastAsia="Times New Roman" w:cs="Times New Roman"/>
          <w:color w:val="231F20"/>
          <w:spacing w:val="7"/>
        </w:rPr>
        <w:t>0.05</w:t>
      </w:r>
      <w:r>
        <w:rPr>
          <w:color w:val="231F20"/>
          <w:spacing w:val="7"/>
        </w:rPr>
        <w:t>）。两组相比，观察组生活质量评分更高（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＜</w:t>
      </w:r>
      <w:r>
        <w:rPr>
          <w:rFonts w:ascii="Times New Roman" w:hAnsi="Times New Roman" w:eastAsia="Times New Roman" w:cs="Times New Roman"/>
          <w:color w:val="231F20"/>
          <w:spacing w:val="7"/>
        </w:rPr>
        <w:t>0.05</w:t>
      </w:r>
      <w:r>
        <w:rPr>
          <w:color w:val="231F20"/>
          <w:spacing w:val="7"/>
        </w:rPr>
        <w:t>）。结论：对阑尾炎患者行腹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腔镜阑尾切除术治疗，有助于改善患者临床指标，减轻患者氧化应激反应及炎症反应，可对患</w:t>
      </w:r>
      <w:r>
        <w:rPr>
          <w:color w:val="231F20"/>
          <w:spacing w:val="6"/>
        </w:rPr>
        <w:t>者生活质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量产生积极影响。</w:t>
      </w:r>
    </w:p>
    <w:p>
      <w:pPr>
        <w:pStyle w:val="BodyText"/>
        <w:ind w:left="810"/>
        <w:spacing w:line="205" w:lineRule="auto"/>
        <w:rPr/>
      </w:pPr>
      <w:r>
        <w:rPr>
          <w:rFonts w:ascii="SimHei" w:hAnsi="SimHei" w:eastAsia="SimHei" w:cs="SimHei"/>
          <w:color w:val="231F20"/>
          <w:spacing w:val="1"/>
        </w:rPr>
        <w:t>【关键词】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1"/>
        </w:rPr>
        <w:t>阑尾炎   腹腔镜阑尾切除术    开腹阑尾切除术</w:t>
      </w:r>
    </w:p>
    <w:p>
      <w:pPr>
        <w:ind w:left="821"/>
        <w:spacing w:before="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DOI:10.20255/j.cnki.issn1674-9561.2024.1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6.056</w:t>
      </w: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"/>
          <w:pgSz w:w="11793" w:h="16045"/>
          <w:pgMar w:top="400" w:right="831" w:bottom="0" w:left="424" w:header="0" w:footer="0" w:gutter="0"/>
          <w:cols w:equalWidth="0" w:num="1">
            <w:col w:w="10538" w:space="0"/>
          </w:cols>
        </w:sectPr>
        <w:rPr/>
      </w:pPr>
    </w:p>
    <w:p>
      <w:pPr>
        <w:pStyle w:val="BodyText"/>
        <w:ind w:left="484" w:right="246" w:firstLine="427"/>
        <w:spacing w:before="48" w:line="225" w:lineRule="auto"/>
        <w:jc w:val="both"/>
        <w:rPr/>
      </w:pPr>
      <w:r>
        <w:rPr>
          <w:color w:val="231F20"/>
          <w:spacing w:val="16"/>
        </w:rPr>
        <w:t>阑尾是位于大肠末端的一个突起，位于右下腹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部，通常是由阑尾内部的细菌感染导致的。患者会因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为疾病而出现右下腹部钝痛或绞痛，还可能出现恶心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和呕吐的症状，或者感到食欲不振，一些患</w:t>
      </w:r>
      <w:r>
        <w:rPr>
          <w:color w:val="231F20"/>
          <w:spacing w:val="6"/>
        </w:rPr>
        <w:t>者还会因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为阑尾炎引起的炎症而体温升高，此外，部分患者还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可能伴随腹部肿胀、便秘或腹泻等症状。如果阑尾炎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未得到及时治疗，阑尾可能会破裂，导致严重的感染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并引发腹膜炎等并发症。故需要重视并加强关于阑尾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炎治疗的研究，寻找更为安全、有效的治疗方案，为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患者生命健康提供保障</w:t>
      </w:r>
      <w:r>
        <w:rPr>
          <w:rFonts w:ascii="SimSun" w:hAnsi="SimSun" w:eastAsia="SimSun" w:cs="SimSun"/>
          <w:sz w:val="11"/>
          <w:szCs w:val="11"/>
          <w:color w:val="231F20"/>
          <w:spacing w:val="2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color w:val="231F20"/>
          <w:spacing w:val="2"/>
          <w:position w:val="9"/>
        </w:rPr>
        <w:t>］</w:t>
      </w:r>
      <w:r>
        <w:rPr>
          <w:color w:val="231F20"/>
          <w:spacing w:val="2"/>
        </w:rPr>
        <w:t>。为此，本研究分析了在阑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尾炎患者治疗中行腹腔镜阑尾切除术的效果，旨在推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动阑尾炎治疗研究的发展。</w:t>
      </w:r>
    </w:p>
    <w:p>
      <w:pPr>
        <w:ind w:left="498"/>
        <w:spacing w:before="176" w:line="291" w:lineRule="exact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1</w:t>
      </w:r>
      <w:r>
        <w:rPr>
          <w:rFonts w:ascii="SimSun" w:hAnsi="SimSun" w:eastAsia="SimSun" w:cs="SimSun"/>
          <w:sz w:val="22"/>
          <w:szCs w:val="22"/>
          <w:color w:val="231F20"/>
          <w:spacing w:val="7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资料与方法</w:t>
      </w:r>
    </w:p>
    <w:p>
      <w:pPr>
        <w:pStyle w:val="BodyText"/>
        <w:ind w:left="915"/>
        <w:spacing w:before="148" w:line="182" w:lineRule="auto"/>
        <w:rPr/>
      </w:pPr>
      <w:r>
        <w:rPr>
          <w:rFonts w:ascii="Times New Roman" w:hAnsi="Times New Roman" w:eastAsia="Times New Roman" w:cs="Times New Roman"/>
          <w:color w:val="231F20"/>
        </w:rPr>
        <w:t>1.1    </w:t>
      </w:r>
      <w:r>
        <w:rPr>
          <w:color w:val="231F20"/>
        </w:rPr>
        <w:t>一般资料</w:t>
      </w:r>
    </w:p>
    <w:p>
      <w:pPr>
        <w:pStyle w:val="BodyText"/>
        <w:ind w:left="485" w:right="245" w:firstLine="408"/>
        <w:spacing w:before="59" w:line="233" w:lineRule="auto"/>
        <w:rPr/>
      </w:pPr>
      <w:r>
        <w:rPr>
          <w:color w:val="231F20"/>
          <w:spacing w:val="8"/>
        </w:rPr>
        <w:t>研究纳入本院 </w:t>
      </w:r>
      <w:r>
        <w:rPr>
          <w:rFonts w:ascii="Times New Roman" w:hAnsi="Times New Roman" w:eastAsia="Times New Roman" w:cs="Times New Roman"/>
          <w:color w:val="231F20"/>
          <w:spacing w:val="8"/>
        </w:rPr>
        <w:t>2023 </w:t>
      </w:r>
      <w:r>
        <w:rPr>
          <w:color w:val="231F20"/>
          <w:spacing w:val="8"/>
        </w:rPr>
        <w:t>年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color w:val="231F20"/>
          <w:spacing w:val="8"/>
        </w:rPr>
        <w:t>—</w:t>
      </w:r>
      <w:r>
        <w:rPr>
          <w:rFonts w:ascii="Times New Roman" w:hAnsi="Times New Roman" w:eastAsia="Times New Roman" w:cs="Times New Roman"/>
          <w:color w:val="231F20"/>
          <w:spacing w:val="8"/>
        </w:rPr>
        <w:t>12 </w:t>
      </w:r>
      <w:r>
        <w:rPr>
          <w:color w:val="231F20"/>
          <w:spacing w:val="8"/>
        </w:rPr>
        <w:t>月综合临床各项检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查结果满足阑尾炎诊断标准的 </w:t>
      </w:r>
      <w:r>
        <w:rPr>
          <w:rFonts w:ascii="Times New Roman" w:hAnsi="Times New Roman" w:eastAsia="Times New Roman" w:cs="Times New Roman"/>
          <w:color w:val="231F20"/>
          <w:spacing w:val="9"/>
        </w:rPr>
        <w:t>71 </w:t>
      </w:r>
      <w:r>
        <w:rPr>
          <w:color w:val="231F20"/>
          <w:spacing w:val="9"/>
        </w:rPr>
        <w:t>例患者，对各个患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者进行随机编号后，采取随机抽取法分为两组，对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5"/>
        </w:rPr>
        <w:t>照组与观察组患者分别为 </w:t>
      </w:r>
      <w:r>
        <w:rPr>
          <w:rFonts w:ascii="Times New Roman" w:hAnsi="Times New Roman" w:eastAsia="Times New Roman" w:cs="Times New Roman"/>
          <w:color w:val="231F20"/>
          <w:spacing w:val="15"/>
        </w:rPr>
        <w:t>37 </w:t>
      </w:r>
      <w:r>
        <w:rPr>
          <w:color w:val="231F20"/>
          <w:spacing w:val="15"/>
        </w:rPr>
        <w:t>例、</w:t>
      </w:r>
      <w:r>
        <w:rPr>
          <w:rFonts w:ascii="Times New Roman" w:hAnsi="Times New Roman" w:eastAsia="Times New Roman" w:cs="Times New Roman"/>
          <w:color w:val="231F20"/>
          <w:spacing w:val="15"/>
        </w:rPr>
        <w:t>34 </w:t>
      </w:r>
      <w:r>
        <w:rPr>
          <w:color w:val="231F20"/>
          <w:spacing w:val="15"/>
        </w:rPr>
        <w:t>例。观察组年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龄 </w:t>
      </w:r>
      <w:r>
        <w:rPr>
          <w:rFonts w:ascii="Times New Roman" w:hAnsi="Times New Roman" w:eastAsia="Times New Roman" w:cs="Times New Roman"/>
          <w:color w:val="231F20"/>
          <w:spacing w:val="8"/>
        </w:rPr>
        <w:t>19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～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71 </w:t>
      </w:r>
      <w:r>
        <w:rPr>
          <w:color w:val="231F20"/>
          <w:spacing w:val="8"/>
        </w:rPr>
        <w:t>岁， 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值（</w:t>
      </w:r>
      <w:r>
        <w:rPr>
          <w:rFonts w:ascii="Times New Roman" w:hAnsi="Times New Roman" w:eastAsia="Times New Roman" w:cs="Times New Roman"/>
          <w:color w:val="231F20"/>
          <w:spacing w:val="8"/>
        </w:rPr>
        <w:t>46.26</w:t>
      </w:r>
      <w:r>
        <w:rPr>
          <w:color w:val="231F20"/>
          <w:spacing w:val="8"/>
        </w:rPr>
        <w:t>±</w:t>
      </w:r>
      <w:r>
        <w:rPr>
          <w:rFonts w:ascii="Times New Roman" w:hAnsi="Times New Roman" w:eastAsia="Times New Roman" w:cs="Times New Roman"/>
          <w:color w:val="231F20"/>
          <w:spacing w:val="8"/>
        </w:rPr>
        <w:t>1.18</w:t>
      </w:r>
      <w:r>
        <w:rPr>
          <w:color w:val="231F20"/>
          <w:spacing w:val="7"/>
        </w:rPr>
        <w:t>）岁；男性患者</w:t>
      </w:r>
    </w:p>
    <w:p>
      <w:pPr>
        <w:pStyle w:val="BodyText"/>
        <w:spacing w:before="97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3"/>
        <w:spacing w:before="39" w:line="22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21 </w:t>
      </w:r>
      <w:r>
        <w:rPr>
          <w:color w:val="231F20"/>
          <w:spacing w:val="-2"/>
        </w:rPr>
        <w:t>例，女性患者</w:t>
      </w:r>
      <w:r>
        <w:rPr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13 </w:t>
      </w:r>
      <w:r>
        <w:rPr>
          <w:color w:val="231F20"/>
          <w:spacing w:val="-2"/>
        </w:rPr>
        <w:t>例。对照组年龄</w:t>
      </w:r>
      <w:r>
        <w:rPr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18 </w:t>
      </w:r>
      <w:r>
        <w:rPr>
          <w:rFonts w:ascii="SimSun" w:hAnsi="SimSun" w:eastAsia="SimSun" w:cs="SimSun"/>
          <w:color w:val="231F20"/>
          <w:spacing w:val="-2"/>
        </w:rPr>
        <w:t>～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70 </w:t>
      </w:r>
      <w:r>
        <w:rPr>
          <w:color w:val="231F20"/>
          <w:spacing w:val="-2"/>
        </w:rPr>
        <w:t>岁，均值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46.28 </w:t>
      </w:r>
      <w:r>
        <w:rPr>
          <w:color w:val="231F20"/>
          <w:spacing w:val="1"/>
        </w:rPr>
        <w:t>±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1.21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"/>
        </w:rPr>
        <w:t>）岁；男性患者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22 </w:t>
      </w:r>
      <w:r>
        <w:rPr>
          <w:color w:val="231F20"/>
        </w:rPr>
        <w:t>例，女性患者</w:t>
      </w:r>
      <w:r>
        <w:rPr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15 </w:t>
      </w:r>
      <w:r>
        <w:rPr>
          <w:color w:val="231F20"/>
        </w:rPr>
        <w:t>例。 </w:t>
      </w:r>
      <w:r>
        <w:rPr>
          <w:color w:val="231F20"/>
          <w:spacing w:val="11"/>
        </w:rPr>
        <w:t>将两组各项基础资料数据录入统计学系统进行分析处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理，发现差异较小（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＞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0.05</w:t>
      </w:r>
      <w:r>
        <w:rPr>
          <w:color w:val="231F20"/>
          <w:spacing w:val="-44"/>
        </w:rPr>
        <w:t>），</w:t>
      </w:r>
      <w:r>
        <w:rPr>
          <w:color w:val="231F20"/>
          <w:spacing w:val="3"/>
        </w:rPr>
        <w:t>可进行比较。</w:t>
      </w:r>
    </w:p>
    <w:p>
      <w:pPr>
        <w:pStyle w:val="BodyText"/>
        <w:ind w:left="116" w:right="91" w:firstLine="407"/>
        <w:spacing w:before="1" w:line="220" w:lineRule="auto"/>
        <w:rPr/>
      </w:pPr>
      <w:r>
        <w:rPr>
          <w:color w:val="231F20"/>
          <w:spacing w:val="6"/>
        </w:rPr>
        <w:t>纳入标准：①临床综合诊断为阑尾炎。②认知与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意识处于正常状态。③配合度较高。</w:t>
      </w:r>
    </w:p>
    <w:p>
      <w:pPr>
        <w:pStyle w:val="BodyText"/>
        <w:ind w:left="112" w:right="85" w:firstLine="409"/>
        <w:spacing w:before="3" w:line="228" w:lineRule="auto"/>
        <w:rPr/>
      </w:pPr>
      <w:r>
        <w:rPr>
          <w:color w:val="231F20"/>
          <w:spacing w:val="6"/>
        </w:rPr>
        <w:t>排除标准：①具有精神疾病史。②无法配合完成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操作。③合并其他严重脏器疾病。</w:t>
      </w:r>
    </w:p>
    <w:p>
      <w:pPr>
        <w:pStyle w:val="BodyText"/>
        <w:ind w:left="540"/>
        <w:spacing w:before="1" w:line="179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1.2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 </w:t>
      </w:r>
      <w:r>
        <w:rPr>
          <w:color w:val="231F20"/>
          <w:spacing w:val="-3"/>
        </w:rPr>
        <w:t>方法</w:t>
      </w:r>
    </w:p>
    <w:p>
      <w:pPr>
        <w:pStyle w:val="BodyText"/>
        <w:ind w:left="112" w:right="76" w:firstLine="408"/>
        <w:spacing w:before="61" w:line="224" w:lineRule="auto"/>
        <w:rPr/>
      </w:pPr>
      <w:r>
        <w:rPr>
          <w:color w:val="231F20"/>
          <w:spacing w:val="6"/>
        </w:rPr>
        <w:t>对照组以开腹阑尾切除术方案开展治疗干预。按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照常规标准实施全身麻醉，明确创口位置（</w:t>
      </w:r>
      <w:r>
        <w:rPr>
          <w:color w:val="231F20"/>
          <w:spacing w:val="6"/>
        </w:rPr>
        <w:t>右下腹部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麦氏点</w:t>
      </w:r>
      <w:r>
        <w:rPr>
          <w:color w:val="231F20"/>
          <w:spacing w:val="2"/>
        </w:rPr>
        <w:t>），</w:t>
      </w:r>
      <w:r>
        <w:rPr>
          <w:color w:val="231F20"/>
          <w:spacing w:val="7"/>
        </w:rPr>
        <w:t>完成皮肤与皮下组织之间的分离操作，让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阑尾组织清晰暴露并将其切掉，然后结扎阑尾根。术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后认真清洗创口，按照流程实施腹部引流管置入，最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后将创口规范缝合。</w:t>
      </w:r>
    </w:p>
    <w:p>
      <w:pPr>
        <w:pStyle w:val="BodyText"/>
        <w:ind w:left="112" w:right="1" w:firstLine="412"/>
        <w:spacing w:before="2" w:line="225" w:lineRule="auto"/>
        <w:jc w:val="both"/>
        <w:rPr/>
      </w:pPr>
      <w:r>
        <w:rPr>
          <w:color w:val="231F20"/>
          <w:spacing w:val="10"/>
        </w:rPr>
        <w:t>观察组以腹腔镜阑尾切除术方案开展治疗干预。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按照常规标准实施全身麻醉，明确观察孔（</w:t>
      </w:r>
      <w:r>
        <w:rPr>
          <w:color w:val="231F20"/>
          <w:spacing w:val="6"/>
        </w:rPr>
        <w:t>脐部上方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35"/>
        </w:rPr>
        <w:t>），</w:t>
      </w:r>
      <w:r>
        <w:rPr>
          <w:color w:val="231F20"/>
          <w:spacing w:val="6"/>
        </w:rPr>
        <w:t>建立气腹，放置好腹腔镜（经观察孔深入</w:t>
      </w:r>
      <w:r>
        <w:rPr>
          <w:color w:val="231F20"/>
          <w:spacing w:val="-3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仔细观察腹腔内情况，明确阑尾切除部位；明确主操  </w:t>
      </w:r>
      <w:r>
        <w:rPr>
          <w:color w:val="231F20"/>
          <w:spacing w:val="4"/>
        </w:rPr>
        <w:t>作孔（左下腹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3"/>
          <w:w w:val="90"/>
        </w:rPr>
        <w:t>），</w:t>
      </w:r>
      <w:r>
        <w:rPr>
          <w:color w:val="231F20"/>
          <w:spacing w:val="4"/>
        </w:rPr>
        <w:t>进行 </w:t>
      </w:r>
      <w:r>
        <w:rPr>
          <w:rFonts w:ascii="Times New Roman" w:hAnsi="Times New Roman" w:eastAsia="Times New Roman" w:cs="Times New Roman"/>
          <w:color w:val="231F20"/>
          <w:spacing w:val="4"/>
        </w:rPr>
        <w:t>0.5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副操作孔</w:t>
      </w:r>
      <w:r>
        <w:rPr>
          <w:color w:val="231F20"/>
          <w:spacing w:val="3"/>
        </w:rPr>
        <w:t>操作（麦</w:t>
      </w:r>
    </w:p>
    <w:p>
      <w:pPr>
        <w:ind w:left="1710"/>
        <w:spacing w:before="153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1355345" cy="10119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345" cy="1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262961" cy="10082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61" cy="1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021</w:t>
      </w:r>
    </w:p>
    <w:p>
      <w:pPr>
        <w:spacing w:line="246" w:lineRule="exact"/>
        <w:sectPr>
          <w:type w:val="continuous"/>
          <w:pgSz w:w="11793" w:h="16045"/>
          <w:pgMar w:top="400" w:right="831" w:bottom="0" w:left="424" w:header="0" w:footer="0" w:gutter="0"/>
          <w:cols w:equalWidth="0" w:num="2">
            <w:col w:w="5490" w:space="100"/>
            <w:col w:w="494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7"/>
          <w:footerReference w:type="default" r:id="rId8"/>
          <w:pgSz w:w="11793" w:h="16045"/>
          <w:pgMar w:top="400" w:right="843" w:bottom="604" w:left="424" w:header="0" w:footer="353" w:gutter="0"/>
          <w:cols w:equalWidth="0" w:num="1">
            <w:col w:w="10526" w:space="0"/>
          </w:cols>
        </w:sectPr>
        <w:rPr/>
      </w:pPr>
    </w:p>
    <w:p>
      <w:pPr>
        <w:pStyle w:val="BodyText"/>
        <w:ind w:left="491"/>
        <w:spacing w:before="46" w:line="207" w:lineRule="auto"/>
        <w:rPr/>
      </w:pPr>
      <w:r>
        <w:rPr>
          <w:color w:val="AAABAF"/>
          <w:spacing w:val="-2"/>
        </w:rPr>
        <w:t>全科论著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87" w:right="179" w:firstLine="16"/>
        <w:spacing w:before="86" w:line="225" w:lineRule="auto"/>
        <w:jc w:val="both"/>
        <w:rPr/>
      </w:pPr>
      <w:r>
        <w:rPr>
          <w:color w:val="231F20"/>
          <w:spacing w:val="10"/>
        </w:rPr>
        <w:t>氏点</w:t>
      </w:r>
      <w:r>
        <w:rPr>
          <w:color w:val="231F20"/>
          <w:spacing w:val="-3"/>
        </w:rPr>
        <w:t>），</w:t>
      </w:r>
      <w:r>
        <w:rPr>
          <w:color w:val="231F20"/>
          <w:spacing w:val="10"/>
        </w:rPr>
        <w:t>借助腹腔镜有效、彻底地将腹腔积液清除，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在完成阑尾黏膜组织分离操作后，有效处理阑尾动脉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与根部（电凝装置</w:t>
      </w:r>
      <w:r>
        <w:rPr>
          <w:color w:val="231F20"/>
          <w:spacing w:val="8"/>
        </w:rPr>
        <w:t>），</w:t>
      </w:r>
      <w:r>
        <w:rPr>
          <w:color w:val="231F20"/>
          <w:spacing w:val="6"/>
        </w:rPr>
        <w:t>采取套扎方案切除阑尾组织后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取出（经主操作孔</w:t>
      </w:r>
      <w:r>
        <w:rPr>
          <w:color w:val="231F20"/>
          <w:spacing w:val="2"/>
        </w:rPr>
        <w:t>），</w:t>
      </w:r>
      <w:r>
        <w:rPr>
          <w:color w:val="231F20"/>
          <w:spacing w:val="-3"/>
        </w:rPr>
        <w:t>处理阑尾残留黏膜（电凝</w:t>
      </w:r>
      <w:r>
        <w:rPr>
          <w:color w:val="231F20"/>
          <w:spacing w:val="2"/>
        </w:rPr>
        <w:t>），</w:t>
      </w:r>
      <w:r>
        <w:rPr>
          <w:color w:val="231F20"/>
          <w:spacing w:val="-3"/>
        </w:rPr>
        <w:t>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细清洗、吸出阑尾脓液，最后将创口规范缝合。</w:t>
      </w:r>
    </w:p>
    <w:p>
      <w:pPr>
        <w:pStyle w:val="BodyText"/>
        <w:ind w:left="915"/>
        <w:spacing w:line="18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1.3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  </w:t>
      </w:r>
      <w:r>
        <w:rPr>
          <w:color w:val="231F20"/>
          <w:spacing w:val="-2"/>
        </w:rPr>
        <w:t>观察指标</w:t>
      </w:r>
    </w:p>
    <w:p>
      <w:pPr>
        <w:pStyle w:val="BodyText"/>
        <w:ind w:left="486" w:right="168" w:firstLine="409"/>
        <w:spacing w:before="58" w:line="221" w:lineRule="auto"/>
        <w:rPr/>
      </w:pPr>
      <w:r>
        <w:rPr>
          <w:color w:val="231F20"/>
          <w:spacing w:val="5"/>
        </w:rPr>
        <w:t>①统计两组术后不良事件发生情况，包括创口出   </w:t>
      </w:r>
      <w:r>
        <w:rPr>
          <w:color w:val="231F20"/>
          <w:spacing w:val="1"/>
        </w:rPr>
        <w:t>血、感染、血肿等。②对两组相关指标进行统计记录，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包括术后首次排气时间、术后首次下床活动时间、手  </w:t>
      </w:r>
      <w:r>
        <w:rPr>
          <w:color w:val="231F20"/>
          <w:spacing w:val="6"/>
        </w:rPr>
        <w:t>术操作时间、住院时间。③于治疗前后抽取两组空腹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状态下静脉血 </w:t>
      </w:r>
      <w:r>
        <w:rPr>
          <w:rFonts w:ascii="Times New Roman" w:hAnsi="Times New Roman" w:eastAsia="Times New Roman" w:cs="Times New Roman"/>
          <w:color w:val="231F20"/>
          <w:spacing w:val="3"/>
        </w:rPr>
        <w:t>5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  <w:spacing w:val="3"/>
        </w:rPr>
        <w:t>，将血清离心分离，常规检测血清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降钙素原、白细胞介素 -</w:t>
      </w:r>
      <w:r>
        <w:rPr>
          <w:rFonts w:ascii="Times New Roman" w:hAnsi="Times New Roman" w:eastAsia="Times New Roman" w:cs="Times New Roman"/>
          <w:color w:val="231F20"/>
          <w:spacing w:val="8"/>
        </w:rPr>
        <w:t>6</w:t>
      </w:r>
      <w:r>
        <w:rPr>
          <w:color w:val="231F20"/>
          <w:spacing w:val="8"/>
        </w:rPr>
        <w:t>、</w:t>
      </w:r>
      <w:r>
        <w:rPr>
          <w:rFonts w:ascii="Times New Roman" w:hAnsi="Times New Roman" w:eastAsia="Times New Roman" w:cs="Times New Roman"/>
          <w:color w:val="231F20"/>
          <w:spacing w:val="8"/>
        </w:rPr>
        <w:t>C </w:t>
      </w:r>
      <w:r>
        <w:rPr>
          <w:color w:val="231F20"/>
          <w:spacing w:val="8"/>
        </w:rPr>
        <w:t>反应蛋白等炎</w:t>
      </w:r>
      <w:r>
        <w:rPr>
          <w:color w:val="231F20"/>
          <w:spacing w:val="7"/>
        </w:rPr>
        <w:t>症指标。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④氧化应激指标方面，取空腹状态下静脉血，选择对  </w:t>
      </w:r>
      <w:r>
        <w:rPr>
          <w:color w:val="231F20"/>
          <w:spacing w:val="6"/>
        </w:rPr>
        <w:t>应的方式检测血清丙二醛、谷胱甘肽过氧化物酶、超  </w:t>
      </w:r>
      <w:r>
        <w:rPr>
          <w:color w:val="231F20"/>
          <w:spacing w:val="6"/>
        </w:rPr>
        <w:t>氧化物歧化酶水平。⑤生活质量方面，以健康调查量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表 </w:t>
      </w:r>
      <w:r>
        <w:rPr>
          <w:rFonts w:ascii="Times New Roman" w:hAnsi="Times New Roman" w:eastAsia="Times New Roman" w:cs="Times New Roman"/>
          <w:color w:val="231F20"/>
          <w:spacing w:val="5"/>
        </w:rPr>
        <w:t>36</w:t>
      </w:r>
      <w:r>
        <w:rPr>
          <w:color w:val="231F20"/>
          <w:spacing w:val="5"/>
        </w:rPr>
        <w:t>（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SF</w:t>
      </w:r>
      <w:r>
        <w:rPr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  <w:spacing w:val="5"/>
        </w:rPr>
        <w:t>36</w:t>
      </w:r>
      <w:r>
        <w:rPr>
          <w:color w:val="231F20"/>
          <w:spacing w:val="5"/>
        </w:rPr>
        <w:t>）为调查工具，具体调查范围包括生理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功能、生理职能、躯体疼痛、精力、社会功能、情感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职能、精神健康、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一般健康状况等，每项最低 </w:t>
      </w:r>
      <w:r>
        <w:rPr>
          <w:rFonts w:ascii="Times New Roman" w:hAnsi="Times New Roman" w:eastAsia="Times New Roman" w:cs="Times New Roman"/>
          <w:color w:val="231F20"/>
          <w:spacing w:val="8"/>
        </w:rPr>
        <w:t>0 </w:t>
      </w:r>
      <w:r>
        <w:rPr>
          <w:color w:val="231F20"/>
          <w:spacing w:val="8"/>
        </w:rPr>
        <w:t>分，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表示生活质量状态极差，最高</w:t>
      </w:r>
      <w:r>
        <w:rPr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100 </w:t>
      </w:r>
      <w:r>
        <w:rPr>
          <w:color w:val="231F20"/>
          <w:spacing w:val="2"/>
        </w:rPr>
        <w:t>分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/125 </w:t>
      </w:r>
      <w:r>
        <w:rPr>
          <w:color w:val="231F20"/>
          <w:spacing w:val="2"/>
        </w:rPr>
        <w:t>分，表示生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活质量状态极佳，得分越低则生活质量越差。</w:t>
      </w:r>
    </w:p>
    <w:p>
      <w:pPr>
        <w:pStyle w:val="BodyText"/>
        <w:ind w:left="915"/>
        <w:spacing w:before="59" w:line="181" w:lineRule="auto"/>
        <w:rPr/>
      </w:pPr>
      <w:r>
        <w:rPr>
          <w:rFonts w:ascii="Times New Roman" w:hAnsi="Times New Roman" w:eastAsia="Times New Roman" w:cs="Times New Roman"/>
          <w:color w:val="231F20"/>
        </w:rPr>
        <w:t>1.4    </w:t>
      </w:r>
      <w:r>
        <w:rPr>
          <w:color w:val="231F20"/>
        </w:rPr>
        <w:t>统计学方法</w:t>
      </w:r>
    </w:p>
    <w:p>
      <w:pPr>
        <w:pStyle w:val="BodyText"/>
        <w:ind w:left="487" w:right="244" w:firstLine="409"/>
        <w:spacing w:before="60" w:line="223" w:lineRule="auto"/>
        <w:rPr/>
      </w:pPr>
      <w:r>
        <w:rPr>
          <w:color w:val="231F20"/>
          <w:spacing w:val="10"/>
        </w:rPr>
        <w:t>统计软件选择 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23.0</w:t>
      </w:r>
      <w:r>
        <w:rPr>
          <w:color w:val="231F20"/>
          <w:spacing w:val="10"/>
        </w:rPr>
        <w:t>，分析内容包括计量资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料</w:t>
      </w:r>
      <w:r>
        <w:rPr>
          <w:rFonts w:ascii="SimSun" w:hAnsi="SimSun" w:eastAsia="SimSun" w:cs="SimSun"/>
          <w:color w:val="231F20"/>
          <w:spacing w:val="12"/>
        </w:rPr>
        <w:t>［</w:t>
      </w:r>
      <w:r>
        <w:rPr>
          <w:color w:val="231F20"/>
          <w:spacing w:val="12"/>
        </w:rPr>
        <w:t>以（</w:t>
      </w:r>
      <w:r>
        <w:rPr>
          <w:rFonts w:ascii="Times New Roman" w:hAnsi="Times New Roman" w:eastAsia="Times New Roman" w:cs="Times New Roman"/>
          <w:i/>
          <w:iCs/>
          <w:color w:val="231F20"/>
          <w:spacing w:val="12"/>
        </w:rPr>
        <w:t>x</w:t>
      </w:r>
      <w:r>
        <w:rPr>
          <w:rFonts w:ascii="Times New Roman" w:hAnsi="Times New Roman" w:eastAsia="Times New Roman" w:cs="Times New Roman"/>
          <w:sz w:val="10"/>
          <w:szCs w:val="10"/>
          <w:i/>
          <w:iCs/>
          <w:color w:val="231F20"/>
          <w:spacing w:val="-90"/>
          <w:position w:val="12"/>
        </w:rPr>
        <w:t>—</w:t>
      </w:r>
      <w:r>
        <w:rPr>
          <w:rFonts w:ascii="Times New Roman" w:hAnsi="Times New Roman" w:eastAsia="Times New Roman" w:cs="Times New Roman"/>
          <w:sz w:val="10"/>
          <w:szCs w:val="10"/>
          <w:i/>
          <w:iCs/>
          <w:color w:val="231F20"/>
          <w:spacing w:val="3"/>
          <w:position w:val="12"/>
        </w:rPr>
        <w:t xml:space="preserve">  </w:t>
      </w:r>
      <w:r>
        <w:rPr>
          <w:color w:val="231F20"/>
          <w:spacing w:val="12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12"/>
        </w:rPr>
        <w:t>s</w:t>
      </w:r>
      <w:r>
        <w:rPr>
          <w:color w:val="231F20"/>
          <w:spacing w:val="12"/>
        </w:rPr>
        <w:t>）表示，行 </w:t>
      </w:r>
      <w:r>
        <w:rPr>
          <w:rFonts w:ascii="Times New Roman" w:hAnsi="Times New Roman" w:eastAsia="Times New Roman" w:cs="Times New Roman"/>
          <w:i/>
          <w:iCs/>
          <w:color w:val="231F20"/>
          <w:spacing w:val="12"/>
        </w:rPr>
        <w:t>t </w:t>
      </w:r>
      <w:r>
        <w:rPr>
          <w:color w:val="231F20"/>
          <w:spacing w:val="12"/>
        </w:rPr>
        <w:t>检验 </w:t>
      </w:r>
      <w:r>
        <w:rPr>
          <w:rFonts w:ascii="SimSun" w:hAnsi="SimSun" w:eastAsia="SimSun" w:cs="SimSun"/>
          <w:color w:val="231F20"/>
          <w:spacing w:val="12"/>
        </w:rPr>
        <w:t>］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12"/>
        </w:rPr>
        <w:t>和计数资料</w:t>
      </w:r>
      <w:r>
        <w:rPr>
          <w:rFonts w:ascii="SimSun" w:hAnsi="SimSun" w:eastAsia="SimSun" w:cs="SimSun"/>
          <w:color w:val="231F20"/>
          <w:spacing w:val="12"/>
        </w:rPr>
        <w:t>［</w:t>
      </w:r>
      <w:r>
        <w:rPr>
          <w:color w:val="231F20"/>
          <w:spacing w:val="12"/>
        </w:rPr>
        <w:t>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03" w:right="84" w:hanging="84"/>
        <w:spacing w:before="86" w:line="223" w:lineRule="auto"/>
        <w:rPr/>
      </w:pPr>
      <w:r>
        <w:rPr>
          <w:rFonts w:ascii="SimSun" w:hAnsi="SimSun" w:eastAsia="SimSun" w:cs="SimSun"/>
          <w:color w:val="231F20"/>
          <w:spacing w:val="8"/>
        </w:rPr>
        <w:t>［</w:t>
      </w:r>
      <w:r>
        <w:rPr>
          <w:rFonts w:ascii="Times New Roman" w:hAnsi="Times New Roman" w:eastAsia="Times New Roman" w:cs="Times New Roman"/>
          <w:i/>
          <w:iCs/>
          <w:color w:val="231F20"/>
          <w:spacing w:val="8"/>
        </w:rPr>
        <w:t>n</w:t>
      </w:r>
      <w:r>
        <w:rPr>
          <w:color w:val="231F20"/>
          <w:spacing w:val="8"/>
        </w:rPr>
        <w:t>（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% </w:t>
      </w:r>
      <w:r>
        <w:rPr>
          <w:color w:val="231F20"/>
          <w:spacing w:val="-25"/>
        </w:rPr>
        <w:t>）</w:t>
      </w:r>
      <w:r>
        <w:rPr>
          <w:rFonts w:ascii="SimSun" w:hAnsi="SimSun" w:eastAsia="SimSun" w:cs="SimSun"/>
          <w:color w:val="231F20"/>
          <w:spacing w:val="-25"/>
        </w:rPr>
        <w:t>］</w:t>
      </w:r>
      <w:r>
        <w:rPr>
          <w:color w:val="231F20"/>
          <w:spacing w:val="8"/>
        </w:rPr>
        <w:t>表示，行卡方检验</w:t>
      </w:r>
      <w:r>
        <w:rPr>
          <w:rFonts w:ascii="SimSun" w:hAnsi="SimSun" w:eastAsia="SimSun" w:cs="SimSun"/>
          <w:color w:val="231F20"/>
          <w:spacing w:val="-25"/>
        </w:rPr>
        <w:t>］</w:t>
      </w:r>
      <w:r>
        <w:rPr>
          <w:color w:val="231F20"/>
          <w:spacing w:val="-25"/>
        </w:rPr>
        <w:t>，</w:t>
      </w:r>
      <w:r>
        <w:rPr>
          <w:color w:val="231F20"/>
          <w:spacing w:val="8"/>
        </w:rPr>
        <w:t>存在统计学意义以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0.05 </w:t>
      </w:r>
      <w:r>
        <w:rPr>
          <w:color w:val="231F20"/>
        </w:rPr>
        <w:t>表示。</w:t>
      </w:r>
    </w:p>
    <w:p>
      <w:pPr>
        <w:ind w:left="115"/>
        <w:spacing w:before="206" w:line="291" w:lineRule="exact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2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结果</w:t>
      </w:r>
    </w:p>
    <w:p>
      <w:pPr>
        <w:pStyle w:val="BodyText"/>
        <w:ind w:left="521"/>
        <w:spacing w:before="146" w:line="183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2.1    </w:t>
      </w:r>
      <w:r>
        <w:rPr>
          <w:color w:val="231F20"/>
          <w:spacing w:val="2"/>
        </w:rPr>
        <w:t>两组不良事件发生率比较</w:t>
      </w:r>
    </w:p>
    <w:p>
      <w:pPr>
        <w:pStyle w:val="BodyText"/>
        <w:ind w:right="73" w:firstLine="521"/>
        <w:spacing w:before="58" w:line="224" w:lineRule="auto"/>
        <w:rPr/>
      </w:pPr>
      <w:r>
        <w:rPr>
          <w:color w:val="231F20"/>
          <w:spacing w:val="16"/>
        </w:rPr>
        <w:t>相较于对照组，观察组总不良事件发生率更低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（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-45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color w:val="231F20"/>
          <w:spacing w:val="-4"/>
        </w:rPr>
        <w:t>。</w:t>
      </w:r>
    </w:p>
    <w:p>
      <w:pPr>
        <w:pStyle w:val="BodyText"/>
        <w:ind w:left="521"/>
        <w:spacing w:before="1" w:line="183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2.2    </w:t>
      </w:r>
      <w:r>
        <w:rPr>
          <w:color w:val="231F20"/>
          <w:spacing w:val="2"/>
        </w:rPr>
        <w:t>两组临床指标比较</w:t>
      </w:r>
    </w:p>
    <w:p>
      <w:pPr>
        <w:pStyle w:val="BodyText"/>
        <w:ind w:left="114" w:right="72" w:firstLine="408"/>
        <w:spacing w:before="46" w:line="227" w:lineRule="auto"/>
        <w:rPr/>
      </w:pPr>
      <w:r>
        <w:rPr>
          <w:color w:val="231F20"/>
          <w:spacing w:val="6"/>
        </w:rPr>
        <w:t>两组相比，观察组术后首次排气时间更短、术后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首次下床活动时间更短、手术操作时间更短、住院时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间更短（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  <w:spacing w:val="-40"/>
        </w:rPr>
        <w:t>），</w:t>
      </w:r>
      <w:r>
        <w:rPr>
          <w:color w:val="231F20"/>
        </w:rPr>
        <w:t>见表 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。</w:t>
      </w:r>
    </w:p>
    <w:p>
      <w:pPr>
        <w:pStyle w:val="BodyText"/>
        <w:ind w:left="521"/>
        <w:spacing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2.3    </w:t>
      </w:r>
      <w:r>
        <w:rPr>
          <w:color w:val="231F20"/>
          <w:spacing w:val="2"/>
        </w:rPr>
        <w:t>两组炎症指标比较</w:t>
      </w:r>
    </w:p>
    <w:p>
      <w:pPr>
        <w:pStyle w:val="BodyText"/>
        <w:ind w:right="63" w:firstLine="522"/>
        <w:spacing w:before="62" w:line="224" w:lineRule="auto"/>
        <w:rPr/>
      </w:pPr>
      <w:r>
        <w:rPr>
          <w:color w:val="231F20"/>
          <w:spacing w:val="28"/>
        </w:rPr>
        <w:t>两组炎症指标相比，干预前组间无显著差异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（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</w:rPr>
        <w:t xml:space="preserve"> </w:t>
      </w:r>
      <w:r>
        <w:rPr>
          <w:color w:val="231F20"/>
          <w:spacing w:val="-3"/>
        </w:rPr>
        <w:t>＞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5"/>
          <w:w w:val="94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更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低、白细胞介素 -</w:t>
      </w:r>
      <w:r>
        <w:rPr>
          <w:rFonts w:ascii="Times New Roman" w:hAnsi="Times New Roman" w:eastAsia="Times New Roman" w:cs="Times New Roman"/>
          <w:color w:val="231F20"/>
          <w:spacing w:val="15"/>
        </w:rPr>
        <w:t>6 </w:t>
      </w:r>
      <w:r>
        <w:rPr>
          <w:color w:val="231F20"/>
          <w:spacing w:val="15"/>
        </w:rPr>
        <w:t>水平更低、</w:t>
      </w:r>
      <w:r>
        <w:rPr>
          <w:rFonts w:ascii="Times New Roman" w:hAnsi="Times New Roman" w:eastAsia="Times New Roman" w:cs="Times New Roman"/>
          <w:color w:val="231F20"/>
          <w:spacing w:val="15"/>
        </w:rPr>
        <w:t>C </w:t>
      </w:r>
      <w:r>
        <w:rPr>
          <w:color w:val="231F20"/>
          <w:spacing w:val="15"/>
        </w:rPr>
        <w:t>反应蛋白水平更低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-8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0.05</w:t>
      </w:r>
      <w:r>
        <w:rPr>
          <w:color w:val="231F20"/>
          <w:spacing w:val="-8"/>
        </w:rPr>
        <w:t>）。见表 </w:t>
      </w:r>
      <w:r>
        <w:rPr>
          <w:rFonts w:ascii="Times New Roman" w:hAnsi="Times New Roman" w:eastAsia="Times New Roman" w:cs="Times New Roman"/>
          <w:color w:val="231F20"/>
          <w:spacing w:val="-8"/>
        </w:rPr>
        <w:t>3</w:t>
      </w:r>
      <w:r>
        <w:rPr>
          <w:color w:val="231F20"/>
          <w:spacing w:val="-8"/>
        </w:rPr>
        <w:t>。</w:t>
      </w:r>
    </w:p>
    <w:p>
      <w:pPr>
        <w:pStyle w:val="BodyText"/>
        <w:ind w:left="521"/>
        <w:spacing w:before="1"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2.4    </w:t>
      </w:r>
      <w:r>
        <w:rPr>
          <w:color w:val="231F20"/>
          <w:spacing w:val="2"/>
        </w:rPr>
        <w:t>两组氧化应激指标比较</w:t>
      </w:r>
    </w:p>
    <w:p>
      <w:pPr>
        <w:pStyle w:val="BodyText"/>
        <w:ind w:right="64" w:firstLine="525"/>
        <w:spacing w:before="61" w:line="224" w:lineRule="auto"/>
        <w:rPr/>
      </w:pPr>
      <w:r>
        <w:rPr>
          <w:color w:val="231F20"/>
          <w:spacing w:val="6"/>
        </w:rPr>
        <w:t>干预前观察组氧化应激指标与对照组之间差异较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小（</w:t>
      </w:r>
      <w:r>
        <w:rPr>
          <w:rFonts w:ascii="Times New Roman" w:hAnsi="Times New Roman" w:eastAsia="Times New Roman" w:cs="Times New Roman"/>
          <w:i/>
          <w:iCs/>
          <w:color w:val="231F20"/>
          <w:spacing w:val="1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0"/>
        </w:rPr>
        <w:t xml:space="preserve"> </w:t>
      </w:r>
      <w:r>
        <w:rPr>
          <w:color w:val="231F20"/>
          <w:spacing w:val="15"/>
        </w:rPr>
        <w:t>＞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6"/>
          <w:w w:val="95"/>
        </w:rPr>
        <w:t>）；</w:t>
      </w:r>
      <w:r>
        <w:rPr>
          <w:color w:val="231F20"/>
          <w:spacing w:val="15"/>
        </w:rPr>
        <w:t>干预后观察组各氧化应激指标更优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-8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0.05</w:t>
      </w:r>
      <w:r>
        <w:rPr>
          <w:color w:val="231F20"/>
          <w:spacing w:val="-8"/>
        </w:rPr>
        <w:t>）。见表 </w:t>
      </w:r>
      <w:r>
        <w:rPr>
          <w:rFonts w:ascii="Times New Roman" w:hAnsi="Times New Roman" w:eastAsia="Times New Roman" w:cs="Times New Roman"/>
          <w:color w:val="231F20"/>
          <w:spacing w:val="-8"/>
        </w:rPr>
        <w:t>4</w:t>
      </w:r>
      <w:r>
        <w:rPr>
          <w:color w:val="231F20"/>
          <w:spacing w:val="-8"/>
        </w:rPr>
        <w:t>。</w:t>
      </w:r>
    </w:p>
    <w:p>
      <w:pPr>
        <w:pStyle w:val="BodyText"/>
        <w:ind w:left="521"/>
        <w:spacing w:before="1" w:line="181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2.5    </w:t>
      </w:r>
      <w:r>
        <w:rPr>
          <w:color w:val="231F20"/>
          <w:spacing w:val="2"/>
        </w:rPr>
        <w:t>两组生活质量评分比较</w:t>
      </w:r>
    </w:p>
    <w:p>
      <w:pPr>
        <w:pStyle w:val="BodyText"/>
        <w:ind w:left="112" w:firstLine="409"/>
        <w:spacing w:before="54" w:line="224" w:lineRule="auto"/>
        <w:rPr/>
      </w:pPr>
      <w:r>
        <w:rPr>
          <w:color w:val="231F20"/>
          <w:spacing w:val="-1"/>
        </w:rPr>
        <w:t>两组相比，观察组生活质量评分更高（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＜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-42"/>
          <w:w w:val="87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见表 </w:t>
      </w:r>
      <w:r>
        <w:rPr>
          <w:rFonts w:ascii="Times New Roman" w:hAnsi="Times New Roman" w:eastAsia="Times New Roman" w:cs="Times New Roman"/>
          <w:color w:val="231F20"/>
          <w:spacing w:val="-3"/>
        </w:rPr>
        <w:t>5</w:t>
      </w:r>
      <w:r>
        <w:rPr>
          <w:color w:val="231F20"/>
          <w:spacing w:val="-3"/>
        </w:rPr>
        <w:t>。</w:t>
      </w:r>
    </w:p>
    <w:p>
      <w:pPr>
        <w:spacing w:line="224" w:lineRule="auto"/>
        <w:sectPr>
          <w:type w:val="continuous"/>
          <w:pgSz w:w="11793" w:h="16045"/>
          <w:pgMar w:top="400" w:right="843" w:bottom="604" w:left="424" w:header="0" w:footer="353" w:gutter="0"/>
          <w:cols w:equalWidth="0" w:num="2">
            <w:col w:w="5491" w:space="100"/>
            <w:col w:w="4936" w:space="0"/>
          </w:cols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ind w:left="3966"/>
        <w:spacing w:before="53" w:line="24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两组不良事件发生率比较［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%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）］</w:t>
      </w:r>
    </w:p>
    <w:p>
      <w:pPr>
        <w:spacing w:line="14" w:lineRule="exact"/>
        <w:rPr/>
      </w:pPr>
      <w:r/>
    </w:p>
    <w:tbl>
      <w:tblPr>
        <w:tblStyle w:val="TableNormal"/>
        <w:tblW w:w="9977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4"/>
        <w:gridCol w:w="1328"/>
        <w:gridCol w:w="1668"/>
        <w:gridCol w:w="1656"/>
        <w:gridCol w:w="1726"/>
        <w:gridCol w:w="1945"/>
      </w:tblGrid>
      <w:tr>
        <w:trPr>
          <w:trHeight w:val="314" w:hRule="atLeast"/>
        </w:trPr>
        <w:tc>
          <w:tcPr>
            <w:tcW w:w="165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94"/>
              <w:spacing w:before="88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13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0"/>
              <w:spacing w:before="140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6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22"/>
              <w:spacing w:before="91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误吸</w:t>
            </w:r>
          </w:p>
        </w:tc>
        <w:tc>
          <w:tcPr>
            <w:tcW w:w="16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7"/>
              <w:spacing w:before="90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肺不张</w:t>
            </w:r>
          </w:p>
        </w:tc>
        <w:tc>
          <w:tcPr>
            <w:tcW w:w="17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25"/>
              <w:spacing w:before="90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压疮</w:t>
            </w:r>
          </w:p>
        </w:tc>
        <w:tc>
          <w:tcPr>
            <w:tcW w:w="19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54"/>
              <w:spacing w:before="90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总发生</w:t>
            </w:r>
          </w:p>
        </w:tc>
      </w:tr>
      <w:tr>
        <w:trPr>
          <w:trHeight w:val="315" w:hRule="atLeast"/>
        </w:trPr>
        <w:tc>
          <w:tcPr>
            <w:tcW w:w="1654" w:type="dxa"/>
            <w:vAlign w:val="top"/>
            <w:tcBorders>
              <w:top w:val="single" w:color="231F20" w:sz="2" w:space="0"/>
            </w:tcBorders>
          </w:tcPr>
          <w:p>
            <w:pPr>
              <w:ind w:left="627"/>
              <w:spacing w:before="9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13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8"/>
              <w:spacing w:before="113" w:line="186" w:lineRule="auto"/>
              <w:rPr/>
            </w:pPr>
            <w:r>
              <w:rPr>
                <w:color w:val="231F20"/>
                <w:spacing w:val="-2"/>
              </w:rPr>
              <w:t>34</w:t>
            </w:r>
          </w:p>
        </w:tc>
        <w:tc>
          <w:tcPr>
            <w:tcW w:w="16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9"/>
              <w:spacing w:before="87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7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2.94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tcW w:w="16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0"/>
              <w:spacing w:before="87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7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7"/>
              <w:spacing w:before="87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0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9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6"/>
              <w:spacing w:before="87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7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2.94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</w:tr>
      <w:tr>
        <w:trPr>
          <w:trHeight w:val="330" w:hRule="atLeast"/>
        </w:trPr>
        <w:tc>
          <w:tcPr>
            <w:tcW w:w="1654" w:type="dxa"/>
            <w:vAlign w:val="top"/>
          </w:tcPr>
          <w:p>
            <w:pPr>
              <w:ind w:left="624"/>
              <w:spacing w:before="100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619"/>
              <w:spacing w:before="120" w:line="186" w:lineRule="auto"/>
              <w:rPr/>
            </w:pPr>
            <w:r>
              <w:rPr>
                <w:color w:val="231F20"/>
                <w:spacing w:val="-2"/>
              </w:rPr>
              <w:t>37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579"/>
              <w:spacing w:before="93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7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2.70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574"/>
              <w:spacing w:before="93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7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2.70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）</w:t>
            </w:r>
          </w:p>
        </w:tc>
        <w:tc>
          <w:tcPr>
            <w:tcW w:w="1726" w:type="dxa"/>
            <w:vAlign w:val="top"/>
          </w:tcPr>
          <w:p>
            <w:pPr>
              <w:pStyle w:val="TableText"/>
              <w:ind w:left="568"/>
              <w:spacing w:before="93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2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6"/>
              </w:rPr>
              <w:t>5.41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31"/>
              <w:spacing w:before="93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 </w:t>
            </w:r>
            <w:r>
              <w:rPr>
                <w:color w:val="231F20"/>
                <w:spacing w:val="-6"/>
              </w:rPr>
              <w:t>13.51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818"/>
              <w:spacing w:before="123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13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5" w:type="dxa"/>
            <w:vAlign w:val="top"/>
          </w:tcPr>
          <w:p>
            <w:pPr>
              <w:pStyle w:val="TableText"/>
              <w:ind w:left="805"/>
              <w:spacing w:before="111" w:line="186" w:lineRule="auto"/>
              <w:rPr/>
            </w:pPr>
            <w:r>
              <w:rPr>
                <w:color w:val="231F20"/>
                <w:spacing w:val="-1"/>
              </w:rPr>
              <w:t>7.400</w:t>
            </w:r>
          </w:p>
        </w:tc>
      </w:tr>
      <w:tr>
        <w:trPr>
          <w:trHeight w:val="321" w:hRule="atLeast"/>
        </w:trPr>
        <w:tc>
          <w:tcPr>
            <w:tcW w:w="16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7"/>
              <w:spacing w:before="119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132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04"/>
              <w:spacing w:before="121" w:line="186" w:lineRule="auto"/>
              <w:rPr/>
            </w:pPr>
            <w:r>
              <w:rPr>
                <w:color w:val="231F20"/>
                <w:spacing w:val="-1"/>
              </w:rPr>
              <w:t>0.006</w:t>
            </w:r>
          </w:p>
        </w:tc>
      </w:tr>
    </w:tbl>
    <w:p>
      <w:pPr>
        <w:pStyle w:val="BodyText"/>
        <w:ind w:left="4331"/>
        <w:spacing w:before="164" w:line="219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表2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两组临床指标比较（</w:t>
      </w:r>
      <w:r>
        <w:rPr>
          <w:rFonts w:ascii="SimHei" w:hAnsi="SimHei" w:eastAsia="SimHei" w:cs="SimHei"/>
          <w:sz w:val="16"/>
          <w:szCs w:val="16"/>
          <w:color w:val="231F20"/>
          <w:spacing w:val="-43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-1"/>
        </w:rPr>
        <w:t xml:space="preserve"> </w:t>
      </w:r>
      <w:r>
        <w:rPr>
          <w:sz w:val="16"/>
          <w:szCs w:val="16"/>
          <w:color w:val="231F20"/>
          <w:spacing w:val="-3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  <w:position w:val="-1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）</w:t>
      </w:r>
    </w:p>
    <w:p>
      <w:pPr>
        <w:spacing w:line="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7"/>
        <w:gridCol w:w="1032"/>
        <w:gridCol w:w="2009"/>
        <w:gridCol w:w="2106"/>
        <w:gridCol w:w="1774"/>
        <w:gridCol w:w="1599"/>
      </w:tblGrid>
      <w:tr>
        <w:trPr>
          <w:trHeight w:val="314" w:hRule="atLeast"/>
        </w:trPr>
        <w:tc>
          <w:tcPr>
            <w:tcW w:w="14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2"/>
              <w:spacing w:before="88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10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6"/>
              <w:spacing w:before="140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20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9"/>
              <w:spacing w:before="79" w:line="20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术后首次排气时间（</w:t>
            </w:r>
            <w:r>
              <w:rPr>
                <w:color w:val="231F20"/>
              </w:rPr>
              <w:t>h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21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8"/>
              <w:spacing w:before="85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术后首次下床活动时间（</w:t>
            </w:r>
            <w:r>
              <w:rPr>
                <w:color w:val="231F20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17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6"/>
              <w:spacing w:before="85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手术操作时间（</w:t>
            </w:r>
            <w:r>
              <w:rPr>
                <w:color w:val="231F20"/>
              </w:rPr>
              <w:t>min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15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09"/>
              <w:spacing w:before="85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住院时间（</w:t>
            </w:r>
            <w:r>
              <w:rPr>
                <w:color w:val="231F20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</w:tr>
      <w:tr>
        <w:trPr>
          <w:trHeight w:val="315" w:hRule="atLeast"/>
        </w:trPr>
        <w:tc>
          <w:tcPr>
            <w:tcW w:w="1457" w:type="dxa"/>
            <w:vAlign w:val="top"/>
            <w:tcBorders>
              <w:top w:val="single" w:color="231F20" w:sz="2" w:space="0"/>
            </w:tcBorders>
          </w:tcPr>
          <w:p>
            <w:pPr>
              <w:ind w:left="525"/>
              <w:spacing w:before="9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1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4"/>
              <w:spacing w:before="113" w:line="186" w:lineRule="auto"/>
              <w:rPr/>
            </w:pPr>
            <w:r>
              <w:rPr>
                <w:color w:val="231F20"/>
                <w:spacing w:val="-2"/>
              </w:rPr>
              <w:t>34</w:t>
            </w:r>
          </w:p>
        </w:tc>
        <w:tc>
          <w:tcPr>
            <w:tcW w:w="20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8"/>
              <w:spacing w:before="113" w:line="159" w:lineRule="auto"/>
              <w:rPr/>
            </w:pPr>
            <w:r>
              <w:rPr>
                <w:color w:val="231F20"/>
                <w:spacing w:val="-2"/>
              </w:rPr>
              <w:t>19.01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3.62</w:t>
            </w:r>
          </w:p>
        </w:tc>
        <w:tc>
          <w:tcPr>
            <w:tcW w:w="21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2"/>
              <w:spacing w:before="113" w:line="159" w:lineRule="auto"/>
              <w:rPr/>
            </w:pPr>
            <w:r>
              <w:rPr>
                <w:color w:val="231F20"/>
                <w:spacing w:val="-2"/>
              </w:rPr>
              <w:t>1.02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0.31</w:t>
            </w:r>
          </w:p>
        </w:tc>
        <w:tc>
          <w:tcPr>
            <w:tcW w:w="1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3"/>
              <w:spacing w:before="113" w:line="159" w:lineRule="auto"/>
              <w:rPr/>
            </w:pPr>
            <w:r>
              <w:rPr>
                <w:color w:val="231F20"/>
                <w:spacing w:val="-1"/>
              </w:rPr>
              <w:t>47.10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0.15</w:t>
            </w:r>
          </w:p>
        </w:tc>
        <w:tc>
          <w:tcPr>
            <w:tcW w:w="15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3"/>
              <w:spacing w:before="113" w:line="159" w:lineRule="auto"/>
              <w:rPr/>
            </w:pPr>
            <w:r>
              <w:rPr>
                <w:color w:val="231F20"/>
                <w:spacing w:val="-1"/>
              </w:rPr>
              <w:t>5.01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0.16</w:t>
            </w:r>
          </w:p>
        </w:tc>
      </w:tr>
      <w:tr>
        <w:trPr>
          <w:trHeight w:val="328" w:hRule="atLeast"/>
        </w:trPr>
        <w:tc>
          <w:tcPr>
            <w:tcW w:w="1457" w:type="dxa"/>
            <w:vAlign w:val="top"/>
          </w:tcPr>
          <w:p>
            <w:pPr>
              <w:ind w:left="521"/>
              <w:spacing w:before="100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24"/>
              <w:spacing w:before="120" w:line="186" w:lineRule="auto"/>
              <w:rPr/>
            </w:pPr>
            <w:r>
              <w:rPr>
                <w:color w:val="231F20"/>
                <w:spacing w:val="-2"/>
              </w:rPr>
              <w:t>37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764"/>
              <w:spacing w:before="120" w:line="159" w:lineRule="auto"/>
              <w:rPr/>
            </w:pPr>
            <w:r>
              <w:rPr>
                <w:color w:val="231F20"/>
                <w:spacing w:val="-1"/>
              </w:rPr>
              <w:t>29.46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5.63</w:t>
            </w:r>
          </w:p>
        </w:tc>
        <w:tc>
          <w:tcPr>
            <w:tcW w:w="2106" w:type="dxa"/>
            <w:vAlign w:val="top"/>
          </w:tcPr>
          <w:p>
            <w:pPr>
              <w:pStyle w:val="TableText"/>
              <w:ind w:left="788"/>
              <w:spacing w:before="120" w:line="159" w:lineRule="auto"/>
              <w:rPr/>
            </w:pPr>
            <w:r>
              <w:rPr>
                <w:color w:val="231F20"/>
                <w:spacing w:val="-1"/>
              </w:rPr>
              <w:t>2.53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0.55</w:t>
            </w:r>
          </w:p>
        </w:tc>
        <w:tc>
          <w:tcPr>
            <w:tcW w:w="1774" w:type="dxa"/>
            <w:vAlign w:val="top"/>
          </w:tcPr>
          <w:p>
            <w:pPr>
              <w:pStyle w:val="TableText"/>
              <w:ind w:left="517"/>
              <w:spacing w:before="120" w:line="159" w:lineRule="auto"/>
              <w:rPr/>
            </w:pPr>
            <w:r>
              <w:rPr>
                <w:color w:val="231F20"/>
                <w:spacing w:val="-1"/>
              </w:rPr>
              <w:t>53.32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0.26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453"/>
              <w:spacing w:before="120" w:line="159" w:lineRule="auto"/>
              <w:rPr/>
            </w:pPr>
            <w:r>
              <w:rPr>
                <w:color w:val="231F20"/>
                <w:spacing w:val="-1"/>
              </w:rPr>
              <w:t>6.26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0.51</w:t>
            </w:r>
          </w:p>
        </w:tc>
      </w:tr>
      <w:tr>
        <w:trPr>
          <w:trHeight w:val="313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715"/>
              <w:spacing w:before="125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10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9" w:type="dxa"/>
            <w:vAlign w:val="top"/>
          </w:tcPr>
          <w:p>
            <w:pPr>
              <w:pStyle w:val="TableText"/>
              <w:ind w:left="962"/>
              <w:spacing w:before="113" w:line="186" w:lineRule="auto"/>
              <w:rPr/>
            </w:pPr>
            <w:r>
              <w:rPr>
                <w:color w:val="231F20"/>
                <w:spacing w:val="-2"/>
              </w:rPr>
              <w:t>9.211</w:t>
            </w:r>
          </w:p>
        </w:tc>
        <w:tc>
          <w:tcPr>
            <w:tcW w:w="2106" w:type="dxa"/>
            <w:vAlign w:val="top"/>
          </w:tcPr>
          <w:p>
            <w:pPr>
              <w:pStyle w:val="TableText"/>
              <w:ind w:left="924"/>
              <w:spacing w:before="113" w:line="186" w:lineRule="auto"/>
              <w:rPr/>
            </w:pPr>
            <w:r>
              <w:rPr>
                <w:color w:val="231F20"/>
                <w:spacing w:val="-3"/>
              </w:rPr>
              <w:t>14.079</w:t>
            </w:r>
          </w:p>
        </w:tc>
        <w:tc>
          <w:tcPr>
            <w:tcW w:w="1774" w:type="dxa"/>
            <w:vAlign w:val="top"/>
          </w:tcPr>
          <w:p>
            <w:pPr>
              <w:pStyle w:val="TableText"/>
              <w:ind w:left="649"/>
              <w:spacing w:before="113" w:line="186" w:lineRule="auto"/>
              <w:rPr/>
            </w:pPr>
            <w:r>
              <w:rPr>
                <w:color w:val="231F20"/>
                <w:spacing w:val="-2"/>
              </w:rPr>
              <w:t>122.033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585"/>
              <w:spacing w:before="113" w:line="186" w:lineRule="auto"/>
              <w:rPr/>
            </w:pPr>
            <w:r>
              <w:rPr>
                <w:color w:val="231F20"/>
                <w:spacing w:val="-3"/>
              </w:rPr>
              <w:t>13.679</w:t>
            </w:r>
          </w:p>
        </w:tc>
      </w:tr>
      <w:tr>
        <w:trPr>
          <w:trHeight w:val="322" w:hRule="atLeast"/>
        </w:trPr>
        <w:tc>
          <w:tcPr>
            <w:tcW w:w="14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84"/>
              <w:spacing w:before="120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103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59"/>
              <w:spacing w:before="122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21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48"/>
              <w:spacing w:before="122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7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08"/>
              <w:spacing w:before="122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5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9"/>
              <w:spacing w:before="122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</w:tr>
    </w:tbl>
    <w:p>
      <w:pPr>
        <w:pStyle w:val="BodyText"/>
        <w:ind w:left="4331"/>
        <w:spacing w:before="163" w:line="219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表3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两组炎症指标比较（</w:t>
      </w:r>
      <w:r>
        <w:rPr>
          <w:rFonts w:ascii="SimHei" w:hAnsi="SimHei" w:eastAsia="SimHei" w:cs="SimHei"/>
          <w:sz w:val="16"/>
          <w:szCs w:val="16"/>
          <w:color w:val="231F20"/>
          <w:spacing w:val="-43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-1"/>
        </w:rPr>
        <w:t xml:space="preserve"> </w:t>
      </w:r>
      <w:r>
        <w:rPr>
          <w:sz w:val="16"/>
          <w:szCs w:val="16"/>
          <w:color w:val="231F20"/>
          <w:spacing w:val="-3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  <w:position w:val="-1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）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5"/>
        <w:gridCol w:w="830"/>
        <w:gridCol w:w="1297"/>
        <w:gridCol w:w="1314"/>
        <w:gridCol w:w="1344"/>
        <w:gridCol w:w="1330"/>
        <w:gridCol w:w="1330"/>
        <w:gridCol w:w="1297"/>
      </w:tblGrid>
      <w:tr>
        <w:trPr>
          <w:trHeight w:val="342" w:hRule="atLeast"/>
        </w:trPr>
        <w:tc>
          <w:tcPr>
            <w:tcW w:w="123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ind w:left="511"/>
              <w:spacing w:before="27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830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40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2611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5"/>
              <w:spacing w:before="10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血清降钙素原（</w:t>
            </w:r>
            <w:r>
              <w:rPr>
                <w:color w:val="231F20"/>
              </w:rPr>
              <w:t>ng/mL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2674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71"/>
              <w:spacing w:before="10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白细胞介素-</w:t>
            </w:r>
            <w:r>
              <w:rPr>
                <w:color w:val="231F20"/>
              </w:rPr>
              <w:t>6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（</w:t>
            </w:r>
            <w:r>
              <w:rPr>
                <w:color w:val="231F20"/>
              </w:rPr>
              <w:t>ng/L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262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16"/>
              <w:spacing w:before="10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C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反应蛋白（</w:t>
            </w:r>
            <w:r>
              <w:rPr>
                <w:color w:val="231F20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</w:tr>
      <w:tr>
        <w:trPr>
          <w:trHeight w:val="337" w:hRule="atLeast"/>
        </w:trPr>
        <w:tc>
          <w:tcPr>
            <w:tcW w:w="123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5"/>
              <w:spacing w:before="100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3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5"/>
              <w:spacing w:before="103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  <w:tc>
          <w:tcPr>
            <w:tcW w:w="1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92"/>
              <w:spacing w:before="100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3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6"/>
              <w:spacing w:before="103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  <w:tc>
          <w:tcPr>
            <w:tcW w:w="13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6"/>
              <w:spacing w:before="100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2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4"/>
              <w:spacing w:before="103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</w:tr>
      <w:tr>
        <w:trPr>
          <w:trHeight w:val="338" w:hRule="atLeast"/>
        </w:trPr>
        <w:tc>
          <w:tcPr>
            <w:tcW w:w="1235" w:type="dxa"/>
            <w:vAlign w:val="top"/>
            <w:tcBorders>
              <w:top w:val="single" w:color="231F20" w:sz="2" w:space="0"/>
            </w:tcBorders>
          </w:tcPr>
          <w:p>
            <w:pPr>
              <w:ind w:left="444"/>
              <w:spacing w:before="10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8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2"/>
              <w:spacing w:before="123" w:line="186" w:lineRule="auto"/>
              <w:rPr/>
            </w:pPr>
            <w:r>
              <w:rPr>
                <w:color w:val="231F20"/>
                <w:spacing w:val="-2"/>
              </w:rPr>
              <w:t>34</w:t>
            </w:r>
          </w:p>
        </w:tc>
        <w:tc>
          <w:tcPr>
            <w:tcW w:w="12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123" w:line="159" w:lineRule="auto"/>
              <w:rPr/>
            </w:pPr>
            <w:r>
              <w:rPr>
                <w:color w:val="231F20"/>
                <w:spacing w:val="-2"/>
              </w:rPr>
              <w:t>1.99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0.53</w:t>
            </w:r>
          </w:p>
        </w:tc>
        <w:tc>
          <w:tcPr>
            <w:tcW w:w="13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9"/>
              <w:spacing w:before="123" w:line="159" w:lineRule="auto"/>
              <w:rPr/>
            </w:pPr>
            <w:r>
              <w:rPr>
                <w:color w:val="231F20"/>
                <w:spacing w:val="-1"/>
              </w:rPr>
              <w:t>0.22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0.10</w:t>
            </w:r>
          </w:p>
        </w:tc>
        <w:tc>
          <w:tcPr>
            <w:tcW w:w="13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4"/>
              <w:spacing w:before="123" w:line="159" w:lineRule="auto"/>
              <w:rPr/>
            </w:pPr>
            <w:r>
              <w:rPr>
                <w:color w:val="231F20"/>
                <w:spacing w:val="-1"/>
              </w:rPr>
              <w:t>85.46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7.48</w:t>
            </w:r>
          </w:p>
        </w:tc>
        <w:tc>
          <w:tcPr>
            <w:tcW w:w="13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123" w:line="159" w:lineRule="auto"/>
              <w:rPr/>
            </w:pPr>
            <w:r>
              <w:rPr>
                <w:color w:val="231F20"/>
                <w:spacing w:val="-1"/>
              </w:rPr>
              <w:t>62.13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3.15</w:t>
            </w:r>
          </w:p>
        </w:tc>
        <w:tc>
          <w:tcPr>
            <w:tcW w:w="13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6"/>
              <w:spacing w:before="123" w:line="159" w:lineRule="auto"/>
              <w:rPr/>
            </w:pPr>
            <w:r>
              <w:rPr>
                <w:color w:val="231F20"/>
                <w:spacing w:val="-1"/>
              </w:rPr>
              <w:t>78.79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8.49</w:t>
            </w:r>
          </w:p>
        </w:tc>
        <w:tc>
          <w:tcPr>
            <w:tcW w:w="12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7"/>
              <w:spacing w:before="123" w:line="159" w:lineRule="auto"/>
              <w:rPr/>
            </w:pPr>
            <w:r>
              <w:rPr>
                <w:color w:val="231F20"/>
                <w:spacing w:val="-3"/>
              </w:rPr>
              <w:t>10.03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1.11</w:t>
            </w:r>
          </w:p>
        </w:tc>
      </w:tr>
      <w:tr>
        <w:trPr>
          <w:trHeight w:val="351" w:hRule="atLeast"/>
        </w:trPr>
        <w:tc>
          <w:tcPr>
            <w:tcW w:w="1235" w:type="dxa"/>
            <w:vAlign w:val="top"/>
          </w:tcPr>
          <w:p>
            <w:pPr>
              <w:ind w:left="441"/>
              <w:spacing w:before="108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382"/>
              <w:spacing w:before="128" w:line="186" w:lineRule="auto"/>
              <w:rPr/>
            </w:pPr>
            <w:r>
              <w:rPr>
                <w:color w:val="231F20"/>
                <w:spacing w:val="-2"/>
              </w:rPr>
              <w:t>37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350"/>
              <w:spacing w:before="128" w:line="159" w:lineRule="auto"/>
              <w:rPr/>
            </w:pPr>
            <w:r>
              <w:rPr>
                <w:color w:val="231F20"/>
                <w:spacing w:val="-2"/>
              </w:rPr>
              <w:t>1.97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0.49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39"/>
              <w:spacing w:before="128" w:line="159" w:lineRule="auto"/>
              <w:rPr/>
            </w:pPr>
            <w:r>
              <w:rPr>
                <w:color w:val="231F20"/>
                <w:spacing w:val="-1"/>
              </w:rPr>
              <w:t>0.42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0.16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355"/>
              <w:spacing w:before="128" w:line="159" w:lineRule="auto"/>
              <w:rPr/>
            </w:pPr>
            <w:r>
              <w:rPr>
                <w:color w:val="231F20"/>
                <w:spacing w:val="-1"/>
              </w:rPr>
              <w:t>85.53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7.41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305"/>
              <w:spacing w:before="128" w:line="159" w:lineRule="auto"/>
              <w:rPr/>
            </w:pPr>
            <w:r>
              <w:rPr>
                <w:color w:val="231F20"/>
                <w:spacing w:val="-1"/>
              </w:rPr>
              <w:t>77.15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5.46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336"/>
              <w:spacing w:before="128" w:line="159" w:lineRule="auto"/>
              <w:rPr/>
            </w:pPr>
            <w:r>
              <w:rPr>
                <w:color w:val="231F20"/>
                <w:spacing w:val="-1"/>
              </w:rPr>
              <w:t>79.02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8.54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305"/>
              <w:spacing w:before="128" w:line="159" w:lineRule="auto"/>
              <w:rPr/>
            </w:pPr>
            <w:r>
              <w:rPr>
                <w:color w:val="231F20"/>
                <w:spacing w:val="-1"/>
              </w:rPr>
              <w:t>52.63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6.26</w:t>
            </w:r>
          </w:p>
        </w:tc>
      </w:tr>
      <w:tr>
        <w:trPr>
          <w:trHeight w:val="335" w:hRule="atLeast"/>
        </w:trPr>
        <w:tc>
          <w:tcPr>
            <w:tcW w:w="1235" w:type="dxa"/>
            <w:vAlign w:val="top"/>
          </w:tcPr>
          <w:p>
            <w:pPr>
              <w:pStyle w:val="TableText"/>
              <w:ind w:left="635"/>
              <w:spacing w:before="132" w:line="162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6"/>
              <w:spacing w:before="120" w:line="186" w:lineRule="auto"/>
              <w:rPr/>
            </w:pPr>
            <w:r>
              <w:rPr>
                <w:color w:val="231F20"/>
                <w:spacing w:val="-1"/>
              </w:rPr>
              <w:t>0.165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498"/>
              <w:spacing w:before="120" w:line="186" w:lineRule="auto"/>
              <w:rPr/>
            </w:pPr>
            <w:r>
              <w:rPr>
                <w:color w:val="231F20"/>
                <w:spacing w:val="-1"/>
              </w:rPr>
              <w:t>6.250</w:t>
            </w:r>
          </w:p>
        </w:tc>
        <w:tc>
          <w:tcPr>
            <w:tcW w:w="1344" w:type="dxa"/>
            <w:vAlign w:val="top"/>
          </w:tcPr>
          <w:p>
            <w:pPr>
              <w:pStyle w:val="TableText"/>
              <w:ind w:left="544"/>
              <w:spacing w:before="120" w:line="186" w:lineRule="auto"/>
              <w:rPr/>
            </w:pPr>
            <w:r>
              <w:rPr>
                <w:color w:val="231F20"/>
                <w:spacing w:val="-1"/>
              </w:rPr>
              <w:t>0.039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474"/>
              <w:spacing w:before="120" w:line="186" w:lineRule="auto"/>
              <w:rPr/>
            </w:pPr>
            <w:r>
              <w:rPr>
                <w:color w:val="231F20"/>
                <w:spacing w:val="-3"/>
              </w:rPr>
              <w:t>14.032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531"/>
              <w:spacing w:before="120" w:line="186" w:lineRule="auto"/>
              <w:rPr/>
            </w:pPr>
            <w:r>
              <w:rPr>
                <w:color w:val="231F20"/>
                <w:spacing w:val="-2"/>
              </w:rPr>
              <w:t>0.113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62"/>
              <w:spacing w:before="120" w:line="186" w:lineRule="auto"/>
              <w:rPr/>
            </w:pPr>
            <w:r>
              <w:rPr>
                <w:color w:val="231F20"/>
                <w:spacing w:val="-1"/>
              </w:rPr>
              <w:t>39.097</w:t>
            </w:r>
          </w:p>
        </w:tc>
      </w:tr>
      <w:tr>
        <w:trPr>
          <w:trHeight w:val="344" w:hRule="atLeast"/>
        </w:trPr>
        <w:tc>
          <w:tcPr>
            <w:tcW w:w="123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4"/>
              <w:spacing w:before="126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830" w:type="dxa"/>
            <w:vAlign w:val="top"/>
            <w:tcBorders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6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0.869</w:t>
            </w:r>
          </w:p>
        </w:tc>
        <w:tc>
          <w:tcPr>
            <w:tcW w:w="131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7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34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44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0.968</w:t>
            </w:r>
          </w:p>
        </w:tc>
        <w:tc>
          <w:tcPr>
            <w:tcW w:w="133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8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33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28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0.909</w:t>
            </w:r>
          </w:p>
        </w:tc>
        <w:tc>
          <w:tcPr>
            <w:tcW w:w="12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6"/>
              <w:spacing w:before="128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93" w:h="16045"/>
          <w:pgMar w:top="400" w:right="843" w:bottom="604" w:left="424" w:header="0" w:footer="353" w:gutter="0"/>
          <w:cols w:equalWidth="0" w:num="1">
            <w:col w:w="1052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595"/>
        <w:spacing w:before="69" w:line="219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表4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两组氧化应激指标比较（</w:t>
      </w:r>
      <w:r>
        <w:rPr>
          <w:rFonts w:ascii="SimHei" w:hAnsi="SimHei" w:eastAsia="SimHei" w:cs="SimHei"/>
          <w:sz w:val="16"/>
          <w:szCs w:val="16"/>
          <w:color w:val="231F20"/>
          <w:spacing w:val="-37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-1"/>
        </w:rPr>
        <w:t xml:space="preserve"> </w:t>
      </w:r>
      <w:r>
        <w:rPr>
          <w:sz w:val="16"/>
          <w:szCs w:val="16"/>
          <w:color w:val="231F20"/>
          <w:spacing w:val="-3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  <w:position w:val="-1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）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9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5"/>
        <w:gridCol w:w="830"/>
        <w:gridCol w:w="1304"/>
        <w:gridCol w:w="1314"/>
        <w:gridCol w:w="1336"/>
        <w:gridCol w:w="1331"/>
        <w:gridCol w:w="1299"/>
        <w:gridCol w:w="1328"/>
      </w:tblGrid>
      <w:tr>
        <w:trPr>
          <w:trHeight w:val="269" w:hRule="atLeast"/>
        </w:trPr>
        <w:tc>
          <w:tcPr>
            <w:tcW w:w="123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511"/>
              <w:spacing w:before="203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83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14"/>
              <w:spacing w:before="255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261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9"/>
              <w:spacing w:before="6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血清丙二醛（</w:t>
            </w:r>
            <w:r>
              <w:rPr>
                <w:color w:val="231F20"/>
              </w:rPr>
              <w:t>ng/L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266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45"/>
              <w:spacing w:before="6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谷胱甘肽过氧化物酶（</w:t>
            </w:r>
            <w:r>
              <w:rPr>
                <w:color w:val="231F20"/>
              </w:rPr>
              <w:t>mmol/L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262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67"/>
              <w:spacing w:before="6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超氧化物歧化酶(</w:t>
            </w:r>
            <w:r>
              <w:rPr>
                <w:color w:val="231F20"/>
                <w:spacing w:val="7"/>
              </w:rPr>
              <w:t>μg/L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）</w:t>
            </w:r>
          </w:p>
        </w:tc>
      </w:tr>
      <w:tr>
        <w:trPr>
          <w:trHeight w:val="270" w:hRule="atLeast"/>
        </w:trPr>
        <w:tc>
          <w:tcPr>
            <w:tcW w:w="123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5"/>
              <w:spacing w:before="68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3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38"/>
              <w:spacing w:before="71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  <w:tc>
          <w:tcPr>
            <w:tcW w:w="133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85"/>
              <w:spacing w:before="68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33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7"/>
              <w:spacing w:before="71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  <w:tc>
          <w:tcPr>
            <w:tcW w:w="12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6"/>
              <w:spacing w:before="68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干预前</w:t>
            </w:r>
          </w:p>
        </w:tc>
        <w:tc>
          <w:tcPr>
            <w:tcW w:w="132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5"/>
              <w:spacing w:before="71" w:line="17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干预后</w:t>
            </w:r>
          </w:p>
        </w:tc>
      </w:tr>
      <w:tr>
        <w:trPr>
          <w:trHeight w:val="270" w:hRule="atLeast"/>
        </w:trPr>
        <w:tc>
          <w:tcPr>
            <w:tcW w:w="1235" w:type="dxa"/>
            <w:vAlign w:val="top"/>
            <w:tcBorders>
              <w:top w:val="single" w:color="231F20" w:sz="2" w:space="0"/>
            </w:tcBorders>
          </w:tcPr>
          <w:p>
            <w:pPr>
              <w:ind w:left="444"/>
              <w:spacing w:before="68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8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2"/>
              <w:spacing w:before="91" w:line="186" w:lineRule="auto"/>
              <w:rPr/>
            </w:pPr>
            <w:r>
              <w:rPr>
                <w:color w:val="231F20"/>
                <w:spacing w:val="-2"/>
              </w:rPr>
              <w:t>34</w:t>
            </w:r>
          </w:p>
        </w:tc>
        <w:tc>
          <w:tcPr>
            <w:tcW w:w="13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91" w:line="159" w:lineRule="auto"/>
              <w:rPr/>
            </w:pPr>
            <w:r>
              <w:rPr>
                <w:color w:val="231F20"/>
                <w:spacing w:val="-2"/>
              </w:rPr>
              <w:t>18.47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5.96</w:t>
            </w:r>
          </w:p>
        </w:tc>
        <w:tc>
          <w:tcPr>
            <w:tcW w:w="13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3"/>
              <w:spacing w:before="91" w:line="159" w:lineRule="auto"/>
              <w:rPr/>
            </w:pPr>
            <w:r>
              <w:rPr>
                <w:color w:val="231F20"/>
                <w:spacing w:val="-1"/>
              </w:rPr>
              <w:t>6.99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3.56</w:t>
            </w:r>
          </w:p>
        </w:tc>
        <w:tc>
          <w:tcPr>
            <w:tcW w:w="13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2"/>
              <w:spacing w:before="91" w:line="159" w:lineRule="auto"/>
              <w:rPr/>
            </w:pPr>
            <w:r>
              <w:rPr>
                <w:color w:val="231F20"/>
                <w:spacing w:val="-1"/>
              </w:rPr>
              <w:t>22.13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2.46</w:t>
            </w:r>
          </w:p>
        </w:tc>
        <w:tc>
          <w:tcPr>
            <w:tcW w:w="13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3"/>
              <w:spacing w:before="91" w:line="159" w:lineRule="auto"/>
              <w:rPr/>
            </w:pPr>
            <w:r>
              <w:rPr>
                <w:color w:val="231F20"/>
                <w:spacing w:val="-1"/>
              </w:rPr>
              <w:t>40.96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7.48</w:t>
            </w:r>
          </w:p>
        </w:tc>
        <w:tc>
          <w:tcPr>
            <w:tcW w:w="12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91" w:line="159" w:lineRule="auto"/>
              <w:rPr/>
            </w:pPr>
            <w:r>
              <w:rPr>
                <w:color w:val="231F20"/>
                <w:spacing w:val="-1"/>
              </w:rPr>
              <w:t>53.63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8.45</w:t>
            </w:r>
          </w:p>
        </w:tc>
        <w:tc>
          <w:tcPr>
            <w:tcW w:w="13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6"/>
              <w:spacing w:before="91" w:line="159" w:lineRule="auto"/>
              <w:rPr/>
            </w:pPr>
            <w:r>
              <w:rPr>
                <w:color w:val="231F20"/>
                <w:spacing w:val="-3"/>
              </w:rPr>
              <w:t>104.15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12.23</w:t>
            </w:r>
          </w:p>
        </w:tc>
      </w:tr>
      <w:tr>
        <w:trPr>
          <w:trHeight w:val="283" w:hRule="atLeast"/>
        </w:trPr>
        <w:tc>
          <w:tcPr>
            <w:tcW w:w="1235" w:type="dxa"/>
            <w:vAlign w:val="top"/>
          </w:tcPr>
          <w:p>
            <w:pPr>
              <w:ind w:left="441"/>
              <w:spacing w:before="78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382"/>
              <w:spacing w:before="98" w:line="186" w:lineRule="auto"/>
              <w:rPr/>
            </w:pPr>
            <w:r>
              <w:rPr>
                <w:color w:val="231F20"/>
                <w:spacing w:val="-2"/>
              </w:rPr>
              <w:t>37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315"/>
              <w:spacing w:before="97" w:line="159" w:lineRule="auto"/>
              <w:rPr/>
            </w:pPr>
            <w:r>
              <w:rPr>
                <w:color w:val="231F20"/>
                <w:spacing w:val="-2"/>
              </w:rPr>
              <w:t>18.52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6.03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311"/>
              <w:spacing w:before="97" w:line="159" w:lineRule="auto"/>
              <w:rPr/>
            </w:pPr>
            <w:r>
              <w:rPr>
                <w:color w:val="231F20"/>
                <w:spacing w:val="-2"/>
              </w:rPr>
              <w:t>11.48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4.61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342"/>
              <w:spacing w:before="97" w:line="159" w:lineRule="auto"/>
              <w:rPr/>
            </w:pPr>
            <w:r>
              <w:rPr>
                <w:color w:val="231F20"/>
                <w:spacing w:val="-1"/>
              </w:rPr>
              <w:t>22.18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2.50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307"/>
              <w:spacing w:before="97" w:line="159" w:lineRule="auto"/>
              <w:rPr/>
            </w:pPr>
            <w:r>
              <w:rPr>
                <w:color w:val="231F20"/>
                <w:spacing w:val="-1"/>
              </w:rPr>
              <w:t>31.26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5.59</w:t>
            </w:r>
          </w:p>
        </w:tc>
        <w:tc>
          <w:tcPr>
            <w:tcW w:w="1299" w:type="dxa"/>
            <w:vAlign w:val="top"/>
          </w:tcPr>
          <w:p>
            <w:pPr>
              <w:pStyle w:val="TableText"/>
              <w:ind w:left="337"/>
              <w:spacing w:before="97" w:line="159" w:lineRule="auto"/>
              <w:rPr/>
            </w:pPr>
            <w:r>
              <w:rPr>
                <w:color w:val="231F20"/>
                <w:spacing w:val="-1"/>
              </w:rPr>
              <w:t>53.69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8.52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338"/>
              <w:spacing w:before="97" w:line="159" w:lineRule="auto"/>
              <w:rPr/>
            </w:pPr>
            <w:r>
              <w:rPr>
                <w:color w:val="231F20"/>
                <w:spacing w:val="-1"/>
              </w:rPr>
              <w:t>80.12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7.48</w:t>
            </w:r>
          </w:p>
        </w:tc>
      </w:tr>
      <w:tr>
        <w:trPr>
          <w:trHeight w:val="268" w:hRule="atLeast"/>
        </w:trPr>
        <w:tc>
          <w:tcPr>
            <w:tcW w:w="1235" w:type="dxa"/>
            <w:vAlign w:val="top"/>
          </w:tcPr>
          <w:p>
            <w:pPr>
              <w:pStyle w:val="TableText"/>
              <w:ind w:left="635"/>
              <w:spacing w:before="102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</w:tcPr>
          <w:p>
            <w:pPr>
              <w:pStyle w:val="TableText"/>
              <w:ind w:left="496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0.035</w:t>
            </w:r>
          </w:p>
        </w:tc>
        <w:tc>
          <w:tcPr>
            <w:tcW w:w="1314" w:type="dxa"/>
            <w:vAlign w:val="top"/>
          </w:tcPr>
          <w:p>
            <w:pPr>
              <w:pStyle w:val="TableText"/>
              <w:ind w:left="487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4.563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ind w:left="536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0.084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499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6.222</w:t>
            </w:r>
          </w:p>
        </w:tc>
        <w:tc>
          <w:tcPr>
            <w:tcW w:w="1299" w:type="dxa"/>
            <w:vAlign w:val="top"/>
          </w:tcPr>
          <w:p>
            <w:pPr>
              <w:pStyle w:val="TableText"/>
              <w:ind w:left="528"/>
              <w:spacing w:before="91" w:line="186" w:lineRule="auto"/>
              <w:rPr/>
            </w:pPr>
            <w:r>
              <w:rPr>
                <w:color w:val="231F20"/>
                <w:spacing w:val="-1"/>
              </w:rPr>
              <w:t>0.029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503"/>
              <w:spacing w:before="91" w:line="186" w:lineRule="auto"/>
              <w:rPr/>
            </w:pPr>
            <w:r>
              <w:rPr>
                <w:color w:val="231F20"/>
                <w:spacing w:val="-3"/>
              </w:rPr>
              <w:t>10.078</w:t>
            </w:r>
          </w:p>
        </w:tc>
      </w:tr>
      <w:tr>
        <w:trPr>
          <w:trHeight w:val="276" w:hRule="atLeast"/>
        </w:trPr>
        <w:tc>
          <w:tcPr>
            <w:tcW w:w="12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4"/>
              <w:spacing w:before="97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83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6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0.972</w:t>
            </w:r>
          </w:p>
        </w:tc>
        <w:tc>
          <w:tcPr>
            <w:tcW w:w="13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0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3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6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0.932</w:t>
            </w:r>
          </w:p>
        </w:tc>
        <w:tc>
          <w:tcPr>
            <w:tcW w:w="13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8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2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8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0.976</w:t>
            </w:r>
          </w:p>
        </w:tc>
        <w:tc>
          <w:tcPr>
            <w:tcW w:w="13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7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</w:tr>
    </w:tbl>
    <w:p>
      <w:pPr>
        <w:pStyle w:val="BodyText"/>
        <w:ind w:left="4435"/>
        <w:spacing w:before="163" w:line="219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表5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两组生活质量评分比较（</w:t>
      </w:r>
      <w:r>
        <w:rPr>
          <w:rFonts w:ascii="SimHei" w:hAnsi="SimHei" w:eastAsia="SimHei" w:cs="SimHei"/>
          <w:sz w:val="16"/>
          <w:szCs w:val="16"/>
          <w:color w:val="231F20"/>
          <w:spacing w:val="-45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  <w:position w:val="-1"/>
        </w:rPr>
        <w:t xml:space="preserve"> </w:t>
      </w:r>
      <w:r>
        <w:rPr>
          <w:sz w:val="16"/>
          <w:szCs w:val="16"/>
          <w:color w:val="231F20"/>
          <w:spacing w:val="-2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  <w:position w:val="-1"/>
        </w:rPr>
        <w:t>s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，分）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9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1"/>
        <w:gridCol w:w="651"/>
        <w:gridCol w:w="1125"/>
        <w:gridCol w:w="1011"/>
        <w:gridCol w:w="992"/>
        <w:gridCol w:w="1099"/>
        <w:gridCol w:w="993"/>
        <w:gridCol w:w="1028"/>
        <w:gridCol w:w="1028"/>
        <w:gridCol w:w="1029"/>
      </w:tblGrid>
      <w:tr>
        <w:trPr>
          <w:trHeight w:val="269" w:hRule="atLeast"/>
        </w:trPr>
        <w:tc>
          <w:tcPr>
            <w:tcW w:w="10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76"/>
              <w:spacing w:before="6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6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7"/>
              <w:spacing w:before="117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1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18"/>
              <w:spacing w:before="6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生理功能</w:t>
            </w:r>
          </w:p>
        </w:tc>
        <w:tc>
          <w:tcPr>
            <w:tcW w:w="10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22"/>
              <w:spacing w:before="67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生理职能</w:t>
            </w:r>
          </w:p>
        </w:tc>
        <w:tc>
          <w:tcPr>
            <w:tcW w:w="99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63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躯体疼痛</w:t>
            </w:r>
          </w:p>
        </w:tc>
        <w:tc>
          <w:tcPr>
            <w:tcW w:w="10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4"/>
              <w:spacing w:before="64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一般健康状况</w:t>
            </w:r>
          </w:p>
        </w:tc>
        <w:tc>
          <w:tcPr>
            <w:tcW w:w="9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43"/>
              <w:spacing w:before="6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精力</w:t>
            </w:r>
          </w:p>
        </w:tc>
        <w:tc>
          <w:tcPr>
            <w:tcW w:w="10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66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社会功能</w:t>
            </w:r>
          </w:p>
        </w:tc>
        <w:tc>
          <w:tcPr>
            <w:tcW w:w="10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6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情感职能</w:t>
            </w:r>
          </w:p>
        </w:tc>
        <w:tc>
          <w:tcPr>
            <w:tcW w:w="10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8"/>
              <w:spacing w:before="64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精神健康</w:t>
            </w:r>
          </w:p>
        </w:tc>
      </w:tr>
      <w:tr>
        <w:trPr>
          <w:trHeight w:val="270" w:hRule="atLeast"/>
        </w:trPr>
        <w:tc>
          <w:tcPr>
            <w:tcW w:w="1021" w:type="dxa"/>
            <w:vAlign w:val="top"/>
            <w:tcBorders>
              <w:top w:val="single" w:color="231F20" w:sz="2" w:space="0"/>
            </w:tcBorders>
          </w:tcPr>
          <w:p>
            <w:pPr>
              <w:ind w:left="309"/>
              <w:spacing w:before="67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6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4"/>
              <w:spacing w:before="90" w:line="186" w:lineRule="auto"/>
              <w:rPr/>
            </w:pPr>
            <w:r>
              <w:rPr>
                <w:color w:val="231F20"/>
                <w:spacing w:val="-2"/>
              </w:rPr>
              <w:t>34</w:t>
            </w:r>
          </w:p>
        </w:tc>
        <w:tc>
          <w:tcPr>
            <w:tcW w:w="11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/>
              <w:spacing w:before="90" w:line="159" w:lineRule="auto"/>
              <w:rPr/>
            </w:pPr>
            <w:r>
              <w:rPr>
                <w:color w:val="231F20"/>
                <w:spacing w:val="-2"/>
              </w:rPr>
              <w:t>83.52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12.97</w:t>
            </w:r>
          </w:p>
        </w:tc>
        <w:tc>
          <w:tcPr>
            <w:tcW w:w="10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2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79.91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5.78</w:t>
            </w:r>
          </w:p>
        </w:tc>
        <w:tc>
          <w:tcPr>
            <w:tcW w:w="9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9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79.03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3.13</w:t>
            </w:r>
          </w:p>
        </w:tc>
        <w:tc>
          <w:tcPr>
            <w:tcW w:w="10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85.86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3.95</w:t>
            </w:r>
          </w:p>
        </w:tc>
        <w:tc>
          <w:tcPr>
            <w:tcW w:w="9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8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86.19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4.79</w:t>
            </w:r>
          </w:p>
        </w:tc>
        <w:tc>
          <w:tcPr>
            <w:tcW w:w="10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79.90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2.93</w:t>
            </w:r>
          </w:p>
        </w:tc>
        <w:tc>
          <w:tcPr>
            <w:tcW w:w="10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3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83.94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3.91</w:t>
            </w:r>
          </w:p>
        </w:tc>
        <w:tc>
          <w:tcPr>
            <w:tcW w:w="10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4"/>
              <w:spacing w:before="90" w:line="159" w:lineRule="auto"/>
              <w:rPr/>
            </w:pPr>
            <w:r>
              <w:rPr>
                <w:color w:val="231F20"/>
                <w:spacing w:val="-1"/>
              </w:rPr>
              <w:t>89.94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4.91</w:t>
            </w:r>
          </w:p>
        </w:tc>
      </w:tr>
      <w:tr>
        <w:trPr>
          <w:trHeight w:val="283" w:hRule="atLeast"/>
        </w:trPr>
        <w:tc>
          <w:tcPr>
            <w:tcW w:w="1021" w:type="dxa"/>
            <w:vAlign w:val="top"/>
          </w:tcPr>
          <w:p>
            <w:pPr>
              <w:ind w:left="306"/>
              <w:spacing w:before="77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651" w:type="dxa"/>
            <w:vAlign w:val="top"/>
          </w:tcPr>
          <w:p>
            <w:pPr>
              <w:pStyle w:val="TableText"/>
              <w:ind w:left="304"/>
              <w:spacing w:before="96" w:line="186" w:lineRule="auto"/>
              <w:rPr/>
            </w:pPr>
            <w:r>
              <w:rPr>
                <w:color w:val="231F20"/>
                <w:spacing w:val="-2"/>
              </w:rPr>
              <w:t>37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52"/>
              <w:spacing w:before="96" w:line="159" w:lineRule="auto"/>
              <w:rPr/>
            </w:pPr>
            <w:r>
              <w:rPr>
                <w:color w:val="231F20"/>
                <w:spacing w:val="-1"/>
              </w:rPr>
              <w:t>72.13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4.11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153"/>
              <w:spacing w:before="96" w:line="159" w:lineRule="auto"/>
              <w:rPr/>
            </w:pPr>
            <w:r>
              <w:rPr>
                <w:color w:val="231F20"/>
                <w:spacing w:val="-1"/>
              </w:rPr>
              <w:t>68.21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3.27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169"/>
              <w:spacing w:before="96" w:line="159" w:lineRule="auto"/>
              <w:rPr/>
            </w:pPr>
            <w:r>
              <w:rPr>
                <w:color w:val="231F20"/>
                <w:spacing w:val="-2"/>
              </w:rPr>
              <w:t>71.30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1.12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206"/>
              <w:spacing w:before="96" w:line="159" w:lineRule="auto"/>
              <w:rPr/>
            </w:pPr>
            <w:r>
              <w:rPr>
                <w:color w:val="231F20"/>
                <w:spacing w:val="-1"/>
              </w:rPr>
              <w:t>74.25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2.31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35"/>
              <w:spacing w:before="96" w:line="159" w:lineRule="auto"/>
              <w:rPr/>
            </w:pPr>
            <w:r>
              <w:rPr>
                <w:color w:val="231F20"/>
                <w:spacing w:val="-1"/>
              </w:rPr>
              <w:t>79.09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2.25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170"/>
              <w:spacing w:before="96" w:line="159" w:lineRule="auto"/>
              <w:rPr/>
            </w:pPr>
            <w:r>
              <w:rPr>
                <w:color w:val="231F20"/>
                <w:spacing w:val="-2"/>
              </w:rPr>
              <w:t>70.03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1.16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170"/>
              <w:spacing w:before="96" w:line="159" w:lineRule="auto"/>
              <w:rPr/>
            </w:pPr>
            <w:r>
              <w:rPr>
                <w:color w:val="231F20"/>
                <w:spacing w:val="-2"/>
              </w:rPr>
              <w:t>76.03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1.17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70"/>
              <w:spacing w:before="96" w:line="159" w:lineRule="auto"/>
              <w:rPr/>
            </w:pPr>
            <w:r>
              <w:rPr>
                <w:color w:val="231F20"/>
                <w:spacing w:val="-2"/>
              </w:rPr>
              <w:t>74.16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2"/>
              </w:rPr>
              <w:t>1.08</w:t>
            </w:r>
          </w:p>
        </w:tc>
      </w:tr>
      <w:tr>
        <w:trPr>
          <w:trHeight w:val="267" w:hRule="atLeast"/>
        </w:trPr>
        <w:tc>
          <w:tcPr>
            <w:tcW w:w="1021" w:type="dxa"/>
            <w:vAlign w:val="top"/>
          </w:tcPr>
          <w:p>
            <w:pPr>
              <w:pStyle w:val="TableText"/>
              <w:ind w:left="500"/>
              <w:spacing w:before="101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6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43"/>
              <w:spacing w:before="90" w:line="186" w:lineRule="auto"/>
              <w:rPr/>
            </w:pPr>
            <w:r>
              <w:rPr>
                <w:color w:val="231F20"/>
                <w:spacing w:val="-2"/>
              </w:rPr>
              <w:t>5.074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321"/>
              <w:spacing w:before="90" w:line="186" w:lineRule="auto"/>
              <w:rPr/>
            </w:pPr>
            <w:r>
              <w:rPr>
                <w:color w:val="231F20"/>
                <w:spacing w:val="-3"/>
              </w:rPr>
              <w:t>10.607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338"/>
              <w:spacing w:before="90" w:line="186" w:lineRule="auto"/>
              <w:rPr/>
            </w:pPr>
            <w:r>
              <w:rPr>
                <w:color w:val="231F20"/>
                <w:spacing w:val="-3"/>
              </w:rPr>
              <w:t>13.402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74"/>
              <w:spacing w:before="90" w:line="186" w:lineRule="auto"/>
              <w:rPr/>
            </w:pPr>
            <w:r>
              <w:rPr>
                <w:color w:val="231F20"/>
                <w:spacing w:val="-3"/>
              </w:rPr>
              <w:t>15.267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331"/>
              <w:spacing w:before="90" w:line="186" w:lineRule="auto"/>
              <w:rPr/>
            </w:pPr>
            <w:r>
              <w:rPr>
                <w:color w:val="231F20"/>
                <w:spacing w:val="-2"/>
              </w:rPr>
              <w:t>8.099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339"/>
              <w:spacing w:before="90" w:line="186" w:lineRule="auto"/>
              <w:rPr/>
            </w:pPr>
            <w:r>
              <w:rPr>
                <w:color w:val="231F20"/>
                <w:spacing w:val="-3"/>
              </w:rPr>
              <w:t>18.947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341"/>
              <w:spacing w:before="90" w:line="186" w:lineRule="auto"/>
              <w:rPr/>
            </w:pPr>
            <w:r>
              <w:rPr>
                <w:color w:val="231F20"/>
                <w:spacing w:val="-4"/>
              </w:rPr>
              <w:t>11.752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39"/>
              <w:spacing w:before="90" w:line="186" w:lineRule="auto"/>
              <w:rPr/>
            </w:pPr>
            <w:r>
              <w:rPr>
                <w:color w:val="231F20"/>
                <w:spacing w:val="-3"/>
              </w:rPr>
              <w:t>19.064</w:t>
            </w:r>
          </w:p>
        </w:tc>
      </w:tr>
      <w:tr>
        <w:trPr>
          <w:trHeight w:val="276" w:hRule="atLeast"/>
        </w:trPr>
        <w:tc>
          <w:tcPr>
            <w:tcW w:w="10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9"/>
              <w:spacing w:before="97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65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2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0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5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9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2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0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8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9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7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0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2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0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2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  <w:tc>
          <w:tcPr>
            <w:tcW w:w="10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3"/>
              <w:spacing w:before="99" w:line="186" w:lineRule="auto"/>
              <w:rPr/>
            </w:pPr>
            <w:r>
              <w:rPr>
                <w:color w:val="231F20"/>
                <w:spacing w:val="-1"/>
              </w:rPr>
              <w:t>0.001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8" w:lineRule="exact"/>
        <w:rPr/>
      </w:pPr>
      <w:r/>
    </w:p>
    <w:p>
      <w:pPr>
        <w:spacing w:line="78" w:lineRule="exact"/>
        <w:sectPr>
          <w:headerReference w:type="default" r:id="rId9"/>
          <w:footerReference w:type="default" r:id="rId10"/>
          <w:pgSz w:w="11793" w:h="16045"/>
          <w:pgMar w:top="828" w:right="907" w:bottom="353" w:left="0" w:header="520" w:footer="0" w:gutter="0"/>
          <w:cols w:equalWidth="0" w:num="1">
            <w:col w:w="10886" w:space="0"/>
          </w:cols>
        </w:sectPr>
        <w:rPr/>
      </w:pPr>
    </w:p>
    <w:p>
      <w:pPr>
        <w:ind w:left="913"/>
        <w:spacing w:before="249" w:line="292" w:lineRule="exact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3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讨论</w:t>
      </w:r>
    </w:p>
    <w:p>
      <w:pPr>
        <w:pStyle w:val="BodyText"/>
        <w:ind w:left="908" w:right="351" w:firstLine="409"/>
        <w:spacing w:before="143" w:line="224" w:lineRule="auto"/>
        <w:jc w:val="both"/>
        <w:rPr/>
      </w:pPr>
      <w:r>
        <w:rPr>
          <w:color w:val="231F20"/>
          <w:spacing w:val="6"/>
        </w:rPr>
        <w:t>对于阑尾炎患者，临床经常会采取开腹阑尾切除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术来控制病情。开腹阑尾切除术能够完全切除受感染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的阑尾，有效治疗阑尾炎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］</w:t>
      </w:r>
      <w:r>
        <w:rPr>
          <w:color w:val="231F20"/>
          <w:spacing w:val="3"/>
        </w:rPr>
        <w:t>。但是开腹阑尾切</w:t>
      </w:r>
      <w:r>
        <w:rPr>
          <w:color w:val="231F20"/>
          <w:spacing w:val="2"/>
        </w:rPr>
        <w:t>除术需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要在腹部进行大切口，术后恢复时间较长，可能会伴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随一定的疼痛和不适，容易引起氧化应激反应，增加 </w:t>
      </w:r>
      <w:r>
        <w:rPr>
          <w:color w:val="231F20"/>
          <w:spacing w:val="3"/>
        </w:rPr>
        <w:t>不良事件发生风险，降低预后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9"/>
        </w:rPr>
        <w:t>］</w:t>
      </w:r>
      <w:r>
        <w:rPr>
          <w:color w:val="231F20"/>
          <w:spacing w:val="3"/>
        </w:rPr>
        <w:t>。腹腔镜阑尾切除术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是一种微创手术方法，医生在腹部开一个小孔，然后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插入腹腔镜器械进行操作</w:t>
      </w:r>
      <w:r>
        <w:rPr>
          <w:rFonts w:ascii="SimSun" w:hAnsi="SimSun" w:eastAsia="SimSun" w:cs="SimSun"/>
          <w:sz w:val="11"/>
          <w:szCs w:val="11"/>
          <w:color w:val="231F20"/>
          <w:spacing w:val="11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1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color w:val="231F20"/>
          <w:spacing w:val="11"/>
          <w:position w:val="9"/>
        </w:rPr>
        <w:t>］</w:t>
      </w:r>
      <w:r>
        <w:rPr>
          <w:color w:val="231F20"/>
          <w:spacing w:val="11"/>
        </w:rPr>
        <w:t>。相比于传统的开腹手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2"/>
        </w:rPr>
        <w:t>术，腹腔镜阑尾切除术具有以下特点</w:t>
      </w:r>
      <w:r>
        <w:rPr>
          <w:rFonts w:ascii="SimSun" w:hAnsi="SimSun" w:eastAsia="SimSun" w:cs="SimSun"/>
          <w:sz w:val="11"/>
          <w:szCs w:val="11"/>
          <w:color w:val="231F20"/>
          <w:spacing w:val="12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color w:val="231F20"/>
          <w:spacing w:val="5"/>
          <w:position w:val="9"/>
        </w:rPr>
        <w:t>］</w:t>
      </w:r>
      <w:r>
        <w:rPr>
          <w:color w:val="231F20"/>
          <w:spacing w:val="5"/>
        </w:rPr>
        <w:t>：</w:t>
      </w:r>
      <w:r>
        <w:rPr>
          <w:color w:val="231F20"/>
          <w:spacing w:val="12"/>
        </w:rPr>
        <w:t>首先，腹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腔镜手术只需要进行几个小孔的切口，创伤更小，术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后瘢痕也更小，更美观；其次，由于创伤小，术后疼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5"/>
        </w:rPr>
        <w:t>痛和不适感较轻，患者通常能够更快地恢复正常活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动</w:t>
      </w:r>
      <w:r>
        <w:rPr>
          <w:rFonts w:ascii="SimSun" w:hAnsi="SimSun" w:eastAsia="SimSun" w:cs="SimSun"/>
          <w:sz w:val="11"/>
          <w:szCs w:val="11"/>
          <w:color w:val="231F20"/>
          <w:spacing w:val="1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］</w:t>
      </w:r>
      <w:r>
        <w:rPr>
          <w:color w:val="231F20"/>
          <w:spacing w:val="7"/>
        </w:rPr>
        <w:t>；</w:t>
      </w:r>
      <w:r>
        <w:rPr>
          <w:color w:val="231F20"/>
          <w:spacing w:val="1"/>
        </w:rPr>
        <w:t>最后，腹腔镜手术的并发症风险较低。</w:t>
      </w:r>
    </w:p>
    <w:p>
      <w:pPr>
        <w:pStyle w:val="BodyText"/>
        <w:ind w:left="798" w:right="282" w:firstLine="519"/>
        <w:spacing w:before="12" w:line="222" w:lineRule="auto"/>
        <w:jc w:val="both"/>
        <w:rPr/>
      </w:pPr>
      <w:r>
        <w:rPr>
          <w:color w:val="231F20"/>
          <w:spacing w:val="17"/>
        </w:rPr>
        <w:t>本研究结果显示，两组相比，观察组总不良事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件发生率更低（</w:t>
      </w:r>
      <w:r>
        <w:rPr>
          <w:rFonts w:ascii="Times New Roman" w:hAnsi="Times New Roman" w:eastAsia="Times New Roman" w:cs="Times New Roman"/>
          <w:i/>
          <w:iCs/>
          <w:color w:val="231F20"/>
          <w:spacing w:val="1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  <w:w w:val="101"/>
        </w:rPr>
        <w:t xml:space="preserve"> </w:t>
      </w:r>
      <w:r>
        <w:rPr>
          <w:color w:val="231F20"/>
          <w:spacing w:val="15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5"/>
          <w:w w:val="95"/>
        </w:rPr>
        <w:t>）；</w:t>
      </w:r>
      <w:r>
        <w:rPr>
          <w:color w:val="231F20"/>
          <w:spacing w:val="15"/>
        </w:rPr>
        <w:t>观察组术后首次排气时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间更短、术后首次下床活动时间更短、手术操</w:t>
      </w:r>
      <w:r>
        <w:rPr>
          <w:color w:val="231F20"/>
          <w:spacing w:val="10"/>
        </w:rPr>
        <w:t>作时间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更短、住院时间更短（</w:t>
      </w:r>
      <w:r>
        <w:rPr>
          <w:rFonts w:ascii="Times New Roman" w:hAnsi="Times New Roman" w:eastAsia="Times New Roman" w:cs="Times New Roman"/>
          <w:i/>
          <w:iCs/>
          <w:color w:val="231F20"/>
          <w:spacing w:val="1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</w:rPr>
        <w:t xml:space="preserve"> </w:t>
      </w:r>
      <w:r>
        <w:rPr>
          <w:color w:val="231F20"/>
          <w:spacing w:val="14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4"/>
          <w:w w:val="91"/>
        </w:rPr>
        <w:t>）；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干预后观察组各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炎症指标更低（</w:t>
      </w:r>
      <w:r>
        <w:rPr>
          <w:rFonts w:ascii="Times New Roman" w:hAnsi="Times New Roman" w:eastAsia="Times New Roman" w:cs="Times New Roman"/>
          <w:i/>
          <w:iCs/>
          <w:color w:val="231F20"/>
          <w:spacing w:val="1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  <w:w w:val="101"/>
        </w:rPr>
        <w:t xml:space="preserve"> </w:t>
      </w:r>
      <w:r>
        <w:rPr>
          <w:color w:val="231F20"/>
          <w:spacing w:val="15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0.05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45"/>
          <w:w w:val="94"/>
        </w:rPr>
        <w:t>）；</w:t>
      </w:r>
      <w:r>
        <w:rPr>
          <w:color w:val="231F20"/>
          <w:spacing w:val="15"/>
        </w:rPr>
        <w:t>干预后观察组各氧化应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激指标更优（</w:t>
      </w:r>
      <w:r>
        <w:rPr>
          <w:rFonts w:ascii="Times New Roman" w:hAnsi="Times New Roman" w:eastAsia="Times New Roman" w:cs="Times New Roman"/>
          <w:i/>
          <w:iCs/>
          <w:color w:val="231F20"/>
          <w:spacing w:val="1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</w:rPr>
        <w:t xml:space="preserve"> </w:t>
      </w:r>
      <w:r>
        <w:rPr>
          <w:color w:val="231F20"/>
          <w:spacing w:val="15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5"/>
          <w:w w:val="94"/>
        </w:rPr>
        <w:t>）；</w:t>
      </w:r>
      <w:r>
        <w:rPr>
          <w:color w:val="231F20"/>
          <w:spacing w:val="15"/>
        </w:rPr>
        <w:t>观察组生活质量评分更高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1"/>
        </w:rPr>
        <w:t>）。具体分析，腹腔镜阑尾切除术能够更彻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底地清除病变组织，减少感染风险，减轻手术创伤，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从而减轻炎症反应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］</w:t>
      </w:r>
      <w:r>
        <w:rPr>
          <w:color w:val="231F20"/>
          <w:spacing w:val="7"/>
        </w:rPr>
        <w:t>。腹腔镜手术相较于传统的开腹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手术，创伤更小，操作更加简单，故可缩短手术操作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时间，让患者术后尽早排气和下床活动，且手术创伤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小意味着组织破坏少，伤口愈合较快，术后疼痛和不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适感较轻，这可减少机体的应激反应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］</w:t>
      </w:r>
      <w:r>
        <w:rPr>
          <w:color w:val="231F20"/>
          <w:spacing w:val="7"/>
        </w:rPr>
        <w:t>。同时，创伤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较小，有利于降低术后创口感染风险，且腹腔镜手术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的恢复时间较短，有利于降低不良事件发生率，促进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康复，提升生活质量，让患者尽早出院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9"/>
        </w:rPr>
        <w:t>9</w:t>
      </w:r>
      <w:r>
        <w:rPr>
          <w:rFonts w:ascii="SimSun" w:hAnsi="SimSun" w:eastAsia="SimSun" w:cs="SimSun"/>
          <w:sz w:val="11"/>
          <w:szCs w:val="11"/>
          <w:color w:val="231F20"/>
          <w:spacing w:val="7"/>
          <w:position w:val="9"/>
        </w:rPr>
        <w:t>］</w:t>
      </w:r>
      <w:r>
        <w:rPr>
          <w:color w:val="231F20"/>
          <w:spacing w:val="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5" w:firstLine="412"/>
        <w:spacing w:before="47" w:line="231" w:lineRule="auto"/>
        <w:jc w:val="both"/>
        <w:rPr/>
      </w:pPr>
      <w:r>
        <w:rPr>
          <w:color w:val="231F20"/>
          <w:spacing w:val="17"/>
        </w:rPr>
        <w:t>可见，在阑尾炎患者治疗中行腹腔镜阑尾切除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术，有助于改善患者临床指标，减轻患者氧化应激反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应及炎症反应，可对患者生活质量产生积极影响。</w:t>
      </w:r>
    </w:p>
    <w:p>
      <w:pPr>
        <w:spacing w:before="294" w:line="24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【参考文献】</w:t>
      </w:r>
    </w:p>
    <w:p>
      <w:pPr>
        <w:pStyle w:val="BodyText"/>
        <w:ind w:left="521" w:hanging="505"/>
        <w:spacing w:before="79" w:line="28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</w:t>
      </w:r>
      <w:r>
        <w:rPr>
          <w:rFonts w:ascii="SimSun" w:hAnsi="SimSun" w:eastAsia="SimSun" w:cs="SimSun"/>
          <w:sz w:val="17"/>
          <w:szCs w:val="17"/>
          <w:color w:val="231F2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</w:rPr>
        <w:t>张平峰，孙胜．腹腔镜下系膜剥离法阑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尾切除术对急性阑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尾炎患者术后炎症反应的影响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检验医学与临床，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2023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20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1012</w:t>
      </w:r>
      <w:r>
        <w:rPr>
          <w:sz w:val="17"/>
          <w:szCs w:val="17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1014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</w:t>
      </w:r>
    </w:p>
    <w:p>
      <w:pPr>
        <w:pStyle w:val="BodyText"/>
        <w:ind w:left="530" w:hanging="514"/>
        <w:spacing w:before="44" w:line="27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</w:t>
      </w:r>
      <w:r>
        <w:rPr>
          <w:rFonts w:ascii="SimSun" w:hAnsi="SimSun" w:eastAsia="SimSun" w:cs="SimSun"/>
          <w:sz w:val="17"/>
          <w:szCs w:val="17"/>
          <w:color w:val="231F2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</w:rPr>
        <w:t>王坦，吴盼盼，霍占伟，等．腹腔镜阑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尾切除术治疗穿孔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性阑尾炎的临床效果及对炎性因子的影响分析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系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统医学，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8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137</w:t>
      </w:r>
      <w:r>
        <w:rPr>
          <w:sz w:val="17"/>
          <w:szCs w:val="17"/>
          <w:color w:val="231F20"/>
          <w:spacing w:val="-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140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149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</w:p>
    <w:p>
      <w:pPr>
        <w:pStyle w:val="BodyText"/>
        <w:ind w:left="529" w:hanging="513"/>
        <w:spacing w:before="49" w:line="278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汪建勇，罗晓斌，李胜科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．腹腔镜下阑尾切除术在急性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阑尾炎治疗中的疗效及安全性研究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现代诊断与治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34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0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2134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213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6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p>
      <w:pPr>
        <w:pStyle w:val="BodyText"/>
        <w:ind w:left="521" w:hanging="505"/>
        <w:spacing w:before="49" w:line="28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苗家园，赵晓波，徐渭贤，等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．高清腹腔镜下阑尾切除术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治疗小儿复杂性阑尾炎的效果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局解手术学杂志，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32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0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413</w:t>
      </w:r>
      <w:r>
        <w:rPr>
          <w:sz w:val="17"/>
          <w:szCs w:val="17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416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</w:t>
      </w:r>
    </w:p>
    <w:p>
      <w:pPr>
        <w:pStyle w:val="BodyText"/>
        <w:ind w:left="537" w:hanging="521"/>
        <w:spacing w:before="46" w:line="28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5</w:t>
      </w:r>
      <w:r>
        <w:rPr>
          <w:rFonts w:ascii="SimSun" w:hAnsi="SimSun" w:eastAsia="SimSun" w:cs="SimSun"/>
          <w:sz w:val="17"/>
          <w:szCs w:val="17"/>
          <w:color w:val="231F2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</w:rPr>
        <w:t>唐海微．腹腔镜阑尾切除术在急性化脓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性阑尾炎与复杂性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阑尾炎中的应用分析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中国现代药物应用，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2023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17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8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48</w:t>
      </w:r>
      <w:r>
        <w:rPr>
          <w:sz w:val="17"/>
          <w:szCs w:val="17"/>
          <w:color w:val="231F20"/>
          <w:spacing w:val="-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50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</w:p>
    <w:p>
      <w:pPr>
        <w:pStyle w:val="BodyText"/>
        <w:ind w:left="526" w:hanging="510"/>
        <w:spacing w:before="36" w:line="27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6</w:t>
      </w:r>
      <w:r>
        <w:rPr>
          <w:rFonts w:ascii="SimSun" w:hAnsi="SimSun" w:eastAsia="SimSun" w:cs="SimSun"/>
          <w:sz w:val="17"/>
          <w:szCs w:val="17"/>
          <w:color w:val="231F2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</w:rPr>
        <w:t>刘杰，尹鹏，滕世岗．腹部小切口与腹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腔镜阑尾切除术在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急性阑尾炎治疗中的效果对比分析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中外女性健康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研究，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2023</w:t>
      </w:r>
      <w:r>
        <w:rPr>
          <w:rFonts w:ascii="FangSong" w:hAnsi="FangSong" w:eastAsia="FangSong" w:cs="FangSong"/>
          <w:sz w:val="17"/>
          <w:szCs w:val="17"/>
          <w:color w:val="231F20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56</w:t>
      </w:r>
      <w:r>
        <w:rPr>
          <w:sz w:val="17"/>
          <w:szCs w:val="17"/>
          <w:color w:val="231F2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58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</w:p>
    <w:p>
      <w:pPr>
        <w:pStyle w:val="BodyText"/>
        <w:ind w:left="510" w:hanging="494"/>
        <w:spacing w:before="50" w:line="28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7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李路</w:t>
      </w:r>
      <w:r>
        <w:rPr>
          <w:rFonts w:ascii="FangSong" w:hAnsi="FangSong" w:eastAsia="FangSong" w:cs="FangSong"/>
          <w:sz w:val="17"/>
          <w:szCs w:val="17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．腹腔镜下阑尾切除术与开腹手术治疗穿孔性阑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尾炎的疗效分析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．中国现代药物应用，</w:t>
      </w:r>
      <w:r>
        <w:rPr>
          <w:rFonts w:ascii="FangSong" w:hAnsi="FangSong" w:eastAsia="FangSong" w:cs="FangSong"/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2023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6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51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53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10" w:hanging="494"/>
        <w:spacing w:before="38" w:line="28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8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徐国发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．腹腔镜阑尾切除术与开腹阑尾切除术治疗急性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阑尾炎的临床效果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现代诊断与治疗，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2023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34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8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752</w:t>
      </w:r>
      <w:r>
        <w:rPr>
          <w:sz w:val="17"/>
          <w:szCs w:val="17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754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．</w:t>
      </w:r>
    </w:p>
    <w:p>
      <w:pPr>
        <w:pStyle w:val="BodyText"/>
        <w:ind w:left="529" w:right="1" w:hanging="513"/>
        <w:spacing w:before="35" w:line="27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9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张琪，李明亮，贺铁刚</w:t>
      </w:r>
      <w:r>
        <w:rPr>
          <w:rFonts w:ascii="FangSong" w:hAnsi="FangSong" w:eastAsia="FangSong" w:cs="FangSong"/>
          <w:sz w:val="17"/>
          <w:szCs w:val="17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．腹腔镜阑尾切除术对急性阑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4"/>
        </w:rPr>
        <w:t>尾炎患者术后疼痛程度、免疫应激反应及并发症的影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响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临床医学工程，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30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161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162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spacing w:line="279" w:lineRule="auto"/>
        <w:sectPr>
          <w:type w:val="continuous"/>
          <w:pgSz w:w="11793" w:h="16045"/>
          <w:pgMar w:top="828" w:right="907" w:bottom="353" w:left="0" w:header="520" w:footer="0" w:gutter="0"/>
          <w:cols w:equalWidth="0" w:num="2">
            <w:col w:w="6015" w:space="100"/>
            <w:col w:w="4771" w:space="0"/>
          </w:cols>
        </w:sectPr>
        <w:rPr>
          <w:rFonts w:ascii="FangSong" w:hAnsi="FangSong" w:eastAsia="FangSong" w:cs="FangSong"/>
          <w:sz w:val="17"/>
          <w:szCs w:val="17"/>
        </w:rPr>
      </w:pPr>
    </w:p>
    <w:p>
      <w:pPr>
        <w:pStyle w:val="BodyText"/>
        <w:spacing w:before="330" w:line="160" w:lineRule="auto"/>
        <w:jc w:val="right"/>
        <w:rPr>
          <w:rFonts w:ascii="Arial" w:hAnsi="Arial" w:eastAsia="Arial" w:cs="Arial"/>
          <w:sz w:val="18"/>
          <w:szCs w:val="18"/>
        </w:rPr>
      </w:pPr>
      <w:r>
        <w:rPr>
          <w:sz w:val="21"/>
          <w:szCs w:val="21"/>
          <w:color w:val="999999"/>
          <w:spacing w:val="4"/>
        </w:rPr>
        <w:t>中国知网</w:t>
      </w:r>
      <w:r>
        <w:rPr>
          <w:sz w:val="21"/>
          <w:szCs w:val="21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1"/>
          <w:szCs w:val="21"/>
          <w:color w:val="999999"/>
        </w:rPr>
        <w:t>https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:</w:t>
      </w:r>
      <w:r>
        <w:rPr>
          <w:sz w:val="21"/>
          <w:szCs w:val="21"/>
        </w:rPr>
        <w:drawing>
          <wp:inline distT="0" distB="0" distL="0" distR="0">
            <wp:extent cx="44534" cy="10972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44534" cy="10972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999999"/>
        </w:rPr>
        <w:t>WWW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.</w:t>
      </w:r>
      <w:r>
        <w:rPr>
          <w:rFonts w:ascii="Arial" w:hAnsi="Arial" w:eastAsia="Arial" w:cs="Arial"/>
          <w:sz w:val="21"/>
          <w:szCs w:val="21"/>
          <w:color w:val="999999"/>
        </w:rPr>
        <w:t>cnki</w:t>
      </w:r>
      <w:r>
        <w:rPr>
          <w:rFonts w:ascii="Arial" w:hAnsi="Arial" w:eastAsia="Arial" w:cs="Arial"/>
          <w:sz w:val="21"/>
          <w:szCs w:val="21"/>
          <w:color w:val="999999"/>
          <w:spacing w:val="-17"/>
        </w:rPr>
        <w:t xml:space="preserve"> 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.</w:t>
      </w:r>
      <w:r>
        <w:rPr>
          <w:rFonts w:ascii="Arial" w:hAnsi="Arial" w:eastAsia="Arial" w:cs="Arial"/>
          <w:sz w:val="21"/>
          <w:szCs w:val="21"/>
          <w:color w:val="999999"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color w:val="999999"/>
        </w:rPr>
        <w:t>net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 xml:space="preserve">                                          </w:t>
      </w:r>
      <w:r>
        <w:rPr>
          <w:rFonts w:ascii="Arial" w:hAnsi="Arial" w:eastAsia="Arial" w:cs="Arial"/>
          <w:sz w:val="21"/>
          <w:szCs w:val="21"/>
          <w:color w:val="999999"/>
          <w:spacing w:val="3"/>
        </w:rPr>
        <w:t xml:space="preserve">                       </w:t>
      </w:r>
      <w:r>
        <w:rPr>
          <w:rFonts w:ascii="Arial" w:hAnsi="Arial" w:eastAsia="Arial" w:cs="Arial"/>
          <w:sz w:val="21"/>
          <w:szCs w:val="21"/>
          <w:color w:val="BCBDC0"/>
        </w:rPr>
        <w:t>RENOWNED</w:t>
      </w:r>
      <w:r>
        <w:rPr>
          <w:rFonts w:ascii="Arial" w:hAnsi="Arial" w:eastAsia="Arial" w:cs="Arial"/>
          <w:sz w:val="21"/>
          <w:szCs w:val="21"/>
          <w:color w:val="BCBDC0"/>
          <w:spacing w:val="3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580652" cy="9714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52" cy="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BCBDC0"/>
          <w:spacing w:val="10"/>
        </w:rPr>
        <w:t xml:space="preserve">  </w:t>
      </w:r>
      <w:r>
        <w:rPr>
          <w:rFonts w:ascii="Arial" w:hAnsi="Arial" w:eastAsia="Arial" w:cs="Arial"/>
          <w:sz w:val="21"/>
          <w:szCs w:val="21"/>
          <w:color w:val="BBBCBF"/>
        </w:rPr>
        <w:t>E</w:t>
      </w:r>
      <w:r>
        <w:rPr>
          <w:rFonts w:ascii="Arial" w:hAnsi="Arial" w:eastAsia="Arial" w:cs="Arial"/>
          <w:sz w:val="21"/>
          <w:szCs w:val="21"/>
          <w:color w:val="BBBCBF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I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023</w:t>
      </w:r>
    </w:p>
    <w:sectPr>
      <w:type w:val="continuous"/>
      <w:pgSz w:w="11793" w:h="16045"/>
      <w:pgMar w:top="828" w:right="907" w:bottom="353" w:left="0" w:header="520" w:footer="0" w:gutter="0"/>
      <w:cols w:equalWidth="0" w:num="1">
        <w:col w:w="108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1" w:lineRule="auto"/>
      <w:rPr>
        <w:sz w:val="18"/>
        <w:szCs w:val="18"/>
      </w:rPr>
    </w:pPr>
    <w:r>
      <w:rPr>
        <w:rFonts w:ascii="Arial" w:hAnsi="Arial" w:eastAsia="Arial" w:cs="Arial"/>
        <w:sz w:val="18"/>
        <w:szCs w:val="18"/>
        <w:color w:val="231F20"/>
        <w:position w:val="-4"/>
      </w:rPr>
      <w:drawing>
        <wp:inline distT="0" distB="0" distL="0" distR="0">
          <wp:extent cx="276859" cy="14508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76859" cy="145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8"/>
        <w:szCs w:val="18"/>
        <w:color w:val="231F20"/>
        <w:spacing w:val="4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3"/>
      </w:rPr>
      <w:t>022</w:t>
    </w:r>
    <w:r>
      <w:rPr>
        <w:rFonts w:ascii="Arial" w:hAnsi="Arial" w:eastAsia="Arial" w:cs="Arial"/>
        <w:sz w:val="18"/>
        <w:szCs w:val="18"/>
        <w:color w:val="231F20"/>
        <w:spacing w:val="8"/>
      </w:rPr>
      <w:t xml:space="preserve">   </w:t>
    </w:r>
    <w:r>
      <w:rPr>
        <w:sz w:val="18"/>
        <w:szCs w:val="18"/>
        <w:position w:val="-5"/>
      </w:rPr>
      <w:drawing>
        <wp:inline distT="0" distB="0" distL="0" distR="0">
          <wp:extent cx="1705444" cy="134112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05444" cy="134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181" w:lineRule="auto"/>
      <w:jc w:val="right"/>
      <w:rPr/>
    </w:pPr>
    <w:r>
      <w:rPr>
        <w:color w:val="AAABAF"/>
        <w:position w:val="3"/>
      </w:rPr>
      <w:drawing>
        <wp:inline distT="0" distB="0" distL="0" distR="0">
          <wp:extent cx="197997" cy="66002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7997" cy="660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AAABAF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AAABAF"/>
        <w:spacing w:val="-3"/>
      </w:rPr>
      <w:t>全科论著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2025-03-17T23:23:13Z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2025-10-28T21:32:26</vt:filetime>
  </property>
</Properties>
</file>