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01"/>
        <w:spacing w:before="60" w:line="276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-1"/>
        </w:rPr>
        <w:t>·34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-1"/>
        </w:rPr>
        <w:t>·                                                                      </w:t>
      </w:r>
      <w:r>
        <w:rPr>
          <w:sz w:val="16"/>
          <w:szCs w:val="16"/>
          <w:u w:val="single" w:color="auto"/>
          <w:color w:val="231F20"/>
          <w:spacing w:val="-61"/>
        </w:rPr>
        <w:t xml:space="preserve"> </w:t>
      </w:r>
      <w:r>
        <w:rPr>
          <w:sz w:val="16"/>
          <w:szCs w:val="16"/>
          <w:u w:val="single" w:color="auto"/>
          <w:color w:val="231F20"/>
          <w:spacing w:val="-2"/>
        </w:rPr>
        <w:t>中国实用医药2024年12月第</w:t>
      </w:r>
      <w:r>
        <w:rPr>
          <w:sz w:val="16"/>
          <w:szCs w:val="16"/>
          <w:u w:val="single" w:color="auto"/>
          <w:color w:val="231F20"/>
          <w:spacing w:val="-3"/>
        </w:rPr>
        <w:t>19卷第24期  China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Prac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Med,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Dec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2024,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Vol.</w:t>
      </w:r>
      <w:r>
        <w:rPr>
          <w:sz w:val="16"/>
          <w:szCs w:val="16"/>
          <w:u w:val="single" w:color="auto"/>
          <w:color w:val="231F20"/>
          <w:spacing w:val="-23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19,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No.</w:t>
      </w:r>
      <w:r>
        <w:rPr>
          <w:sz w:val="16"/>
          <w:szCs w:val="16"/>
          <w:u w:val="single" w:color="auto"/>
          <w:color w:val="231F20"/>
          <w:spacing w:val="-36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24</w:t>
      </w: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"/>
          <w:pgSz w:w="12246" w:h="17178"/>
          <w:pgMar w:top="400" w:right="1221" w:bottom="0" w:left="424" w:header="0" w:footer="0" w:gutter="0"/>
          <w:cols w:equalWidth="0" w:num="1">
            <w:col w:w="10601" w:space="0"/>
          </w:cols>
        </w:sectPr>
        <w:rPr/>
      </w:pPr>
    </w:p>
    <w:p>
      <w:pPr>
        <w:pStyle w:val="BodyText"/>
        <w:ind w:left="1193" w:right="157" w:hanging="510"/>
        <w:spacing w:before="37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［10］刘剑波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9"/>
        </w:rPr>
        <w:t>腹腔镜阑尾切除术治疗急性阑尾炎的临床效果及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其安全性分析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2"/>
        </w:rPr>
        <w:t>. 中文科技期刊数据库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2"/>
        </w:rPr>
        <w:t>(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2"/>
        </w:rPr>
        <w:t>全文版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2"/>
        </w:rPr>
        <w:t>)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2"/>
        </w:rPr>
        <w:t>医药</w:t>
      </w:r>
      <w:r>
        <w:rPr>
          <w:sz w:val="16"/>
          <w:szCs w:val="16"/>
          <w:color w:val="231F20"/>
          <w:spacing w:val="1"/>
        </w:rPr>
        <w:t>卫生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2022(4):36-39.</w:t>
      </w:r>
    </w:p>
    <w:p>
      <w:pPr>
        <w:pStyle w:val="BodyText"/>
        <w:ind w:left="1193" w:right="157" w:hanging="510"/>
        <w:spacing w:before="44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［11］孙崇荥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3"/>
        </w:rPr>
        <w:t>何颖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3"/>
        </w:rPr>
        <w:t>代玉泉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3"/>
        </w:rPr>
        <w:t>研究对比腹腔镜与开腹手术治疗复杂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性阑尾炎的临床效果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5"/>
        </w:rPr>
        <w:t>. 中文科技期刊数据库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5"/>
        </w:rPr>
        <w:t>(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5"/>
        </w:rPr>
        <w:t>全文版</w:t>
      </w:r>
      <w:r>
        <w:rPr>
          <w:sz w:val="16"/>
          <w:szCs w:val="16"/>
          <w:color w:val="231F20"/>
          <w:spacing w:val="-38"/>
        </w:rPr>
        <w:t xml:space="preserve"> </w:t>
      </w:r>
      <w:r>
        <w:rPr>
          <w:sz w:val="16"/>
          <w:szCs w:val="16"/>
          <w:color w:val="231F20"/>
          <w:spacing w:val="-5"/>
        </w:rPr>
        <w:t>)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5"/>
        </w:rPr>
        <w:t>医药卫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生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0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10"/>
        </w:rPr>
        <w:t>2022(10):75-77.</w:t>
      </w:r>
    </w:p>
    <w:p>
      <w:pPr>
        <w:pStyle w:val="BodyText"/>
        <w:ind w:left="1201" w:right="157" w:hanging="518"/>
        <w:spacing w:before="48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［12］赵良功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3"/>
        </w:rPr>
        <w:t>石长幸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3"/>
        </w:rPr>
        <w:t>蔡欣欣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3"/>
        </w:rPr>
        <w:t>经腹腔镜阑尾切除术和开腹阑尾切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除术治疗阑尾炎疗效研究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8"/>
        </w:rPr>
        <w:t>临床研究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8"/>
        </w:rPr>
        <w:t>30(1)</w:t>
      </w:r>
      <w:r>
        <w:rPr>
          <w:sz w:val="16"/>
          <w:szCs w:val="16"/>
          <w:color w:val="231F20"/>
          <w:spacing w:val="-9"/>
        </w:rPr>
        <w:t>:52-55.</w:t>
      </w:r>
    </w:p>
    <w:p>
      <w:pPr>
        <w:pStyle w:val="BodyText"/>
        <w:ind w:left="683"/>
        <w:spacing w:before="49" w:line="21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1"/>
        </w:rPr>
        <w:t>［13］</w:t>
      </w:r>
      <w:r>
        <w:rPr>
          <w:sz w:val="16"/>
          <w:szCs w:val="16"/>
          <w:color w:val="231F20"/>
          <w:spacing w:val="-48"/>
          <w:position w:val="1"/>
        </w:rPr>
        <w:t xml:space="preserve"> </w:t>
      </w:r>
      <w:r>
        <w:rPr>
          <w:sz w:val="16"/>
          <w:szCs w:val="16"/>
          <w:color w:val="231F20"/>
          <w:spacing w:val="-3"/>
          <w:position w:val="1"/>
        </w:rPr>
        <w:t>王鹏</w:t>
      </w:r>
      <w:r>
        <w:rPr>
          <w:sz w:val="16"/>
          <w:szCs w:val="16"/>
          <w:color w:val="231F20"/>
          <w:spacing w:val="-31"/>
          <w:position w:val="1"/>
        </w:rPr>
        <w:t xml:space="preserve"> </w:t>
      </w:r>
      <w:r>
        <w:rPr>
          <w:sz w:val="16"/>
          <w:szCs w:val="16"/>
          <w:color w:val="231F20"/>
          <w:spacing w:val="-3"/>
          <w:position w:val="1"/>
        </w:rPr>
        <w:t>,</w:t>
      </w:r>
      <w:r>
        <w:rPr>
          <w:sz w:val="16"/>
          <w:szCs w:val="16"/>
          <w:color w:val="231F20"/>
          <w:spacing w:val="-20"/>
          <w:position w:val="1"/>
        </w:rPr>
        <w:t xml:space="preserve"> </w:t>
      </w:r>
      <w:r>
        <w:rPr>
          <w:sz w:val="16"/>
          <w:szCs w:val="16"/>
          <w:color w:val="231F20"/>
          <w:spacing w:val="-3"/>
          <w:position w:val="1"/>
        </w:rPr>
        <w:t>张自飞</w:t>
      </w:r>
      <w:r>
        <w:rPr>
          <w:sz w:val="16"/>
          <w:szCs w:val="16"/>
          <w:color w:val="231F20"/>
          <w:spacing w:val="-30"/>
          <w:position w:val="1"/>
        </w:rPr>
        <w:t xml:space="preserve"> </w:t>
      </w:r>
      <w:r>
        <w:rPr>
          <w:sz w:val="16"/>
          <w:szCs w:val="16"/>
          <w:color w:val="231F20"/>
          <w:spacing w:val="-3"/>
          <w:position w:val="1"/>
        </w:rPr>
        <w:t>.</w:t>
      </w:r>
      <w:r>
        <w:rPr>
          <w:sz w:val="16"/>
          <w:szCs w:val="16"/>
          <w:color w:val="231F20"/>
          <w:spacing w:val="-25"/>
          <w:position w:val="1"/>
        </w:rPr>
        <w:t xml:space="preserve"> </w:t>
      </w:r>
      <w:r>
        <w:rPr>
          <w:sz w:val="16"/>
          <w:szCs w:val="16"/>
          <w:color w:val="231F20"/>
          <w:spacing w:val="-3"/>
          <w:position w:val="1"/>
        </w:rPr>
        <w:t>腹腔镜切除术与开腹切除术</w:t>
      </w:r>
      <w:r>
        <w:rPr>
          <w:sz w:val="16"/>
          <w:szCs w:val="16"/>
          <w:color w:val="231F20"/>
          <w:spacing w:val="-4"/>
          <w:position w:val="1"/>
        </w:rPr>
        <w:t>治疗急性阑尾炎治</w:t>
      </w:r>
    </w:p>
    <w:p>
      <w:pPr>
        <w:spacing w:line="10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9"/>
        <w:spacing w:before="35" w:line="21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8"/>
          <w:position w:val="1"/>
        </w:rPr>
        <w:t>疗效果比较</w:t>
      </w:r>
      <w:r>
        <w:rPr>
          <w:sz w:val="16"/>
          <w:szCs w:val="16"/>
          <w:color w:val="231F20"/>
          <w:spacing w:val="-24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.</w:t>
      </w:r>
      <w:r>
        <w:rPr>
          <w:sz w:val="16"/>
          <w:szCs w:val="16"/>
          <w:color w:val="231F20"/>
          <w:spacing w:val="-25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山西医药杂志</w:t>
      </w:r>
      <w:r>
        <w:rPr>
          <w:sz w:val="16"/>
          <w:szCs w:val="16"/>
          <w:color w:val="231F20"/>
          <w:spacing w:val="-32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,</w:t>
      </w:r>
      <w:r>
        <w:rPr>
          <w:sz w:val="16"/>
          <w:szCs w:val="16"/>
          <w:color w:val="231F20"/>
          <w:spacing w:val="-36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2022,</w:t>
      </w:r>
      <w:r>
        <w:rPr>
          <w:sz w:val="16"/>
          <w:szCs w:val="16"/>
          <w:color w:val="231F20"/>
          <w:spacing w:val="-37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51(14):1604-1606.</w:t>
      </w:r>
    </w:p>
    <w:p>
      <w:pPr>
        <w:pStyle w:val="BodyText"/>
        <w:ind w:left="510" w:right="83" w:hanging="511"/>
        <w:spacing w:before="49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［14］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张宏成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2"/>
        </w:rPr>
        <w:t>小切口阑尾切除术对急性阑尾炎患者并发症率及安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全性的影响评价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4"/>
        </w:rPr>
        <w:t>. 中文科技期刊数据库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4"/>
        </w:rPr>
        <w:t>(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4"/>
        </w:rPr>
        <w:t>全文版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4"/>
        </w:rPr>
        <w:t>)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医药卫生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2022(7):15-17.</w:t>
      </w:r>
    </w:p>
    <w:p>
      <w:pPr>
        <w:pStyle w:val="BodyText"/>
        <w:ind w:left="512" w:right="81" w:hanging="512"/>
        <w:spacing w:before="43" w:line="2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［15］崔磊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4"/>
        </w:rPr>
        <w:t>腹腔镜系膜剥离法阑尾切除术对急性</w:t>
      </w:r>
      <w:r>
        <w:rPr>
          <w:sz w:val="16"/>
          <w:szCs w:val="16"/>
          <w:color w:val="231F20"/>
          <w:spacing w:val="3"/>
        </w:rPr>
        <w:t>阑尾炎患者临床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指标及活动性出血发生的影响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8"/>
        </w:rPr>
        <w:t>. 中国药物与临床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8"/>
        </w:rPr>
        <w:t>2021,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8"/>
        </w:rPr>
        <w:t>21(2):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287-288.</w:t>
      </w:r>
    </w:p>
    <w:p>
      <w:pPr>
        <w:pStyle w:val="BodyText"/>
        <w:spacing w:before="29" w:line="214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1"/>
        </w:rPr>
        <w:t>［收稿日期</w:t>
      </w:r>
      <w:r>
        <w:rPr>
          <w:sz w:val="16"/>
          <w:szCs w:val="16"/>
          <w:color w:val="231F20"/>
          <w:spacing w:val="-15"/>
          <w:position w:val="1"/>
        </w:rPr>
        <w:t xml:space="preserve"> </w:t>
      </w:r>
      <w:r>
        <w:rPr>
          <w:sz w:val="16"/>
          <w:szCs w:val="16"/>
          <w:color w:val="231F20"/>
          <w:spacing w:val="-3"/>
          <w:position w:val="1"/>
        </w:rPr>
        <w:t>：2023-10-16］</w:t>
      </w:r>
    </w:p>
    <w:p>
      <w:pPr>
        <w:spacing w:line="214" w:lineRule="exact"/>
        <w:sectPr>
          <w:type w:val="continuous"/>
          <w:pgSz w:w="12246" w:h="17178"/>
          <w:pgMar w:top="400" w:right="1221" w:bottom="0" w:left="424" w:header="0" w:footer="0" w:gutter="0"/>
          <w:cols w:equalWidth="0" w:num="2">
            <w:col w:w="5630" w:space="100"/>
            <w:col w:w="4871" w:space="0"/>
          </w:cols>
        </w:sectPr>
        <w:rPr>
          <w:sz w:val="16"/>
          <w:szCs w:val="16"/>
        </w:rPr>
      </w:pPr>
    </w:p>
    <w:p>
      <w:pPr>
        <w:ind w:left="792" w:right="2904" w:hanging="15"/>
        <w:spacing w:before="297" w:line="229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color w:val="231F20"/>
          <w:spacing w:val="5"/>
        </w:rPr>
        <w:t>观察腹腔镜下阑尾切除术治疗复杂性阑尾炎的</w:t>
      </w:r>
      <w:r>
        <w:rPr>
          <w:rFonts w:ascii="SimHei" w:hAnsi="SimHei" w:eastAsia="SimHei" w:cs="SimHei"/>
          <w:sz w:val="34"/>
          <w:szCs w:val="34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  <w:spacing w:val="-2"/>
        </w:rPr>
        <w:t>临床疗效</w:t>
      </w:r>
    </w:p>
    <w:p>
      <w:pPr>
        <w:pStyle w:val="BodyText"/>
        <w:ind w:left="782"/>
        <w:spacing w:before="252" w:line="23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刘永余</w:t>
      </w:r>
    </w:p>
    <w:p>
      <w:pPr>
        <w:pStyle w:val="BodyText"/>
        <w:ind w:left="768" w:right="1710" w:firstLine="267"/>
        <w:spacing w:before="308" w:line="266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【摘要】  目的   </w:t>
      </w:r>
      <w:r>
        <w:rPr>
          <w:color w:val="231F20"/>
          <w:spacing w:val="-1"/>
        </w:rPr>
        <w:t>分析临床治疗复杂性阑尾炎时采取腹腔镜下阑尾切除术治疗的效果。</w:t>
      </w:r>
      <w:r>
        <w:rPr>
          <w:rFonts w:ascii="Microsoft YaHei" w:hAnsi="Microsoft YaHei" w:eastAsia="Microsoft YaHei" w:cs="Microsoft YaHei"/>
          <w:color w:val="231F20"/>
          <w:spacing w:val="-1"/>
        </w:rPr>
        <w:t>方法    </w:t>
      </w:r>
      <w:r>
        <w:rPr>
          <w:color w:val="231F20"/>
          <w:spacing w:val="-1"/>
        </w:rPr>
        <w:t>300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复杂性阑尾炎患者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根据治疗时的手术方案不同分为对照组和观察组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150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例。对照组患者接</w:t>
      </w:r>
      <w:r>
        <w:rPr>
          <w:color w:val="231F20"/>
          <w:spacing w:val="-4"/>
        </w:rPr>
        <w:t>受常规</w:t>
      </w:r>
      <w:r>
        <w:rPr>
          <w:color w:val="231F20"/>
        </w:rPr>
        <w:t xml:space="preserve">  </w:t>
      </w:r>
      <w:r>
        <w:rPr>
          <w:color w:val="231F20"/>
        </w:rPr>
        <w:t>开腹阑尾切除术治疗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观察组患者接受腹腔镜下阑尾切除术治疗。对比两</w:t>
      </w:r>
      <w:r>
        <w:rPr>
          <w:color w:val="231F20"/>
          <w:spacing w:val="-1"/>
        </w:rPr>
        <w:t>组患者手术指标、临床疗效、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并发症发生情况及治疗前后的炎性因子水平及疼痛程度评分。</w:t>
      </w:r>
      <w:r>
        <w:rPr>
          <w:rFonts w:ascii="Microsoft YaHei" w:hAnsi="Microsoft YaHei" w:eastAsia="Microsoft YaHei" w:cs="Microsoft YaHei"/>
          <w:color w:val="231F20"/>
          <w:spacing w:val="2"/>
        </w:rPr>
        <w:t>结果   </w:t>
      </w:r>
      <w:r>
        <w:rPr>
          <w:color w:val="231F20"/>
          <w:spacing w:val="2"/>
        </w:rPr>
        <w:t>观察组患者的手术时间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  <w:spacing w:val="1"/>
        </w:rPr>
        <w:t>94.25±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5.73)min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长于对照组的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(80.58±4.94)min, 术后进食时间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(1.82±0.08)d、抗生素使用时间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(5.04±0.33</w:t>
      </w:r>
      <w:r>
        <w:rPr>
          <w:color w:val="231F20"/>
          <w:spacing w:val="-9"/>
        </w:rPr>
        <w:t>)d、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术后住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8"/>
        </w:rPr>
        <w:t>院天数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(6.33±0.52)d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均短于对照组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(2</w:t>
      </w:r>
      <w:r>
        <w:rPr>
          <w:color w:val="231F20"/>
          <w:spacing w:val="-9"/>
        </w:rPr>
        <w:t>.73±0.15)、(6.29±0.51)、(8.35±0.74)d, 术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9"/>
        </w:rPr>
        <w:t>中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9"/>
        </w:rPr>
        <w:t>出血量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(36.94±3.17)ml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少于对照组的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(45.83±4.28)ml(</w:t>
      </w:r>
      <w:r>
        <w:rPr>
          <w:rFonts w:ascii="Times New Roman" w:hAnsi="Times New Roman" w:eastAsia="Times New Roman" w:cs="Times New Roman"/>
          <w:color w:val="231F20"/>
          <w:spacing w:val="-4"/>
        </w:rPr>
        <w:t>P&lt;</w:t>
      </w:r>
      <w:r>
        <w:rPr>
          <w:color w:val="231F20"/>
          <w:spacing w:val="-4"/>
        </w:rPr>
        <w:t>0.05)。观察组患者的临床治疗总有效率为 10</w:t>
      </w:r>
      <w:r>
        <w:rPr>
          <w:color w:val="231F20"/>
          <w:spacing w:val="-5"/>
        </w:rPr>
        <w:t>0.00%,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明显高于对照组的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90.00%(</w:t>
      </w:r>
      <w:r>
        <w:rPr>
          <w:rFonts w:ascii="Times New Roman" w:hAnsi="Times New Roman" w:eastAsia="Times New Roman" w:cs="Times New Roman"/>
          <w:color w:val="231F20"/>
          <w:spacing w:val="1"/>
        </w:rPr>
        <w:t>P&lt;</w:t>
      </w:r>
      <w:r>
        <w:rPr>
          <w:color w:val="231F20"/>
          <w:spacing w:val="1"/>
        </w:rPr>
        <w:t>0.05)。观察组患者手术后并发症</w:t>
      </w:r>
      <w:r>
        <w:rPr>
          <w:color w:val="231F20"/>
        </w:rPr>
        <w:t>发生率为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2.00%,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低于对照组的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14.00%  </w:t>
      </w:r>
      <w:r>
        <w:rPr>
          <w:color w:val="231F20"/>
          <w:spacing w:val="-6"/>
        </w:rPr>
        <w:t>(</w:t>
      </w:r>
      <w:r>
        <w:rPr>
          <w:rFonts w:ascii="Times New Roman" w:hAnsi="Times New Roman" w:eastAsia="Times New Roman" w:cs="Times New Roman"/>
          <w:color w:val="231F20"/>
          <w:spacing w:val="-6"/>
        </w:rPr>
        <w:t>P&lt;</w:t>
      </w:r>
      <w:r>
        <w:rPr>
          <w:color w:val="231F20"/>
          <w:spacing w:val="-6"/>
        </w:rPr>
        <w:t>0.05)。治疗后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, 观察组患者的白细胞介素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6"/>
        </w:rPr>
        <w:t>-6(IL-6)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水平为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(104.73±8.84)pg/m</w:t>
      </w:r>
      <w:r>
        <w:rPr>
          <w:color w:val="231F20"/>
          <w:spacing w:val="-7"/>
        </w:rPr>
        <w:t>l、肿瘤坏死因子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-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7"/>
        </w:rPr>
        <w:t>α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(TNF-α)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水平为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(53.54±5.11)pg/ml、视觉模拟评分法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(VAS)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8"/>
        </w:rPr>
        <w:t>评分为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(1.27±0.09)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, 明显低于对照组的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(122.52±9.96)pg/ml、(66.84±6.37)pg/ml、(3.08±0.14)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(</w:t>
      </w:r>
      <w:r>
        <w:rPr>
          <w:rFonts w:ascii="Times New Roman" w:hAnsi="Times New Roman" w:eastAsia="Times New Roman" w:cs="Times New Roman"/>
          <w:color w:val="231F20"/>
          <w:spacing w:val="-9"/>
        </w:rPr>
        <w:t>P&lt;</w:t>
      </w:r>
      <w:r>
        <w:rPr>
          <w:color w:val="231F20"/>
          <w:spacing w:val="-9"/>
        </w:rPr>
        <w:t>0.05)。</w:t>
      </w:r>
      <w:r>
        <w:rPr>
          <w:rFonts w:ascii="Microsoft YaHei" w:hAnsi="Microsoft YaHei" w:eastAsia="Microsoft YaHei" w:cs="Microsoft YaHei"/>
          <w:color w:val="231F20"/>
          <w:spacing w:val="-9"/>
        </w:rPr>
        <w:t>结论    </w:t>
      </w:r>
      <w:r>
        <w:rPr>
          <w:color w:val="231F20"/>
          <w:spacing w:val="-9"/>
        </w:rPr>
        <w:t>复杂性阑尾炎患者接受腹腔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镜下阑尾切除术治疗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可以减少术中出血量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术后的炎性因子水平明显下降、</w:t>
      </w:r>
      <w:r>
        <w:rPr>
          <w:color w:val="231F20"/>
          <w:spacing w:val="-4"/>
        </w:rPr>
        <w:t>疼痛症状明显减轻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术后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可以快速康复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具有较好的治疗效果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且并发症较少。</w:t>
      </w:r>
    </w:p>
    <w:p>
      <w:pPr>
        <w:pStyle w:val="BodyText"/>
        <w:ind w:left="1036"/>
        <w:spacing w:before="22" w:line="211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【关键词】  </w:t>
      </w:r>
      <w:r>
        <w:rPr>
          <w:color w:val="231F20"/>
          <w:spacing w:val="-5"/>
        </w:rPr>
        <w:t>复杂性阑尾炎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；腹腔镜下阑尾切除术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；常规开腹阑尾切除术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5"/>
        </w:rPr>
        <w:t>；并发症</w:t>
      </w:r>
    </w:p>
    <w:p>
      <w:pPr>
        <w:pStyle w:val="BodyText"/>
        <w:ind w:left="1142"/>
        <w:spacing w:before="15" w:line="242" w:lineRule="auto"/>
        <w:rPr/>
      </w:pPr>
      <w:r>
        <w:rPr>
          <w:color w:val="231F20"/>
          <w:spacing w:val="-13"/>
        </w:rPr>
        <w:t>DOI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：10.14163/j.cnki.11-5547/r.2024.24.009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771" w:right="1786" w:firstLine="1"/>
        <w:spacing w:before="52" w:line="30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Observation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laparoscopic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appendectomy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complex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appendicitis   LIU Yong-yu. Junan 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Traditional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Chinese Medicine, Linyi 276600,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China</w:t>
      </w:r>
    </w:p>
    <w:p>
      <w:pPr>
        <w:pStyle w:val="BodyText"/>
        <w:ind w:left="767" w:right="1771" w:firstLine="268"/>
        <w:spacing w:before="5" w:line="280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【</w:t>
      </w:r>
      <w:r>
        <w:rPr>
          <w:rFonts w:ascii="Times New Roman" w:hAnsi="Times New Roman" w:eastAsia="Times New Roman" w:cs="Times New Roman"/>
          <w:color w:val="231F20"/>
          <w:spacing w:val="-5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5"/>
        </w:rPr>
        <w:t>】  </w:t>
      </w:r>
      <w:r>
        <w:rPr>
          <w:rFonts w:ascii="Times New Roman" w:hAnsi="Times New Roman" w:eastAsia="Times New Roman" w:cs="Times New Roman"/>
          <w:color w:val="231F20"/>
          <w:spacing w:val="-5"/>
        </w:rPr>
        <w:t>Objective     </w:t>
      </w:r>
      <w:r>
        <w:rPr>
          <w:color w:val="231F20"/>
          <w:spacing w:val="-5"/>
        </w:rPr>
        <w:t>To analyze the effect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laparoscopic appendectomy in the tre</w:t>
      </w:r>
      <w:r>
        <w:rPr>
          <w:color w:val="231F20"/>
          <w:spacing w:val="-6"/>
        </w:rPr>
        <w:t>atment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complicated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appendicitis.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4"/>
        </w:rPr>
        <w:t>Methods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</w:t>
      </w:r>
      <w:r>
        <w:rPr>
          <w:color w:val="231F20"/>
          <w:spacing w:val="-14"/>
        </w:rPr>
        <w:t>300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complex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4"/>
        </w:rPr>
        <w:t>appendicitis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4"/>
        </w:rPr>
        <w:t>we</w:t>
      </w:r>
      <w:r>
        <w:rPr>
          <w:color w:val="231F20"/>
          <w:spacing w:val="-15"/>
        </w:rPr>
        <w:t>re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5"/>
        </w:rPr>
        <w:t>divided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into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a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an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observation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accordin</w:t>
      </w:r>
      <w:r>
        <w:rPr>
          <w:color w:val="231F20"/>
          <w:spacing w:val="-17"/>
        </w:rPr>
        <w:t>g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7"/>
        </w:rPr>
        <w:t>to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different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7"/>
        </w:rPr>
        <w:t>surgical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7"/>
        </w:rPr>
        <w:t>procedures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during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7"/>
        </w:rPr>
        <w:t>treatment,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each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with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150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cases.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control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received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conventional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open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appendectomy,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observation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grou</w:t>
      </w:r>
      <w:r>
        <w:rPr>
          <w:color w:val="231F20"/>
          <w:spacing w:val="-14"/>
        </w:rPr>
        <w:t>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received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laparoscopic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appendectomy.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surgical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indexes,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clinical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efficacy,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complicatio</w:t>
      </w:r>
      <w:r>
        <w:rPr>
          <w:color w:val="231F20"/>
          <w:spacing w:val="-16"/>
        </w:rPr>
        <w:t>ns,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inflammatory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factors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pain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degree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score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before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after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treatment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compared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between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two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groups.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Results  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 </w:t>
      </w:r>
      <w:r>
        <w:rPr>
          <w:color w:val="231F20"/>
          <w:spacing w:val="-13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operation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time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(94.25±5.73)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min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observation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longer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than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(80.58±4.94)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min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control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group;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observation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had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postoperative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eating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time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(1.82±0.08)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d,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antibiotic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use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time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(5.04±0.33)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postoperative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h</w:t>
      </w:r>
      <w:r>
        <w:rPr>
          <w:color w:val="231F20"/>
          <w:spacing w:val="-17"/>
        </w:rPr>
        <w:t>ospitalization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days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(6.33±0.52)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d,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which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shorter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than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(2.73±0.15),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(</w:t>
      </w:r>
      <w:r>
        <w:rPr>
          <w:color w:val="231F20"/>
          <w:spacing w:val="-15"/>
        </w:rPr>
        <w:t>6.29±0.51)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</w:rPr>
        <w:t>(8.35±0.74)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group;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7"/>
        </w:rPr>
        <w:t>intraoperative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blood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loss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7"/>
        </w:rPr>
        <w:t>(36.94±3.17)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ml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observation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less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than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(45.83±4.28)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ml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control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(</w:t>
      </w:r>
      <w:r>
        <w:rPr>
          <w:rFonts w:ascii="Times New Roman" w:hAnsi="Times New Roman" w:eastAsia="Times New Roman" w:cs="Times New Roman"/>
          <w:color w:val="231F20"/>
          <w:spacing w:val="-17"/>
        </w:rPr>
        <w:t>P&lt;</w:t>
      </w:r>
      <w:r>
        <w:rPr>
          <w:color w:val="231F20"/>
          <w:spacing w:val="-17"/>
        </w:rPr>
        <w:t>0.05).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7"/>
        </w:rPr>
        <w:t>total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effective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7"/>
        </w:rPr>
        <w:t>rate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7"/>
        </w:rPr>
        <w:t>treatment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7"/>
        </w:rPr>
        <w:t>t</w:t>
      </w:r>
      <w:r>
        <w:rPr>
          <w:color w:val="231F20"/>
          <w:spacing w:val="-18"/>
        </w:rPr>
        <w:t>he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8"/>
        </w:rPr>
        <w:t>observation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8"/>
        </w:rPr>
        <w:t>group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8"/>
        </w:rPr>
        <w:t>was 100.00%,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8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significantly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higher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than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90.00%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control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color w:val="231F20"/>
          <w:spacing w:val="-16"/>
        </w:rPr>
        <w:t>P&lt;</w:t>
      </w:r>
      <w:r>
        <w:rPr>
          <w:color w:val="231F20"/>
          <w:spacing w:val="-16"/>
        </w:rPr>
        <w:t>0.05).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incidence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6"/>
        </w:rPr>
        <w:t>posto</w:t>
      </w:r>
      <w:r>
        <w:rPr>
          <w:color w:val="231F20"/>
          <w:spacing w:val="-17"/>
        </w:rPr>
        <w:t>perative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complications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observation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2.00%,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which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lower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th</w:t>
      </w:r>
      <w:r>
        <w:rPr>
          <w:color w:val="231F20"/>
          <w:spacing w:val="-15"/>
        </w:rPr>
        <w:t>an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14.00%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(</w:t>
      </w:r>
      <w:r>
        <w:rPr>
          <w:rFonts w:ascii="Times New Roman" w:hAnsi="Times New Roman" w:eastAsia="Times New Roman" w:cs="Times New Roman"/>
          <w:color w:val="231F20"/>
          <w:spacing w:val="-15"/>
        </w:rPr>
        <w:t>P&lt;</w:t>
      </w:r>
      <w:r>
        <w:rPr>
          <w:color w:val="231F20"/>
          <w:spacing w:val="-15"/>
        </w:rPr>
        <w:t>0.05).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5"/>
        </w:rPr>
        <w:t>After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5"/>
        </w:rPr>
        <w:t>treatment,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>
        <w:pict>
          <v:shape id="_x0000_s4" style="position:absolute;margin-left:38.5401pt;margin-top:5.4959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4"/>
          </v:shape>
        </w:pict>
      </w:r>
      <w:r/>
    </w:p>
    <w:p>
      <w:pPr>
        <w:pStyle w:val="BodyText"/>
        <w:ind w:left="1052"/>
        <w:spacing w:before="53" w:line="1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作者单位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3"/>
        </w:rPr>
        <w:t>：276600  莒南县中医医院</w:t>
      </w:r>
    </w:p>
    <w:p>
      <w:pPr>
        <w:spacing w:line="177" w:lineRule="auto"/>
        <w:sectPr>
          <w:type w:val="continuous"/>
          <w:pgSz w:w="12246" w:h="17178"/>
          <w:pgMar w:top="400" w:right="1221" w:bottom="0" w:left="424" w:header="0" w:footer="0" w:gutter="0"/>
          <w:cols w:equalWidth="0" w:num="1">
            <w:col w:w="10601" w:space="0"/>
          </w:cols>
        </w:sectPr>
        <w:rPr>
          <w:sz w:val="16"/>
          <w:szCs w:val="16"/>
        </w:rPr>
      </w:pPr>
    </w:p>
    <w:p>
      <w:pPr>
        <w:pStyle w:val="BodyText"/>
        <w:ind w:left="882" w:right="1776"/>
        <w:spacing w:before="213" w:line="286" w:lineRule="auto"/>
        <w:jc w:val="both"/>
        <w:rPr/>
      </w:pPr>
      <w:r>
        <w:rPr>
          <w:color w:val="231F20"/>
          <w:spacing w:val="-13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observation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had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interleukin-6 (IL-6)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(104.73±8.84)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pg/ml,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tumo</w:t>
      </w:r>
      <w:r>
        <w:rPr>
          <w:color w:val="231F20"/>
          <w:spacing w:val="-14"/>
        </w:rPr>
        <w:t>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necrosis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factor-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4"/>
        </w:rPr>
        <w:t>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(TNF-α)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(53.54±5.11)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pg/ml,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visual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analogue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scale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(VAS)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score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(1.27±0.09)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points,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which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were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significantly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lower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than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(122.52±9.96)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pg/ml,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(66.84±6.37)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pg/ml,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(3.08±0.14)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points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th</w:t>
      </w:r>
      <w:r>
        <w:rPr>
          <w:color w:val="231F20"/>
          <w:spacing w:val="-16"/>
        </w:rPr>
        <w:t>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control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color w:val="231F20"/>
          <w:spacing w:val="-16"/>
        </w:rPr>
        <w:t>P&lt;</w:t>
      </w:r>
      <w:r>
        <w:rPr>
          <w:color w:val="231F20"/>
          <w:spacing w:val="-16"/>
        </w:rPr>
        <w:t>0.05).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Conclusion   </w:t>
      </w:r>
      <w:r>
        <w:rPr>
          <w:color w:val="231F20"/>
          <w:spacing w:val="-12"/>
        </w:rPr>
        <w:t>Laparoscopic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appendectom</w:t>
      </w:r>
      <w:r>
        <w:rPr>
          <w:color w:val="231F20"/>
          <w:spacing w:val="-13"/>
        </w:rPr>
        <w:t>y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complex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appendicitis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can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reduce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intraoperative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blood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loss,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significantly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reduce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postoperative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7"/>
        </w:rPr>
        <w:t>inflammatory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factor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levels,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7"/>
        </w:rPr>
        <w:t>significantly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alleviate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pain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sym</w:t>
      </w:r>
      <w:r>
        <w:rPr>
          <w:color w:val="231F20"/>
          <w:spacing w:val="-18"/>
        </w:rPr>
        <w:t>ptoms,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enable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rapid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postoperative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recovery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7"/>
        </w:rPr>
        <w:t>with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better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7"/>
        </w:rPr>
        <w:t>therapeutic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7"/>
        </w:rPr>
        <w:t>effects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7"/>
        </w:rPr>
        <w:t>fe</w:t>
      </w:r>
      <w:r>
        <w:rPr>
          <w:color w:val="231F20"/>
          <w:spacing w:val="-18"/>
        </w:rPr>
        <w:t>wer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complications.</w:t>
      </w:r>
    </w:p>
    <w:p>
      <w:pPr>
        <w:pStyle w:val="BodyText"/>
        <w:ind w:left="887" w:right="1778" w:firstLine="262"/>
        <w:spacing w:before="1" w:line="254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【</w:t>
      </w:r>
      <w:r>
        <w:rPr>
          <w:rFonts w:ascii="Times New Roman" w:hAnsi="Times New Roman" w:eastAsia="Times New Roman" w:cs="Times New Roman"/>
          <w:color w:val="231F20"/>
          <w:spacing w:val="-7"/>
        </w:rPr>
        <w:t>Key</w:t>
      </w:r>
      <w:r>
        <w:rPr>
          <w:rFonts w:ascii="Times New Roman" w:hAnsi="Times New Roman" w:eastAsia="Times New Roman" w:cs="Times New Roman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words </w:t>
      </w:r>
      <w:r>
        <w:rPr>
          <w:rFonts w:ascii="Microsoft YaHei" w:hAnsi="Microsoft YaHei" w:eastAsia="Microsoft YaHei" w:cs="Microsoft YaHei"/>
          <w:color w:val="231F20"/>
          <w:spacing w:val="-7"/>
        </w:rPr>
        <w:t>】</w:t>
      </w:r>
      <w:r>
        <w:rPr>
          <w:rFonts w:ascii="Microsoft YaHei" w:hAnsi="Microsoft YaHei" w:eastAsia="Microsoft YaHei" w:cs="Microsoft YaHei"/>
          <w:color w:val="231F20"/>
          <w:spacing w:val="31"/>
        </w:rPr>
        <w:t xml:space="preserve"> </w:t>
      </w:r>
      <w:r>
        <w:rPr>
          <w:color w:val="231F20"/>
          <w:spacing w:val="-7"/>
        </w:rPr>
        <w:t>Complex appendicitis; Laparoscopic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appe</w:t>
      </w:r>
      <w:r>
        <w:rPr>
          <w:color w:val="231F20"/>
          <w:spacing w:val="-8"/>
        </w:rPr>
        <w:t>ndectomy;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Conventional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open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appendectomy;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Complications</w:t>
      </w: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2"/>
          <w:pgSz w:w="12246" w:h="17178"/>
          <w:pgMar w:top="1542" w:right="1113" w:bottom="0" w:left="424" w:header="1219" w:footer="0" w:gutter="0"/>
          <w:cols w:equalWidth="0" w:num="1">
            <w:col w:w="10708" w:space="0"/>
          </w:cols>
        </w:sectPr>
        <w:rPr/>
      </w:pPr>
    </w:p>
    <w:p>
      <w:pPr>
        <w:pStyle w:val="BodyText"/>
        <w:ind w:left="881" w:right="158" w:firstLine="439"/>
        <w:spacing w:before="49" w:line="27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阑尾炎是临床上常见的急腹症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1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"/>
        </w:rPr>
        <w:t>疾病的产生与梗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阻、感染等因素有关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"/>
        </w:rPr>
        <w:t>,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"/>
        </w:rPr>
        <w:t>多发生在青年群体中</w:t>
      </w:r>
      <w:r>
        <w:rPr>
          <w:sz w:val="11"/>
          <w:szCs w:val="11"/>
          <w:color w:val="231F20"/>
          <w:spacing w:val="-1"/>
          <w:position w:val="9"/>
        </w:rPr>
        <w:t>［1</w:t>
      </w:r>
      <w:r>
        <w:rPr>
          <w:sz w:val="11"/>
          <w:szCs w:val="11"/>
          <w:color w:val="231F20"/>
          <w:spacing w:val="-2"/>
          <w:position w:val="9"/>
        </w:rPr>
        <w:t>］</w:t>
      </w:r>
      <w:r>
        <w:rPr>
          <w:sz w:val="20"/>
          <w:szCs w:val="20"/>
          <w:color w:val="231F20"/>
          <w:spacing w:val="-2"/>
        </w:rPr>
        <w:t>。阑尾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炎会对患者的身体功能造成较大的损伤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5"/>
        </w:rPr>
        <w:t>, 出现发热、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腹痛、腹部肌肉紧张等多种症状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2"/>
        </w:rPr>
        <w:t>严重影响患者的身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心健康</w:t>
      </w:r>
      <w:r>
        <w:rPr>
          <w:sz w:val="11"/>
          <w:szCs w:val="11"/>
          <w:color w:val="231F20"/>
          <w:position w:val="8"/>
        </w:rPr>
        <w:t>［2, 3］</w:t>
      </w:r>
      <w:r>
        <w:rPr>
          <w:sz w:val="20"/>
          <w:szCs w:val="20"/>
          <w:color w:val="231F20"/>
        </w:rPr>
        <w:t>。复杂性阑尾炎的病情较为复杂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包括坏  </w:t>
      </w:r>
      <w:r>
        <w:rPr>
          <w:sz w:val="20"/>
          <w:szCs w:val="20"/>
          <w:color w:val="231F20"/>
          <w:spacing w:val="2"/>
        </w:rPr>
        <w:t>疽性阑尾炎、穿孔性阑尾炎、阑尾周围脓肿等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此时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患者病情较为严重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3"/>
        </w:rPr>
        <w:t>,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3"/>
        </w:rPr>
        <w:t>若不能实施积极有效的治</w:t>
      </w:r>
      <w:r>
        <w:rPr>
          <w:sz w:val="20"/>
          <w:szCs w:val="20"/>
          <w:color w:val="231F20"/>
          <w:spacing w:val="2"/>
        </w:rPr>
        <w:t>疗会带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来较大危害</w:t>
      </w:r>
      <w:r>
        <w:rPr>
          <w:sz w:val="11"/>
          <w:szCs w:val="11"/>
          <w:color w:val="231F20"/>
          <w:spacing w:val="2"/>
          <w:position w:val="8"/>
        </w:rPr>
        <w:t>［4, 5］</w:t>
      </w:r>
      <w:r>
        <w:rPr>
          <w:sz w:val="20"/>
          <w:szCs w:val="20"/>
          <w:color w:val="231F20"/>
          <w:spacing w:val="2"/>
        </w:rPr>
        <w:t>。目前临床针对复杂性阑尾炎主要给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2"/>
        </w:rPr>
        <w:t>予手术治疗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2"/>
        </w:rPr>
        <w:t>而常规开腹手术的创伤较大、术中出血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量较多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2"/>
        </w:rPr>
        <w:t>术后的康复较为困难。随着腹腔镜手术在临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床上的应用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3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3"/>
        </w:rPr>
        <w:t>微创手术治疗复杂性阑尾炎有</w:t>
      </w:r>
      <w:r>
        <w:rPr>
          <w:sz w:val="20"/>
          <w:szCs w:val="20"/>
          <w:color w:val="231F20"/>
          <w:spacing w:val="2"/>
        </w:rPr>
        <w:t>较好的效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果</w:t>
      </w:r>
      <w:r>
        <w:rPr>
          <w:sz w:val="11"/>
          <w:szCs w:val="11"/>
          <w:color w:val="231F20"/>
          <w:position w:val="9"/>
        </w:rPr>
        <w:t>［6］</w:t>
      </w:r>
      <w:r>
        <w:rPr>
          <w:sz w:val="20"/>
          <w:szCs w:val="20"/>
          <w:color w:val="231F20"/>
        </w:rPr>
        <w:t>。本研究就本院在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2022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年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1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月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~2023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年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1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月时 </w:t>
      </w:r>
      <w:r>
        <w:rPr>
          <w:sz w:val="20"/>
          <w:szCs w:val="20"/>
          <w:color w:val="231F20"/>
          <w:spacing w:val="2"/>
        </w:rPr>
        <w:t>间段内收治的复杂性阑尾炎患者展开分组研究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两组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</w:rPr>
        <w:t>分别接受常规开腹阑尾切除术治疗和腹腔镜下阑尾切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除术治疗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7"/>
        </w:rPr>
        <w:t>对比两组治疗效果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7"/>
        </w:rPr>
        <w:t>现总结结果如下。</w:t>
      </w:r>
    </w:p>
    <w:p>
      <w:pPr>
        <w:ind w:left="892"/>
        <w:spacing w:before="21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资料与方法</w:t>
      </w:r>
    </w:p>
    <w:p>
      <w:pPr>
        <w:pStyle w:val="BodyText"/>
        <w:ind w:left="883" w:right="176" w:firstLine="9"/>
        <w:spacing w:before="17" w:line="277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    </w:t>
      </w:r>
      <w:r>
        <w:rPr>
          <w:sz w:val="20"/>
          <w:szCs w:val="20"/>
          <w:color w:val="231F20"/>
          <w:spacing w:val="-2"/>
        </w:rPr>
        <w:t>一般资料  本次研究对象为本院收治的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300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2"/>
        </w:rPr>
        <w:t>例复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杂性阑尾炎患者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8"/>
        </w:rPr>
        <w:t>均为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8"/>
        </w:rPr>
        <w:t>2022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8"/>
        </w:rPr>
        <w:t>年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8"/>
        </w:rPr>
        <w:t>1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8"/>
        </w:rPr>
        <w:t>月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8"/>
        </w:rPr>
        <w:t>~2023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8"/>
        </w:rPr>
        <w:t>年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8"/>
        </w:rPr>
        <w:t>1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8"/>
        </w:rPr>
        <w:t>月收治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根据治疗时的手术方案不同分为对照组和观察组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2"/>
        </w:rPr>
        <w:t>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150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3"/>
        </w:rPr>
        <w:t>例。观察组患者中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3"/>
        </w:rPr>
        <w:t>,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3"/>
        </w:rPr>
        <w:t>81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3"/>
        </w:rPr>
        <w:t>例男性、6</w:t>
      </w:r>
      <w:r>
        <w:rPr>
          <w:sz w:val="20"/>
          <w:szCs w:val="20"/>
          <w:color w:val="231F20"/>
          <w:spacing w:val="-4"/>
        </w:rPr>
        <w:t>9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4"/>
        </w:rPr>
        <w:t>例女性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4"/>
        </w:rPr>
        <w:t>；年龄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分布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1"/>
        </w:rPr>
        <w:t>18~52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1"/>
        </w:rPr>
        <w:t>岁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11"/>
        </w:rPr>
        <w:t>, 均值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11"/>
        </w:rPr>
        <w:t>(35.37±5.79)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1"/>
        </w:rPr>
        <w:t>岁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1"/>
        </w:rPr>
        <w:t>；疾病类型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1"/>
        </w:rPr>
        <w:t>：坏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疽性阑尾炎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2"/>
        </w:rPr>
        <w:t>46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2"/>
        </w:rPr>
        <w:t>例、穿孔性阑尾炎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2"/>
        </w:rPr>
        <w:t>64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2"/>
        </w:rPr>
        <w:t>例、阑尾周围脓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肿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40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例。对照组患者中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2"/>
        </w:rPr>
        <w:t>,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"/>
        </w:rPr>
        <w:t>82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2"/>
        </w:rPr>
        <w:t>例男性、68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例女性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2"/>
        </w:rPr>
        <w:t>；年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龄分布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9"/>
        </w:rPr>
        <w:t>18~53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9"/>
        </w:rPr>
        <w:t>岁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9"/>
        </w:rPr>
        <w:t>, 均值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9"/>
        </w:rPr>
        <w:t>(35.75±5.91)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9"/>
        </w:rPr>
        <w:t>岁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9"/>
        </w:rPr>
        <w:t>；疾病类型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9"/>
        </w:rPr>
        <w:t>：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0"/>
        </w:rPr>
        <w:t>坏疽性阑尾炎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10"/>
        </w:rPr>
        <w:t>47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10"/>
        </w:rPr>
        <w:t>例、穿孔性阑尾炎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0"/>
        </w:rPr>
        <w:t>65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10"/>
        </w:rPr>
        <w:t>例、阑尾周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6"/>
        </w:rPr>
        <w:t>围脓肿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6"/>
        </w:rPr>
        <w:t>38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16"/>
        </w:rPr>
        <w:t>例。两组患者基线资料对比无明显差异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P&gt;</w:t>
      </w:r>
      <w:r>
        <w:rPr>
          <w:sz w:val="20"/>
          <w:szCs w:val="20"/>
          <w:color w:val="231F20"/>
          <w:spacing w:val="-8"/>
        </w:rPr>
        <w:t>0.05),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8"/>
        </w:rPr>
        <w:t>具有可比性。本研究经医院伦理部门审批。</w:t>
      </w:r>
    </w:p>
    <w:p>
      <w:pPr>
        <w:pStyle w:val="BodyText"/>
        <w:ind w:left="882" w:right="171" w:firstLine="424"/>
        <w:spacing w:before="2" w:line="27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纳入标准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：①患者均伴有明确的转移性右下腹疼 </w:t>
      </w:r>
      <w:r>
        <w:rPr>
          <w:sz w:val="20"/>
          <w:szCs w:val="20"/>
          <w:color w:val="231F20"/>
          <w:spacing w:val="-2"/>
        </w:rPr>
        <w:t>痛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2"/>
        </w:rPr>
        <w:t>；②均经过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B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2"/>
        </w:rPr>
        <w:t>超检查确诊为复杂性阑尾炎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；③均签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署同意书。排除标准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：①合并有腹部手术史者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；②患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有恶性血液疾病者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"/>
        </w:rPr>
        <w:t>；③严重认知障碍、精神疾病</w:t>
      </w:r>
      <w:r>
        <w:rPr>
          <w:sz w:val="20"/>
          <w:szCs w:val="20"/>
          <w:color w:val="231F20"/>
          <w:spacing w:val="1"/>
        </w:rPr>
        <w:t>者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"/>
        </w:rPr>
        <w:t>；</w:t>
      </w:r>
    </w:p>
    <w:p>
      <w:pPr>
        <w:pStyle w:val="BodyText"/>
        <w:ind w:left="883"/>
        <w:spacing w:before="11" w:line="21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④恶性肿瘤疾病者。</w:t>
      </w:r>
    </w:p>
    <w:p>
      <w:pPr>
        <w:pStyle w:val="BodyText"/>
        <w:ind w:left="882" w:right="238" w:firstLine="10"/>
        <w:spacing w:before="76" w:line="26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    </w:t>
      </w:r>
      <w:r>
        <w:rPr>
          <w:sz w:val="20"/>
          <w:szCs w:val="20"/>
          <w:color w:val="231F20"/>
          <w:spacing w:val="6"/>
        </w:rPr>
        <w:t>方法  对照组患者接受常规开腹阑尾切除术治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疗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8"/>
        </w:rPr>
        <w:t>：对患者实施全身麻醉处理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8"/>
        </w:rPr>
        <w:t>在右下腹作斜</w:t>
      </w:r>
      <w:r>
        <w:rPr>
          <w:sz w:val="20"/>
          <w:szCs w:val="20"/>
          <w:color w:val="231F20"/>
          <w:spacing w:val="-9"/>
        </w:rPr>
        <w:t>切口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9"/>
        </w:rPr>
        <w:t>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口前对切口周围皮肤进行常规消毒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然后逐层切开皮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肤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对阑尾部位进行探查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切除阑尾。手术治疗后进行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常规缝合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6"/>
        </w:rPr>
        <w:t>并给予患者抗感染治疗。</w:t>
      </w:r>
    </w:p>
    <w:p>
      <w:pPr>
        <w:pStyle w:val="BodyText"/>
        <w:ind w:left="885" w:right="238" w:firstLine="421"/>
        <w:spacing w:before="68" w:line="242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观察组患者接受腹腔镜下阑尾切除术治疗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：对患 </w:t>
      </w:r>
      <w:r>
        <w:rPr>
          <w:sz w:val="20"/>
          <w:szCs w:val="20"/>
          <w:color w:val="231F20"/>
          <w:spacing w:val="-6"/>
        </w:rPr>
        <w:t>者实施连续硬膜外麻醉处理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使用三孔法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6"/>
        </w:rPr>
        <w:t>在患者肚脐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5" w:firstLine="2"/>
        <w:spacing w:before="50" w:line="27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下作弧形切口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,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4"/>
        </w:rPr>
        <w:t>并使用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4"/>
        </w:rPr>
        <w:t>Hasson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4"/>
        </w:rPr>
        <w:t>技术进腹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4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4"/>
        </w:rPr>
        <w:t>然后建立人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工气腹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,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气腹压为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2"/>
        </w:rPr>
        <w:t>6~10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2"/>
        </w:rPr>
        <w:t>mm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2"/>
        </w:rPr>
        <w:t>Hg(1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2"/>
        </w:rPr>
        <w:t>mm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2"/>
        </w:rPr>
        <w:t>Hg=0.13</w:t>
      </w:r>
      <w:r>
        <w:rPr>
          <w:sz w:val="20"/>
          <w:szCs w:val="20"/>
          <w:color w:val="231F20"/>
          <w:spacing w:val="-3"/>
        </w:rPr>
        <w:t>3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3"/>
        </w:rPr>
        <w:t>kPa),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3"/>
        </w:rPr>
        <w:t>向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腹内置入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6"/>
        </w:rPr>
        <w:t>10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mm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的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6"/>
        </w:rPr>
        <w:t>Trocar,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6"/>
        </w:rPr>
        <w:t>在耻骨上和左下腹戳孔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然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后置入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5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mm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的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6"/>
        </w:rPr>
        <w:t>Trocar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；探查患者腹部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6"/>
        </w:rPr>
        <w:t>, 了解患者的疾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病情况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9"/>
        </w:rPr>
        <w:t>将手术床调整为头高脚底位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9"/>
        </w:rPr>
        <w:t>将左侧抬高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9"/>
        </w:rPr>
        <w:t>, 以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促使脓液积聚于盆腔和右下腹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, 吸净脓液后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将手术 </w:t>
      </w:r>
      <w:r>
        <w:rPr>
          <w:sz w:val="20"/>
          <w:szCs w:val="20"/>
          <w:color w:val="231F20"/>
        </w:rPr>
        <w:t>床调整为头低脚高位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将右侧抬高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；将阑尾周围粘连 </w:t>
      </w:r>
      <w:r>
        <w:rPr>
          <w:sz w:val="20"/>
          <w:szCs w:val="20"/>
          <w:color w:val="231F20"/>
          <w:spacing w:val="-6"/>
        </w:rPr>
        <w:t>组织分离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使阑尾暴露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将阑尾系膜离断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使用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6"/>
        </w:rPr>
        <w:t>Endo-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Loop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双重套扎或者腹腔镜下丝线打结阑尾根部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然后 </w:t>
      </w:r>
      <w:r>
        <w:rPr>
          <w:sz w:val="20"/>
          <w:szCs w:val="20"/>
          <w:color w:val="231F20"/>
        </w:rPr>
        <w:t>切除阑尾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对明显增厚的部分大网膜一并切除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；使用 </w:t>
      </w:r>
      <w:r>
        <w:rPr>
          <w:sz w:val="20"/>
          <w:szCs w:val="20"/>
          <w:color w:val="231F20"/>
        </w:rPr>
        <w:t>10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mm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的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Trocar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取出标本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若阑尾明显增粗需要将阑 </w:t>
      </w:r>
      <w:r>
        <w:rPr>
          <w:sz w:val="20"/>
          <w:szCs w:val="20"/>
          <w:color w:val="231F20"/>
        </w:rPr>
        <w:t>尾使用标本袋取出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；对全部小肠进行常规探查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使用 </w:t>
      </w:r>
      <w:r>
        <w:rPr>
          <w:sz w:val="20"/>
          <w:szCs w:val="20"/>
          <w:color w:val="231F20"/>
          <w:spacing w:val="4"/>
        </w:rPr>
        <w:t>生理盐水、甲硝唑、稀释活力碘清洗腹腔、膈下、结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4"/>
        </w:rPr>
        <w:t>肠旁沟、小肠间隙等部位。手术治疗后给予患者常规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4"/>
        </w:rPr>
        <w:t>抗感染治疗。</w:t>
      </w:r>
    </w:p>
    <w:p>
      <w:pPr>
        <w:pStyle w:val="BodyText"/>
        <w:ind w:left="13"/>
        <w:spacing w:before="30" w:line="21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1. 3    </w:t>
      </w:r>
      <w:r>
        <w:rPr>
          <w:sz w:val="20"/>
          <w:szCs w:val="20"/>
          <w:color w:val="231F20"/>
          <w:spacing w:val="-1"/>
        </w:rPr>
        <w:t>观察指标及判定标准</w:t>
      </w:r>
    </w:p>
    <w:p>
      <w:pPr>
        <w:pStyle w:val="BodyText"/>
        <w:ind w:left="8" w:right="76" w:firstLine="5"/>
        <w:spacing w:before="71" w:line="25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1. 3.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    </w:t>
      </w:r>
      <w:r>
        <w:rPr>
          <w:sz w:val="20"/>
          <w:szCs w:val="20"/>
          <w:color w:val="231F20"/>
          <w:spacing w:val="-1"/>
        </w:rPr>
        <w:t>对比两组患者手术指标  包括手术时间、术中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出血量、术后进食时间、抗生素使用时间、</w:t>
      </w:r>
      <w:r>
        <w:rPr>
          <w:sz w:val="20"/>
          <w:szCs w:val="20"/>
          <w:color w:val="231F20"/>
          <w:spacing w:val="3"/>
        </w:rPr>
        <w:t>术后住院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天数。</w:t>
      </w:r>
    </w:p>
    <w:p>
      <w:pPr>
        <w:pStyle w:val="BodyText"/>
        <w:ind w:left="3" w:right="75" w:firstLine="9"/>
        <w:spacing w:before="71" w:line="26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1. 3. 2    </w:t>
      </w:r>
      <w:r>
        <w:rPr>
          <w:sz w:val="20"/>
          <w:szCs w:val="20"/>
          <w:color w:val="231F20"/>
        </w:rPr>
        <w:t>对比两组患者临床治疗效果</w:t>
      </w:r>
      <w:r>
        <w:rPr>
          <w:sz w:val="20"/>
          <w:szCs w:val="20"/>
          <w:color w:val="231F20"/>
          <w:spacing w:val="-1"/>
        </w:rPr>
        <w:t xml:space="preserve">  临床疗效判定标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准</w:t>
      </w:r>
      <w:r>
        <w:rPr>
          <w:sz w:val="11"/>
          <w:szCs w:val="11"/>
          <w:color w:val="231F20"/>
          <w:spacing w:val="1"/>
          <w:position w:val="9"/>
        </w:rPr>
        <w:t>［7</w:t>
      </w:r>
      <w:r>
        <w:rPr>
          <w:sz w:val="11"/>
          <w:szCs w:val="11"/>
          <w:color w:val="231F20"/>
          <w:spacing w:val="-2"/>
          <w:position w:val="9"/>
        </w:rPr>
        <w:t>］</w:t>
      </w:r>
      <w:r>
        <w:rPr>
          <w:sz w:val="20"/>
          <w:szCs w:val="20"/>
          <w:color w:val="231F20"/>
          <w:spacing w:val="-31"/>
        </w:rPr>
        <w:t>：</w:t>
      </w:r>
      <w:r>
        <w:rPr>
          <w:sz w:val="20"/>
          <w:szCs w:val="20"/>
          <w:color w:val="231F20"/>
          <w:spacing w:val="1"/>
        </w:rPr>
        <w:t>治疗后患者的临床症状消失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1"/>
        </w:rPr>
        <w:t>,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"/>
        </w:rPr>
        <w:t>无并发症出现为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痊愈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；治疗后患者的临床症状明显减轻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伴有并发症 </w:t>
      </w:r>
      <w:r>
        <w:rPr>
          <w:sz w:val="20"/>
          <w:szCs w:val="20"/>
          <w:color w:val="231F20"/>
        </w:rPr>
        <w:t>为有效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；治疗后患者的病情无明显改善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伴有明显并 </w:t>
      </w:r>
      <w:r>
        <w:rPr>
          <w:sz w:val="20"/>
          <w:szCs w:val="20"/>
          <w:color w:val="231F20"/>
          <w:spacing w:val="-2"/>
        </w:rPr>
        <w:t>发症出现为无效。总有效率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2"/>
        </w:rPr>
        <w:t>=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2"/>
        </w:rPr>
        <w:t>痊愈率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+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2"/>
        </w:rPr>
        <w:t>有效率。</w:t>
      </w:r>
    </w:p>
    <w:p>
      <w:pPr>
        <w:pStyle w:val="BodyText"/>
        <w:ind w:left="3" w:right="76" w:firstLine="9"/>
        <w:spacing w:before="69" w:line="24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3    </w:t>
      </w:r>
      <w:r>
        <w:rPr>
          <w:sz w:val="20"/>
          <w:szCs w:val="20"/>
          <w:color w:val="231F20"/>
          <w:spacing w:val="5"/>
        </w:rPr>
        <w:t>对比两组患者并发症发生情况  包括切口感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染、腹腔脓肿、肠梗阻、术后出血。</w:t>
      </w:r>
    </w:p>
    <w:p>
      <w:pPr>
        <w:pStyle w:val="BodyText"/>
        <w:ind w:left="3" w:right="76" w:firstLine="10"/>
        <w:spacing w:before="72" w:line="26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1. 3. 4    </w:t>
      </w:r>
      <w:r>
        <w:rPr>
          <w:sz w:val="20"/>
          <w:szCs w:val="20"/>
          <w:color w:val="231F20"/>
        </w:rPr>
        <w:t>对比两组患者治疗前后的</w:t>
      </w:r>
      <w:r>
        <w:rPr>
          <w:sz w:val="20"/>
          <w:szCs w:val="20"/>
          <w:color w:val="231F20"/>
          <w:spacing w:val="-1"/>
        </w:rPr>
        <w:t>炎性因子水平和疼痛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程度评分  炎性因子包括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"/>
        </w:rPr>
        <w:t>IL-6、TNF-α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"/>
        </w:rPr>
        <w:t>；疼痛程度采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用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VAS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评定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在一张纸上画一条直线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一端为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0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代表 </w:t>
      </w:r>
      <w:r>
        <w:rPr>
          <w:sz w:val="20"/>
          <w:szCs w:val="20"/>
          <w:color w:val="231F20"/>
          <w:spacing w:val="-4"/>
        </w:rPr>
        <w:t>无疼痛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4"/>
        </w:rPr>
        <w:t>,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4"/>
        </w:rPr>
        <w:t>一端为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4"/>
        </w:rPr>
        <w:t>10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4"/>
        </w:rPr>
        <w:t>代表无法忍受的强烈疼痛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,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4"/>
        </w:rPr>
        <w:t>分</w:t>
      </w:r>
      <w:r>
        <w:rPr>
          <w:sz w:val="20"/>
          <w:szCs w:val="20"/>
          <w:color w:val="231F20"/>
          <w:spacing w:val="-5"/>
        </w:rPr>
        <w:t>值越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高说明疼痛越剧烈</w:t>
      </w:r>
      <w:r>
        <w:rPr>
          <w:sz w:val="11"/>
          <w:szCs w:val="11"/>
          <w:color w:val="231F20"/>
          <w:spacing w:val="-2"/>
          <w:position w:val="8"/>
        </w:rPr>
        <w:t>［8］</w:t>
      </w:r>
      <w:r>
        <w:rPr>
          <w:sz w:val="20"/>
          <w:szCs w:val="20"/>
          <w:color w:val="231F20"/>
          <w:spacing w:val="-2"/>
          <w:position w:val="-1"/>
        </w:rPr>
        <w:t>。</w:t>
      </w:r>
    </w:p>
    <w:p>
      <w:pPr>
        <w:pStyle w:val="BodyText"/>
        <w:ind w:firstLine="13"/>
        <w:spacing w:before="69" w:line="25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4    </w:t>
      </w:r>
      <w:r>
        <w:rPr>
          <w:sz w:val="20"/>
          <w:szCs w:val="20"/>
          <w:color w:val="231F20"/>
          <w:spacing w:val="2"/>
        </w:rPr>
        <w:t>统计学方法  用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2"/>
        </w:rPr>
        <w:t>22.0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2"/>
        </w:rPr>
        <w:t>软件对本</w:t>
      </w:r>
      <w:r>
        <w:rPr>
          <w:sz w:val="20"/>
          <w:szCs w:val="20"/>
          <w:color w:val="231F20"/>
          <w:spacing w:val="1"/>
        </w:rPr>
        <w:t>研究数据展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开规范统计。以率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1"/>
        </w:rPr>
        <w:t>(%)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1"/>
        </w:rPr>
        <w:t>表述计数资料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1"/>
        </w:rPr>
        <w:t>, 行 </w:t>
      </w:r>
      <w:r>
        <w:rPr>
          <w:sz w:val="20"/>
          <w:szCs w:val="20"/>
          <w:i/>
          <w:iCs/>
          <w:color w:val="231F20"/>
          <w:spacing w:val="1"/>
        </w:rPr>
        <w:t>χ</w:t>
      </w:r>
      <w:r>
        <w:rPr>
          <w:sz w:val="11"/>
          <w:szCs w:val="11"/>
          <w:color w:val="231F20"/>
          <w:spacing w:val="1"/>
          <w:position w:val="9"/>
        </w:rPr>
        <w:t>2</w:t>
      </w:r>
      <w:r>
        <w:rPr>
          <w:sz w:val="11"/>
          <w:szCs w:val="11"/>
          <w:color w:val="231F20"/>
          <w:position w:val="9"/>
        </w:rPr>
        <w:t xml:space="preserve"> </w:t>
      </w:r>
      <w:r>
        <w:rPr>
          <w:sz w:val="20"/>
          <w:szCs w:val="20"/>
          <w:color w:val="231F20"/>
        </w:rPr>
        <w:t>检验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； </w:t>
      </w:r>
      <w:r>
        <w:rPr>
          <w:sz w:val="20"/>
          <w:szCs w:val="20"/>
          <w:color w:val="231F20"/>
          <w:spacing w:val="-6"/>
        </w:rPr>
        <w:t>以均数 ±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6"/>
        </w:rPr>
        <w:t>标准差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x</w:t>
      </w:r>
      <w:r>
        <w:rPr>
          <w:sz w:val="20"/>
          <w:szCs w:val="20"/>
          <w:color w:val="231F20"/>
          <w:spacing w:val="-6"/>
          <w:position w:val="8"/>
        </w:rPr>
        <w:t>-</w:t>
      </w:r>
      <w:r>
        <w:rPr>
          <w:sz w:val="20"/>
          <w:szCs w:val="20"/>
          <w:color w:val="231F20"/>
          <w:spacing w:val="-47"/>
          <w:position w:val="8"/>
        </w:rPr>
        <w:t xml:space="preserve"> </w:t>
      </w:r>
      <w:r>
        <w:rPr>
          <w:sz w:val="20"/>
          <w:szCs w:val="20"/>
          <w:color w:val="231F20"/>
          <w:spacing w:val="-6"/>
        </w:rPr>
        <w:t>±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6"/>
        </w:rPr>
        <w:t>)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6"/>
        </w:rPr>
        <w:t>表述计量资料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, 行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检验。</w:t>
      </w:r>
      <w:r>
        <w:rPr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P&lt;</w:t>
      </w:r>
      <w:r>
        <w:rPr>
          <w:sz w:val="20"/>
          <w:szCs w:val="20"/>
          <w:color w:val="231F20"/>
          <w:spacing w:val="-4"/>
        </w:rPr>
        <w:t>0.05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4"/>
        </w:rPr>
        <w:t>表示差异具有统计学意义。</w:t>
      </w:r>
    </w:p>
    <w:p>
      <w:pPr>
        <w:ind w:left="4"/>
        <w:spacing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" w:right="75"/>
        <w:spacing w:before="21" w:line="254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1    </w:t>
      </w:r>
      <w:r>
        <w:rPr>
          <w:sz w:val="20"/>
          <w:szCs w:val="20"/>
          <w:color w:val="231F20"/>
          <w:spacing w:val="6"/>
        </w:rPr>
        <w:t>两组患者手术指标对比  观察组患者的手术时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间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2"/>
        </w:rPr>
        <w:t>(94.25±5.73)min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2"/>
        </w:rPr>
        <w:t>长于对照组的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2"/>
        </w:rPr>
        <w:t>(80.58±4.94)min,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2"/>
        </w:rPr>
        <w:t>术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后进食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7"/>
        </w:rPr>
        <w:t>时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-7"/>
        </w:rPr>
        <w:t>间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7"/>
        </w:rPr>
        <w:t>(1.82±0.08)d、抗生素使用</w:t>
      </w:r>
      <w:r>
        <w:rPr>
          <w:sz w:val="20"/>
          <w:szCs w:val="20"/>
          <w:color w:val="231F20"/>
          <w:spacing w:val="-60"/>
        </w:rPr>
        <w:t xml:space="preserve"> </w:t>
      </w:r>
      <w:r>
        <w:rPr>
          <w:sz w:val="20"/>
          <w:szCs w:val="20"/>
          <w:color w:val="231F20"/>
          <w:spacing w:val="-7"/>
        </w:rPr>
        <w:t>时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-7"/>
        </w:rPr>
        <w:t>间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7"/>
        </w:rPr>
        <w:t>(5.04±</w:t>
      </w:r>
    </w:p>
    <w:p>
      <w:pPr>
        <w:spacing w:line="254" w:lineRule="auto"/>
        <w:sectPr>
          <w:type w:val="continuous"/>
          <w:pgSz w:w="12246" w:h="17178"/>
          <w:pgMar w:top="1542" w:right="1113" w:bottom="0" w:left="424" w:header="1219" w:footer="0" w:gutter="0"/>
          <w:cols w:equalWidth="0" w:num="2">
            <w:col w:w="5825" w:space="100"/>
            <w:col w:w="4783" w:space="0"/>
          </w:cols>
        </w:sectPr>
        <w:rPr>
          <w:sz w:val="20"/>
          <w:szCs w:val="20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3"/>
          <w:pgSz w:w="12246" w:h="17178"/>
          <w:pgMar w:top="1542" w:right="1236" w:bottom="0" w:left="424" w:header="1219" w:footer="0" w:gutter="0"/>
          <w:cols w:equalWidth="0" w:num="1">
            <w:col w:w="10585" w:space="0"/>
          </w:cols>
        </w:sectPr>
        <w:rPr/>
      </w:pPr>
    </w:p>
    <w:p>
      <w:pPr>
        <w:pStyle w:val="BodyText"/>
        <w:ind w:left="770" w:right="166"/>
        <w:spacing w:before="47" w:line="26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0.33)d、术后住院天数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4"/>
        </w:rPr>
        <w:t>(6.33±0.52)d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4"/>
        </w:rPr>
        <w:t>均短于对照组的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(2.73±0.15)、(6.29±0.51)、(8.35±0.74)d, 术中出血量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3"/>
        </w:rPr>
        <w:t>(36.94±3.17)ml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13"/>
        </w:rPr>
        <w:t>少于对照组的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3"/>
        </w:rPr>
        <w:t>(45.83±4.28)ml(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>P&lt;</w:t>
      </w:r>
      <w:r>
        <w:rPr>
          <w:sz w:val="20"/>
          <w:szCs w:val="20"/>
          <w:color w:val="231F20"/>
          <w:spacing w:val="-13"/>
        </w:rPr>
        <w:t>0.</w:t>
      </w:r>
      <w:r>
        <w:rPr>
          <w:sz w:val="20"/>
          <w:szCs w:val="20"/>
          <w:color w:val="231F20"/>
          <w:spacing w:val="-14"/>
        </w:rPr>
        <w:t>05)。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见表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5"/>
        </w:rPr>
        <w:t>1。</w:t>
      </w:r>
    </w:p>
    <w:p>
      <w:pPr>
        <w:pStyle w:val="BodyText"/>
        <w:ind w:left="771" w:right="242" w:hanging="2"/>
        <w:spacing w:before="35" w:line="26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2. 2    </w:t>
      </w:r>
      <w:r>
        <w:rPr>
          <w:sz w:val="20"/>
          <w:szCs w:val="20"/>
          <w:color w:val="231F20"/>
        </w:rPr>
        <w:t>两组患者临床治疗效果对比  观察组患者的临床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2"/>
        </w:rPr>
        <w:t>治疗总有效率为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2"/>
        </w:rPr>
        <w:t>100.00%, 明显高于对照组的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"/>
        </w:rPr>
        <w:t>90.00%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>P&lt;</w:t>
      </w:r>
      <w:r>
        <w:rPr>
          <w:sz w:val="20"/>
          <w:szCs w:val="20"/>
          <w:color w:val="231F20"/>
          <w:spacing w:val="-12"/>
        </w:rPr>
        <w:t>0.05)。见表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2"/>
        </w:rPr>
        <w:t>2。</w:t>
      </w:r>
    </w:p>
    <w:p>
      <w:pPr>
        <w:pStyle w:val="BodyText"/>
        <w:ind w:left="769" w:right="241"/>
        <w:spacing w:before="37" w:line="25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    </w:t>
      </w:r>
      <w:r>
        <w:rPr>
          <w:sz w:val="20"/>
          <w:szCs w:val="20"/>
          <w:color w:val="231F20"/>
          <w:spacing w:val="6"/>
        </w:rPr>
        <w:t>两组患者并发症发生情况对比  观察组患者手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术后并发症发生率为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9"/>
        </w:rPr>
        <w:t>2.00%, 低于对照组的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9"/>
        </w:rPr>
        <w:t>14.00%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44" w:line="26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3"/>
          <w:position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1"/>
        </w:rPr>
        <w:t>P&lt;</w:t>
      </w:r>
      <w:r>
        <w:rPr>
          <w:sz w:val="20"/>
          <w:szCs w:val="20"/>
          <w:color w:val="231F20"/>
          <w:spacing w:val="-13"/>
          <w:position w:val="1"/>
        </w:rPr>
        <w:t>0.05)。见表</w:t>
      </w:r>
      <w:r>
        <w:rPr>
          <w:sz w:val="20"/>
          <w:szCs w:val="20"/>
          <w:color w:val="231F20"/>
          <w:spacing w:val="-30"/>
          <w:position w:val="1"/>
        </w:rPr>
        <w:t xml:space="preserve"> </w:t>
      </w:r>
      <w:r>
        <w:rPr>
          <w:sz w:val="20"/>
          <w:szCs w:val="20"/>
          <w:color w:val="231F20"/>
          <w:spacing w:val="-13"/>
          <w:position w:val="1"/>
        </w:rPr>
        <w:t>3。</w:t>
      </w:r>
    </w:p>
    <w:p>
      <w:pPr>
        <w:pStyle w:val="BodyText"/>
        <w:ind w:right="65" w:firstLine="1"/>
        <w:spacing w:before="40" w:line="276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4    </w:t>
      </w:r>
      <w:r>
        <w:rPr>
          <w:sz w:val="20"/>
          <w:szCs w:val="20"/>
          <w:color w:val="231F20"/>
          <w:spacing w:val="7"/>
        </w:rPr>
        <w:t>两组患者治疗前后的炎性因子</w:t>
      </w:r>
      <w:r>
        <w:rPr>
          <w:sz w:val="20"/>
          <w:szCs w:val="20"/>
          <w:color w:val="231F20"/>
          <w:spacing w:val="6"/>
        </w:rPr>
        <w:t>水平和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VAS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6"/>
        </w:rPr>
        <w:t>评分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对比  两组治疗前的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3"/>
        </w:rPr>
        <w:t>-6、</w:t>
      </w:r>
      <w:r>
        <w:rPr>
          <w:sz w:val="20"/>
          <w:szCs w:val="20"/>
          <w:color w:val="231F20"/>
        </w:rPr>
        <w:t>TNF</w:t>
      </w:r>
      <w:r>
        <w:rPr>
          <w:sz w:val="20"/>
          <w:szCs w:val="20"/>
          <w:color w:val="231F20"/>
          <w:spacing w:val="3"/>
        </w:rPr>
        <w:t>-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3"/>
        </w:rPr>
        <w:t>α、</w:t>
      </w:r>
      <w:r>
        <w:rPr>
          <w:sz w:val="20"/>
          <w:szCs w:val="20"/>
          <w:color w:val="231F20"/>
        </w:rPr>
        <w:t>VAS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3"/>
        </w:rPr>
        <w:t>评分对比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3"/>
        </w:rPr>
        <w:t>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无明显差异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P&gt;</w:t>
      </w:r>
      <w:r>
        <w:rPr>
          <w:sz w:val="20"/>
          <w:szCs w:val="20"/>
          <w:color w:val="231F20"/>
          <w:spacing w:val="-7"/>
        </w:rPr>
        <w:t>0.05)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7"/>
        </w:rPr>
        <w:t>；治疗后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7"/>
        </w:rPr>
        <w:t>, 观察组</w:t>
      </w:r>
      <w:r>
        <w:rPr>
          <w:sz w:val="20"/>
          <w:szCs w:val="20"/>
          <w:color w:val="231F20"/>
          <w:spacing w:val="-8"/>
        </w:rPr>
        <w:t>患者的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8"/>
        </w:rPr>
        <w:t>IL-6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8"/>
        </w:rPr>
        <w:t>水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平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6"/>
        </w:rPr>
        <w:t>为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6"/>
        </w:rPr>
        <w:t>(104.73±8.84)pg/ml、TNF-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6"/>
        </w:rPr>
        <w:t>α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水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-6"/>
        </w:rPr>
        <w:t>平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-6"/>
        </w:rPr>
        <w:t>为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(53.54±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5.11)pg/ml、VAS评分为(1.27±0.09)分,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0"/>
        </w:rPr>
        <w:t>明显低于对照组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的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8"/>
        </w:rPr>
        <w:t>(122.52±9.96)pg/ml、(66.84±6.37)pg/ml</w:t>
      </w:r>
      <w:r>
        <w:rPr>
          <w:sz w:val="20"/>
          <w:szCs w:val="20"/>
          <w:color w:val="231F20"/>
          <w:spacing w:val="-9"/>
        </w:rPr>
        <w:t>、(3.08±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0.14)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4"/>
        </w:rPr>
        <w:t>分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4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>P&lt;</w:t>
      </w:r>
      <w:r>
        <w:rPr>
          <w:sz w:val="20"/>
          <w:szCs w:val="20"/>
          <w:color w:val="231F20"/>
          <w:spacing w:val="-14"/>
        </w:rPr>
        <w:t>0.05)。见表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4"/>
        </w:rPr>
        <w:t>4。</w:t>
      </w:r>
    </w:p>
    <w:p>
      <w:pPr>
        <w:spacing w:line="276" w:lineRule="auto"/>
        <w:sectPr>
          <w:type w:val="continuous"/>
          <w:pgSz w:w="12246" w:h="17178"/>
          <w:pgMar w:top="1542" w:right="1236" w:bottom="0" w:left="424" w:header="1219" w:footer="0" w:gutter="0"/>
          <w:cols w:equalWidth="0" w:num="2">
            <w:col w:w="5715" w:space="100"/>
            <w:col w:w="4771" w:space="0"/>
          </w:cols>
        </w:sectPr>
        <w:rPr>
          <w:sz w:val="20"/>
          <w:szCs w:val="20"/>
        </w:rPr>
      </w:pPr>
    </w:p>
    <w:p>
      <w:pPr>
        <w:pStyle w:val="BodyText"/>
        <w:ind w:left="4241"/>
        <w:spacing w:before="65" w:line="181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表 </w:t>
      </w:r>
      <w:r>
        <w:rPr>
          <w:rFonts w:ascii="Times New Roman" w:hAnsi="Times New Roman" w:eastAsia="Times New Roman" w:cs="Times New Roman"/>
          <w:color w:val="231F20"/>
          <w:spacing w:val="-3"/>
        </w:rPr>
        <w:t>1    </w:t>
      </w:r>
      <w:r>
        <w:rPr>
          <w:color w:val="231F20"/>
          <w:spacing w:val="-3"/>
        </w:rPr>
        <w:t>两组患者手术指标对比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( x</w:t>
      </w:r>
      <w:r>
        <w:rPr>
          <w:rFonts w:ascii="Times New Roman" w:hAnsi="Times New Roman" w:eastAsia="Times New Roman" w:cs="Times New Roman"/>
          <w:color w:val="231F20"/>
          <w:spacing w:val="-3"/>
          <w:position w:val="7"/>
        </w:rPr>
        <w:t>- </w:t>
      </w:r>
      <w:r>
        <w:rPr>
          <w:rFonts w:ascii="Times New Roman" w:hAnsi="Times New Roman" w:eastAsia="Times New Roman" w:cs="Times New Roman"/>
          <w:color w:val="231F20"/>
          <w:spacing w:val="-3"/>
        </w:rPr>
        <w:t>±s</w:t>
      </w:r>
      <w:r>
        <w:rPr>
          <w:color w:val="231F20"/>
          <w:spacing w:val="-3"/>
        </w:rPr>
        <w:t>)</w:t>
      </w:r>
    </w:p>
    <w:tbl>
      <w:tblPr>
        <w:tblStyle w:val="TableNormal"/>
        <w:tblW w:w="9751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1"/>
        <w:gridCol w:w="1184"/>
        <w:gridCol w:w="1542"/>
        <w:gridCol w:w="1393"/>
        <w:gridCol w:w="1373"/>
        <w:gridCol w:w="1473"/>
        <w:gridCol w:w="1355"/>
      </w:tblGrid>
      <w:tr>
        <w:trPr>
          <w:trHeight w:val="296" w:hRule="atLeast"/>
        </w:trPr>
        <w:tc>
          <w:tcPr>
            <w:tcW w:w="14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39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1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02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5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9"/>
              <w:spacing w:before="65" w:line="214" w:lineRule="exact"/>
              <w:rPr/>
            </w:pPr>
            <w:r>
              <w:rPr>
                <w:color w:val="231F20"/>
                <w:spacing w:val="-8"/>
                <w:position w:val="1"/>
              </w:rPr>
              <w:t>手术时间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(min)</w:t>
            </w:r>
          </w:p>
        </w:tc>
        <w:tc>
          <w:tcPr>
            <w:tcW w:w="13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8"/>
              <w:spacing w:before="65" w:line="214" w:lineRule="exact"/>
              <w:rPr/>
            </w:pPr>
            <w:r>
              <w:rPr>
                <w:color w:val="231F20"/>
                <w:spacing w:val="-8"/>
                <w:position w:val="1"/>
              </w:rPr>
              <w:t>术中出血量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(ml)</w:t>
            </w:r>
          </w:p>
        </w:tc>
        <w:tc>
          <w:tcPr>
            <w:tcW w:w="137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7"/>
              <w:spacing w:before="65" w:line="214" w:lineRule="exact"/>
              <w:rPr/>
            </w:pPr>
            <w:r>
              <w:rPr>
                <w:color w:val="231F20"/>
                <w:spacing w:val="-7"/>
                <w:position w:val="1"/>
              </w:rPr>
              <w:t>术后进食时间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(d)</w:t>
            </w:r>
          </w:p>
        </w:tc>
        <w:tc>
          <w:tcPr>
            <w:tcW w:w="147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"/>
              <w:spacing w:before="65" w:line="214" w:lineRule="exact"/>
              <w:rPr/>
            </w:pPr>
            <w:r>
              <w:rPr>
                <w:color w:val="231F20"/>
                <w:spacing w:val="-6"/>
                <w:position w:val="1"/>
              </w:rPr>
              <w:t>抗生素使用时间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(d)</w:t>
            </w:r>
          </w:p>
        </w:tc>
        <w:tc>
          <w:tcPr>
            <w:tcW w:w="13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"/>
              <w:spacing w:before="65" w:line="214" w:lineRule="exact"/>
              <w:rPr/>
            </w:pPr>
            <w:r>
              <w:rPr>
                <w:color w:val="231F20"/>
                <w:spacing w:val="-7"/>
                <w:position w:val="1"/>
              </w:rPr>
              <w:t>术后住院天数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(d)</w:t>
            </w:r>
          </w:p>
        </w:tc>
      </w:tr>
      <w:tr>
        <w:trPr>
          <w:trHeight w:val="294" w:hRule="atLeast"/>
        </w:trPr>
        <w:tc>
          <w:tcPr>
            <w:tcW w:w="14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2"/>
              <w:spacing w:before="69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1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6"/>
              <w:spacing w:before="65" w:line="219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5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3"/>
              <w:spacing w:before="46" w:line="238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94.25±5.73</w:t>
            </w:r>
            <w:r>
              <w:rPr>
                <w:sz w:val="9"/>
                <w:szCs w:val="9"/>
                <w:color w:val="231F20"/>
                <w:spacing w:val="8"/>
                <w:position w:val="8"/>
              </w:rPr>
              <w:t>a</w:t>
            </w:r>
          </w:p>
        </w:tc>
        <w:tc>
          <w:tcPr>
            <w:tcW w:w="13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7"/>
              <w:spacing w:before="46" w:line="238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36.94±3.17</w:t>
            </w:r>
            <w:r>
              <w:rPr>
                <w:sz w:val="9"/>
                <w:szCs w:val="9"/>
                <w:color w:val="231F20"/>
                <w:spacing w:val="6"/>
                <w:position w:val="8"/>
              </w:rPr>
              <w:t>a</w:t>
            </w:r>
          </w:p>
        </w:tc>
        <w:tc>
          <w:tcPr>
            <w:tcW w:w="13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7"/>
              <w:spacing w:before="46" w:line="238" w:lineRule="exact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1"/>
              </w:rPr>
              <w:t>1.82±0.08</w:t>
            </w:r>
            <w:r>
              <w:rPr>
                <w:sz w:val="9"/>
                <w:szCs w:val="9"/>
                <w:color w:val="231F20"/>
                <w:spacing w:val="4"/>
                <w:position w:val="8"/>
              </w:rPr>
              <w:t>a</w:t>
            </w:r>
          </w:p>
        </w:tc>
        <w:tc>
          <w:tcPr>
            <w:tcW w:w="14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4"/>
              <w:spacing w:before="46" w:line="238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5.04±0.33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  <w:tc>
          <w:tcPr>
            <w:tcW w:w="13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5"/>
              <w:spacing w:before="46" w:line="238" w:lineRule="exact"/>
              <w:rPr>
                <w:sz w:val="9"/>
                <w:szCs w:val="9"/>
              </w:rPr>
            </w:pPr>
            <w:r>
              <w:rPr>
                <w:color w:val="231F20"/>
                <w:spacing w:val="-11"/>
                <w:position w:val="1"/>
              </w:rPr>
              <w:t>6.33±0.52</w:t>
            </w:r>
            <w:r>
              <w:rPr>
                <w:sz w:val="9"/>
                <w:szCs w:val="9"/>
                <w:color w:val="231F20"/>
                <w:spacing w:val="7"/>
                <w:position w:val="8"/>
              </w:rPr>
              <w:t>a</w:t>
            </w:r>
          </w:p>
        </w:tc>
      </w:tr>
      <w:tr>
        <w:trPr>
          <w:trHeight w:val="307" w:hRule="atLeast"/>
        </w:trPr>
        <w:tc>
          <w:tcPr>
            <w:tcW w:w="1431" w:type="dxa"/>
            <w:vAlign w:val="top"/>
          </w:tcPr>
          <w:p>
            <w:pPr>
              <w:pStyle w:val="TableText"/>
              <w:ind w:left="459"/>
              <w:spacing w:before="79" w:line="205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56"/>
              <w:spacing w:before="72" w:line="224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476"/>
              <w:spacing w:before="72" w:line="224" w:lineRule="exact"/>
              <w:rPr/>
            </w:pPr>
            <w:r>
              <w:rPr>
                <w:color w:val="231F20"/>
                <w:spacing w:val="-10"/>
                <w:position w:val="1"/>
              </w:rPr>
              <w:t>80.58±4.94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323"/>
              <w:spacing w:before="72" w:line="224" w:lineRule="exact"/>
              <w:rPr/>
            </w:pPr>
            <w:r>
              <w:rPr>
                <w:color w:val="231F20"/>
                <w:spacing w:val="-9"/>
                <w:position w:val="1"/>
              </w:rPr>
              <w:t>45.83±4.28</w:t>
            </w:r>
          </w:p>
        </w:tc>
        <w:tc>
          <w:tcPr>
            <w:tcW w:w="1373" w:type="dxa"/>
            <w:vAlign w:val="top"/>
          </w:tcPr>
          <w:p>
            <w:pPr>
              <w:pStyle w:val="TableText"/>
              <w:ind w:left="365"/>
              <w:spacing w:before="72" w:line="224" w:lineRule="exact"/>
              <w:rPr/>
            </w:pPr>
            <w:r>
              <w:rPr>
                <w:color w:val="231F20"/>
                <w:spacing w:val="-10"/>
                <w:position w:val="1"/>
              </w:rPr>
              <w:t>2.73±0.15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386"/>
              <w:spacing w:before="72" w:line="224" w:lineRule="exact"/>
              <w:rPr/>
            </w:pPr>
            <w:r>
              <w:rPr>
                <w:color w:val="231F20"/>
                <w:spacing w:val="-10"/>
                <w:position w:val="1"/>
              </w:rPr>
              <w:t>6.29±0.51</w:t>
            </w:r>
          </w:p>
        </w:tc>
        <w:tc>
          <w:tcPr>
            <w:tcW w:w="1355" w:type="dxa"/>
            <w:vAlign w:val="top"/>
          </w:tcPr>
          <w:p>
            <w:pPr>
              <w:pStyle w:val="TableText"/>
              <w:ind w:left="307"/>
              <w:spacing w:before="72" w:line="224" w:lineRule="exact"/>
              <w:rPr/>
            </w:pPr>
            <w:r>
              <w:rPr>
                <w:color w:val="231F20"/>
                <w:spacing w:val="-11"/>
                <w:position w:val="1"/>
              </w:rPr>
              <w:t>8.35±0.74</w:t>
            </w:r>
          </w:p>
        </w:tc>
      </w:tr>
      <w:tr>
        <w:trPr>
          <w:trHeight w:val="293" w:hRule="atLeast"/>
        </w:trPr>
        <w:tc>
          <w:tcPr>
            <w:tcW w:w="1431" w:type="dxa"/>
            <w:vAlign w:val="top"/>
          </w:tcPr>
          <w:p>
            <w:pPr>
              <w:ind w:left="676"/>
              <w:spacing w:before="123" w:line="11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-2"/>
              </w:rPr>
              <w:t>t</w:t>
            </w:r>
          </w:p>
        </w:tc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2" w:type="dxa"/>
            <w:vAlign w:val="top"/>
          </w:tcPr>
          <w:p>
            <w:pPr>
              <w:pStyle w:val="TableText"/>
              <w:ind w:left="653"/>
              <w:spacing w:before="65" w:line="218" w:lineRule="exact"/>
              <w:rPr/>
            </w:pPr>
            <w:r>
              <w:rPr>
                <w:color w:val="231F20"/>
                <w:spacing w:val="-7"/>
                <w:position w:val="1"/>
              </w:rPr>
              <w:t>22.130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504"/>
              <w:spacing w:before="65" w:line="218" w:lineRule="exact"/>
              <w:rPr/>
            </w:pPr>
            <w:r>
              <w:rPr>
                <w:color w:val="231F20"/>
                <w:spacing w:val="-7"/>
                <w:position w:val="1"/>
              </w:rPr>
              <w:t>20.443</w:t>
            </w:r>
          </w:p>
        </w:tc>
        <w:tc>
          <w:tcPr>
            <w:tcW w:w="1373" w:type="dxa"/>
            <w:vAlign w:val="top"/>
          </w:tcPr>
          <w:p>
            <w:pPr>
              <w:pStyle w:val="TableText"/>
              <w:ind w:left="505"/>
              <w:spacing w:before="65" w:line="218" w:lineRule="exact"/>
              <w:rPr/>
            </w:pPr>
            <w:r>
              <w:rPr>
                <w:color w:val="231F20"/>
                <w:spacing w:val="-7"/>
                <w:position w:val="1"/>
              </w:rPr>
              <w:t>65.560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24"/>
              <w:spacing w:before="65" w:line="218" w:lineRule="exact"/>
              <w:rPr/>
            </w:pPr>
            <w:r>
              <w:rPr>
                <w:color w:val="231F20"/>
                <w:spacing w:val="-7"/>
                <w:position w:val="1"/>
              </w:rPr>
              <w:t>25.202</w:t>
            </w:r>
          </w:p>
        </w:tc>
        <w:tc>
          <w:tcPr>
            <w:tcW w:w="1355" w:type="dxa"/>
            <w:vAlign w:val="top"/>
          </w:tcPr>
          <w:p>
            <w:pPr>
              <w:pStyle w:val="TableText"/>
              <w:ind w:left="444"/>
              <w:spacing w:before="65" w:line="218" w:lineRule="exact"/>
              <w:rPr/>
            </w:pPr>
            <w:r>
              <w:rPr>
                <w:color w:val="231F20"/>
                <w:spacing w:val="-7"/>
                <w:position w:val="1"/>
              </w:rPr>
              <w:t>27.354</w:t>
            </w:r>
          </w:p>
        </w:tc>
      </w:tr>
      <w:tr>
        <w:trPr>
          <w:trHeight w:val="302" w:hRule="atLeast"/>
        </w:trPr>
        <w:tc>
          <w:tcPr>
            <w:tcW w:w="1431" w:type="dxa"/>
            <w:vAlign w:val="top"/>
            <w:tcBorders>
              <w:bottom w:val="single" w:color="231F20" w:sz="4" w:space="0"/>
            </w:tcBorders>
          </w:tcPr>
          <w:p>
            <w:pPr>
              <w:ind w:left="647"/>
              <w:spacing w:before="104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18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92"/>
              <w:spacing w:before="73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3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3"/>
              <w:spacing w:before="73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3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3"/>
              <w:spacing w:before="73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4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3"/>
              <w:spacing w:before="73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3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3"/>
              <w:spacing w:before="73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</w:tr>
    </w:tbl>
    <w:p>
      <w:pPr>
        <w:pStyle w:val="BodyText"/>
        <w:ind w:left="1057"/>
        <w:spacing w:before="33" w:line="260" w:lineRule="exact"/>
        <w:rPr/>
      </w:pPr>
      <w:r>
        <w:rPr>
          <w:color w:val="231F20"/>
          <w:spacing w:val="-10"/>
          <w:position w:val="2"/>
        </w:rPr>
        <w:t>注</w:t>
      </w:r>
      <w:r>
        <w:rPr>
          <w:color w:val="231F20"/>
          <w:spacing w:val="-29"/>
          <w:position w:val="2"/>
        </w:rPr>
        <w:t xml:space="preserve"> </w:t>
      </w:r>
      <w:r>
        <w:rPr>
          <w:color w:val="231F20"/>
          <w:spacing w:val="-10"/>
          <w:position w:val="2"/>
        </w:rPr>
        <w:t>：与对照组对比</w:t>
      </w:r>
      <w:r>
        <w:rPr>
          <w:color w:val="231F20"/>
          <w:spacing w:val="-36"/>
          <w:position w:val="2"/>
        </w:rPr>
        <w:t xml:space="preserve"> </w:t>
      </w:r>
      <w:r>
        <w:rPr>
          <w:color w:val="231F20"/>
          <w:spacing w:val="-10"/>
          <w:position w:val="2"/>
        </w:rPr>
        <w:t>,</w:t>
      </w:r>
      <w:r>
        <w:rPr>
          <w:color w:val="231F20"/>
          <w:spacing w:val="-43"/>
          <w:position w:val="2"/>
        </w:rPr>
        <w:t xml:space="preserve"> </w:t>
      </w:r>
      <w:r>
        <w:rPr>
          <w:sz w:val="10"/>
          <w:szCs w:val="10"/>
          <w:color w:val="231F20"/>
          <w:spacing w:val="-10"/>
          <w:position w:val="10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  <w:position w:val="2"/>
        </w:rPr>
        <w:t>P&lt;</w:t>
      </w:r>
      <w:r>
        <w:rPr>
          <w:color w:val="231F20"/>
          <w:spacing w:val="-10"/>
          <w:position w:val="2"/>
        </w:rPr>
        <w:t>0.05</w:t>
      </w:r>
    </w:p>
    <w:p>
      <w:pPr>
        <w:pStyle w:val="BodyText"/>
        <w:ind w:left="4017"/>
        <w:spacing w:before="56" w:line="190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rFonts w:ascii="Times New Roman" w:hAnsi="Times New Roman" w:eastAsia="Times New Roman" w:cs="Times New Roman"/>
          <w:color w:val="231F20"/>
          <w:spacing w:val="-2"/>
        </w:rPr>
        <w:t>2    </w:t>
      </w:r>
      <w:r>
        <w:rPr>
          <w:color w:val="231F20"/>
          <w:spacing w:val="-2"/>
        </w:rPr>
        <w:t>两组患者临床治疗效果对比［n(%)］</w:t>
      </w:r>
    </w:p>
    <w:tbl>
      <w:tblPr>
        <w:tblStyle w:val="TableNormal"/>
        <w:tblW w:w="9751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4"/>
        <w:gridCol w:w="1516"/>
        <w:gridCol w:w="1693"/>
        <w:gridCol w:w="1633"/>
        <w:gridCol w:w="1575"/>
        <w:gridCol w:w="1670"/>
      </w:tblGrid>
      <w:tr>
        <w:trPr>
          <w:trHeight w:val="296" w:hRule="atLeast"/>
        </w:trPr>
        <w:tc>
          <w:tcPr>
            <w:tcW w:w="16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5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5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8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6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5"/>
              <w:spacing w:before="71" w:line="212" w:lineRule="auto"/>
              <w:rPr/>
            </w:pPr>
            <w:r>
              <w:rPr>
                <w:color w:val="231F20"/>
                <w:spacing w:val="-1"/>
              </w:rPr>
              <w:t>痊愈</w:t>
            </w:r>
          </w:p>
        </w:tc>
        <w:tc>
          <w:tcPr>
            <w:tcW w:w="16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8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有效</w:t>
            </w:r>
          </w:p>
        </w:tc>
        <w:tc>
          <w:tcPr>
            <w:tcW w:w="15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9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16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7"/>
              <w:spacing w:before="70" w:line="211" w:lineRule="auto"/>
              <w:rPr/>
            </w:pPr>
            <w:r>
              <w:rPr>
                <w:color w:val="231F20"/>
                <w:spacing w:val="-3"/>
              </w:rPr>
              <w:t>总有效</w:t>
            </w:r>
          </w:p>
        </w:tc>
      </w:tr>
      <w:tr>
        <w:trPr>
          <w:trHeight w:val="302" w:hRule="atLeast"/>
        </w:trPr>
        <w:tc>
          <w:tcPr>
            <w:tcW w:w="16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8"/>
              <w:spacing w:before="69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5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2"/>
              <w:spacing w:before="65" w:line="227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6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5"/>
              <w:spacing w:before="65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94(62.67)</w:t>
            </w:r>
          </w:p>
        </w:tc>
        <w:tc>
          <w:tcPr>
            <w:tcW w:w="16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7"/>
              <w:spacing w:before="65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56(37.33)</w:t>
            </w:r>
          </w:p>
        </w:tc>
        <w:tc>
          <w:tcPr>
            <w:tcW w:w="15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1"/>
              <w:spacing w:before="65" w:line="227" w:lineRule="exact"/>
              <w:rPr/>
            </w:pPr>
            <w:r>
              <w:rPr>
                <w:color w:val="231F20"/>
                <w:position w:val="1"/>
              </w:rPr>
              <w:t>0</w:t>
            </w:r>
          </w:p>
        </w:tc>
        <w:tc>
          <w:tcPr>
            <w:tcW w:w="16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3"/>
              <w:spacing w:before="46" w:line="235" w:lineRule="exact"/>
              <w:rPr>
                <w:sz w:val="9"/>
                <w:szCs w:val="9"/>
              </w:rPr>
            </w:pPr>
            <w:r>
              <w:rPr>
                <w:color w:val="231F20"/>
                <w:spacing w:val="-13"/>
                <w:position w:val="1"/>
              </w:rPr>
              <w:t>150(100.00)</w:t>
            </w:r>
            <w:r>
              <w:rPr>
                <w:sz w:val="9"/>
                <w:szCs w:val="9"/>
                <w:color w:val="231F20"/>
                <w:spacing w:val="6"/>
                <w:position w:val="8"/>
              </w:rPr>
              <w:t>a</w:t>
            </w:r>
          </w:p>
        </w:tc>
      </w:tr>
      <w:tr>
        <w:trPr>
          <w:trHeight w:val="293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575"/>
              <w:spacing w:before="71" w:line="205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672"/>
              <w:spacing w:before="64" w:line="218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587"/>
              <w:spacing w:before="64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87(58.00)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515"/>
              <w:spacing w:before="64" w:line="216" w:lineRule="exact"/>
              <w:rPr/>
            </w:pPr>
            <w:r>
              <w:rPr>
                <w:color w:val="231F20"/>
                <w:spacing w:val="-12"/>
                <w:position w:val="1"/>
              </w:rPr>
              <w:t>48(32.00)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3"/>
              <w:spacing w:before="64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15(10.00)</w:t>
            </w:r>
          </w:p>
        </w:tc>
        <w:tc>
          <w:tcPr>
            <w:tcW w:w="1670" w:type="dxa"/>
            <w:vAlign w:val="top"/>
          </w:tcPr>
          <w:p>
            <w:pPr>
              <w:pStyle w:val="TableText"/>
              <w:ind w:left="533"/>
              <w:spacing w:before="64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135(90.00)</w:t>
            </w:r>
          </w:p>
        </w:tc>
      </w:tr>
      <w:tr>
        <w:trPr>
          <w:trHeight w:val="314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748"/>
              <w:spacing w:before="52" w:line="249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4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</w:p>
        </w:tc>
        <w:tc>
          <w:tcPr>
            <w:tcW w:w="15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0" w:type="dxa"/>
            <w:vAlign w:val="top"/>
          </w:tcPr>
          <w:p>
            <w:pPr>
              <w:pStyle w:val="TableText"/>
              <w:ind w:left="656"/>
              <w:spacing w:before="71" w:line="231" w:lineRule="exact"/>
              <w:rPr/>
            </w:pPr>
            <w:r>
              <w:rPr>
                <w:color w:val="231F20"/>
                <w:spacing w:val="-9"/>
                <w:position w:val="1"/>
              </w:rPr>
              <w:t>15.790</w:t>
            </w:r>
          </w:p>
        </w:tc>
      </w:tr>
      <w:tr>
        <w:trPr>
          <w:trHeight w:val="287" w:hRule="atLeast"/>
        </w:trPr>
        <w:tc>
          <w:tcPr>
            <w:tcW w:w="1664" w:type="dxa"/>
            <w:vAlign w:val="top"/>
            <w:tcBorders>
              <w:bottom w:val="single" w:color="231F20" w:sz="4" w:space="0"/>
            </w:tcBorders>
          </w:tcPr>
          <w:p>
            <w:pPr>
              <w:ind w:left="763"/>
              <w:spacing w:before="89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51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82"/>
              <w:spacing w:before="58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</w:tr>
    </w:tbl>
    <w:p>
      <w:pPr>
        <w:pStyle w:val="BodyText"/>
        <w:ind w:left="1057"/>
        <w:spacing w:before="33" w:line="260" w:lineRule="exact"/>
        <w:rPr/>
      </w:pPr>
      <w:r>
        <w:rPr>
          <w:color w:val="231F20"/>
          <w:spacing w:val="-10"/>
          <w:position w:val="2"/>
        </w:rPr>
        <w:t>注</w:t>
      </w:r>
      <w:r>
        <w:rPr>
          <w:color w:val="231F20"/>
          <w:spacing w:val="-29"/>
          <w:position w:val="2"/>
        </w:rPr>
        <w:t xml:space="preserve"> </w:t>
      </w:r>
      <w:r>
        <w:rPr>
          <w:color w:val="231F20"/>
          <w:spacing w:val="-10"/>
          <w:position w:val="2"/>
        </w:rPr>
        <w:t>：与对照组对比</w:t>
      </w:r>
      <w:r>
        <w:rPr>
          <w:color w:val="231F20"/>
          <w:spacing w:val="-36"/>
          <w:position w:val="2"/>
        </w:rPr>
        <w:t xml:space="preserve"> </w:t>
      </w:r>
      <w:r>
        <w:rPr>
          <w:color w:val="231F20"/>
          <w:spacing w:val="-10"/>
          <w:position w:val="2"/>
        </w:rPr>
        <w:t>,</w:t>
      </w:r>
      <w:r>
        <w:rPr>
          <w:color w:val="231F20"/>
          <w:spacing w:val="-43"/>
          <w:position w:val="2"/>
        </w:rPr>
        <w:t xml:space="preserve"> </w:t>
      </w:r>
      <w:r>
        <w:rPr>
          <w:sz w:val="10"/>
          <w:szCs w:val="10"/>
          <w:color w:val="231F20"/>
          <w:spacing w:val="-10"/>
          <w:position w:val="10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  <w:position w:val="2"/>
        </w:rPr>
        <w:t>P&lt;</w:t>
      </w:r>
      <w:r>
        <w:rPr>
          <w:color w:val="231F20"/>
          <w:spacing w:val="-10"/>
          <w:position w:val="2"/>
        </w:rPr>
        <w:t>0.05</w:t>
      </w:r>
    </w:p>
    <w:p>
      <w:pPr>
        <w:pStyle w:val="BodyText"/>
        <w:ind w:left="3927"/>
        <w:spacing w:before="56" w:line="190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rFonts w:ascii="Times New Roman" w:hAnsi="Times New Roman" w:eastAsia="Times New Roman" w:cs="Times New Roman"/>
          <w:color w:val="231F20"/>
          <w:spacing w:val="-2"/>
        </w:rPr>
        <w:t>3    </w:t>
      </w:r>
      <w:r>
        <w:rPr>
          <w:color w:val="231F20"/>
          <w:spacing w:val="-2"/>
        </w:rPr>
        <w:t>两组患者并发症发生情况对比［n(%)］</w:t>
      </w:r>
    </w:p>
    <w:tbl>
      <w:tblPr>
        <w:tblStyle w:val="TableNormal"/>
        <w:tblW w:w="9751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1"/>
        <w:gridCol w:w="1274"/>
        <w:gridCol w:w="1471"/>
        <w:gridCol w:w="1432"/>
        <w:gridCol w:w="1317"/>
        <w:gridCol w:w="1442"/>
        <w:gridCol w:w="1384"/>
      </w:tblGrid>
      <w:tr>
        <w:trPr>
          <w:trHeight w:val="296" w:hRule="atLeast"/>
        </w:trPr>
        <w:tc>
          <w:tcPr>
            <w:tcW w:w="14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39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2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02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4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6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切口感染</w:t>
            </w:r>
          </w:p>
        </w:tc>
        <w:tc>
          <w:tcPr>
            <w:tcW w:w="14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82"/>
              <w:spacing w:before="72" w:line="206" w:lineRule="auto"/>
              <w:rPr/>
            </w:pPr>
            <w:r>
              <w:rPr>
                <w:color w:val="231F20"/>
                <w:spacing w:val="-1"/>
              </w:rPr>
              <w:t>腹腔脓肿</w:t>
            </w:r>
          </w:p>
        </w:tc>
        <w:tc>
          <w:tcPr>
            <w:tcW w:w="13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23"/>
              <w:spacing w:before="71" w:line="208" w:lineRule="auto"/>
              <w:rPr/>
            </w:pPr>
            <w:r>
              <w:rPr>
                <w:color w:val="231F20"/>
                <w:spacing w:val="-1"/>
              </w:rPr>
              <w:t>肠梗阻</w:t>
            </w:r>
          </w:p>
        </w:tc>
        <w:tc>
          <w:tcPr>
            <w:tcW w:w="14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19"/>
              <w:spacing w:before="71" w:line="208" w:lineRule="auto"/>
              <w:rPr/>
            </w:pPr>
            <w:r>
              <w:rPr>
                <w:color w:val="231F20"/>
                <w:spacing w:val="-1"/>
              </w:rPr>
              <w:t>术后出血</w:t>
            </w:r>
          </w:p>
        </w:tc>
        <w:tc>
          <w:tcPr>
            <w:tcW w:w="13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57"/>
              <w:spacing w:before="72" w:line="207" w:lineRule="auto"/>
              <w:rPr/>
            </w:pPr>
            <w:r>
              <w:rPr>
                <w:color w:val="231F20"/>
                <w:spacing w:val="-3"/>
              </w:rPr>
              <w:t>总发生</w:t>
            </w:r>
          </w:p>
        </w:tc>
      </w:tr>
      <w:tr>
        <w:trPr>
          <w:trHeight w:val="302" w:hRule="atLeast"/>
        </w:trPr>
        <w:tc>
          <w:tcPr>
            <w:tcW w:w="14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2"/>
              <w:spacing w:before="69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2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6"/>
              <w:spacing w:before="65" w:line="227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4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2"/>
              <w:spacing w:before="65" w:line="216" w:lineRule="exact"/>
              <w:rPr/>
            </w:pPr>
            <w:r>
              <w:rPr>
                <w:color w:val="231F20"/>
                <w:spacing w:val="-18"/>
                <w:position w:val="1"/>
              </w:rPr>
              <w:t>1(0.67)</w:t>
            </w:r>
          </w:p>
        </w:tc>
        <w:tc>
          <w:tcPr>
            <w:tcW w:w="1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4"/>
              <w:spacing w:before="65" w:line="216" w:lineRule="exact"/>
              <w:rPr/>
            </w:pPr>
            <w:r>
              <w:rPr>
                <w:color w:val="231F20"/>
                <w:spacing w:val="-18"/>
                <w:position w:val="1"/>
              </w:rPr>
              <w:t>1(0.67)</w:t>
            </w:r>
          </w:p>
        </w:tc>
        <w:tc>
          <w:tcPr>
            <w:tcW w:w="13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4"/>
              <w:spacing w:before="65" w:line="227" w:lineRule="exact"/>
              <w:rPr/>
            </w:pPr>
            <w:r>
              <w:rPr>
                <w:color w:val="231F20"/>
                <w:position w:val="1"/>
              </w:rPr>
              <w:t>0</w:t>
            </w:r>
          </w:p>
        </w:tc>
        <w:tc>
          <w:tcPr>
            <w:tcW w:w="14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1"/>
              <w:spacing w:before="65" w:line="216" w:lineRule="exact"/>
              <w:rPr/>
            </w:pPr>
            <w:r>
              <w:rPr>
                <w:color w:val="231F20"/>
                <w:spacing w:val="-18"/>
                <w:position w:val="1"/>
              </w:rPr>
              <w:t>1(0.67)</w:t>
            </w:r>
          </w:p>
        </w:tc>
        <w:tc>
          <w:tcPr>
            <w:tcW w:w="13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1"/>
              <w:spacing w:before="46" w:line="235" w:lineRule="exact"/>
              <w:rPr>
                <w:sz w:val="9"/>
                <w:szCs w:val="9"/>
              </w:rPr>
            </w:pPr>
            <w:r>
              <w:rPr>
                <w:color w:val="231F20"/>
                <w:spacing w:val="-15"/>
                <w:w w:val="96"/>
                <w:position w:val="1"/>
              </w:rPr>
              <w:t>3(2.00)</w:t>
            </w:r>
            <w:r>
              <w:rPr>
                <w:sz w:val="9"/>
                <w:szCs w:val="9"/>
                <w:color w:val="231F20"/>
                <w:spacing w:val="3"/>
                <w:position w:val="8"/>
              </w:rPr>
              <w:t>a</w:t>
            </w:r>
          </w:p>
        </w:tc>
      </w:tr>
      <w:tr>
        <w:trPr>
          <w:trHeight w:val="293" w:hRule="atLeast"/>
        </w:trPr>
        <w:tc>
          <w:tcPr>
            <w:tcW w:w="1431" w:type="dxa"/>
            <w:vAlign w:val="top"/>
          </w:tcPr>
          <w:p>
            <w:pPr>
              <w:pStyle w:val="TableText"/>
              <w:ind w:left="459"/>
              <w:spacing w:before="71" w:line="205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56"/>
              <w:spacing w:before="64" w:line="218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471" w:type="dxa"/>
            <w:vAlign w:val="top"/>
          </w:tcPr>
          <w:p>
            <w:pPr>
              <w:pStyle w:val="TableText"/>
              <w:ind w:left="560"/>
              <w:spacing w:before="64" w:line="216" w:lineRule="exact"/>
              <w:rPr/>
            </w:pPr>
            <w:r>
              <w:rPr>
                <w:color w:val="231F20"/>
                <w:spacing w:val="-15"/>
                <w:w w:val="99"/>
                <w:position w:val="1"/>
              </w:rPr>
              <w:t>6(4.00)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481"/>
              <w:spacing w:before="64" w:line="216" w:lineRule="exact"/>
              <w:rPr/>
            </w:pPr>
            <w:r>
              <w:rPr>
                <w:color w:val="231F20"/>
                <w:spacing w:val="-16"/>
                <w:position w:val="1"/>
              </w:rPr>
              <w:t>5(3.33)</w:t>
            </w:r>
          </w:p>
        </w:tc>
        <w:tc>
          <w:tcPr>
            <w:tcW w:w="1317" w:type="dxa"/>
            <w:vAlign w:val="top"/>
          </w:tcPr>
          <w:p>
            <w:pPr>
              <w:pStyle w:val="TableText"/>
              <w:ind w:left="445"/>
              <w:spacing w:before="64" w:line="216" w:lineRule="exact"/>
              <w:rPr/>
            </w:pPr>
            <w:r>
              <w:rPr>
                <w:color w:val="231F20"/>
                <w:spacing w:val="-16"/>
                <w:position w:val="1"/>
              </w:rPr>
              <w:t>3(2.00)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517"/>
              <w:spacing w:before="64" w:line="216" w:lineRule="exact"/>
              <w:rPr/>
            </w:pPr>
            <w:r>
              <w:rPr>
                <w:color w:val="231F20"/>
                <w:spacing w:val="-16"/>
                <w:position w:val="1"/>
              </w:rPr>
              <w:t>7(4.67)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390"/>
              <w:spacing w:before="64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21(14.00)</w:t>
            </w:r>
          </w:p>
        </w:tc>
      </w:tr>
      <w:tr>
        <w:trPr>
          <w:trHeight w:val="314" w:hRule="atLeast"/>
        </w:trPr>
        <w:tc>
          <w:tcPr>
            <w:tcW w:w="1431" w:type="dxa"/>
            <w:vAlign w:val="top"/>
          </w:tcPr>
          <w:p>
            <w:pPr>
              <w:pStyle w:val="TableText"/>
              <w:ind w:left="632"/>
              <w:spacing w:before="52" w:line="249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4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4" w:type="dxa"/>
            <w:vAlign w:val="top"/>
          </w:tcPr>
          <w:p>
            <w:pPr>
              <w:pStyle w:val="TableText"/>
              <w:ind w:left="486"/>
              <w:spacing w:before="71" w:line="231" w:lineRule="exact"/>
              <w:rPr/>
            </w:pPr>
            <w:r>
              <w:rPr>
                <w:color w:val="231F20"/>
                <w:spacing w:val="-9"/>
                <w:position w:val="1"/>
              </w:rPr>
              <w:t>14.674</w:t>
            </w:r>
          </w:p>
        </w:tc>
      </w:tr>
      <w:tr>
        <w:trPr>
          <w:trHeight w:val="287" w:hRule="atLeast"/>
        </w:trPr>
        <w:tc>
          <w:tcPr>
            <w:tcW w:w="1431" w:type="dxa"/>
            <w:vAlign w:val="top"/>
            <w:tcBorders>
              <w:bottom w:val="single" w:color="231F20" w:sz="4" w:space="0"/>
            </w:tcBorders>
          </w:tcPr>
          <w:p>
            <w:pPr>
              <w:ind w:left="647"/>
              <w:spacing w:before="89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27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2"/>
              <w:spacing w:before="58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</w:tr>
    </w:tbl>
    <w:p>
      <w:pPr>
        <w:pStyle w:val="BodyText"/>
        <w:ind w:left="1057"/>
        <w:spacing w:before="33" w:line="260" w:lineRule="exact"/>
        <w:rPr/>
      </w:pPr>
      <w:r>
        <w:rPr>
          <w:color w:val="231F20"/>
          <w:spacing w:val="-10"/>
          <w:position w:val="2"/>
        </w:rPr>
        <w:t>注</w:t>
      </w:r>
      <w:r>
        <w:rPr>
          <w:color w:val="231F20"/>
          <w:spacing w:val="-29"/>
          <w:position w:val="2"/>
        </w:rPr>
        <w:t xml:space="preserve"> </w:t>
      </w:r>
      <w:r>
        <w:rPr>
          <w:color w:val="231F20"/>
          <w:spacing w:val="-10"/>
          <w:position w:val="2"/>
        </w:rPr>
        <w:t>：与对照组对比</w:t>
      </w:r>
      <w:r>
        <w:rPr>
          <w:color w:val="231F20"/>
          <w:spacing w:val="-36"/>
          <w:position w:val="2"/>
        </w:rPr>
        <w:t xml:space="preserve"> </w:t>
      </w:r>
      <w:r>
        <w:rPr>
          <w:color w:val="231F20"/>
          <w:spacing w:val="-10"/>
          <w:position w:val="2"/>
        </w:rPr>
        <w:t>,</w:t>
      </w:r>
      <w:r>
        <w:rPr>
          <w:color w:val="231F20"/>
          <w:spacing w:val="-43"/>
          <w:position w:val="2"/>
        </w:rPr>
        <w:t xml:space="preserve"> </w:t>
      </w:r>
      <w:r>
        <w:rPr>
          <w:sz w:val="10"/>
          <w:szCs w:val="10"/>
          <w:color w:val="231F20"/>
          <w:spacing w:val="-10"/>
          <w:position w:val="10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  <w:position w:val="2"/>
        </w:rPr>
        <w:t>P&lt;</w:t>
      </w:r>
      <w:r>
        <w:rPr>
          <w:color w:val="231F20"/>
          <w:spacing w:val="-10"/>
          <w:position w:val="2"/>
        </w:rPr>
        <w:t>0.05</w:t>
      </w:r>
    </w:p>
    <w:p>
      <w:pPr>
        <w:pStyle w:val="BodyText"/>
        <w:ind w:left="3132"/>
        <w:spacing w:before="55" w:line="181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</w:rPr>
        <w:t>表 </w:t>
      </w:r>
      <w:r>
        <w:rPr>
          <w:rFonts w:ascii="Times New Roman" w:hAnsi="Times New Roman" w:eastAsia="Times New Roman" w:cs="Times New Roman"/>
          <w:color w:val="231F20"/>
        </w:rPr>
        <w:t>4    </w:t>
      </w:r>
      <w:r>
        <w:rPr>
          <w:color w:val="231F20"/>
        </w:rPr>
        <w:t>两组患者治疗前后的炎性因子水平</w:t>
      </w:r>
      <w:r>
        <w:rPr>
          <w:color w:val="231F20"/>
          <w:spacing w:val="-1"/>
        </w:rPr>
        <w:t>和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VAS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评分对比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 x</w:t>
      </w:r>
      <w:r>
        <w:rPr>
          <w:rFonts w:ascii="Times New Roman" w:hAnsi="Times New Roman" w:eastAsia="Times New Roman" w:cs="Times New Roman"/>
          <w:color w:val="231F20"/>
          <w:spacing w:val="-1"/>
          <w:position w:val="7"/>
        </w:rPr>
        <w:t>- </w:t>
      </w:r>
      <w:r>
        <w:rPr>
          <w:rFonts w:ascii="Times New Roman" w:hAnsi="Times New Roman" w:eastAsia="Times New Roman" w:cs="Times New Roman"/>
          <w:color w:val="231F20"/>
          <w:spacing w:val="-1"/>
        </w:rPr>
        <w:t>±s</w:t>
      </w:r>
      <w:r>
        <w:rPr>
          <w:color w:val="231F20"/>
          <w:spacing w:val="-1"/>
        </w:rPr>
        <w:t>)</w:t>
      </w:r>
    </w:p>
    <w:tbl>
      <w:tblPr>
        <w:tblStyle w:val="TableNormal"/>
        <w:tblW w:w="9751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7"/>
        <w:gridCol w:w="1181"/>
        <w:gridCol w:w="1245"/>
        <w:gridCol w:w="1193"/>
        <w:gridCol w:w="1219"/>
        <w:gridCol w:w="1219"/>
        <w:gridCol w:w="1220"/>
        <w:gridCol w:w="1217"/>
      </w:tblGrid>
      <w:tr>
        <w:trPr>
          <w:trHeight w:val="296" w:hRule="atLeast"/>
        </w:trPr>
        <w:tc>
          <w:tcPr>
            <w:tcW w:w="125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52"/>
              <w:spacing w:before="21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181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15"/>
              <w:spacing w:before="21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2438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  <w:right w:val="single" w:color="FFFFFF" w:sz="10" w:space="0"/>
            </w:tcBorders>
          </w:tcPr>
          <w:p>
            <w:pPr>
              <w:pStyle w:val="TableText"/>
              <w:ind w:left="849"/>
              <w:spacing w:before="65" w:line="241" w:lineRule="auto"/>
              <w:rPr/>
            </w:pPr>
            <w:r>
              <w:rPr>
                <w:color w:val="231F20"/>
                <w:spacing w:val="-12"/>
              </w:rPr>
              <w:t>IL-6(pg/ml)</w:t>
            </w:r>
          </w:p>
        </w:tc>
        <w:tc>
          <w:tcPr>
            <w:tcW w:w="2438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  <w:left w:val="single" w:color="FFFFFF" w:sz="10" w:space="0"/>
              <w:right w:val="single" w:color="FFFFFF" w:sz="10" w:space="0"/>
            </w:tcBorders>
          </w:tcPr>
          <w:p>
            <w:pPr>
              <w:pStyle w:val="TableText"/>
              <w:ind w:left="722"/>
              <w:spacing w:before="65" w:line="241" w:lineRule="auto"/>
              <w:rPr/>
            </w:pPr>
            <w:r>
              <w:rPr>
                <w:color w:val="231F20"/>
                <w:spacing w:val="-5"/>
              </w:rPr>
              <w:t>TNF-α(pg/ml)</w:t>
            </w:r>
          </w:p>
        </w:tc>
        <w:tc>
          <w:tcPr>
            <w:tcW w:w="243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  <w:left w:val="single" w:color="FFFFFF" w:sz="10" w:space="0"/>
            </w:tcBorders>
          </w:tcPr>
          <w:p>
            <w:pPr>
              <w:pStyle w:val="TableText"/>
              <w:ind w:left="699"/>
              <w:spacing w:before="65" w:line="215" w:lineRule="exact"/>
              <w:rPr/>
            </w:pPr>
            <w:r>
              <w:rPr>
                <w:color w:val="231F20"/>
                <w:spacing w:val="-1"/>
                <w:position w:val="1"/>
              </w:rPr>
              <w:t>VAS</w:t>
            </w:r>
            <w:r>
              <w:rPr>
                <w:color w:val="231F20"/>
                <w:spacing w:val="-33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评分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(</w:t>
            </w:r>
            <w:r>
              <w:rPr>
                <w:color w:val="231F20"/>
                <w:spacing w:val="-37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分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)</w:t>
            </w:r>
          </w:p>
        </w:tc>
      </w:tr>
      <w:tr>
        <w:trPr>
          <w:trHeight w:val="294" w:hRule="atLeast"/>
        </w:trPr>
        <w:tc>
          <w:tcPr>
            <w:tcW w:w="125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8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  <w:right w:val="single" w:color="FFFFFF" w:sz="10" w:space="0"/>
            </w:tcBorders>
          </w:tcPr>
          <w:p>
            <w:pPr>
              <w:pStyle w:val="TableText"/>
              <w:ind w:left="374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治疗前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2"/>
              </w:rPr>
              <w:t>治疗后</w:t>
            </w:r>
          </w:p>
        </w:tc>
        <w:tc>
          <w:tcPr>
            <w:tcW w:w="1219" w:type="dxa"/>
            <w:vAlign w:val="top"/>
            <w:tcBorders>
              <w:bottom w:val="single" w:color="231F20" w:sz="2" w:space="0"/>
              <w:top w:val="single" w:color="231F20" w:sz="2" w:space="0"/>
              <w:left w:val="single" w:color="FFFFFF" w:sz="10" w:space="0"/>
            </w:tcBorders>
          </w:tcPr>
          <w:p>
            <w:pPr>
              <w:pStyle w:val="TableText"/>
              <w:ind w:left="361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</w:tc>
        <w:tc>
          <w:tcPr>
            <w:tcW w:w="1219" w:type="dxa"/>
            <w:vAlign w:val="top"/>
            <w:tcBorders>
              <w:bottom w:val="single" w:color="231F20" w:sz="2" w:space="0"/>
              <w:top w:val="single" w:color="231F20" w:sz="2" w:space="0"/>
              <w:right w:val="single" w:color="FFFFFF" w:sz="10" w:space="0"/>
            </w:tcBorders>
          </w:tcPr>
          <w:p>
            <w:pPr>
              <w:pStyle w:val="TableText"/>
              <w:ind w:left="373"/>
              <w:spacing w:before="70" w:line="211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</w:tc>
        <w:tc>
          <w:tcPr>
            <w:tcW w:w="1220" w:type="dxa"/>
            <w:vAlign w:val="top"/>
            <w:tcBorders>
              <w:bottom w:val="single" w:color="231F20" w:sz="2" w:space="0"/>
              <w:top w:val="single" w:color="231F20" w:sz="2" w:space="0"/>
              <w:left w:val="single" w:color="FFFFFF" w:sz="10" w:space="0"/>
            </w:tcBorders>
          </w:tcPr>
          <w:p>
            <w:pPr>
              <w:pStyle w:val="TableText"/>
              <w:ind w:left="361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</w:tc>
        <w:tc>
          <w:tcPr>
            <w:tcW w:w="121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2"/>
              <w:spacing w:before="70" w:line="211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</w:tc>
      </w:tr>
      <w:tr>
        <w:trPr>
          <w:trHeight w:val="294" w:hRule="atLeast"/>
        </w:trPr>
        <w:tc>
          <w:tcPr>
            <w:tcW w:w="12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5"/>
              <w:spacing w:before="70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1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9"/>
              <w:spacing w:before="66" w:line="218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2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0"/>
              <w:spacing w:before="66" w:line="218" w:lineRule="exact"/>
              <w:rPr/>
            </w:pPr>
            <w:r>
              <w:rPr>
                <w:color w:val="231F20"/>
                <w:spacing w:val="-9"/>
                <w:position w:val="1"/>
              </w:rPr>
              <w:t>143.37±12.36</w:t>
            </w:r>
          </w:p>
        </w:tc>
        <w:tc>
          <w:tcPr>
            <w:tcW w:w="11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2"/>
              <w:spacing w:before="47" w:line="237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104.73±8.84</w:t>
            </w:r>
            <w:r>
              <w:rPr>
                <w:sz w:val="9"/>
                <w:szCs w:val="9"/>
                <w:color w:val="231F20"/>
                <w:spacing w:val="5"/>
                <w:position w:val="8"/>
              </w:rPr>
              <w:t>a</w:t>
            </w:r>
          </w:p>
        </w:tc>
        <w:tc>
          <w:tcPr>
            <w:tcW w:w="12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5"/>
              <w:spacing w:before="66" w:line="218" w:lineRule="exact"/>
              <w:rPr/>
            </w:pPr>
            <w:r>
              <w:rPr>
                <w:color w:val="231F20"/>
                <w:spacing w:val="-9"/>
                <w:position w:val="1"/>
              </w:rPr>
              <w:t>78.93±7.62</w:t>
            </w:r>
          </w:p>
        </w:tc>
        <w:tc>
          <w:tcPr>
            <w:tcW w:w="12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5"/>
              <w:spacing w:before="47" w:line="237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1"/>
              </w:rPr>
              <w:t>53.54±5.11</w:t>
            </w:r>
            <w:r>
              <w:rPr>
                <w:sz w:val="9"/>
                <w:szCs w:val="9"/>
                <w:color w:val="231F20"/>
                <w:spacing w:val="8"/>
                <w:position w:val="8"/>
              </w:rPr>
              <w:t>a</w:t>
            </w:r>
          </w:p>
        </w:tc>
        <w:tc>
          <w:tcPr>
            <w:tcW w:w="12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4"/>
              <w:spacing w:before="66" w:line="218" w:lineRule="exact"/>
              <w:rPr/>
            </w:pPr>
            <w:r>
              <w:rPr>
                <w:color w:val="231F20"/>
                <w:spacing w:val="-10"/>
                <w:position w:val="1"/>
              </w:rPr>
              <w:t>7.62±0.35</w:t>
            </w:r>
          </w:p>
        </w:tc>
        <w:tc>
          <w:tcPr>
            <w:tcW w:w="12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6"/>
              <w:spacing w:before="47" w:line="237" w:lineRule="exact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1"/>
              </w:rPr>
              <w:t>1.27±0.09</w:t>
            </w:r>
            <w:r>
              <w:rPr>
                <w:sz w:val="9"/>
                <w:szCs w:val="9"/>
                <w:color w:val="231F20"/>
                <w:spacing w:val="4"/>
                <w:position w:val="8"/>
              </w:rPr>
              <w:t>a</w:t>
            </w:r>
          </w:p>
        </w:tc>
      </w:tr>
      <w:tr>
        <w:trPr>
          <w:trHeight w:val="306" w:hRule="atLeast"/>
        </w:trPr>
        <w:tc>
          <w:tcPr>
            <w:tcW w:w="1257" w:type="dxa"/>
            <w:vAlign w:val="top"/>
          </w:tcPr>
          <w:p>
            <w:pPr>
              <w:pStyle w:val="TableText"/>
              <w:ind w:left="372"/>
              <w:spacing w:before="80" w:line="205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469"/>
              <w:spacing w:before="72" w:line="224" w:lineRule="exact"/>
              <w:rPr/>
            </w:pPr>
            <w:r>
              <w:rPr>
                <w:color w:val="231F20"/>
                <w:spacing w:val="-5"/>
                <w:position w:val="1"/>
              </w:rPr>
              <w:t>150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150"/>
              <w:spacing w:before="72" w:line="224" w:lineRule="exact"/>
              <w:rPr/>
            </w:pPr>
            <w:r>
              <w:rPr>
                <w:color w:val="231F20"/>
                <w:spacing w:val="-9"/>
                <w:position w:val="1"/>
              </w:rPr>
              <w:t>143.02±12.33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163"/>
              <w:spacing w:before="72" w:line="224" w:lineRule="exact"/>
              <w:rPr/>
            </w:pPr>
            <w:r>
              <w:rPr>
                <w:color w:val="231F20"/>
                <w:spacing w:val="-10"/>
                <w:position w:val="1"/>
              </w:rPr>
              <w:t>122.52±9.96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215"/>
              <w:spacing w:before="72" w:line="224" w:lineRule="exact"/>
              <w:rPr/>
            </w:pPr>
            <w:r>
              <w:rPr>
                <w:color w:val="231F20"/>
                <w:spacing w:val="-9"/>
                <w:position w:val="1"/>
              </w:rPr>
              <w:t>79.29±7.65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216"/>
              <w:spacing w:before="72" w:line="224" w:lineRule="exact"/>
              <w:rPr/>
            </w:pPr>
            <w:r>
              <w:rPr>
                <w:color w:val="231F20"/>
                <w:spacing w:val="-10"/>
                <w:position w:val="1"/>
              </w:rPr>
              <w:t>66.84±6.37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54"/>
              <w:spacing w:before="72" w:line="224" w:lineRule="exact"/>
              <w:rPr/>
            </w:pPr>
            <w:r>
              <w:rPr>
                <w:color w:val="231F20"/>
                <w:spacing w:val="-10"/>
                <w:position w:val="1"/>
              </w:rPr>
              <w:t>7.59±0.32</w:t>
            </w:r>
          </w:p>
        </w:tc>
        <w:tc>
          <w:tcPr>
            <w:tcW w:w="1217" w:type="dxa"/>
            <w:vAlign w:val="top"/>
          </w:tcPr>
          <w:p>
            <w:pPr>
              <w:pStyle w:val="TableText"/>
              <w:ind w:left="257"/>
              <w:spacing w:before="72" w:line="224" w:lineRule="exact"/>
              <w:rPr/>
            </w:pPr>
            <w:r>
              <w:rPr>
                <w:color w:val="231F20"/>
                <w:spacing w:val="-11"/>
                <w:position w:val="1"/>
              </w:rPr>
              <w:t>3.08±0.14</w:t>
            </w:r>
          </w:p>
        </w:tc>
      </w:tr>
      <w:tr>
        <w:trPr>
          <w:trHeight w:val="293" w:hRule="atLeast"/>
        </w:trPr>
        <w:tc>
          <w:tcPr>
            <w:tcW w:w="1257" w:type="dxa"/>
            <w:vAlign w:val="top"/>
          </w:tcPr>
          <w:p>
            <w:pPr>
              <w:ind w:left="589"/>
              <w:spacing w:before="125" w:line="11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-2"/>
              </w:rPr>
              <w:t>t</w:t>
            </w:r>
          </w:p>
        </w:tc>
        <w:tc>
          <w:tcPr>
            <w:tcW w:w="11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5" w:type="dxa"/>
            <w:vAlign w:val="top"/>
          </w:tcPr>
          <w:p>
            <w:pPr>
              <w:pStyle w:val="TableText"/>
              <w:ind w:left="434"/>
              <w:spacing w:before="67" w:line="215" w:lineRule="exact"/>
              <w:rPr/>
            </w:pPr>
            <w:r>
              <w:rPr>
                <w:color w:val="231F20"/>
                <w:spacing w:val="-8"/>
                <w:position w:val="1"/>
              </w:rPr>
              <w:t>0.246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82"/>
              <w:spacing w:before="67" w:line="215" w:lineRule="exact"/>
              <w:rPr/>
            </w:pPr>
            <w:r>
              <w:rPr>
                <w:color w:val="231F20"/>
                <w:spacing w:val="-9"/>
                <w:position w:val="1"/>
              </w:rPr>
              <w:t>16.361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434"/>
              <w:spacing w:before="67" w:line="215" w:lineRule="exact"/>
              <w:rPr/>
            </w:pPr>
            <w:r>
              <w:rPr>
                <w:color w:val="231F20"/>
                <w:spacing w:val="-8"/>
                <w:position w:val="1"/>
              </w:rPr>
              <w:t>0.408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408"/>
              <w:spacing w:before="67" w:line="215" w:lineRule="exact"/>
              <w:rPr/>
            </w:pPr>
            <w:r>
              <w:rPr>
                <w:color w:val="231F20"/>
                <w:spacing w:val="-9"/>
                <w:position w:val="1"/>
              </w:rPr>
              <w:t>19.947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434"/>
              <w:spacing w:before="67" w:line="215" w:lineRule="exact"/>
              <w:rPr/>
            </w:pPr>
            <w:r>
              <w:rPr>
                <w:color w:val="231F20"/>
                <w:spacing w:val="-8"/>
                <w:position w:val="1"/>
              </w:rPr>
              <w:t>0.775</w:t>
            </w:r>
          </w:p>
        </w:tc>
        <w:tc>
          <w:tcPr>
            <w:tcW w:w="1217" w:type="dxa"/>
            <w:vAlign w:val="top"/>
          </w:tcPr>
          <w:p>
            <w:pPr>
              <w:pStyle w:val="TableText"/>
              <w:ind w:left="367"/>
              <w:spacing w:before="67" w:line="215" w:lineRule="exact"/>
              <w:rPr/>
            </w:pPr>
            <w:r>
              <w:rPr>
                <w:color w:val="231F20"/>
                <w:spacing w:val="-8"/>
                <w:position w:val="1"/>
              </w:rPr>
              <w:t>133.194</w:t>
            </w:r>
          </w:p>
        </w:tc>
      </w:tr>
      <w:tr>
        <w:trPr>
          <w:trHeight w:val="303" w:hRule="atLeast"/>
        </w:trPr>
        <w:tc>
          <w:tcPr>
            <w:tcW w:w="1257" w:type="dxa"/>
            <w:vAlign w:val="top"/>
            <w:tcBorders>
              <w:bottom w:val="single" w:color="231F20" w:sz="4" w:space="0"/>
            </w:tcBorders>
          </w:tcPr>
          <w:p>
            <w:pPr>
              <w:ind w:left="559"/>
              <w:spacing w:before="105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18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4"/>
              <w:spacing w:before="7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0.806</w:t>
            </w:r>
          </w:p>
        </w:tc>
        <w:tc>
          <w:tcPr>
            <w:tcW w:w="11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08"/>
              <w:spacing w:before="7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2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4"/>
              <w:spacing w:before="7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0.683</w:t>
            </w:r>
          </w:p>
        </w:tc>
        <w:tc>
          <w:tcPr>
            <w:tcW w:w="12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4"/>
              <w:spacing w:before="7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12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4"/>
              <w:spacing w:before="7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0.439</w:t>
            </w:r>
          </w:p>
        </w:tc>
        <w:tc>
          <w:tcPr>
            <w:tcW w:w="12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2"/>
              <w:spacing w:before="7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7178"/>
          <w:pgMar w:top="1542" w:right="1236" w:bottom="0" w:left="424" w:header="1219" w:footer="0" w:gutter="0"/>
          <w:cols w:equalWidth="0" w:num="1">
            <w:col w:w="105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57"/>
        <w:spacing w:before="34" w:line="259" w:lineRule="exact"/>
        <w:rPr/>
      </w:pPr>
      <w:r>
        <w:rPr>
          <w:color w:val="231F20"/>
          <w:spacing w:val="-9"/>
          <w:position w:val="2"/>
        </w:rPr>
        <w:t>注</w:t>
      </w:r>
      <w:r>
        <w:rPr>
          <w:color w:val="231F20"/>
          <w:spacing w:val="-18"/>
          <w:position w:val="2"/>
        </w:rPr>
        <w:t xml:space="preserve"> </w:t>
      </w:r>
      <w:r>
        <w:rPr>
          <w:color w:val="231F20"/>
          <w:spacing w:val="-9"/>
          <w:position w:val="2"/>
        </w:rPr>
        <w:t>：与对照组治疗后对比</w:t>
      </w:r>
      <w:r>
        <w:rPr>
          <w:color w:val="231F20"/>
          <w:spacing w:val="-36"/>
          <w:position w:val="2"/>
        </w:rPr>
        <w:t xml:space="preserve"> </w:t>
      </w:r>
      <w:r>
        <w:rPr>
          <w:color w:val="231F20"/>
          <w:spacing w:val="-9"/>
          <w:position w:val="2"/>
        </w:rPr>
        <w:t>,</w:t>
      </w:r>
      <w:r>
        <w:rPr>
          <w:color w:val="231F20"/>
          <w:spacing w:val="-43"/>
          <w:position w:val="2"/>
        </w:rPr>
        <w:t xml:space="preserve"> </w:t>
      </w:r>
      <w:r>
        <w:rPr>
          <w:sz w:val="10"/>
          <w:szCs w:val="10"/>
          <w:color w:val="231F20"/>
          <w:spacing w:val="-9"/>
          <w:position w:val="10"/>
        </w:rPr>
        <w:t>a</w:t>
      </w:r>
      <w:r>
        <w:rPr>
          <w:rFonts w:ascii="Times New Roman" w:hAnsi="Times New Roman" w:eastAsia="Times New Roman" w:cs="Times New Roman"/>
          <w:color w:val="231F20"/>
          <w:spacing w:val="-9"/>
          <w:position w:val="2"/>
        </w:rPr>
        <w:t>P&lt;</w:t>
      </w:r>
      <w:r>
        <w:rPr>
          <w:color w:val="231F20"/>
          <w:spacing w:val="-9"/>
          <w:position w:val="2"/>
        </w:rPr>
        <w:t>0.05</w:t>
      </w:r>
    </w:p>
    <w:p>
      <w:pPr>
        <w:ind w:left="769"/>
        <w:spacing w:before="15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讨论</w:t>
      </w:r>
    </w:p>
    <w:p>
      <w:pPr>
        <w:pStyle w:val="BodyText"/>
        <w:ind w:left="769" w:right="241" w:firstLine="438"/>
        <w:spacing w:before="15" w:line="27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阑尾炎在临床上有较高的发病率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1"/>
        </w:rPr>
        <w:t>,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"/>
        </w:rPr>
        <w:t>疾病的产生与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梗阻、感染等因素有关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2"/>
        </w:rPr>
        <w:t>导致患者出现发热、腹部疼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痛等症状</w:t>
      </w:r>
      <w:r>
        <w:rPr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,</w:t>
      </w:r>
      <w:r>
        <w:rPr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对患者的身心健康有较大影响</w:t>
      </w:r>
      <w:r>
        <w:rPr>
          <w:sz w:val="11"/>
          <w:szCs w:val="11"/>
          <w:color w:val="231F20"/>
          <w:spacing w:val="-2"/>
          <w:position w:val="8"/>
        </w:rPr>
        <w:t>［9, 10］</w:t>
      </w:r>
      <w:r>
        <w:rPr>
          <w:sz w:val="20"/>
          <w:szCs w:val="20"/>
          <w:color w:val="231F20"/>
          <w:spacing w:val="-2"/>
          <w:position w:val="-1"/>
        </w:rPr>
        <w:t>。复杂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3"/>
        </w:rPr>
        <w:t>性阑尾炎包括坏疽性阑尾炎、穿孔性阑尾炎、阑尾周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围脓肿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8"/>
        </w:rPr>
        <w:t>这些疾病较为复杂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8"/>
        </w:rPr>
        <w:t>病情较为严重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9"/>
        </w:rPr>
        <w:t>常规的保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  <w:position w:val="-2"/>
        </w:rPr>
        <w:t>守治疗难以有效改善病情</w:t>
      </w:r>
      <w:r>
        <w:rPr>
          <w:sz w:val="11"/>
          <w:szCs w:val="11"/>
          <w:color w:val="231F20"/>
          <w:spacing w:val="-4"/>
          <w:position w:val="7"/>
        </w:rPr>
        <w:t>［11, 12］</w:t>
      </w:r>
      <w:r>
        <w:rPr>
          <w:sz w:val="20"/>
          <w:szCs w:val="20"/>
          <w:color w:val="231F20"/>
          <w:spacing w:val="-4"/>
          <w:position w:val="-2"/>
        </w:rPr>
        <w:t>。</w:t>
      </w:r>
    </w:p>
    <w:p>
      <w:pPr>
        <w:pStyle w:val="BodyText"/>
        <w:ind w:left="768" w:right="242" w:firstLine="459"/>
        <w:spacing w:before="36" w:line="23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目前临床上在治疗复杂性阑尾炎时常采取手术治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疗方案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通过手术治疗可以将阑尾切除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6"/>
        </w:rPr>
        <w:t>快速有效改善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66" w:line="26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-1"/>
        </w:rPr>
        <w:t>病情</w:t>
      </w:r>
      <w:r>
        <w:rPr>
          <w:sz w:val="11"/>
          <w:szCs w:val="11"/>
          <w:color w:val="231F20"/>
          <w:spacing w:val="-2"/>
          <w:position w:val="8"/>
        </w:rPr>
        <w:t>［13, 14］</w:t>
      </w:r>
      <w:r>
        <w:rPr>
          <w:sz w:val="20"/>
          <w:szCs w:val="20"/>
          <w:color w:val="231F20"/>
          <w:spacing w:val="-2"/>
          <w:position w:val="-1"/>
        </w:rPr>
        <w:t>。常规开腹阑尾切除术在临床上有着广泛应</w:t>
      </w:r>
      <w:r>
        <w:rPr>
          <w:sz w:val="20"/>
          <w:szCs w:val="20"/>
          <w:color w:val="231F20"/>
          <w:spacing w:val="8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用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此种手术方案能够有效切除阑尾组织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6"/>
        </w:rPr>
        <w:t>快速减轻患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者症状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3"/>
        </w:rPr>
        <w:t>；但常规开腹阑尾切除术治疗所需切口较大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3"/>
        </w:rPr>
        <w:t>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术中有较多出血量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6"/>
        </w:rPr>
        <w:t>术后切口恢复时间较长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6"/>
        </w:rPr>
        <w:t>容易出现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并发症</w:t>
      </w:r>
      <w:r>
        <w:rPr>
          <w:sz w:val="20"/>
          <w:szCs w:val="20"/>
          <w:color w:val="231F20"/>
          <w:spacing w:val="-39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,</w:t>
      </w:r>
      <w:r>
        <w:rPr>
          <w:sz w:val="20"/>
          <w:szCs w:val="20"/>
          <w:color w:val="231F20"/>
          <w:spacing w:val="-42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患者术后疼痛感明显</w:t>
      </w:r>
      <w:r>
        <w:rPr>
          <w:sz w:val="20"/>
          <w:szCs w:val="20"/>
          <w:color w:val="231F20"/>
          <w:spacing w:val="-40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,</w:t>
      </w:r>
      <w:r>
        <w:rPr>
          <w:sz w:val="20"/>
          <w:szCs w:val="20"/>
          <w:color w:val="231F20"/>
          <w:spacing w:val="-46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不利于快速康复</w:t>
      </w:r>
      <w:r>
        <w:rPr>
          <w:sz w:val="11"/>
          <w:szCs w:val="11"/>
          <w:color w:val="231F20"/>
          <w:spacing w:val="-5"/>
          <w:position w:val="8"/>
        </w:rPr>
        <w:t>［15</w:t>
      </w:r>
      <w:r>
        <w:rPr>
          <w:sz w:val="11"/>
          <w:szCs w:val="11"/>
          <w:color w:val="231F20"/>
          <w:spacing w:val="-6"/>
          <w:position w:val="8"/>
        </w:rPr>
        <w:t>, 16</w:t>
      </w:r>
      <w:r>
        <w:rPr>
          <w:sz w:val="11"/>
          <w:szCs w:val="11"/>
          <w:color w:val="231F20"/>
          <w:spacing w:val="-3"/>
          <w:position w:val="8"/>
        </w:rPr>
        <w:t>］</w:t>
      </w:r>
      <w:r>
        <w:rPr>
          <w:sz w:val="20"/>
          <w:szCs w:val="20"/>
          <w:color w:val="231F20"/>
          <w:spacing w:val="-45"/>
          <w:w w:val="89"/>
          <w:position w:val="-1"/>
        </w:rPr>
        <w:t>；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4"/>
        </w:rPr>
        <w:t>且常规开腹阑尾切除术不能清晰探查阑尾与周围组织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2"/>
        </w:rPr>
        <w:t>的关系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容易出现切除不彻底或者损伤周围组织的情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况</w:t>
      </w:r>
      <w:r>
        <w:rPr>
          <w:sz w:val="20"/>
          <w:szCs w:val="20"/>
          <w:color w:val="231F20"/>
          <w:spacing w:val="-36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,</w:t>
      </w:r>
      <w:r>
        <w:rPr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治疗效果不显著</w:t>
      </w:r>
      <w:r>
        <w:rPr>
          <w:sz w:val="11"/>
          <w:szCs w:val="11"/>
          <w:color w:val="231F20"/>
          <w:spacing w:val="-3"/>
          <w:position w:val="8"/>
        </w:rPr>
        <w:t>［17, 18］</w:t>
      </w:r>
      <w:r>
        <w:rPr>
          <w:sz w:val="20"/>
          <w:szCs w:val="20"/>
          <w:color w:val="231F20"/>
          <w:spacing w:val="-3"/>
          <w:position w:val="-1"/>
        </w:rPr>
        <w:t>。随着腹腔镜手术的发展和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应用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腹腔镜阑尾切除术在临床上逐渐推广应用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6"/>
        </w:rPr>
        <w:t>并取</w:t>
      </w:r>
    </w:p>
    <w:p>
      <w:pPr>
        <w:spacing w:line="269" w:lineRule="auto"/>
        <w:sectPr>
          <w:type w:val="continuous"/>
          <w:pgSz w:w="12246" w:h="17178"/>
          <w:pgMar w:top="1542" w:right="1236" w:bottom="0" w:left="424" w:header="1219" w:footer="0" w:gutter="0"/>
          <w:cols w:equalWidth="0" w:num="2">
            <w:col w:w="5715" w:space="100"/>
            <w:col w:w="4771" w:space="0"/>
          </w:cols>
        </w:sectPr>
        <w:rPr>
          <w:sz w:val="20"/>
          <w:szCs w:val="20"/>
        </w:rPr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4"/>
          <w:pgSz w:w="12246" w:h="17178"/>
          <w:pgMar w:top="1542" w:right="1108" w:bottom="0" w:left="424" w:header="1219" w:footer="0" w:gutter="0"/>
          <w:cols w:equalWidth="0" w:num="1">
            <w:col w:w="10714" w:space="0"/>
          </w:cols>
        </w:sectPr>
        <w:rPr/>
      </w:pPr>
    </w:p>
    <w:p>
      <w:pPr>
        <w:pStyle w:val="BodyText"/>
        <w:ind w:left="883" w:right="156"/>
        <w:spacing w:before="47" w:line="27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-1"/>
        </w:rPr>
        <w:t>得显著的临床治疗效果</w:t>
      </w:r>
      <w:r>
        <w:rPr>
          <w:sz w:val="11"/>
          <w:szCs w:val="11"/>
          <w:color w:val="231F20"/>
          <w:spacing w:val="-2"/>
          <w:position w:val="8"/>
        </w:rPr>
        <w:t>［19, 20］</w:t>
      </w:r>
      <w:r>
        <w:rPr>
          <w:sz w:val="20"/>
          <w:szCs w:val="20"/>
          <w:color w:val="231F20"/>
          <w:spacing w:val="-2"/>
          <w:position w:val="-1"/>
        </w:rPr>
        <w:t>。腹腔镜阑尾切除术是一</w:t>
      </w:r>
      <w:r>
        <w:rPr>
          <w:sz w:val="20"/>
          <w:szCs w:val="20"/>
          <w:color w:val="231F20"/>
          <w:spacing w:val="8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种微创治疗方案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6"/>
        </w:rPr>
        <w:t>在手术时所需要的手术切口较小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效减小了手术创伤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有效减少手术过程中的出血量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对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减少术后并发症发生有积极作用</w:t>
      </w:r>
      <w:r>
        <w:rPr>
          <w:sz w:val="11"/>
          <w:szCs w:val="11"/>
          <w:color w:val="231F20"/>
          <w:spacing w:val="-2"/>
          <w:position w:val="8"/>
        </w:rPr>
        <w:t>［21, 22］</w:t>
      </w:r>
      <w:r>
        <w:rPr>
          <w:sz w:val="20"/>
          <w:szCs w:val="20"/>
          <w:color w:val="231F20"/>
          <w:spacing w:val="-2"/>
          <w:position w:val="-1"/>
        </w:rPr>
        <w:t>。在实施腹腔镜</w:t>
      </w:r>
      <w:r>
        <w:rPr>
          <w:sz w:val="20"/>
          <w:szCs w:val="20"/>
          <w:color w:val="231F20"/>
          <w:spacing w:val="8"/>
          <w:position w:val="-1"/>
        </w:rPr>
        <w:t xml:space="preserve"> </w:t>
      </w:r>
      <w:r>
        <w:rPr>
          <w:sz w:val="20"/>
          <w:szCs w:val="20"/>
          <w:color w:val="231F20"/>
          <w:spacing w:val="2"/>
        </w:rPr>
        <w:t>阑尾切除术治疗时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2"/>
        </w:rPr>
        <w:t>通过腹腔镜可以对阑尾及周围组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织进行清晰、全面的探查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进而可以准确切除阑尾组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织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避免对周围其他组织造成损伤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6"/>
        </w:rPr>
        <w:t>这对促使患者术后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2"/>
        </w:rPr>
        <w:t>的康复有积极作用</w:t>
      </w:r>
      <w:r>
        <w:rPr>
          <w:sz w:val="11"/>
          <w:szCs w:val="11"/>
          <w:color w:val="231F20"/>
          <w:spacing w:val="-1"/>
          <w:position w:val="7"/>
        </w:rPr>
        <w:t>［23-25］</w:t>
      </w:r>
      <w:r>
        <w:rPr>
          <w:sz w:val="20"/>
          <w:szCs w:val="20"/>
          <w:color w:val="231F20"/>
          <w:spacing w:val="-1"/>
          <w:position w:val="-2"/>
        </w:rPr>
        <w:t>。</w:t>
      </w:r>
    </w:p>
    <w:p>
      <w:pPr>
        <w:pStyle w:val="BodyText"/>
        <w:ind w:left="883" w:right="157" w:firstLine="417"/>
        <w:spacing w:before="10" w:line="27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综上所述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2"/>
        </w:rPr>
        <w:t>,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2"/>
        </w:rPr>
        <w:t>复杂性阑尾炎使用腹腔镜阑尾切</w:t>
      </w:r>
      <w:r>
        <w:rPr>
          <w:sz w:val="20"/>
          <w:szCs w:val="20"/>
          <w:color w:val="231F20"/>
          <w:spacing w:val="1"/>
        </w:rPr>
        <w:t>除术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治疗可以减少创伤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6"/>
        </w:rPr>
        <w:t>术后的并发症较少、疼痛较轻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效减轻了炎症反应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,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术后康复较快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, 临床治疗效</w:t>
      </w:r>
      <w:r>
        <w:rPr>
          <w:sz w:val="20"/>
          <w:szCs w:val="20"/>
          <w:color w:val="231F20"/>
          <w:spacing w:val="-1"/>
        </w:rPr>
        <w:t>果显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著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7"/>
        </w:rPr>
        <w:t>值得在临床上推广应用。</w:t>
      </w:r>
    </w:p>
    <w:p>
      <w:pPr>
        <w:ind w:left="2644"/>
        <w:spacing w:before="178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献</w:t>
      </w:r>
    </w:p>
    <w:p>
      <w:pPr>
        <w:pStyle w:val="BodyText"/>
        <w:ind w:left="1311" w:right="157" w:hanging="514"/>
        <w:spacing w:before="199" w:line="2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［1］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3"/>
        </w:rPr>
        <w:t>张平峰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孙胜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腹腔镜下系膜剥离法阑尾切除</w:t>
      </w:r>
      <w:r>
        <w:rPr>
          <w:sz w:val="16"/>
          <w:szCs w:val="16"/>
          <w:color w:val="231F20"/>
          <w:spacing w:val="-4"/>
        </w:rPr>
        <w:t>术对急性阑尾炎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患者术后炎症反应的影响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检验医学与临床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2023,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20(7):1012-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1014.</w:t>
      </w:r>
    </w:p>
    <w:p>
      <w:pPr>
        <w:pStyle w:val="BodyText"/>
        <w:ind w:left="1307" w:right="158" w:hanging="510"/>
        <w:spacing w:before="29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［2］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9"/>
        </w:rPr>
        <w:t>苗家园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9"/>
        </w:rPr>
        <w:t>,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9"/>
        </w:rPr>
        <w:t>赵晓波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9"/>
        </w:rPr>
        <w:t>,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9"/>
        </w:rPr>
        <w:t>徐渭贤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9"/>
        </w:rPr>
        <w:t>,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9"/>
        </w:rPr>
        <w:t>等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9"/>
        </w:rPr>
        <w:t>.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9"/>
        </w:rPr>
        <w:t>高清腹腔镜下阑尾切除术治疗小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儿复杂性阑尾炎的效果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9"/>
        </w:rPr>
        <w:t>.</w:t>
      </w:r>
      <w:r>
        <w:rPr>
          <w:sz w:val="16"/>
          <w:szCs w:val="16"/>
          <w:color w:val="231F20"/>
          <w:spacing w:val="-44"/>
        </w:rPr>
        <w:t xml:space="preserve"> </w:t>
      </w:r>
      <w:r>
        <w:rPr>
          <w:sz w:val="16"/>
          <w:szCs w:val="16"/>
          <w:color w:val="231F20"/>
          <w:spacing w:val="-9"/>
        </w:rPr>
        <w:t>局解手术学杂志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9"/>
        </w:rPr>
        <w:t>,</w:t>
      </w:r>
      <w:r>
        <w:rPr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color w:val="231F20"/>
          <w:spacing w:val="-9"/>
        </w:rPr>
        <w:t>2023,</w:t>
      </w:r>
      <w:r>
        <w:rPr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10"/>
        </w:rPr>
        <w:t>32(5):413-416.</w:t>
      </w:r>
    </w:p>
    <w:p>
      <w:pPr>
        <w:pStyle w:val="BodyText"/>
        <w:ind w:left="1309" w:right="157" w:hanging="512"/>
        <w:spacing w:before="49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［3］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2"/>
        </w:rPr>
        <w:t>唐海微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2"/>
        </w:rPr>
        <w:t>腹腔镜阑尾切除术在急性化脓性阑尾炎与复杂性阑尾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炎中的应用分析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9"/>
        </w:rPr>
        <w:t>.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9"/>
        </w:rPr>
        <w:t>中国现代药物应用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9"/>
        </w:rPr>
        <w:t>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9"/>
        </w:rPr>
        <w:t>2023,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9"/>
        </w:rPr>
        <w:t>17(1):48-50.</w:t>
      </w:r>
    </w:p>
    <w:p>
      <w:pPr>
        <w:pStyle w:val="BodyText"/>
        <w:ind w:left="1307" w:right="157" w:hanging="510"/>
        <w:spacing w:before="49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［4］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-6"/>
        </w:rPr>
        <w:t>郭丽贞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6"/>
        </w:rPr>
        <w:t>,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洪志华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6"/>
        </w:rPr>
        <w:t>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王建峰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6"/>
        </w:rPr>
        <w:t>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等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经脐免气腹单孔腹腔镜辅助体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外阑尾切除术治疗儿童非复杂性阑尾炎的效果观察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3"/>
        </w:rPr>
        <w:t>浙江临床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医学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0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10"/>
        </w:rPr>
        <w:t>2023,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10"/>
        </w:rPr>
        <w:t>25(5):708-710.</w:t>
      </w:r>
    </w:p>
    <w:p>
      <w:pPr>
        <w:pStyle w:val="BodyText"/>
        <w:ind w:left="1309" w:right="156" w:hanging="512"/>
        <w:spacing w:before="49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［5］</w:t>
      </w:r>
      <w:r>
        <w:rPr>
          <w:sz w:val="16"/>
          <w:szCs w:val="16"/>
          <w:color w:val="231F20"/>
          <w:spacing w:val="46"/>
        </w:rPr>
        <w:t xml:space="preserve"> </w:t>
      </w:r>
      <w:r>
        <w:rPr>
          <w:sz w:val="16"/>
          <w:szCs w:val="16"/>
          <w:color w:val="231F20"/>
          <w:spacing w:val="1"/>
        </w:rPr>
        <w:t>刘思扬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1"/>
        </w:rPr>
        <w:t>游中华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"/>
        </w:rPr>
        <w:t>复方大承气汤结合腹腔镜阑尾切除术治疗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急性阑尾炎康复临床观察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2"/>
        </w:rPr>
        <w:t>. 中国中医药现代远程教育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2023,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21(16):136-138.</w:t>
      </w:r>
    </w:p>
    <w:p>
      <w:pPr>
        <w:pStyle w:val="BodyText"/>
        <w:ind w:left="1307" w:right="157" w:hanging="510"/>
        <w:spacing w:before="45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［6］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4"/>
        </w:rPr>
        <w:t>张琪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李明亮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4"/>
        </w:rPr>
        <w:t>贺铁刚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腹腔镜阑尾切除术</w:t>
      </w:r>
      <w:r>
        <w:rPr>
          <w:sz w:val="16"/>
          <w:szCs w:val="16"/>
          <w:color w:val="231F20"/>
          <w:spacing w:val="-5"/>
        </w:rPr>
        <w:t>对急性阑尾炎患者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术后疼痛程度、免疫应激反应及并发症的影响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7"/>
        </w:rPr>
        <w:t>临床医学工程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7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2023,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9"/>
        </w:rPr>
        <w:t>30(2):161-162.</w:t>
      </w:r>
    </w:p>
    <w:p>
      <w:pPr>
        <w:pStyle w:val="BodyText"/>
        <w:ind w:left="1308" w:right="156" w:hanging="511"/>
        <w:spacing w:before="49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［7］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3"/>
        </w:rPr>
        <w:t>王坤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3"/>
        </w:rPr>
        <w:t>李俊江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保守治疗后不同时机行腹腔镜阑尾</w:t>
      </w:r>
      <w:r>
        <w:rPr>
          <w:sz w:val="16"/>
          <w:szCs w:val="16"/>
          <w:color w:val="231F20"/>
          <w:spacing w:val="-4"/>
        </w:rPr>
        <w:t>切除术治疗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化脓性阑尾炎的临床效果比较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1"/>
        </w:rPr>
        <w:t>. 临床医学</w:t>
      </w:r>
      <w:r>
        <w:rPr>
          <w:sz w:val="16"/>
          <w:szCs w:val="16"/>
          <w:color w:val="231F20"/>
          <w:spacing w:val="-2"/>
        </w:rPr>
        <w:t>研究与实践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2023,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8(12):28-30.</w:t>
      </w:r>
    </w:p>
    <w:p>
      <w:pPr>
        <w:pStyle w:val="BodyText"/>
        <w:ind w:left="1306" w:right="156" w:hanging="509"/>
        <w:spacing w:before="44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［8］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1"/>
        </w:rPr>
        <w:t>马洪新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1"/>
        </w:rPr>
        <w:t>李桂华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"/>
        </w:rPr>
        <w:t>免气腹腹腔镜阑尾切除术、气腹腹腔镜阑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尾切除术治疗老年阑尾炎的临床效果研究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1"/>
        </w:rPr>
        <w:t>. </w:t>
      </w:r>
      <w:r>
        <w:rPr>
          <w:sz w:val="16"/>
          <w:szCs w:val="16"/>
          <w:color w:val="231F20"/>
          <w:spacing w:val="-2"/>
        </w:rPr>
        <w:t>中外医疗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2023,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42(5):50-53.</w:t>
      </w:r>
    </w:p>
    <w:p>
      <w:pPr>
        <w:pStyle w:val="BodyText"/>
        <w:ind w:left="1309" w:right="156" w:hanging="512"/>
        <w:spacing w:before="45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［9］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赵玉杰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"/>
        </w:rPr>
        <w:t>王波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1"/>
        </w:rPr>
        <w:t>腹腔镜阑尾切除术与开腹阑尾切除术治疗老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年复杂性阑尾炎患者的临床效果比较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. 临床医</w:t>
      </w:r>
      <w:r>
        <w:rPr>
          <w:sz w:val="16"/>
          <w:szCs w:val="16"/>
          <w:color w:val="231F20"/>
          <w:spacing w:val="-3"/>
        </w:rPr>
        <w:t>学研究与实践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2023,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0"/>
        </w:rPr>
        <w:t>8(11):54-57.</w:t>
      </w:r>
    </w:p>
    <w:p>
      <w:pPr>
        <w:pStyle w:val="BodyText"/>
        <w:ind w:left="797"/>
        <w:spacing w:before="48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［10］李燕芳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吴志清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林振华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等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小儿急性化脓性阑尾炎伴穿孔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2" w:right="82" w:firstLine="11"/>
        <w:spacing w:before="70" w:line="29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的治疗--腹腔镜阑尾切除术与开腹阑尾切除术临</w:t>
      </w:r>
      <w:r>
        <w:rPr>
          <w:sz w:val="16"/>
          <w:szCs w:val="16"/>
          <w:color w:val="231F20"/>
        </w:rPr>
        <w:t>床疗效比较. </w:t>
      </w:r>
      <w:r>
        <w:rPr>
          <w:sz w:val="16"/>
          <w:szCs w:val="16"/>
          <w:color w:val="231F20"/>
          <w:spacing w:val="-11"/>
        </w:rPr>
        <w:t>莆田学院学报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1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11"/>
        </w:rPr>
        <w:t>2022,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11"/>
        </w:rPr>
        <w:t>29(5):51-54,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11"/>
        </w:rPr>
        <w:t>71.</w:t>
      </w:r>
    </w:p>
    <w:p>
      <w:pPr>
        <w:pStyle w:val="BodyText"/>
        <w:ind w:left="524" w:right="82" w:hanging="524"/>
        <w:spacing w:before="1" w:line="27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［11］徐国发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1"/>
        </w:rPr>
        <w:t>腹腔镜阑尾切除术与开腹阑尾切除术治疗急性阑尾炎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的临床效果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9"/>
        </w:rPr>
        <w:t>.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9"/>
        </w:rPr>
        <w:t>现代诊断与治疗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9"/>
        </w:rPr>
        <w:t>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9"/>
        </w:rPr>
        <w:t>2023,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9"/>
        </w:rPr>
        <w:t>34(5):752-754.</w:t>
      </w:r>
    </w:p>
    <w:p>
      <w:pPr>
        <w:pStyle w:val="BodyText"/>
        <w:ind w:left="510" w:right="83" w:hanging="510"/>
        <w:spacing w:before="48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［12］</w:t>
      </w:r>
      <w:r>
        <w:rPr>
          <w:sz w:val="16"/>
          <w:szCs w:val="16"/>
          <w:color w:val="231F20"/>
          <w:spacing w:val="-40"/>
        </w:rPr>
        <w:t xml:space="preserve"> </w:t>
      </w:r>
      <w:r>
        <w:rPr>
          <w:sz w:val="16"/>
          <w:szCs w:val="16"/>
          <w:color w:val="231F20"/>
          <w:spacing w:val="-4"/>
        </w:rPr>
        <w:t>王海鹏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4"/>
        </w:rPr>
        <w:t>, 尚卿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腹腔镜阑尾切除术在慢性阑尾炎患者中的应用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效果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9"/>
        </w:rPr>
        <w:t>.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9"/>
        </w:rPr>
        <w:t>深圳中西医结合杂志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9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9"/>
        </w:rPr>
        <w:t>2023,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9"/>
        </w:rPr>
        <w:t>33(9):81-84.</w:t>
      </w:r>
    </w:p>
    <w:p>
      <w:pPr>
        <w:pStyle w:val="BodyText"/>
        <w:ind w:left="512" w:right="82" w:hanging="513"/>
        <w:spacing w:before="49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［13］</w:t>
      </w:r>
      <w:r>
        <w:rPr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color w:val="231F20"/>
          <w:spacing w:val="-4"/>
        </w:rPr>
        <w:t>陈亮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伍兵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罗由平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经脐单孔腹腔镜阑</w:t>
      </w:r>
      <w:r>
        <w:rPr>
          <w:sz w:val="16"/>
          <w:szCs w:val="16"/>
          <w:color w:val="231F20"/>
          <w:spacing w:val="-5"/>
        </w:rPr>
        <w:t>尾切除术治疗小儿复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杂性阑尾炎疗效及对血清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CRP</w:t>
      </w:r>
      <w:r>
        <w:rPr>
          <w:sz w:val="16"/>
          <w:szCs w:val="16"/>
          <w:color w:val="231F20"/>
          <w:spacing w:val="4"/>
        </w:rPr>
        <w:t>、</w:t>
      </w:r>
      <w:r>
        <w:rPr>
          <w:sz w:val="16"/>
          <w:szCs w:val="16"/>
          <w:color w:val="231F20"/>
        </w:rPr>
        <w:t>IL</w:t>
      </w:r>
      <w:r>
        <w:rPr>
          <w:sz w:val="16"/>
          <w:szCs w:val="16"/>
          <w:color w:val="231F20"/>
          <w:spacing w:val="4"/>
        </w:rPr>
        <w:t>-6、</w:t>
      </w:r>
      <w:r>
        <w:rPr>
          <w:sz w:val="16"/>
          <w:szCs w:val="16"/>
          <w:color w:val="231F20"/>
        </w:rPr>
        <w:t>PCT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4"/>
        </w:rPr>
        <w:t>和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</w:rPr>
        <w:t>Alvarado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4"/>
        </w:rPr>
        <w:t>评分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的影响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38"/>
        </w:rPr>
        <w:t xml:space="preserve"> </w:t>
      </w:r>
      <w:r>
        <w:rPr>
          <w:sz w:val="16"/>
          <w:szCs w:val="16"/>
          <w:color w:val="231F20"/>
          <w:spacing w:val="-8"/>
        </w:rPr>
        <w:t>川北医学院学报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8"/>
        </w:rPr>
        <w:t>37(10):1264-1267.</w:t>
      </w:r>
    </w:p>
    <w:p>
      <w:pPr>
        <w:pStyle w:val="BodyText"/>
        <w:ind w:left="512" w:right="81" w:hanging="512"/>
        <w:spacing w:before="50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［14］毕林刚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4"/>
        </w:rPr>
        <w:t>低相对分子质量肝素治疗腹腔镜阑</w:t>
      </w:r>
      <w:r>
        <w:rPr>
          <w:sz w:val="16"/>
          <w:szCs w:val="16"/>
          <w:color w:val="231F20"/>
          <w:spacing w:val="3"/>
        </w:rPr>
        <w:t>尾切除术围术期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阑尾炎合并心血管病患者的疗效观察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"/>
        </w:rPr>
        <w:t>血栓与止血学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"/>
        </w:rPr>
        <w:t>2022,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28(3):379-380.</w:t>
      </w:r>
    </w:p>
    <w:p>
      <w:pPr>
        <w:pStyle w:val="BodyText"/>
        <w:ind w:left="514" w:right="81" w:hanging="514"/>
        <w:spacing w:before="44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［15］郑镇波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"/>
        </w:rPr>
        <w:t>, 陈喜德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"/>
        </w:rPr>
        <w:t>周雁苹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"/>
        </w:rPr>
        <w:t>化脓性阑尾炎</w:t>
      </w:r>
      <w:r>
        <w:rPr>
          <w:sz w:val="16"/>
          <w:szCs w:val="16"/>
          <w:color w:val="231F20"/>
        </w:rPr>
        <w:t>抗生素治疗后不同 </w:t>
      </w:r>
      <w:r>
        <w:rPr>
          <w:sz w:val="16"/>
          <w:szCs w:val="16"/>
          <w:color w:val="231F20"/>
          <w:spacing w:val="-1"/>
        </w:rPr>
        <w:t>时机腹腔镜阑尾切除术的疗效及预后研究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海南医学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2022,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33(1):47-50.</w:t>
      </w:r>
    </w:p>
    <w:p>
      <w:pPr>
        <w:pStyle w:val="BodyText"/>
        <w:ind w:left="510" w:right="83" w:hanging="511"/>
        <w:spacing w:before="43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［16］康珂珂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2"/>
        </w:rPr>
        <w:t>王小波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急性阑尾炎腹腔镜阑尾切</w:t>
      </w:r>
      <w:r>
        <w:rPr>
          <w:sz w:val="16"/>
          <w:szCs w:val="16"/>
          <w:color w:val="231F20"/>
          <w:spacing w:val="-3"/>
        </w:rPr>
        <w:t>除术后切口感染的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相关危险因素分析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38"/>
        </w:rPr>
        <w:t xml:space="preserve"> </w:t>
      </w:r>
      <w:r>
        <w:rPr>
          <w:sz w:val="16"/>
          <w:szCs w:val="16"/>
          <w:color w:val="231F20"/>
          <w:spacing w:val="-8"/>
        </w:rPr>
        <w:t>河南外科学杂志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28(6):74-76.</w:t>
      </w:r>
    </w:p>
    <w:p>
      <w:pPr>
        <w:pStyle w:val="BodyText"/>
        <w:ind w:left="514" w:right="82" w:hanging="514"/>
        <w:spacing w:before="49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［17］谭磊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1"/>
        </w:rPr>
        <w:t>腹腔镜系膜剥离法阑尾切除术治疗慢性阑尾炎急性发作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患者的临床研究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黑龙江医药科学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9"/>
        </w:rPr>
        <w:t xml:space="preserve"> </w:t>
      </w:r>
      <w:r>
        <w:rPr>
          <w:sz w:val="16"/>
          <w:szCs w:val="16"/>
          <w:color w:val="231F20"/>
          <w:spacing w:val="-8"/>
        </w:rPr>
        <w:t>45(4):159-160.</w:t>
      </w:r>
    </w:p>
    <w:p>
      <w:pPr>
        <w:pStyle w:val="BodyText"/>
        <w:ind w:left="514" w:right="82" w:hanging="514"/>
        <w:spacing w:before="49" w:line="2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［18］孔韦奇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3"/>
        </w:rPr>
        <w:t>, 陈中皓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3"/>
        </w:rPr>
        <w:t>, 胡月梅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3"/>
        </w:rPr>
        <w:t>, 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3"/>
        </w:rPr>
        <w:t>. 急性阑尾炎腹</w:t>
      </w:r>
      <w:r>
        <w:rPr>
          <w:sz w:val="16"/>
          <w:szCs w:val="16"/>
          <w:color w:val="231F20"/>
          <w:spacing w:val="2"/>
        </w:rPr>
        <w:t>腔镜阑尾切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除术后病理诊断为阑尾憩室炎一例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4"/>
        </w:rPr>
        <w:t>. 临床外科杂</w:t>
      </w:r>
      <w:r>
        <w:rPr>
          <w:sz w:val="16"/>
          <w:szCs w:val="16"/>
          <w:color w:val="231F20"/>
          <w:spacing w:val="3"/>
        </w:rPr>
        <w:t>志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3"/>
        </w:rPr>
        <w:t>2022,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30(6):559-560.</w:t>
      </w:r>
    </w:p>
    <w:p>
      <w:pPr>
        <w:pStyle w:val="BodyText"/>
        <w:ind w:left="519" w:right="82" w:hanging="519"/>
        <w:spacing w:before="44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［19］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3"/>
        </w:rPr>
        <w:t>田文博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3"/>
        </w:rPr>
        <w:t>急性阑尾炎患者腹腔镜阑尾切除术后发生粘连性肠梗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阻的相关因素分析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8"/>
        </w:rPr>
        <w:t>河南外科学杂志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8"/>
        </w:rPr>
        <w:t>28(3):73-75.</w:t>
      </w:r>
    </w:p>
    <w:p>
      <w:pPr>
        <w:pStyle w:val="BodyText"/>
        <w:ind w:left="510" w:right="82" w:hanging="510"/>
        <w:spacing w:before="48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［20］</w:t>
      </w:r>
      <w:r>
        <w:rPr>
          <w:sz w:val="16"/>
          <w:szCs w:val="16"/>
          <w:color w:val="231F20"/>
          <w:spacing w:val="-44"/>
        </w:rPr>
        <w:t xml:space="preserve"> </w:t>
      </w:r>
      <w:r>
        <w:rPr>
          <w:sz w:val="16"/>
          <w:szCs w:val="16"/>
          <w:color w:val="231F20"/>
          <w:spacing w:val="-2"/>
        </w:rPr>
        <w:t>于志华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2"/>
        </w:rPr>
        <w:t>化脓性阑尾炎抗生素治疗后不同时机腹腔镜阑尾</w:t>
      </w:r>
      <w:r>
        <w:rPr>
          <w:sz w:val="16"/>
          <w:szCs w:val="16"/>
          <w:color w:val="231F20"/>
          <w:spacing w:val="-3"/>
        </w:rPr>
        <w:t>切除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术的疗效及预后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广州医药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8"/>
        </w:rPr>
        <w:t>53(6):138</w:t>
      </w:r>
      <w:r>
        <w:rPr>
          <w:sz w:val="16"/>
          <w:szCs w:val="16"/>
          <w:color w:val="231F20"/>
          <w:spacing w:val="-9"/>
        </w:rPr>
        <w:t>-141.</w:t>
      </w:r>
    </w:p>
    <w:p>
      <w:pPr>
        <w:pStyle w:val="BodyText"/>
        <w:ind w:left="509" w:right="82" w:hanging="509"/>
        <w:spacing w:before="50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［21］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5"/>
        </w:rPr>
        <w:t>曾庆红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5"/>
        </w:rPr>
        <w:t>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谷涛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5"/>
        </w:rPr>
        <w:t>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5"/>
        </w:rPr>
        <w:t>张廷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5"/>
        </w:rPr>
        <w:t>. 内镜逆行阑尾炎治疗与腹腔镜</w:t>
      </w:r>
      <w:r>
        <w:rPr>
          <w:sz w:val="16"/>
          <w:szCs w:val="16"/>
          <w:color w:val="231F20"/>
          <w:spacing w:val="-6"/>
        </w:rPr>
        <w:t>阑尾切除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术治疗急性阑尾炎伴周围脓肿的临床应用对比研究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四川生理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科学杂志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10"/>
        </w:rPr>
        <w:t>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10"/>
        </w:rPr>
        <w:t>2022,</w:t>
      </w:r>
      <w:r>
        <w:rPr>
          <w:sz w:val="16"/>
          <w:szCs w:val="16"/>
          <w:color w:val="231F20"/>
          <w:spacing w:val="-38"/>
        </w:rPr>
        <w:t xml:space="preserve"> </w:t>
      </w:r>
      <w:r>
        <w:rPr>
          <w:sz w:val="16"/>
          <w:szCs w:val="16"/>
          <w:color w:val="231F20"/>
          <w:spacing w:val="-10"/>
        </w:rPr>
        <w:t>44(8):1423-1424,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0"/>
        </w:rPr>
        <w:t>1504.</w:t>
      </w:r>
    </w:p>
    <w:p>
      <w:pPr>
        <w:pStyle w:val="BodyText"/>
        <w:ind w:left="512" w:right="83" w:hanging="512"/>
        <w:spacing w:before="49" w:line="28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［22］</w:t>
      </w:r>
      <w:r>
        <w:rPr>
          <w:sz w:val="16"/>
          <w:szCs w:val="16"/>
          <w:color w:val="231F20"/>
          <w:spacing w:val="-39"/>
        </w:rPr>
        <w:t xml:space="preserve"> </w:t>
      </w:r>
      <w:r>
        <w:rPr>
          <w:sz w:val="16"/>
          <w:szCs w:val="16"/>
          <w:color w:val="231F20"/>
        </w:rPr>
        <w:t>汤鑫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</w:rPr>
        <w:t>冯德伟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</w:rPr>
        <w:t>李玉洁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</w:rPr>
        <w:t>腹腔镜下阑尾切除术对穿孔性阑尾 </w:t>
      </w:r>
      <w:r>
        <w:rPr>
          <w:sz w:val="16"/>
          <w:szCs w:val="16"/>
          <w:color w:val="231F20"/>
          <w:spacing w:val="4"/>
        </w:rPr>
        <w:t>炎患者围术期氧化应激反应的影响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4"/>
        </w:rPr>
        <w:t>. 实用临床医学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3"/>
        </w:rPr>
        <w:t>2022,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23(6):18-20.</w:t>
      </w:r>
    </w:p>
    <w:p>
      <w:pPr>
        <w:pStyle w:val="BodyText"/>
        <w:ind w:left="509" w:right="83" w:hanging="509"/>
        <w:spacing w:before="43" w:line="2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［23］赵彦军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2"/>
        </w:rPr>
        <w:t>王连波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腹壁吊线辅助经脐单孔腹腔镜阑</w:t>
      </w:r>
      <w:r>
        <w:rPr>
          <w:sz w:val="16"/>
          <w:szCs w:val="16"/>
          <w:color w:val="231F20"/>
          <w:spacing w:val="-3"/>
        </w:rPr>
        <w:t>尾切除术治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疗急性阑尾炎患者的疗效评价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8"/>
        </w:rPr>
        <w:t>临床研究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8"/>
        </w:rPr>
        <w:t>30(7):70-73.</w:t>
      </w:r>
    </w:p>
    <w:p>
      <w:pPr>
        <w:pStyle w:val="BodyText"/>
        <w:ind w:left="512" w:right="81" w:hanging="512"/>
        <w:spacing w:before="48" w:line="2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［24］周桂勤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4"/>
        </w:rPr>
        <w:t>三孔法腹腔镜阑尾切除术治疗阑</w:t>
      </w:r>
      <w:r>
        <w:rPr>
          <w:sz w:val="16"/>
          <w:szCs w:val="16"/>
          <w:color w:val="231F20"/>
          <w:spacing w:val="3"/>
        </w:rPr>
        <w:t>尾炎对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</w:rPr>
        <w:t>VAS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3"/>
        </w:rPr>
        <w:t>评分及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血清炎症因子、并发症的影响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罕少疾病杂志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8"/>
        </w:rPr>
        <w:t>,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8"/>
        </w:rPr>
        <w:t>2022,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8"/>
        </w:rPr>
        <w:t>29(8):82-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84.</w:t>
      </w:r>
    </w:p>
    <w:p>
      <w:pPr>
        <w:pStyle w:val="BodyText"/>
        <w:ind w:left="510" w:right="82" w:hanging="511"/>
        <w:spacing w:before="30" w:line="2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［25］程飞月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郭静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腹腔镜下逆行性阑尾切除术对儿童非复</w:t>
      </w:r>
      <w:r>
        <w:rPr>
          <w:sz w:val="16"/>
          <w:szCs w:val="16"/>
          <w:color w:val="231F20"/>
          <w:spacing w:val="-3"/>
        </w:rPr>
        <w:t>杂性阑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尾炎患儿免疫功能及疾病复发的影响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6"/>
        </w:rPr>
        <w:t>内蒙古医学杂志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6"/>
        </w:rPr>
        <w:t>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6"/>
        </w:rPr>
        <w:t>2022,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54(10):1199-1201,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0"/>
        </w:rPr>
        <w:t>1205.</w:t>
      </w:r>
    </w:p>
    <w:p>
      <w:pPr>
        <w:pStyle w:val="BodyText"/>
        <w:spacing w:before="49" w:line="214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1"/>
        </w:rPr>
        <w:t>［收稿日期</w:t>
      </w:r>
      <w:r>
        <w:rPr>
          <w:sz w:val="16"/>
          <w:szCs w:val="16"/>
          <w:color w:val="231F20"/>
          <w:spacing w:val="-15"/>
          <w:position w:val="1"/>
        </w:rPr>
        <w:t xml:space="preserve"> </w:t>
      </w:r>
      <w:r>
        <w:rPr>
          <w:sz w:val="16"/>
          <w:szCs w:val="16"/>
          <w:color w:val="231F20"/>
          <w:spacing w:val="-3"/>
          <w:position w:val="1"/>
        </w:rPr>
        <w:t>：2023-10-12］</w:t>
      </w:r>
    </w:p>
    <w:sectPr>
      <w:type w:val="continuous"/>
      <w:pgSz w:w="12246" w:h="17178"/>
      <w:pgMar w:top="1542" w:right="1108" w:bottom="0" w:left="424" w:header="1219" w:footer="0" w:gutter="0"/>
      <w:cols w:equalWidth="0" w:num="2">
        <w:col w:w="5744" w:space="100"/>
        <w:col w:w="48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28.69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41" w:line="270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pict>
        <v:shape id="WordPictureWatermark6" style="position:absolute;margin-left:21.2pt;margin-top:828.69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3"/>
      </w:rPr>
      <w:t>中国实用医药2024年12月第19卷第24期  China</w:t>
    </w:r>
    <w:r>
      <w:rPr>
        <w:sz w:val="16"/>
        <w:szCs w:val="16"/>
        <w:u w:val="single" w:color="auto"/>
        <w:color w:val="231F20"/>
        <w:spacing w:val="-2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Prac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Med,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Dec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2024,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19,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24</w:t>
    </w:r>
    <w:r>
      <w:rPr>
        <w:sz w:val="16"/>
        <w:szCs w:val="16"/>
        <w:color w:val="231F20"/>
        <w:spacing w:val="-3"/>
      </w:rPr>
      <w:t xml:space="preserve">                                              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3"/>
        <w:position w:val="-1"/>
      </w:rPr>
      <w:t>·35  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1"/>
      <w:spacing w:before="41" w:line="270" w:lineRule="auto"/>
      <w:rPr>
        <w:sz w:val="16"/>
        <w:szCs w:val="16"/>
      </w:rPr>
    </w:pPr>
    <w:r>
      <w:pict>
        <v:shape id="WordPictureWatermark8" style="position:absolute;margin-left:21.2pt;margin-top:828.698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Times New Roman" w:hAnsi="Times New Roman" w:eastAsia="Times New Roman" w:cs="Times New Roman"/>
        <w:sz w:val="21"/>
        <w:szCs w:val="21"/>
        <w:color w:val="231F20"/>
        <w:spacing w:val="-2"/>
        <w:position w:val="-1"/>
      </w:rPr>
      <w:t>·36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36"/>
        <w:position w:val="-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2"/>
        <w:position w:val="-1"/>
      </w:rPr>
      <w:t>·                                                                      </w:t>
    </w:r>
    <w:r>
      <w:rPr>
        <w:sz w:val="16"/>
        <w:szCs w:val="16"/>
        <w:u w:val="single" w:color="auto"/>
        <w:color w:val="231F20"/>
        <w:spacing w:val="-61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中国实用医药2024年12月第</w:t>
    </w:r>
    <w:r>
      <w:rPr>
        <w:sz w:val="16"/>
        <w:szCs w:val="16"/>
        <w:u w:val="single" w:color="auto"/>
        <w:color w:val="231F20"/>
        <w:spacing w:val="-3"/>
      </w:rPr>
      <w:t>19卷第24期  China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Prac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Med,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Dec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2024,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19,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0"/>
      <w:spacing w:before="41" w:line="270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pict>
        <v:shape id="WordPictureWatermark10" style="position:absolute;margin-left:21.2pt;margin-top:828.698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3"/>
      </w:rPr>
      <w:t>中国实用医药2024年12月第19卷第24期  China</w:t>
    </w:r>
    <w:r>
      <w:rPr>
        <w:sz w:val="16"/>
        <w:szCs w:val="16"/>
        <w:u w:val="single" w:color="auto"/>
        <w:color w:val="231F20"/>
        <w:spacing w:val="-2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Prac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Med,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Dec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2024,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19,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24</w:t>
    </w:r>
    <w:r>
      <w:rPr>
        <w:sz w:val="16"/>
        <w:szCs w:val="16"/>
        <w:color w:val="231F20"/>
        <w:spacing w:val="-3"/>
      </w:rPr>
      <w:t xml:space="preserve">                                              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3"/>
        <w:position w:val="-1"/>
      </w:rPr>
      <w:t>·37  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2025-03-17T23:16:49Z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2025-10-28T21:32:33</vt:filetime>
  </property>
</Properties>
</file>