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1340"/>
        <w:spacing w:before="205" w:line="221" w:lineRule="auto"/>
        <w:outlineLvl w:val="0"/>
        <w:rPr>
          <w:rFonts w:ascii="SimHei" w:hAnsi="SimHei" w:eastAsia="SimHei" w:cs="SimHei"/>
          <w:sz w:val="38"/>
          <w:szCs w:val="38"/>
        </w:rPr>
      </w:pPr>
      <w:r>
        <w:rPr>
          <w:rFonts w:ascii="SimHei" w:hAnsi="SimHei" w:eastAsia="SimHei" w:cs="SimHei"/>
          <w:sz w:val="38"/>
          <w:szCs w:val="38"/>
          <w:color w:val="231F20"/>
          <w:spacing w:val="-1"/>
        </w:rPr>
        <w:t>超声引导下内镜逆行阑尾炎治疗术治疗急性非复杂性</w:t>
      </w:r>
    </w:p>
    <w:p>
      <w:pPr>
        <w:ind w:left="4205"/>
        <w:spacing w:before="30" w:line="221" w:lineRule="auto"/>
        <w:outlineLvl w:val="0"/>
        <w:rPr>
          <w:rFonts w:ascii="SimHei" w:hAnsi="SimHei" w:eastAsia="SimHei" w:cs="SimHei"/>
          <w:sz w:val="38"/>
          <w:szCs w:val="38"/>
        </w:rPr>
      </w:pPr>
      <w:r>
        <w:rPr>
          <w:rFonts w:ascii="SimHei" w:hAnsi="SimHei" w:eastAsia="SimHei" w:cs="SimHei"/>
          <w:sz w:val="38"/>
          <w:szCs w:val="38"/>
          <w:color w:val="231F20"/>
          <w:spacing w:val="-3"/>
        </w:rPr>
        <w:t>阑尾炎的效果分析</w:t>
      </w:r>
    </w:p>
    <w:p>
      <w:pPr>
        <w:pStyle w:val="BodyText"/>
        <w:ind w:left="5005"/>
        <w:spacing w:before="171" w:line="220" w:lineRule="auto"/>
        <w:rPr/>
      </w:pPr>
      <w:r>
        <w:rPr>
          <w:color w:val="231F20"/>
        </w:rPr>
        <w:t>刘雪梅，杨  媛</w:t>
      </w:r>
    </w:p>
    <w:p>
      <w:pPr>
        <w:pStyle w:val="BodyText"/>
        <w:ind w:left="3215"/>
        <w:spacing w:before="27" w:line="219" w:lineRule="auto"/>
        <w:rPr/>
      </w:pPr>
      <w:r>
        <w:rPr>
          <w:color w:val="231F20"/>
          <w:spacing w:val="-1"/>
        </w:rPr>
        <w:t>（银川市第二人民医院消化内科  宁夏  银川</w:t>
      </w:r>
      <w:r>
        <w:rPr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-1"/>
        </w:rPr>
        <w:t>750011</w:t>
      </w:r>
      <w:r>
        <w:rPr>
          <w:color w:val="231F20"/>
          <w:spacing w:val="-1"/>
        </w:rPr>
        <w:t>）</w:t>
      </w:r>
    </w:p>
    <w:p>
      <w:pPr>
        <w:ind w:left="598" w:right="71" w:firstLine="281"/>
        <w:spacing w:before="192" w:line="263" w:lineRule="auto"/>
        <w:jc w:val="both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b/>
          <w:bCs/>
          <w:color w:val="231F20"/>
          <w:spacing w:val="-4"/>
        </w:rPr>
        <w:t>【摘要】</w:t>
      </w:r>
      <w:r>
        <w:rPr>
          <w:rFonts w:ascii="KaiTi" w:hAnsi="KaiTi" w:eastAsia="KaiTi" w:cs="KaiTi"/>
          <w:sz w:val="20"/>
          <w:szCs w:val="20"/>
          <w:color w:val="231F20"/>
          <w:spacing w:val="-57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color w:val="231F20"/>
          <w:spacing w:val="-4"/>
        </w:rPr>
        <w:t>目的：分析超声引导下内镜下逆行阑尾炎治疗术（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color w:val="231F20"/>
          <w:spacing w:val="-4"/>
        </w:rPr>
        <w:t>ERAT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color w:val="231F20"/>
          <w:spacing w:val="-22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color w:val="231F20"/>
          <w:spacing w:val="-4"/>
        </w:rPr>
        <w:t>）治疗急性非复杂性阑尾炎的效果。方法：</w:t>
      </w:r>
      <w:r>
        <w:rPr>
          <w:rFonts w:ascii="KaiTi" w:hAnsi="KaiTi" w:eastAsia="KaiTi" w:cs="KaiTi"/>
          <w:sz w:val="20"/>
          <w:szCs w:val="20"/>
          <w:b/>
          <w:bCs/>
          <w:color w:val="231F20"/>
          <w:spacing w:val="-5"/>
        </w:rPr>
        <w:t>选取</w:t>
      </w:r>
      <w:r>
        <w:rPr>
          <w:rFonts w:ascii="KaiTi" w:hAnsi="KaiTi" w:eastAsia="KaiTi" w:cs="KaiTi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2021 </w:t>
      </w:r>
      <w:r>
        <w:rPr>
          <w:rFonts w:ascii="KaiTi" w:hAnsi="KaiTi" w:eastAsia="KaiTi" w:cs="KaiTi"/>
          <w:sz w:val="20"/>
          <w:szCs w:val="20"/>
          <w:color w:val="231F20"/>
          <w:spacing w:val="-4"/>
        </w:rPr>
        <w:t>年</w:t>
      </w:r>
      <w:r>
        <w:rPr>
          <w:rFonts w:ascii="KaiTi" w:hAnsi="KaiTi" w:eastAsia="KaiTi" w:cs="KaiTi"/>
          <w:sz w:val="20"/>
          <w:szCs w:val="20"/>
          <w:color w:val="231F20"/>
          <w:spacing w:val="-4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3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4"/>
        </w:rPr>
        <w:t>月—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2023 </w:t>
      </w:r>
      <w:r>
        <w:rPr>
          <w:rFonts w:ascii="KaiTi" w:hAnsi="KaiTi" w:eastAsia="KaiTi" w:cs="KaiTi"/>
          <w:sz w:val="20"/>
          <w:szCs w:val="20"/>
          <w:color w:val="231F20"/>
          <w:spacing w:val="-4"/>
        </w:rPr>
        <w:t>年</w:t>
      </w:r>
      <w:r>
        <w:rPr>
          <w:rFonts w:ascii="KaiTi" w:hAnsi="KaiTi" w:eastAsia="KaiTi" w:cs="KaiTi"/>
          <w:sz w:val="20"/>
          <w:szCs w:val="20"/>
          <w:color w:val="231F20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10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4"/>
        </w:rPr>
        <w:t>月银川市第二人民医院消</w:t>
      </w:r>
      <w:r>
        <w:rPr>
          <w:rFonts w:ascii="KaiTi" w:hAnsi="KaiTi" w:eastAsia="KaiTi" w:cs="KaiTi"/>
          <w:sz w:val="20"/>
          <w:szCs w:val="20"/>
          <w:color w:val="231F20"/>
          <w:spacing w:val="-5"/>
        </w:rPr>
        <w:t>化内科及普外科收治的急性非复杂性阑尾炎患者</w:t>
      </w:r>
      <w:r>
        <w:rPr>
          <w:rFonts w:ascii="KaiTi" w:hAnsi="KaiTi" w:eastAsia="KaiTi" w:cs="KaiTi"/>
          <w:sz w:val="20"/>
          <w:szCs w:val="20"/>
          <w:color w:val="231F20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</w:rPr>
        <w:t>100 </w:t>
      </w:r>
      <w:r>
        <w:rPr>
          <w:rFonts w:ascii="KaiTi" w:hAnsi="KaiTi" w:eastAsia="KaiTi" w:cs="KaiTi"/>
          <w:sz w:val="20"/>
          <w:szCs w:val="20"/>
          <w:color w:val="231F20"/>
          <w:spacing w:val="-5"/>
        </w:rPr>
        <w:t>例，根据患者就</w:t>
      </w:r>
      <w:r>
        <w:rPr>
          <w:rFonts w:ascii="KaiTi" w:hAnsi="KaiTi" w:eastAsia="KaiTi" w:cs="KaiTi"/>
          <w:sz w:val="20"/>
          <w:szCs w:val="20"/>
          <w:color w:val="231F20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color w:val="231F20"/>
          <w:spacing w:val="-7"/>
        </w:rPr>
        <w:t>诊意愿分为</w:t>
      </w:r>
      <w:r>
        <w:rPr>
          <w:rFonts w:ascii="KaiTi" w:hAnsi="KaiTi" w:eastAsia="KaiTi" w:cs="KaiTi"/>
          <w:sz w:val="20"/>
          <w:szCs w:val="20"/>
          <w:color w:val="231F20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color w:val="231F20"/>
          <w:spacing w:val="-7"/>
        </w:rPr>
        <w:t>ERAT </w:t>
      </w:r>
      <w:r>
        <w:rPr>
          <w:rFonts w:ascii="KaiTi" w:hAnsi="KaiTi" w:eastAsia="KaiTi" w:cs="KaiTi"/>
          <w:sz w:val="20"/>
          <w:szCs w:val="20"/>
          <w:b/>
          <w:bCs/>
          <w:color w:val="231F20"/>
          <w:spacing w:val="-7"/>
        </w:rPr>
        <w:t>组和腹腔镜阑尾切除术（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color w:val="231F20"/>
          <w:spacing w:val="-7"/>
        </w:rPr>
        <w:t>LA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color w:val="231F20"/>
          <w:spacing w:val="-22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color w:val="231F20"/>
          <w:spacing w:val="-7"/>
        </w:rPr>
        <w:t>）组两组各</w:t>
      </w:r>
      <w:r>
        <w:rPr>
          <w:rFonts w:ascii="KaiTi" w:hAnsi="KaiTi" w:eastAsia="KaiTi" w:cs="KaiTi"/>
          <w:sz w:val="20"/>
          <w:szCs w:val="20"/>
          <w:color w:val="231F20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color w:val="231F20"/>
          <w:spacing w:val="-7"/>
        </w:rPr>
        <w:t>50 </w:t>
      </w:r>
      <w:r>
        <w:rPr>
          <w:rFonts w:ascii="KaiTi" w:hAnsi="KaiTi" w:eastAsia="KaiTi" w:cs="KaiTi"/>
          <w:sz w:val="20"/>
          <w:szCs w:val="20"/>
          <w:b/>
          <w:bCs/>
          <w:color w:val="231F20"/>
          <w:spacing w:val="-7"/>
        </w:rPr>
        <w:t>例。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color w:val="231F20"/>
          <w:spacing w:val="-7"/>
        </w:rPr>
        <w:t>ER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color w:val="231F20"/>
          <w:spacing w:val="-8"/>
        </w:rPr>
        <w:t>AT </w:t>
      </w:r>
      <w:r>
        <w:rPr>
          <w:rFonts w:ascii="KaiTi" w:hAnsi="KaiTi" w:eastAsia="KaiTi" w:cs="KaiTi"/>
          <w:sz w:val="20"/>
          <w:szCs w:val="20"/>
          <w:b/>
          <w:bCs/>
          <w:color w:val="231F20"/>
          <w:spacing w:val="-8"/>
        </w:rPr>
        <w:t>组采用超声引导下</w:t>
      </w:r>
      <w:r>
        <w:rPr>
          <w:rFonts w:ascii="KaiTi" w:hAnsi="KaiTi" w:eastAsia="KaiTi" w:cs="KaiTi"/>
          <w:sz w:val="20"/>
          <w:szCs w:val="20"/>
          <w:color w:val="231F20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color w:val="231F20"/>
          <w:spacing w:val="-8"/>
        </w:rPr>
        <w:t>ERAT </w:t>
      </w:r>
      <w:r>
        <w:rPr>
          <w:rFonts w:ascii="KaiTi" w:hAnsi="KaiTi" w:eastAsia="KaiTi" w:cs="KaiTi"/>
          <w:sz w:val="20"/>
          <w:szCs w:val="20"/>
          <w:b/>
          <w:bCs/>
          <w:color w:val="231F20"/>
          <w:spacing w:val="-8"/>
        </w:rPr>
        <w:t>治疗，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color w:val="231F20"/>
          <w:spacing w:val="-8"/>
        </w:rPr>
        <w:t>LA </w:t>
      </w:r>
      <w:r>
        <w:rPr>
          <w:rFonts w:ascii="KaiTi" w:hAnsi="KaiTi" w:eastAsia="KaiTi" w:cs="KaiTi"/>
          <w:sz w:val="20"/>
          <w:szCs w:val="20"/>
          <w:b/>
          <w:bCs/>
          <w:color w:val="231F20"/>
          <w:spacing w:val="-8"/>
        </w:rPr>
        <w:t>组采用</w:t>
      </w:r>
      <w:r>
        <w:rPr>
          <w:rFonts w:ascii="KaiTi" w:hAnsi="KaiTi" w:eastAsia="KaiTi" w:cs="KaiTi"/>
          <w:sz w:val="20"/>
          <w:szCs w:val="20"/>
          <w:color w:val="231F20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color w:val="231F20"/>
          <w:spacing w:val="-8"/>
        </w:rPr>
        <w:t>LA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color w:val="231F20"/>
        </w:rPr>
        <w:t xml:space="preserve">  </w:t>
      </w:r>
      <w:r>
        <w:rPr>
          <w:rFonts w:ascii="KaiTi" w:hAnsi="KaiTi" w:eastAsia="KaiTi" w:cs="KaiTi"/>
          <w:sz w:val="20"/>
          <w:szCs w:val="20"/>
          <w:b/>
          <w:bCs/>
          <w:color w:val="231F20"/>
          <w:spacing w:val="-6"/>
        </w:rPr>
        <w:t>治疗。比较两组临床相关指标和炎性指标。结果：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color w:val="231F20"/>
          <w:spacing w:val="-6"/>
        </w:rPr>
        <w:t>ERAT </w:t>
      </w:r>
      <w:r>
        <w:rPr>
          <w:rFonts w:ascii="KaiTi" w:hAnsi="KaiTi" w:eastAsia="KaiTi" w:cs="KaiTi"/>
          <w:sz w:val="20"/>
          <w:szCs w:val="20"/>
          <w:b/>
          <w:bCs/>
          <w:color w:val="231F20"/>
          <w:spacing w:val="-6"/>
        </w:rPr>
        <w:t>组手术时间、术后排气时间、术后腹痛缓解时间和住院时间短</w:t>
      </w:r>
      <w:r>
        <w:rPr>
          <w:rFonts w:ascii="KaiTi" w:hAnsi="KaiTi" w:eastAsia="KaiTi" w:cs="KaiTi"/>
          <w:sz w:val="20"/>
          <w:szCs w:val="20"/>
          <w:color w:val="231F20"/>
          <w:spacing w:val="8"/>
        </w:rPr>
        <w:t xml:space="preserve">  </w:t>
      </w:r>
      <w:r>
        <w:rPr>
          <w:rFonts w:ascii="KaiTi" w:hAnsi="KaiTi" w:eastAsia="KaiTi" w:cs="KaiTi"/>
          <w:sz w:val="20"/>
          <w:szCs w:val="20"/>
          <w:b/>
          <w:bCs/>
          <w:color w:val="231F20"/>
          <w:spacing w:val="-6"/>
        </w:rPr>
        <w:t>于</w:t>
      </w:r>
      <w:r>
        <w:rPr>
          <w:rFonts w:ascii="KaiTi" w:hAnsi="KaiTi" w:eastAsia="KaiTi" w:cs="KaiTi"/>
          <w:sz w:val="20"/>
          <w:szCs w:val="20"/>
          <w:color w:val="231F20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color w:val="231F20"/>
          <w:spacing w:val="-6"/>
        </w:rPr>
        <w:t>LA </w:t>
      </w:r>
      <w:r>
        <w:rPr>
          <w:rFonts w:ascii="KaiTi" w:hAnsi="KaiTi" w:eastAsia="KaiTi" w:cs="KaiTi"/>
          <w:sz w:val="20"/>
          <w:szCs w:val="20"/>
          <w:b/>
          <w:bCs/>
          <w:color w:val="231F20"/>
          <w:spacing w:val="-6"/>
        </w:rPr>
        <w:t>组，术中出血量少于</w:t>
      </w:r>
      <w:r>
        <w:rPr>
          <w:rFonts w:ascii="KaiTi" w:hAnsi="KaiTi" w:eastAsia="KaiTi" w:cs="KaiTi"/>
          <w:sz w:val="20"/>
          <w:szCs w:val="20"/>
          <w:color w:val="231F20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color w:val="231F20"/>
          <w:spacing w:val="-6"/>
        </w:rPr>
        <w:t>LA </w:t>
      </w:r>
      <w:r>
        <w:rPr>
          <w:rFonts w:ascii="KaiTi" w:hAnsi="KaiTi" w:eastAsia="KaiTi" w:cs="KaiTi"/>
          <w:sz w:val="20"/>
          <w:szCs w:val="20"/>
          <w:b/>
          <w:bCs/>
          <w:color w:val="231F20"/>
          <w:spacing w:val="-6"/>
        </w:rPr>
        <w:t>组，差异有统计学意义（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i/>
          <w:iCs/>
          <w:color w:val="231F20"/>
          <w:spacing w:val="-6"/>
        </w:rPr>
        <w:t>P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i/>
          <w:iCs/>
          <w:color w:val="231F20"/>
          <w:spacing w:val="23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color w:val="231F20"/>
          <w:spacing w:val="-6"/>
        </w:rPr>
        <w:t>＜</w:t>
      </w:r>
      <w:r>
        <w:rPr>
          <w:rFonts w:ascii="KaiTi" w:hAnsi="KaiTi" w:eastAsia="KaiTi" w:cs="KaiTi"/>
          <w:sz w:val="20"/>
          <w:szCs w:val="20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color w:val="231F20"/>
          <w:spacing w:val="-6"/>
        </w:rPr>
        <w:t>0.05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color w:val="231F20"/>
          <w:spacing w:val="-22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color w:val="231F20"/>
          <w:spacing w:val="-6"/>
        </w:rPr>
        <w:t>）。术前，两组中性粒细胞和</w:t>
      </w:r>
      <w:r>
        <w:rPr>
          <w:rFonts w:ascii="KaiTi" w:hAnsi="KaiTi" w:eastAsia="KaiTi" w:cs="KaiTi"/>
          <w:sz w:val="20"/>
          <w:szCs w:val="20"/>
          <w:color w:val="231F20"/>
          <w:spacing w:val="-4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color w:val="231F20"/>
          <w:spacing w:val="-6"/>
        </w:rPr>
        <w:t>C </w:t>
      </w:r>
      <w:r>
        <w:rPr>
          <w:rFonts w:ascii="KaiTi" w:hAnsi="KaiTi" w:eastAsia="KaiTi" w:cs="KaiTi"/>
          <w:sz w:val="20"/>
          <w:szCs w:val="20"/>
          <w:b/>
          <w:bCs/>
          <w:color w:val="231F20"/>
          <w:spacing w:val="-6"/>
        </w:rPr>
        <w:t>反应蛋</w:t>
      </w:r>
      <w:r>
        <w:rPr>
          <w:rFonts w:ascii="KaiTi" w:hAnsi="KaiTi" w:eastAsia="KaiTi" w:cs="KaiTi"/>
          <w:sz w:val="20"/>
          <w:szCs w:val="20"/>
          <w:b/>
          <w:bCs/>
          <w:color w:val="231F20"/>
          <w:spacing w:val="-7"/>
        </w:rPr>
        <w:t>白比较，差异</w:t>
      </w:r>
      <w:r>
        <w:rPr>
          <w:rFonts w:ascii="KaiTi" w:hAnsi="KaiTi" w:eastAsia="KaiTi" w:cs="KaiTi"/>
          <w:sz w:val="20"/>
          <w:szCs w:val="20"/>
          <w:color w:val="231F20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color w:val="231F20"/>
          <w:spacing w:val="-7"/>
        </w:rPr>
        <w:t>无统计学意义（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i/>
          <w:iCs/>
          <w:color w:val="231F20"/>
          <w:spacing w:val="-7"/>
        </w:rPr>
        <w:t>P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i/>
          <w:iCs/>
          <w:color w:val="231F20"/>
          <w:spacing w:val="18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color w:val="231F20"/>
          <w:spacing w:val="-7"/>
        </w:rPr>
        <w:t>＞</w:t>
      </w:r>
      <w:r>
        <w:rPr>
          <w:rFonts w:ascii="KaiTi" w:hAnsi="KaiTi" w:eastAsia="KaiTi" w:cs="KaiTi"/>
          <w:sz w:val="20"/>
          <w:szCs w:val="20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color w:val="231F20"/>
          <w:spacing w:val="-7"/>
        </w:rPr>
        <w:t>0.05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color w:val="231F20"/>
          <w:spacing w:val="-22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color w:val="231F20"/>
          <w:spacing w:val="-28"/>
        </w:rPr>
        <w:t>）</w:t>
      </w:r>
      <w:r>
        <w:rPr>
          <w:sz w:val="20"/>
          <w:szCs w:val="20"/>
          <w:position w:val="-2"/>
        </w:rPr>
        <w:drawing>
          <wp:inline distT="0" distB="0" distL="0" distR="0">
            <wp:extent cx="18284" cy="79831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284" cy="79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KaiTi" w:hAnsi="KaiTi" w:eastAsia="KaiTi" w:cs="KaiTi"/>
          <w:sz w:val="20"/>
          <w:szCs w:val="20"/>
          <w:b/>
          <w:bCs/>
          <w:color w:val="231F20"/>
          <w:spacing w:val="-28"/>
        </w:rPr>
        <w:t>；</w:t>
      </w:r>
      <w:r>
        <w:rPr>
          <w:rFonts w:ascii="KaiTi" w:hAnsi="KaiTi" w:eastAsia="KaiTi" w:cs="KaiTi"/>
          <w:sz w:val="20"/>
          <w:szCs w:val="20"/>
          <w:b/>
          <w:bCs/>
          <w:color w:val="231F20"/>
          <w:spacing w:val="-7"/>
        </w:rPr>
        <w:t>术后，两组中性粒细胞和</w:t>
      </w:r>
      <w:r>
        <w:rPr>
          <w:rFonts w:ascii="KaiTi" w:hAnsi="KaiTi" w:eastAsia="KaiTi" w:cs="KaiTi"/>
          <w:sz w:val="20"/>
          <w:szCs w:val="20"/>
          <w:color w:val="231F20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color w:val="231F20"/>
          <w:spacing w:val="-7"/>
        </w:rPr>
        <w:t>C </w:t>
      </w:r>
      <w:r>
        <w:rPr>
          <w:rFonts w:ascii="KaiTi" w:hAnsi="KaiTi" w:eastAsia="KaiTi" w:cs="KaiTi"/>
          <w:sz w:val="20"/>
          <w:szCs w:val="20"/>
          <w:b/>
          <w:bCs/>
          <w:color w:val="231F20"/>
          <w:spacing w:val="-7"/>
        </w:rPr>
        <w:t>反应蛋白均低于术前，且</w:t>
      </w:r>
      <w:r>
        <w:rPr>
          <w:rFonts w:ascii="KaiTi" w:hAnsi="KaiTi" w:eastAsia="KaiTi" w:cs="KaiTi"/>
          <w:sz w:val="20"/>
          <w:szCs w:val="20"/>
          <w:color w:val="231F20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color w:val="231F20"/>
          <w:spacing w:val="-7"/>
        </w:rPr>
        <w:t>ERAT </w:t>
      </w:r>
      <w:r>
        <w:rPr>
          <w:rFonts w:ascii="KaiTi" w:hAnsi="KaiTi" w:eastAsia="KaiTi" w:cs="KaiTi"/>
          <w:sz w:val="20"/>
          <w:szCs w:val="20"/>
          <w:b/>
          <w:bCs/>
          <w:color w:val="231F20"/>
          <w:spacing w:val="-7"/>
        </w:rPr>
        <w:t>组均低于</w:t>
      </w:r>
      <w:r>
        <w:rPr>
          <w:rFonts w:ascii="KaiTi" w:hAnsi="KaiTi" w:eastAsia="KaiTi" w:cs="KaiTi"/>
          <w:sz w:val="20"/>
          <w:szCs w:val="20"/>
          <w:color w:val="231F20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color w:val="231F20"/>
          <w:spacing w:val="-7"/>
        </w:rPr>
        <w:t>LA </w:t>
      </w:r>
      <w:r>
        <w:rPr>
          <w:rFonts w:ascii="KaiTi" w:hAnsi="KaiTi" w:eastAsia="KaiTi" w:cs="KaiTi"/>
          <w:sz w:val="20"/>
          <w:szCs w:val="20"/>
          <w:b/>
          <w:bCs/>
          <w:color w:val="231F20"/>
          <w:spacing w:val="-7"/>
        </w:rPr>
        <w:t>组，差异有统计</w:t>
      </w:r>
      <w:r>
        <w:rPr>
          <w:rFonts w:ascii="KaiTi" w:hAnsi="KaiTi" w:eastAsia="KaiTi" w:cs="KaiTi"/>
          <w:sz w:val="20"/>
          <w:szCs w:val="20"/>
          <w:color w:val="231F20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color w:val="231F20"/>
          <w:spacing w:val="-7"/>
        </w:rPr>
        <w:t>学意义（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i/>
          <w:iCs/>
          <w:color w:val="231F20"/>
          <w:spacing w:val="-7"/>
        </w:rPr>
        <w:t>P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i/>
          <w:iCs/>
          <w:color w:val="231F20"/>
          <w:spacing w:val="22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color w:val="231F20"/>
          <w:spacing w:val="-7"/>
        </w:rPr>
        <w:t>＜</w:t>
      </w:r>
      <w:r>
        <w:rPr>
          <w:rFonts w:ascii="KaiTi" w:hAnsi="KaiTi" w:eastAsia="KaiTi" w:cs="KaiTi"/>
          <w:sz w:val="20"/>
          <w:szCs w:val="20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color w:val="231F20"/>
          <w:spacing w:val="-7"/>
        </w:rPr>
        <w:t>0.05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color w:val="231F20"/>
          <w:spacing w:val="-22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color w:val="231F20"/>
          <w:spacing w:val="-7"/>
        </w:rPr>
        <w:t>）。结论：超声引导下</w:t>
      </w:r>
      <w:r>
        <w:rPr>
          <w:rFonts w:ascii="KaiTi" w:hAnsi="KaiTi" w:eastAsia="KaiTi" w:cs="KaiTi"/>
          <w:sz w:val="20"/>
          <w:szCs w:val="20"/>
          <w:color w:val="231F20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color w:val="231F20"/>
          <w:spacing w:val="-7"/>
        </w:rPr>
        <w:t>ERAT </w:t>
      </w:r>
      <w:r>
        <w:rPr>
          <w:rFonts w:ascii="KaiTi" w:hAnsi="KaiTi" w:eastAsia="KaiTi" w:cs="KaiTi"/>
          <w:sz w:val="20"/>
          <w:szCs w:val="20"/>
          <w:b/>
          <w:bCs/>
          <w:color w:val="231F20"/>
          <w:spacing w:val="-7"/>
        </w:rPr>
        <w:t>治疗急性非复杂性阑尾炎能够缩短手术时间、</w:t>
      </w:r>
      <w:r>
        <w:rPr>
          <w:rFonts w:ascii="KaiTi" w:hAnsi="KaiTi" w:eastAsia="KaiTi" w:cs="KaiTi"/>
          <w:sz w:val="20"/>
          <w:szCs w:val="20"/>
          <w:b/>
          <w:bCs/>
          <w:color w:val="231F20"/>
          <w:spacing w:val="-8"/>
        </w:rPr>
        <w:t>术后排气时间、术后腹痛</w:t>
      </w:r>
      <w:r>
        <w:rPr>
          <w:rFonts w:ascii="KaiTi" w:hAnsi="KaiTi" w:eastAsia="KaiTi" w:cs="KaiTi"/>
          <w:sz w:val="20"/>
          <w:szCs w:val="20"/>
          <w:color w:val="231F20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color w:val="231F20"/>
          <w:spacing w:val="-6"/>
        </w:rPr>
        <w:t>缓解时间和住院时间，减少术中出血量，且能够减轻炎症反应。</w:t>
      </w:r>
    </w:p>
    <w:p>
      <w:pPr>
        <w:ind w:left="879"/>
        <w:spacing w:before="3" w:line="215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color w:val="231F20"/>
          <w:spacing w:val="-9"/>
        </w:rPr>
        <w:t>【</w:t>
      </w:r>
      <w:r>
        <w:rPr>
          <w:rFonts w:ascii="KaiTi" w:hAnsi="KaiTi" w:eastAsia="KaiTi" w:cs="KaiTi"/>
          <w:sz w:val="20"/>
          <w:szCs w:val="20"/>
          <w:color w:val="231F20"/>
          <w:spacing w:val="-57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9"/>
        </w:rPr>
        <w:t>关键词】超声引导</w:t>
      </w:r>
      <w:r>
        <w:rPr>
          <w:sz w:val="20"/>
          <w:szCs w:val="20"/>
          <w:position w:val="-2"/>
        </w:rPr>
        <w:drawing>
          <wp:inline distT="0" distB="0" distL="0" distR="0">
            <wp:extent cx="27550" cy="79831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550" cy="79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KaiTi" w:hAnsi="KaiTi" w:eastAsia="KaiTi" w:cs="KaiTi"/>
          <w:sz w:val="20"/>
          <w:szCs w:val="20"/>
          <w:color w:val="231F20"/>
          <w:spacing w:val="-9"/>
        </w:rPr>
        <w:t>；</w:t>
      </w:r>
      <w:r>
        <w:rPr>
          <w:rFonts w:ascii="KaiTi" w:hAnsi="KaiTi" w:eastAsia="KaiTi" w:cs="KaiTi"/>
          <w:sz w:val="20"/>
          <w:szCs w:val="20"/>
          <w:color w:val="231F20"/>
          <w:spacing w:val="-53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9"/>
        </w:rPr>
        <w:t>内镜逆行阑尾炎治疗术</w:t>
      </w:r>
      <w:r>
        <w:rPr>
          <w:sz w:val="20"/>
          <w:szCs w:val="20"/>
          <w:position w:val="-2"/>
        </w:rPr>
        <w:drawing>
          <wp:inline distT="0" distB="0" distL="0" distR="0">
            <wp:extent cx="27550" cy="79831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550" cy="79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KaiTi" w:hAnsi="KaiTi" w:eastAsia="KaiTi" w:cs="KaiTi"/>
          <w:sz w:val="20"/>
          <w:szCs w:val="20"/>
          <w:color w:val="231F20"/>
          <w:spacing w:val="-9"/>
        </w:rPr>
        <w:t>；腹腔镜阑尾切除术</w:t>
      </w:r>
      <w:r>
        <w:rPr>
          <w:sz w:val="20"/>
          <w:szCs w:val="20"/>
          <w:position w:val="-2"/>
        </w:rPr>
        <w:drawing>
          <wp:inline distT="0" distB="0" distL="0" distR="0">
            <wp:extent cx="27550" cy="79831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550" cy="79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KaiTi" w:hAnsi="KaiTi" w:eastAsia="KaiTi" w:cs="KaiTi"/>
          <w:sz w:val="20"/>
          <w:szCs w:val="20"/>
          <w:color w:val="231F20"/>
          <w:spacing w:val="-9"/>
        </w:rPr>
        <w:t>；急性非复杂性阑</w:t>
      </w:r>
      <w:r>
        <w:rPr>
          <w:rFonts w:ascii="KaiTi" w:hAnsi="KaiTi" w:eastAsia="KaiTi" w:cs="KaiTi"/>
          <w:sz w:val="20"/>
          <w:szCs w:val="20"/>
          <w:color w:val="231F20"/>
          <w:spacing w:val="-10"/>
        </w:rPr>
        <w:t>尾炎</w:t>
      </w:r>
    </w:p>
    <w:p>
      <w:pPr>
        <w:ind w:left="879"/>
        <w:spacing w:before="52" w:line="217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color w:val="231F20"/>
          <w:spacing w:val="-3"/>
        </w:rPr>
        <w:t>【</w:t>
      </w:r>
      <w:r>
        <w:rPr>
          <w:rFonts w:ascii="KaiTi" w:hAnsi="KaiTi" w:eastAsia="KaiTi" w:cs="KaiTi"/>
          <w:sz w:val="20"/>
          <w:szCs w:val="20"/>
          <w:color w:val="231F20"/>
          <w:spacing w:val="-47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3"/>
        </w:rPr>
        <w:t>中图分类号】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R656                           </w:t>
      </w:r>
      <w:r>
        <w:rPr>
          <w:rFonts w:ascii="KaiTi" w:hAnsi="KaiTi" w:eastAsia="KaiTi" w:cs="KaiTi"/>
          <w:sz w:val="20"/>
          <w:szCs w:val="20"/>
          <w:color w:val="231F20"/>
          <w:spacing w:val="-3"/>
        </w:rPr>
        <w:t>【文献标识码】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A                                 </w:t>
      </w:r>
      <w:r>
        <w:rPr>
          <w:rFonts w:ascii="KaiTi" w:hAnsi="KaiTi" w:eastAsia="KaiTi" w:cs="KaiTi"/>
          <w:sz w:val="20"/>
          <w:szCs w:val="20"/>
          <w:color w:val="231F20"/>
          <w:spacing w:val="-3"/>
        </w:rPr>
        <w:t>【文章编号】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2095-1752</w:t>
      </w:r>
      <w:r>
        <w:rPr>
          <w:rFonts w:ascii="KaiTi" w:hAnsi="KaiTi" w:eastAsia="KaiTi" w:cs="KaiTi"/>
          <w:sz w:val="20"/>
          <w:szCs w:val="20"/>
          <w:color w:val="231F20"/>
          <w:spacing w:val="-3"/>
        </w:rPr>
        <w:t>（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2024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2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3"/>
        </w:rPr>
        <w:t>）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31-00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53-03</w:t>
      </w:r>
    </w:p>
    <w:p>
      <w:pPr>
        <w:spacing w:line="168" w:lineRule="exact"/>
        <w:rPr/>
      </w:pPr>
      <w:r/>
    </w:p>
    <w:p>
      <w:pPr>
        <w:spacing w:line="168" w:lineRule="exact"/>
        <w:sectPr>
          <w:headerReference w:type="default" r:id="rId1"/>
          <w:pgSz w:w="12246" w:h="16498"/>
          <w:pgMar w:top="1211" w:right="949" w:bottom="0" w:left="424" w:header="783" w:footer="0" w:gutter="0"/>
          <w:cols w:equalWidth="0" w:num="1">
            <w:col w:w="10873" w:space="0"/>
          </w:cols>
        </w:sectPr>
        <w:rPr/>
      </w:pPr>
    </w:p>
    <w:p>
      <w:pPr>
        <w:pStyle w:val="BodyText"/>
        <w:ind w:left="597" w:right="184" w:firstLine="409"/>
        <w:spacing w:before="43" w:line="312" w:lineRule="auto"/>
        <w:rPr/>
      </w:pPr>
      <w:r>
        <w:rPr>
          <w:color w:val="231F20"/>
          <w:spacing w:val="4"/>
        </w:rPr>
        <w:t>急性阑尾炎为一种临床常见病、多发病，是由于阑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5"/>
        </w:rPr>
        <w:t>尾腔内粪石、异物等梗阻导致细菌感染，进而引发炎症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3"/>
        </w:rPr>
        <w:t>反应而发病</w:t>
      </w:r>
      <w:r>
        <w:rPr>
          <w:color w:val="231F20"/>
          <w:spacing w:val="-14"/>
        </w:rPr>
        <w:t xml:space="preserve"> </w:t>
      </w:r>
      <w:r>
        <w:rPr>
          <w:sz w:val="11"/>
          <w:szCs w:val="11"/>
          <w:color w:val="231F20"/>
          <w:spacing w:val="3"/>
          <w:position w:val="9"/>
        </w:rPr>
        <w:t>[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3"/>
          <w:position w:val="9"/>
        </w:rPr>
        <w:t>1</w:t>
      </w:r>
      <w:r>
        <w:rPr>
          <w:sz w:val="11"/>
          <w:szCs w:val="11"/>
          <w:color w:val="231F20"/>
          <w:spacing w:val="3"/>
          <w:position w:val="9"/>
        </w:rPr>
        <w:t>]</w:t>
      </w:r>
      <w:r>
        <w:rPr>
          <w:color w:val="231F20"/>
          <w:spacing w:val="3"/>
        </w:rPr>
        <w:t>。急性非复杂性阑尾炎是急性阑尾炎的一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种类型，以往临床对急性非复杂性阑尾炎主要选用阑尾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5"/>
        </w:rPr>
        <w:t>切除手术或单纯使用抗生素抗感染治疗，腹</w:t>
      </w:r>
      <w:r>
        <w:rPr>
          <w:color w:val="231F20"/>
          <w:spacing w:val="4"/>
        </w:rPr>
        <w:t>腔镜阑尾切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除术（</w:t>
      </w:r>
      <w:r>
        <w:rPr>
          <w:rFonts w:ascii="Times New Roman" w:hAnsi="Times New Roman" w:eastAsia="Times New Roman" w:cs="Times New Roman"/>
          <w:color w:val="231F20"/>
        </w:rPr>
        <w:t>laparoscopic</w:t>
      </w:r>
      <w:r>
        <w:rPr>
          <w:rFonts w:ascii="Times New Roman" w:hAnsi="Times New Roman" w:eastAsia="Times New Roman" w:cs="Times New Roman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appendectomy</w:t>
      </w:r>
      <w:r>
        <w:rPr>
          <w:rFonts w:ascii="Times New Roman" w:hAnsi="Times New Roman" w:eastAsia="Times New Roman" w:cs="Times New Roman"/>
          <w:color w:val="231F20"/>
          <w:spacing w:val="4"/>
        </w:rPr>
        <w:t>,</w:t>
      </w:r>
      <w:r>
        <w:rPr>
          <w:rFonts w:ascii="Times New Roman" w:hAnsi="Times New Roman" w:eastAsia="Times New Roman" w:cs="Times New Roman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LA</w:t>
      </w:r>
      <w:r>
        <w:rPr>
          <w:color w:val="231F20"/>
          <w:spacing w:val="4"/>
        </w:rPr>
        <w:t>）是临床上常采用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的阑尾手术方法。阑尾是人体的一个重要免疫器官，其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5"/>
        </w:rPr>
        <w:t>存在能提升人体维持肠道菌群平衡的能力，并能降低大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肠癌的发病率</w:t>
      </w:r>
      <w:r>
        <w:rPr>
          <w:color w:val="231F20"/>
          <w:spacing w:val="-24"/>
        </w:rPr>
        <w:t xml:space="preserve"> </w:t>
      </w:r>
      <w:r>
        <w:rPr>
          <w:sz w:val="11"/>
          <w:szCs w:val="11"/>
          <w:color w:val="231F20"/>
          <w:spacing w:val="3"/>
          <w:position w:val="9"/>
        </w:rPr>
        <w:t>[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3"/>
          <w:position w:val="9"/>
        </w:rPr>
        <w:t>2</w:t>
      </w:r>
      <w:r>
        <w:rPr>
          <w:sz w:val="11"/>
          <w:szCs w:val="11"/>
          <w:color w:val="231F20"/>
          <w:spacing w:val="3"/>
          <w:position w:val="9"/>
        </w:rPr>
        <w:t>]</w:t>
      </w:r>
      <w:r>
        <w:rPr>
          <w:color w:val="231F20"/>
          <w:spacing w:val="3"/>
        </w:rPr>
        <w:t>。手术切除阑尾会导致阑尾功能缺失，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亦可引起腹腔内脏器粘连等并发症。此外，有研</w:t>
      </w:r>
      <w:r>
        <w:rPr>
          <w:color w:val="231F20"/>
          <w:spacing w:val="13"/>
        </w:rPr>
        <w:t>究报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道，阑尾切除术后患者心血管疾病患病风险会增加，并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5"/>
        </w:rPr>
        <w:t>且阑尾切除是胆道感染菌产生耐药及胆囊结石发生的独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7"/>
        </w:rPr>
        <w:t>立危险因素</w:t>
      </w:r>
      <w:r>
        <w:rPr>
          <w:color w:val="231F20"/>
          <w:spacing w:val="-24"/>
        </w:rPr>
        <w:t xml:space="preserve"> </w:t>
      </w:r>
      <w:r>
        <w:rPr>
          <w:sz w:val="11"/>
          <w:szCs w:val="11"/>
          <w:color w:val="231F20"/>
          <w:spacing w:val="7"/>
          <w:position w:val="9"/>
        </w:rPr>
        <w:t>[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7"/>
          <w:position w:val="9"/>
        </w:rPr>
        <w:t>3-4</w:t>
      </w:r>
      <w:r>
        <w:rPr>
          <w:sz w:val="11"/>
          <w:szCs w:val="11"/>
          <w:color w:val="231F20"/>
          <w:spacing w:val="7"/>
          <w:position w:val="9"/>
        </w:rPr>
        <w:t>]</w:t>
      </w:r>
      <w:r>
        <w:rPr>
          <w:color w:val="231F20"/>
          <w:spacing w:val="7"/>
        </w:rPr>
        <w:t>。采用药物治疗阑尾炎虽能保留阑尾但</w:t>
      </w:r>
      <w:r>
        <w:rPr>
          <w:color w:val="231F20"/>
        </w:rPr>
        <w:t xml:space="preserve"> </w:t>
      </w:r>
      <w:r>
        <w:rPr>
          <w:color w:val="231F20"/>
        </w:rPr>
        <w:t>易导致治疗失败或炎症反复发作</w:t>
      </w:r>
      <w:r>
        <w:rPr>
          <w:color w:val="231F20"/>
          <w:spacing w:val="-13"/>
        </w:rPr>
        <w:t xml:space="preserve"> </w:t>
      </w:r>
      <w:r>
        <w:rPr>
          <w:sz w:val="11"/>
          <w:szCs w:val="11"/>
          <w:color w:val="231F20"/>
          <w:position w:val="9"/>
        </w:rPr>
        <w:t>[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position w:val="9"/>
        </w:rPr>
        <w:t>5</w:t>
      </w:r>
      <w:r>
        <w:rPr>
          <w:sz w:val="11"/>
          <w:szCs w:val="11"/>
          <w:color w:val="231F20"/>
          <w:position w:val="9"/>
        </w:rPr>
        <w:t>]</w:t>
      </w:r>
      <w:r>
        <w:rPr>
          <w:sz w:val="11"/>
          <w:szCs w:val="11"/>
          <w:color w:val="231F20"/>
          <w:spacing w:val="-27"/>
          <w:position w:val="9"/>
        </w:rPr>
        <w:t xml:space="preserve"> </w:t>
      </w:r>
      <w:r>
        <w:rPr>
          <w:color w:val="231F20"/>
        </w:rPr>
        <w:t>。</w:t>
      </w:r>
      <w:r>
        <w:rPr>
          <w:rFonts w:ascii="Times New Roman" w:hAnsi="Times New Roman" w:eastAsia="Times New Roman" w:cs="Times New Roman"/>
          <w:color w:val="231F20"/>
        </w:rPr>
        <w:t>2012 </w:t>
      </w:r>
      <w:r>
        <w:rPr>
          <w:color w:val="231F20"/>
        </w:rPr>
        <w:t>年刘冰熔教授 </w:t>
      </w:r>
      <w:r>
        <w:rPr>
          <w:color w:val="231F20"/>
          <w:spacing w:val="12"/>
        </w:rPr>
        <w:t>在国际上首次提出内镜逆行阑尾炎治疗术（</w:t>
      </w:r>
      <w:r>
        <w:rPr>
          <w:rFonts w:ascii="Times New Roman" w:hAnsi="Times New Roman" w:eastAsia="Times New Roman" w:cs="Times New Roman"/>
          <w:color w:val="231F20"/>
        </w:rPr>
        <w:t>endoscopic  </w:t>
      </w:r>
      <w:r>
        <w:rPr>
          <w:rFonts w:ascii="Times New Roman" w:hAnsi="Times New Roman" w:eastAsia="Times New Roman" w:cs="Times New Roman"/>
          <w:color w:val="231F20"/>
          <w:spacing w:val="-1"/>
        </w:rPr>
        <w:t>retrograde</w:t>
      </w:r>
      <w:r>
        <w:rPr>
          <w:rFonts w:ascii="Times New Roman" w:hAnsi="Times New Roman" w:eastAsia="Times New Roman" w:cs="Times New Roman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appendicitis</w:t>
      </w:r>
      <w:r>
        <w:rPr>
          <w:rFonts w:ascii="Times New Roman" w:hAnsi="Times New Roman" w:eastAsia="Times New Roman" w:cs="Times New Roman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therapy,</w:t>
      </w:r>
      <w:r>
        <w:rPr>
          <w:rFonts w:ascii="Times New Roman" w:hAnsi="Times New Roman" w:eastAsia="Times New Roman" w:cs="Times New Roman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ERAT</w:t>
      </w:r>
      <w:r>
        <w:rPr>
          <w:color w:val="231F20"/>
          <w:spacing w:val="-3"/>
        </w:rPr>
        <w:t>），</w:t>
      </w:r>
      <w:r>
        <w:rPr>
          <w:color w:val="231F20"/>
          <w:spacing w:val="-1"/>
        </w:rPr>
        <w:t>其是</w:t>
      </w:r>
      <w:r>
        <w:rPr>
          <w:color w:val="231F20"/>
          <w:spacing w:val="-2"/>
        </w:rPr>
        <w:t>一种无创阑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尾炎治疗方法，主要通过阑尾冲洗、取石、引流，必要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时支架置入等进行阑尾炎治疗，达到保留阑尾的目的。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1"/>
        </w:rPr>
        <w:t>以往</w:t>
      </w:r>
      <w:r>
        <w:rPr>
          <w:color w:val="231F20"/>
          <w:spacing w:val="-3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ERAT</w:t>
      </w:r>
      <w:r>
        <w:rPr>
          <w:rFonts w:ascii="Times New Roman" w:hAnsi="Times New Roman" w:eastAsia="Times New Roman" w:cs="Times New Roman"/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多于</w:t>
      </w:r>
      <w:r>
        <w:rPr>
          <w:color w:val="231F20"/>
          <w:spacing w:val="-4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X </w:t>
      </w:r>
      <w:r>
        <w:rPr>
          <w:color w:val="231F20"/>
          <w:spacing w:val="-1"/>
        </w:rPr>
        <w:t>线引导下进行，但由于</w:t>
      </w:r>
      <w:r>
        <w:rPr>
          <w:color w:val="231F20"/>
          <w:spacing w:val="-3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X </w:t>
      </w:r>
      <w:r>
        <w:rPr>
          <w:color w:val="231F20"/>
          <w:spacing w:val="-1"/>
        </w:rPr>
        <w:t>线具有一定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放射性，故在临床应用中具有一定局限性。有研究显示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超声引导下</w:t>
      </w:r>
      <w:r>
        <w:rPr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ERAT</w:t>
      </w:r>
      <w:r>
        <w:rPr>
          <w:rFonts w:ascii="Times New Roman" w:hAnsi="Times New Roman" w:eastAsia="Times New Roman" w:cs="Times New Roman"/>
          <w:color w:val="231F20"/>
          <w:spacing w:val="31"/>
          <w:w w:val="101"/>
        </w:rPr>
        <w:t xml:space="preserve"> </w:t>
      </w:r>
      <w:r>
        <w:rPr>
          <w:color w:val="231F20"/>
        </w:rPr>
        <w:t>以超声替代</w:t>
      </w:r>
      <w:r>
        <w:rPr>
          <w:color w:val="231F20"/>
          <w:spacing w:val="-4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X </w:t>
      </w:r>
      <w:r>
        <w:rPr>
          <w:color w:val="231F20"/>
        </w:rPr>
        <w:t>线监视进行治疗，无放 </w:t>
      </w:r>
      <w:r>
        <w:rPr>
          <w:color w:val="231F20"/>
          <w:spacing w:val="-3"/>
        </w:rPr>
        <w:t>射性，故对于选择</w:t>
      </w:r>
      <w:r>
        <w:rPr>
          <w:color w:val="231F20"/>
          <w:spacing w:val="-4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ERAT </w:t>
      </w:r>
      <w:r>
        <w:rPr>
          <w:color w:val="231F20"/>
          <w:spacing w:val="-3"/>
        </w:rPr>
        <w:t>治疗阑尾炎的特殊人群如孕妇、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儿童具有优势，且因其操作简便，部分医院也将该技术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3"/>
        </w:rPr>
        <w:t>用于普通人群</w:t>
      </w:r>
      <w:r>
        <w:rPr>
          <w:color w:val="231F20"/>
          <w:spacing w:val="-11"/>
        </w:rPr>
        <w:t xml:space="preserve"> </w:t>
      </w:r>
      <w:r>
        <w:rPr>
          <w:sz w:val="11"/>
          <w:szCs w:val="11"/>
          <w:color w:val="231F20"/>
          <w:spacing w:val="3"/>
          <w:position w:val="9"/>
        </w:rPr>
        <w:t>[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3"/>
          <w:position w:val="9"/>
        </w:rPr>
        <w:t>6</w:t>
      </w:r>
      <w:r>
        <w:rPr>
          <w:sz w:val="11"/>
          <w:szCs w:val="11"/>
          <w:color w:val="231F20"/>
          <w:spacing w:val="3"/>
          <w:position w:val="9"/>
        </w:rPr>
        <w:t>]</w:t>
      </w:r>
      <w:r>
        <w:rPr>
          <w:color w:val="231F20"/>
          <w:spacing w:val="3"/>
        </w:rPr>
        <w:t>。本研究采用与</w:t>
      </w:r>
      <w:r>
        <w:rPr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LA</w:t>
      </w:r>
      <w:r>
        <w:rPr>
          <w:rFonts w:ascii="Times New Roman" w:hAnsi="Times New Roman" w:eastAsia="Times New Roman" w:cs="Times New Roman"/>
          <w:color w:val="231F20"/>
          <w:spacing w:val="14"/>
          <w:w w:val="101"/>
        </w:rPr>
        <w:t xml:space="preserve"> </w:t>
      </w:r>
      <w:r>
        <w:rPr>
          <w:color w:val="231F20"/>
          <w:spacing w:val="3"/>
        </w:rPr>
        <w:t>治疗对比的方法探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讨超声引导下</w:t>
      </w:r>
      <w:r>
        <w:rPr>
          <w:color w:val="231F20"/>
          <w:spacing w:val="-4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ERAT</w:t>
      </w:r>
      <w:r>
        <w:rPr>
          <w:rFonts w:ascii="Times New Roman" w:hAnsi="Times New Roman" w:eastAsia="Times New Roman" w:cs="Times New Roman"/>
          <w:color w:val="231F20"/>
          <w:spacing w:val="14"/>
          <w:w w:val="101"/>
        </w:rPr>
        <w:t xml:space="preserve"> </w:t>
      </w:r>
      <w:r>
        <w:rPr>
          <w:color w:val="231F20"/>
          <w:spacing w:val="4"/>
        </w:rPr>
        <w:t>治疗急性非复杂性阑尾炎的效果，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以期为临床治疗急性非复杂性阑尾炎提供更多循证依据，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现报道如下。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3"/>
        <w:spacing w:before="40" w:line="221" w:lineRule="auto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6"/>
        </w:rPr>
        <w:t>1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    </w:t>
      </w:r>
      <w:r>
        <w:rPr>
          <w:rFonts w:ascii="SimHei" w:hAnsi="SimHei" w:eastAsia="SimHei" w:cs="SimHei"/>
          <w:sz w:val="20"/>
          <w:szCs w:val="20"/>
          <w:color w:val="231F20"/>
          <w:spacing w:val="-6"/>
        </w:rPr>
        <w:t>资料与方法</w:t>
      </w:r>
    </w:p>
    <w:p>
      <w:pPr>
        <w:pStyle w:val="BodyText"/>
        <w:ind w:left="420"/>
        <w:spacing w:before="82" w:line="220" w:lineRule="auto"/>
        <w:rPr/>
      </w:pPr>
      <w:r>
        <w:rPr>
          <w:rFonts w:ascii="Times New Roman" w:hAnsi="Times New Roman" w:eastAsia="Times New Roman" w:cs="Times New Roman"/>
          <w:color w:val="231F20"/>
          <w:spacing w:val="-5"/>
        </w:rPr>
        <w:t>1.1</w:t>
      </w:r>
      <w:r>
        <w:rPr>
          <w:rFonts w:ascii="Times New Roman" w:hAnsi="Times New Roman" w:eastAsia="Times New Roman" w:cs="Times New Roman"/>
          <w:color w:val="231F20"/>
          <w:spacing w:val="5"/>
        </w:rPr>
        <w:t xml:space="preserve">  </w:t>
      </w:r>
      <w:r>
        <w:rPr>
          <w:color w:val="231F20"/>
          <w:spacing w:val="-5"/>
        </w:rPr>
        <w:t>一般资料</w:t>
      </w:r>
    </w:p>
    <w:p>
      <w:pPr>
        <w:pStyle w:val="BodyText"/>
        <w:ind w:left="9" w:firstLine="394"/>
        <w:spacing w:before="79" w:line="297" w:lineRule="auto"/>
        <w:rPr/>
      </w:pPr>
      <w:r>
        <w:rPr>
          <w:color w:val="231F20"/>
          <w:spacing w:val="6"/>
        </w:rPr>
        <w:t>选取</w:t>
      </w:r>
      <w:r>
        <w:rPr>
          <w:color w:val="231F20"/>
          <w:spacing w:val="-3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2021 </w:t>
      </w:r>
      <w:r>
        <w:rPr>
          <w:color w:val="231F20"/>
          <w:spacing w:val="6"/>
        </w:rPr>
        <w:t>年</w:t>
      </w:r>
      <w:r>
        <w:rPr>
          <w:color w:val="231F20"/>
          <w:spacing w:val="-3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3</w:t>
      </w:r>
      <w:r>
        <w:rPr>
          <w:rFonts w:ascii="Times New Roman" w:hAnsi="Times New Roman" w:eastAsia="Times New Roman" w:cs="Times New Roman"/>
          <w:color w:val="231F20"/>
          <w:spacing w:val="17"/>
          <w:w w:val="101"/>
        </w:rPr>
        <w:t xml:space="preserve"> </w:t>
      </w:r>
      <w:r>
        <w:rPr>
          <w:color w:val="231F20"/>
          <w:spacing w:val="6"/>
        </w:rPr>
        <w:t>月</w:t>
      </w:r>
      <w:r>
        <w:rPr>
          <w:color w:val="231F20"/>
          <w:spacing w:val="-76"/>
        </w:rPr>
        <w:t xml:space="preserve"> </w:t>
      </w:r>
      <w:r>
        <w:rPr>
          <w:color w:val="231F20"/>
          <w:spacing w:val="6"/>
        </w:rPr>
        <w:t>—</w:t>
      </w:r>
      <w:r>
        <w:rPr>
          <w:rFonts w:ascii="Times New Roman" w:hAnsi="Times New Roman" w:eastAsia="Times New Roman" w:cs="Times New Roman"/>
          <w:color w:val="231F20"/>
          <w:spacing w:val="6"/>
        </w:rPr>
        <w:t>2023 </w:t>
      </w:r>
      <w:r>
        <w:rPr>
          <w:color w:val="231F20"/>
          <w:spacing w:val="6"/>
        </w:rPr>
        <w:t>年</w:t>
      </w:r>
      <w:r>
        <w:rPr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10</w:t>
      </w:r>
      <w:r>
        <w:rPr>
          <w:rFonts w:ascii="Times New Roman" w:hAnsi="Times New Roman" w:eastAsia="Times New Roman" w:cs="Times New Roman"/>
          <w:color w:val="231F20"/>
          <w:spacing w:val="18"/>
        </w:rPr>
        <w:t xml:space="preserve"> </w:t>
      </w:r>
      <w:r>
        <w:rPr>
          <w:color w:val="231F20"/>
          <w:spacing w:val="6"/>
        </w:rPr>
        <w:t>月银川市第二人民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医院消化内科及普外科收治的急性非复杂性阑尾炎患者</w:t>
      </w:r>
      <w:r>
        <w:rPr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100 </w:t>
      </w:r>
      <w:r>
        <w:rPr>
          <w:color w:val="231F20"/>
          <w:spacing w:val="6"/>
        </w:rPr>
        <w:t>例作为研究对象。根据患者就诊意愿，就诊于消化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内科的患者行超声引导下</w:t>
      </w:r>
      <w:r>
        <w:rPr>
          <w:color w:val="231F20"/>
          <w:spacing w:val="-5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6"/>
        </w:rPr>
        <w:t>ERAT</w:t>
      </w:r>
      <w:r>
        <w:rPr>
          <w:color w:val="231F20"/>
          <w:spacing w:val="-6"/>
        </w:rPr>
        <w:t>，作为</w:t>
      </w:r>
      <w:r>
        <w:rPr>
          <w:color w:val="231F20"/>
          <w:spacing w:val="-5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6"/>
        </w:rPr>
        <w:t>E</w:t>
      </w:r>
      <w:r>
        <w:rPr>
          <w:rFonts w:ascii="Times New Roman" w:hAnsi="Times New Roman" w:eastAsia="Times New Roman" w:cs="Times New Roman"/>
          <w:color w:val="231F20"/>
          <w:spacing w:val="-7"/>
        </w:rPr>
        <w:t>RAT </w:t>
      </w:r>
      <w:r>
        <w:rPr>
          <w:color w:val="231F20"/>
          <w:spacing w:val="-7"/>
        </w:rPr>
        <w:t>组（</w:t>
      </w:r>
      <w:r>
        <w:rPr>
          <w:rFonts w:ascii="Times New Roman" w:hAnsi="Times New Roman" w:eastAsia="Times New Roman" w:cs="Times New Roman"/>
          <w:color w:val="231F20"/>
          <w:spacing w:val="-7"/>
        </w:rPr>
        <w:t>50 </w:t>
      </w:r>
      <w:r>
        <w:rPr>
          <w:color w:val="231F20"/>
          <w:spacing w:val="-7"/>
        </w:rPr>
        <w:t>例</w:t>
      </w:r>
      <w:r>
        <w:rPr>
          <w:color w:val="231F20"/>
          <w:spacing w:val="-26"/>
        </w:rPr>
        <w:t>）；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就诊于普外科的患者行</w:t>
      </w:r>
      <w:r>
        <w:rPr>
          <w:color w:val="231F20"/>
          <w:spacing w:val="-4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LA </w:t>
      </w:r>
      <w:r>
        <w:rPr>
          <w:color w:val="231F20"/>
          <w:spacing w:val="-2"/>
        </w:rPr>
        <w:t>治疗，作为</w:t>
      </w:r>
      <w:r>
        <w:rPr>
          <w:color w:val="231F20"/>
          <w:spacing w:val="-4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LA </w:t>
      </w:r>
      <w:r>
        <w:rPr>
          <w:color w:val="231F20"/>
          <w:spacing w:val="-2"/>
        </w:rPr>
        <w:t>组（</w:t>
      </w:r>
      <w:r>
        <w:rPr>
          <w:rFonts w:ascii="Times New Roman" w:hAnsi="Times New Roman" w:eastAsia="Times New Roman" w:cs="Times New Roman"/>
          <w:color w:val="231F20"/>
          <w:spacing w:val="-2"/>
        </w:rPr>
        <w:t>50 </w:t>
      </w:r>
      <w:r>
        <w:rPr>
          <w:color w:val="231F20"/>
          <w:spacing w:val="-2"/>
        </w:rPr>
        <w:t>例）。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两组患者一般资料比较，差异无统计学意义（</w:t>
      </w:r>
      <w:r>
        <w:rPr>
          <w:rFonts w:ascii="Times New Roman" w:hAnsi="Times New Roman" w:eastAsia="Times New Roman" w:cs="Times New Roman"/>
          <w:i/>
          <w:iCs/>
          <w:color w:val="231F20"/>
          <w:spacing w:val="-5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13"/>
          <w:w w:val="101"/>
        </w:rPr>
        <w:t xml:space="preserve"> </w:t>
      </w:r>
      <w:r>
        <w:rPr>
          <w:color w:val="231F20"/>
          <w:spacing w:val="-5"/>
        </w:rPr>
        <w:t>＞</w:t>
      </w:r>
      <w:r>
        <w:rPr>
          <w:color w:val="231F20"/>
          <w:spacing w:val="-5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5"/>
        </w:rPr>
        <w:t>0.05</w:t>
      </w:r>
      <w:r>
        <w:rPr>
          <w:color w:val="231F20"/>
          <w:spacing w:val="-30"/>
        </w:rPr>
        <w:t>），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见表</w:t>
      </w:r>
      <w:r>
        <w:rPr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7"/>
        </w:rPr>
        <w:t>1</w:t>
      </w:r>
      <w:r>
        <w:rPr>
          <w:color w:val="231F20"/>
          <w:spacing w:val="-7"/>
        </w:rPr>
        <w:t>，具有可比性。本研究符合《赫尔辛基宣言》要求。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611"/>
        <w:spacing w:before="52" w:line="220" w:lineRule="auto"/>
        <w:outlineLvl w:val="1"/>
        <w:rPr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表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1    </w:t>
      </w:r>
      <w:r>
        <w:rPr>
          <w:sz w:val="16"/>
          <w:szCs w:val="16"/>
          <w:color w:val="231F20"/>
          <w:spacing w:val="-2"/>
        </w:rPr>
        <w:t>两组一般资料比较</w:t>
      </w:r>
    </w:p>
    <w:p>
      <w:pPr>
        <w:spacing w:line="47" w:lineRule="exact"/>
        <w:rPr/>
      </w:pPr>
      <w:r/>
    </w:p>
    <w:tbl>
      <w:tblPr>
        <w:tblStyle w:val="TableNormal"/>
        <w:tblW w:w="493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59"/>
        <w:gridCol w:w="601"/>
        <w:gridCol w:w="1304"/>
        <w:gridCol w:w="1099"/>
        <w:gridCol w:w="1169"/>
      </w:tblGrid>
      <w:tr>
        <w:trPr>
          <w:trHeight w:val="258" w:hRule="atLeast"/>
        </w:trPr>
        <w:tc>
          <w:tcPr>
            <w:tcW w:w="759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ind w:left="36"/>
              <w:spacing w:before="174" w:line="220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31F20"/>
                <w:spacing w:val="-3"/>
              </w:rPr>
              <w:t>组别</w:t>
            </w:r>
          </w:p>
        </w:tc>
        <w:tc>
          <w:tcPr>
            <w:tcW w:w="601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ind w:left="136"/>
              <w:spacing w:before="173" w:line="220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31F20"/>
                <w:spacing w:val="-2"/>
              </w:rPr>
              <w:t>例数</w:t>
            </w:r>
          </w:p>
        </w:tc>
        <w:tc>
          <w:tcPr>
            <w:tcW w:w="130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ind w:left="312"/>
              <w:spacing w:before="45" w:line="220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31F20"/>
                <w:spacing w:val="-4"/>
              </w:rPr>
              <w:t>性别</w:t>
            </w:r>
            <w:r>
              <w:rPr>
                <w:rFonts w:ascii="SimSun" w:hAnsi="SimSun" w:eastAsia="SimSun" w:cs="SimSun"/>
                <w:sz w:val="16"/>
                <w:szCs w:val="16"/>
                <w:color w:val="231F20"/>
                <w:spacing w:val="-34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  <w:color w:val="231F20"/>
                <w:spacing w:val="-4"/>
              </w:rPr>
              <w:t>/</w:t>
            </w:r>
            <w:r>
              <w:rPr>
                <w:rFonts w:ascii="SimSun" w:hAnsi="SimSun" w:eastAsia="SimSun" w:cs="SimSun"/>
                <w:sz w:val="16"/>
                <w:szCs w:val="16"/>
                <w:color w:val="231F20"/>
                <w:spacing w:val="-33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  <w:color w:val="231F20"/>
                <w:spacing w:val="-4"/>
              </w:rPr>
              <w:t>例</w:t>
            </w:r>
          </w:p>
        </w:tc>
        <w:tc>
          <w:tcPr>
            <w:tcW w:w="1099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ind w:left="414"/>
              <w:spacing w:before="53" w:line="220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pict>
                <v:shape id="_x0000_s14" style="position:absolute;margin-left:-40.9893pt;margin-top:15.7255pt;mso-position-vertical-relative:top-margin-area;mso-position-horizontal-relative:right-margin-area;width:2.05pt;height:0.3pt;z-index:-251657216;" filled="false" strokecolor="#101214" strokeweight="0.30pt" coordsize="40,6" coordorigin="0,0" path="m0,2l40,2e">
                  <v:stroke joinstyle="miter" miterlimit="4"/>
                </v:shape>
              </w:pict>
            </w:r>
            <w:r>
              <w:rPr>
                <w:rFonts w:ascii="SimSun" w:hAnsi="SimSun" w:eastAsia="SimSun" w:cs="SimSun"/>
                <w:sz w:val="16"/>
                <w:szCs w:val="16"/>
                <w:color w:val="231F20"/>
                <w:spacing w:val="-2"/>
              </w:rPr>
              <w:t>年龄</w:t>
            </w:r>
          </w:p>
          <w:p>
            <w:pPr>
              <w:pStyle w:val="TableText"/>
              <w:ind w:left="115"/>
              <w:spacing w:before="49" w:line="221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color w:val="231F20"/>
                <w:spacing w:val="-3"/>
              </w:rPr>
              <w:t>（</w:t>
            </w:r>
            <w:r>
              <w:rPr>
                <w:i/>
                <w:iCs/>
                <w:color w:val="231F20"/>
                <w:spacing w:val="-3"/>
              </w:rPr>
              <w:t>x</w:t>
            </w:r>
            <w:r>
              <w:rPr>
                <w:i/>
                <w:iCs/>
                <w:color w:val="231F20"/>
                <w:spacing w:val="-11"/>
              </w:rPr>
              <w:t xml:space="preserve"> </w:t>
            </w:r>
            <w:r>
              <w:rPr>
                <w:i/>
                <w:iCs/>
                <w:color w:val="231F20"/>
                <w:spacing w:val="-3"/>
              </w:rPr>
              <w:t>± s</w:t>
            </w:r>
            <w:r>
              <w:rPr>
                <w:rFonts w:ascii="SimSun" w:hAnsi="SimSun" w:eastAsia="SimSun" w:cs="SimSun"/>
                <w:color w:val="231F20"/>
                <w:spacing w:val="-3"/>
              </w:rPr>
              <w:t>，岁）</w:t>
            </w:r>
          </w:p>
        </w:tc>
        <w:tc>
          <w:tcPr>
            <w:tcW w:w="1169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ind w:left="447"/>
              <w:spacing w:before="54" w:line="220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pict>
                <v:shape id="_x0000_s16" style="position:absolute;margin-left:-40.7463pt;margin-top:15.7255pt;mso-position-vertical-relative:top-margin-area;mso-position-horizontal-relative:right-margin-area;width:2.05pt;height:0.3pt;z-index:-251658240;" filled="false" strokecolor="#101214" strokeweight="0.30pt" coordsize="40,6" coordorigin="0,0" path="m0,2l40,2e">
                  <v:stroke joinstyle="miter" miterlimit="4"/>
                </v:shape>
              </w:pict>
            </w:r>
            <w:r>
              <w:rPr>
                <w:rFonts w:ascii="SimSun" w:hAnsi="SimSun" w:eastAsia="SimSun" w:cs="SimSun"/>
                <w:sz w:val="16"/>
                <w:szCs w:val="16"/>
                <w:color w:val="231F20"/>
                <w:spacing w:val="-2"/>
              </w:rPr>
              <w:t>病程</w:t>
            </w:r>
          </w:p>
          <w:p>
            <w:pPr>
              <w:pStyle w:val="TableText"/>
              <w:ind w:left="190"/>
              <w:spacing w:before="49" w:line="231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color w:val="231F20"/>
                <w:spacing w:val="-5"/>
              </w:rPr>
              <w:t>（</w:t>
            </w:r>
            <w:r>
              <w:rPr>
                <w:i/>
                <w:iCs/>
                <w:color w:val="231F20"/>
                <w:spacing w:val="-5"/>
              </w:rPr>
              <w:t>x</w:t>
            </w:r>
            <w:r>
              <w:rPr>
                <w:i/>
                <w:iCs/>
                <w:color w:val="231F20"/>
                <w:spacing w:val="-7"/>
              </w:rPr>
              <w:t xml:space="preserve"> </w:t>
            </w:r>
            <w:r>
              <w:rPr>
                <w:i/>
                <w:iCs/>
                <w:color w:val="231F20"/>
                <w:spacing w:val="-5"/>
              </w:rPr>
              <w:t>± s</w:t>
            </w:r>
            <w:r>
              <w:rPr>
                <w:i/>
                <w:iCs/>
                <w:color w:val="231F20"/>
                <w:spacing w:val="-21"/>
              </w:rPr>
              <w:t xml:space="preserve"> </w:t>
            </w:r>
            <w:r>
              <w:rPr>
                <w:rFonts w:ascii="SimSun" w:hAnsi="SimSun" w:eastAsia="SimSun" w:cs="SimSun"/>
                <w:color w:val="231F20"/>
                <w:spacing w:val="-5"/>
              </w:rPr>
              <w:t>，</w:t>
            </w:r>
            <w:r>
              <w:rPr>
                <w:color w:val="231F20"/>
                <w:spacing w:val="-5"/>
              </w:rPr>
              <w:t>h</w:t>
            </w:r>
            <w:r>
              <w:rPr>
                <w:rFonts w:ascii="SimSun" w:hAnsi="SimSun" w:eastAsia="SimSun" w:cs="SimSun"/>
                <w:color w:val="231F20"/>
                <w:spacing w:val="-5"/>
              </w:rPr>
              <w:t>）</w:t>
            </w:r>
          </w:p>
        </w:tc>
      </w:tr>
      <w:tr>
        <w:trPr>
          <w:trHeight w:val="239" w:hRule="atLeast"/>
        </w:trPr>
        <w:tc>
          <w:tcPr>
            <w:tcW w:w="759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01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0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ind w:left="216"/>
              <w:spacing w:before="33" w:line="220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31F20"/>
                <w:spacing w:val="-7"/>
              </w:rPr>
              <w:t>男</w:t>
            </w:r>
            <w:r>
              <w:rPr>
                <w:rFonts w:ascii="SimSun" w:hAnsi="SimSun" w:eastAsia="SimSun" w:cs="SimSun"/>
                <w:sz w:val="16"/>
                <w:szCs w:val="16"/>
                <w:color w:val="231F20"/>
                <w:spacing w:val="8"/>
              </w:rPr>
              <w:t xml:space="preserve">      </w:t>
            </w:r>
            <w:r>
              <w:rPr>
                <w:rFonts w:ascii="SimSun" w:hAnsi="SimSun" w:eastAsia="SimSun" w:cs="SimSun"/>
                <w:sz w:val="16"/>
                <w:szCs w:val="16"/>
                <w:color w:val="231F20"/>
                <w:spacing w:val="-7"/>
              </w:rPr>
              <w:t>女</w:t>
            </w:r>
          </w:p>
        </w:tc>
        <w:tc>
          <w:tcPr>
            <w:tcW w:w="1099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69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40" w:hRule="atLeast"/>
        </w:trPr>
        <w:tc>
          <w:tcPr>
            <w:tcW w:w="759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31"/>
              <w:spacing w:before="41" w:line="217" w:lineRule="auto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5"/>
              </w:rPr>
              <w:t>ERAT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rFonts w:ascii="SimSun" w:hAnsi="SimSun" w:eastAsia="SimSun" w:cs="SimSun"/>
                <w:color w:val="231F20"/>
                <w:spacing w:val="-5"/>
              </w:rPr>
              <w:t>组</w:t>
            </w:r>
          </w:p>
        </w:tc>
        <w:tc>
          <w:tcPr>
            <w:tcW w:w="601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222"/>
              <w:spacing w:before="66" w:line="186" w:lineRule="auto"/>
              <w:rPr/>
            </w:pPr>
            <w:r>
              <w:rPr>
                <w:color w:val="231F20"/>
                <w:spacing w:val="-2"/>
              </w:rPr>
              <w:t>50</w:t>
            </w:r>
          </w:p>
        </w:tc>
        <w:tc>
          <w:tcPr>
            <w:tcW w:w="1304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212"/>
              <w:spacing w:before="66" w:line="186" w:lineRule="auto"/>
              <w:rPr/>
            </w:pPr>
            <w:r>
              <w:rPr>
                <w:color w:val="231F20"/>
                <w:spacing w:val="-2"/>
              </w:rPr>
              <w:t>26</w:t>
            </w:r>
            <w:r>
              <w:rPr>
                <w:color w:val="231F20"/>
              </w:rPr>
              <w:t xml:space="preserve">             </w:t>
            </w:r>
            <w:r>
              <w:rPr>
                <w:color w:val="231F20"/>
                <w:spacing w:val="-2"/>
              </w:rPr>
              <w:t>24</w:t>
            </w:r>
          </w:p>
        </w:tc>
        <w:tc>
          <w:tcPr>
            <w:tcW w:w="1099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128"/>
              <w:spacing w:before="41" w:line="217" w:lineRule="auto"/>
              <w:rPr/>
            </w:pPr>
            <w:r>
              <w:rPr>
                <w:color w:val="231F20"/>
                <w:spacing w:val="-1"/>
              </w:rPr>
              <w:t>39.60</w:t>
            </w:r>
            <w:r>
              <w:rPr>
                <w:rFonts w:ascii="SimSun" w:hAnsi="SimSun" w:eastAsia="SimSun" w:cs="SimSun"/>
                <w:color w:val="231F20"/>
                <w:spacing w:val="-1"/>
              </w:rPr>
              <w:t>±</w:t>
            </w:r>
            <w:r>
              <w:rPr>
                <w:color w:val="231F20"/>
                <w:spacing w:val="-1"/>
              </w:rPr>
              <w:t>4.70</w:t>
            </w:r>
          </w:p>
        </w:tc>
        <w:tc>
          <w:tcPr>
            <w:tcW w:w="1169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160"/>
              <w:spacing w:before="41" w:line="217" w:lineRule="auto"/>
              <w:rPr/>
            </w:pPr>
            <w:r>
              <w:rPr>
                <w:color w:val="231F20"/>
                <w:spacing w:val="-1"/>
              </w:rPr>
              <w:t>23.00</w:t>
            </w:r>
            <w:r>
              <w:rPr>
                <w:rFonts w:ascii="SimSun" w:hAnsi="SimSun" w:eastAsia="SimSun" w:cs="SimSun"/>
                <w:color w:val="231F20"/>
                <w:spacing w:val="-1"/>
              </w:rPr>
              <w:t>±</w:t>
            </w:r>
            <w:r>
              <w:rPr>
                <w:color w:val="231F20"/>
                <w:spacing w:val="-1"/>
              </w:rPr>
              <w:t>7.50</w:t>
            </w:r>
          </w:p>
        </w:tc>
      </w:tr>
      <w:tr>
        <w:trPr>
          <w:trHeight w:val="249" w:hRule="atLeast"/>
        </w:trPr>
        <w:tc>
          <w:tcPr>
            <w:tcW w:w="759" w:type="dxa"/>
            <w:vAlign w:val="top"/>
          </w:tcPr>
          <w:p>
            <w:pPr>
              <w:pStyle w:val="TableText"/>
              <w:ind w:left="31"/>
              <w:spacing w:before="58" w:line="208" w:lineRule="auto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2"/>
              </w:rPr>
              <w:t>LA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rFonts w:ascii="SimSun" w:hAnsi="SimSun" w:eastAsia="SimSun" w:cs="SimSun"/>
                <w:color w:val="231F20"/>
                <w:spacing w:val="-2"/>
              </w:rPr>
              <w:t>组</w:t>
            </w:r>
          </w:p>
        </w:tc>
        <w:tc>
          <w:tcPr>
            <w:tcW w:w="601" w:type="dxa"/>
            <w:vAlign w:val="top"/>
          </w:tcPr>
          <w:p>
            <w:pPr>
              <w:pStyle w:val="TableText"/>
              <w:ind w:left="222"/>
              <w:spacing w:before="83" w:line="186" w:lineRule="auto"/>
              <w:rPr/>
            </w:pPr>
            <w:r>
              <w:rPr>
                <w:color w:val="231F20"/>
                <w:spacing w:val="-2"/>
              </w:rPr>
              <w:t>50</w:t>
            </w:r>
          </w:p>
        </w:tc>
        <w:tc>
          <w:tcPr>
            <w:tcW w:w="1304" w:type="dxa"/>
            <w:vAlign w:val="top"/>
          </w:tcPr>
          <w:p>
            <w:pPr>
              <w:pStyle w:val="TableText"/>
              <w:ind w:left="212"/>
              <w:spacing w:before="83" w:line="186" w:lineRule="auto"/>
              <w:rPr/>
            </w:pPr>
            <w:r>
              <w:rPr>
                <w:color w:val="231F20"/>
                <w:spacing w:val="-2"/>
              </w:rPr>
              <w:t>28</w:t>
            </w:r>
            <w:r>
              <w:rPr>
                <w:color w:val="231F20"/>
              </w:rPr>
              <w:t xml:space="preserve">             </w:t>
            </w:r>
            <w:r>
              <w:rPr>
                <w:color w:val="231F20"/>
                <w:spacing w:val="-2"/>
              </w:rPr>
              <w:t>22</w:t>
            </w:r>
          </w:p>
        </w:tc>
        <w:tc>
          <w:tcPr>
            <w:tcW w:w="1099" w:type="dxa"/>
            <w:vAlign w:val="top"/>
          </w:tcPr>
          <w:p>
            <w:pPr>
              <w:pStyle w:val="TableText"/>
              <w:ind w:left="124"/>
              <w:spacing w:before="58" w:line="208" w:lineRule="auto"/>
              <w:rPr/>
            </w:pPr>
            <w:r>
              <w:rPr>
                <w:color w:val="231F20"/>
                <w:spacing w:val="-1"/>
              </w:rPr>
              <w:t>41.00</w:t>
            </w:r>
            <w:r>
              <w:rPr>
                <w:rFonts w:ascii="SimSun" w:hAnsi="SimSun" w:eastAsia="SimSun" w:cs="SimSun"/>
                <w:color w:val="231F20"/>
                <w:spacing w:val="-1"/>
              </w:rPr>
              <w:t>±</w:t>
            </w:r>
            <w:r>
              <w:rPr>
                <w:color w:val="231F20"/>
                <w:spacing w:val="-1"/>
              </w:rPr>
              <w:t>4.20</w:t>
            </w:r>
          </w:p>
        </w:tc>
        <w:tc>
          <w:tcPr>
            <w:tcW w:w="1169" w:type="dxa"/>
            <w:vAlign w:val="top"/>
          </w:tcPr>
          <w:p>
            <w:pPr>
              <w:pStyle w:val="TableText"/>
              <w:ind w:left="160"/>
              <w:spacing w:before="58" w:line="208" w:lineRule="auto"/>
              <w:rPr/>
            </w:pPr>
            <w:r>
              <w:rPr>
                <w:color w:val="231F20"/>
                <w:spacing w:val="-1"/>
              </w:rPr>
              <w:t>26.00</w:t>
            </w:r>
            <w:r>
              <w:rPr>
                <w:rFonts w:ascii="SimSun" w:hAnsi="SimSun" w:eastAsia="SimSun" w:cs="SimSun"/>
                <w:color w:val="231F20"/>
                <w:spacing w:val="-1"/>
              </w:rPr>
              <w:t>±</w:t>
            </w:r>
            <w:r>
              <w:rPr>
                <w:color w:val="231F20"/>
                <w:spacing w:val="-1"/>
              </w:rPr>
              <w:t>6.10</w:t>
            </w:r>
          </w:p>
        </w:tc>
      </w:tr>
      <w:tr>
        <w:trPr>
          <w:trHeight w:val="273" w:hRule="atLeast"/>
        </w:trPr>
        <w:tc>
          <w:tcPr>
            <w:tcW w:w="759" w:type="dxa"/>
            <w:vAlign w:val="top"/>
          </w:tcPr>
          <w:p>
            <w:pPr>
              <w:pStyle w:val="TableText"/>
              <w:ind w:left="71"/>
              <w:spacing w:before="60" w:line="231" w:lineRule="auto"/>
              <w:rPr/>
            </w:pPr>
            <w:r>
              <w:rPr>
                <w:rFonts w:ascii="SimSun" w:hAnsi="SimSun" w:eastAsia="SimSun" w:cs="SimSun"/>
                <w:i/>
                <w:iCs/>
                <w:color w:val="231F20"/>
                <w:spacing w:val="-41"/>
              </w:rPr>
              <w:t>χ</w:t>
            </w:r>
            <w:r>
              <w:rPr>
                <w:sz w:val="9"/>
                <w:szCs w:val="9"/>
                <w:color w:val="231F20"/>
                <w:position w:val="7"/>
              </w:rPr>
              <w:t>2</w:t>
            </w:r>
            <w:r>
              <w:rPr>
                <w:rFonts w:ascii="SimSun" w:hAnsi="SimSun" w:eastAsia="SimSun" w:cs="SimSun"/>
                <w:color w:val="231F20"/>
              </w:rPr>
              <w:t>/</w:t>
            </w:r>
            <w:r>
              <w:rPr>
                <w:i/>
                <w:iCs/>
                <w:color w:val="231F20"/>
              </w:rPr>
              <w:t>t</w:t>
            </w:r>
          </w:p>
        </w:tc>
        <w:tc>
          <w:tcPr>
            <w:tcW w:w="60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04" w:type="dxa"/>
            <w:vAlign w:val="top"/>
          </w:tcPr>
          <w:p>
            <w:pPr>
              <w:pStyle w:val="TableText"/>
              <w:ind w:left="464"/>
              <w:spacing w:before="91" w:line="186" w:lineRule="auto"/>
              <w:rPr/>
            </w:pPr>
            <w:r>
              <w:rPr>
                <w:color w:val="231F20"/>
                <w:spacing w:val="-1"/>
              </w:rPr>
              <w:t>0.201</w:t>
            </w:r>
          </w:p>
        </w:tc>
        <w:tc>
          <w:tcPr>
            <w:tcW w:w="1099" w:type="dxa"/>
            <w:vAlign w:val="top"/>
          </w:tcPr>
          <w:p>
            <w:pPr>
              <w:pStyle w:val="TableText"/>
              <w:ind w:left="408"/>
              <w:spacing w:before="91" w:line="186" w:lineRule="auto"/>
              <w:rPr/>
            </w:pPr>
            <w:r>
              <w:rPr>
                <w:color w:val="231F20"/>
                <w:spacing w:val="-1"/>
              </w:rPr>
              <w:t>0.135</w:t>
            </w:r>
          </w:p>
        </w:tc>
        <w:tc>
          <w:tcPr>
            <w:tcW w:w="1169" w:type="dxa"/>
            <w:vAlign w:val="top"/>
          </w:tcPr>
          <w:p>
            <w:pPr>
              <w:pStyle w:val="TableText"/>
              <w:ind w:left="443"/>
              <w:spacing w:before="91" w:line="186" w:lineRule="auto"/>
              <w:rPr/>
            </w:pPr>
            <w:r>
              <w:rPr>
                <w:color w:val="231F20"/>
                <w:spacing w:val="-1"/>
              </w:rPr>
              <w:t>0.436</w:t>
            </w:r>
          </w:p>
        </w:tc>
      </w:tr>
      <w:tr>
        <w:trPr>
          <w:trHeight w:val="255" w:hRule="atLeast"/>
        </w:trPr>
        <w:tc>
          <w:tcPr>
            <w:tcW w:w="75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4"/>
              <w:spacing w:before="77" w:line="183" w:lineRule="auto"/>
              <w:rPr/>
            </w:pPr>
            <w:r>
              <w:rPr>
                <w:i/>
                <w:iCs/>
                <w:color w:val="231F20"/>
                <w:spacing w:val="5"/>
              </w:rPr>
              <w:t>P</w:t>
            </w:r>
          </w:p>
        </w:tc>
        <w:tc>
          <w:tcPr>
            <w:tcW w:w="601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0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64"/>
              <w:spacing w:before="74" w:line="186" w:lineRule="auto"/>
              <w:rPr/>
            </w:pPr>
            <w:r>
              <w:rPr>
                <w:color w:val="231F20"/>
                <w:spacing w:val="-1"/>
              </w:rPr>
              <w:t>0.651</w:t>
            </w:r>
          </w:p>
        </w:tc>
        <w:tc>
          <w:tcPr>
            <w:tcW w:w="109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08"/>
              <w:spacing w:before="74" w:line="186" w:lineRule="auto"/>
              <w:rPr/>
            </w:pPr>
            <w:r>
              <w:rPr>
                <w:color w:val="231F20"/>
                <w:spacing w:val="-1"/>
              </w:rPr>
              <w:t>0.893</w:t>
            </w:r>
          </w:p>
        </w:tc>
        <w:tc>
          <w:tcPr>
            <w:tcW w:w="116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43"/>
              <w:spacing w:before="74" w:line="186" w:lineRule="auto"/>
              <w:rPr/>
            </w:pPr>
            <w:r>
              <w:rPr>
                <w:color w:val="231F20"/>
                <w:spacing w:val="-1"/>
              </w:rPr>
              <w:t>0.664</w:t>
            </w:r>
          </w:p>
        </w:tc>
      </w:tr>
    </w:tbl>
    <w:p>
      <w:pPr>
        <w:spacing w:line="330" w:lineRule="auto"/>
        <w:rPr>
          <w:rFonts w:ascii="Arial"/>
          <w:sz w:val="21"/>
        </w:rPr>
      </w:pPr>
      <w:r/>
    </w:p>
    <w:p>
      <w:pPr>
        <w:pStyle w:val="BodyText"/>
        <w:ind w:left="406"/>
        <w:spacing w:before="65" w:line="220" w:lineRule="auto"/>
        <w:rPr/>
      </w:pPr>
      <w:r>
        <w:rPr>
          <w:color w:val="231F20"/>
          <w:spacing w:val="11"/>
        </w:rPr>
        <w:t>纳入标准</w:t>
      </w:r>
      <w:r>
        <w:rPr>
          <w:color w:val="231F20"/>
          <w:spacing w:val="-4"/>
        </w:rPr>
        <w:t>：（</w:t>
      </w:r>
      <w:r>
        <w:rPr>
          <w:rFonts w:ascii="Times New Roman" w:hAnsi="Times New Roman" w:eastAsia="Times New Roman" w:cs="Times New Roman"/>
          <w:color w:val="231F20"/>
          <w:spacing w:val="11"/>
        </w:rPr>
        <w:t>1</w:t>
      </w:r>
      <w:r>
        <w:rPr>
          <w:color w:val="231F20"/>
          <w:spacing w:val="11"/>
        </w:rPr>
        <w:t>）符合急性非复杂性阑尾炎诊断；</w:t>
      </w:r>
    </w:p>
    <w:p>
      <w:pPr>
        <w:pStyle w:val="BodyText"/>
        <w:ind w:left="7" w:firstLine="5"/>
        <w:spacing w:before="83" w:line="296" w:lineRule="auto"/>
        <w:rPr/>
      </w:pPr>
      <w:r>
        <w:rPr>
          <w:color w:val="231F20"/>
          <w:spacing w:val="2"/>
        </w:rPr>
        <w:t>（</w:t>
      </w:r>
      <w:r>
        <w:rPr>
          <w:rFonts w:ascii="Times New Roman" w:hAnsi="Times New Roman" w:eastAsia="Times New Roman" w:cs="Times New Roman"/>
          <w:color w:val="231F20"/>
          <w:spacing w:val="2"/>
        </w:rPr>
        <w:t>2</w:t>
      </w:r>
      <w:r>
        <w:rPr>
          <w:color w:val="231F20"/>
          <w:spacing w:val="2"/>
        </w:rPr>
        <w:t>）能清楚表达主诉</w:t>
      </w:r>
      <w:r>
        <w:rPr>
          <w:color w:val="231F20"/>
          <w:spacing w:val="-10"/>
        </w:rPr>
        <w:t>；（</w:t>
      </w:r>
      <w:r>
        <w:rPr>
          <w:rFonts w:ascii="Times New Roman" w:hAnsi="Times New Roman" w:eastAsia="Times New Roman" w:cs="Times New Roman"/>
          <w:color w:val="231F20"/>
          <w:spacing w:val="2"/>
        </w:rPr>
        <w:t>3</w:t>
      </w:r>
      <w:r>
        <w:rPr>
          <w:color w:val="231F20"/>
          <w:spacing w:val="2"/>
        </w:rPr>
        <w:t>）基本资料完整</w:t>
      </w:r>
      <w:r>
        <w:rPr>
          <w:color w:val="231F20"/>
          <w:spacing w:val="-10"/>
        </w:rPr>
        <w:t>；（</w:t>
      </w:r>
      <w:r>
        <w:rPr>
          <w:rFonts w:ascii="Times New Roman" w:hAnsi="Times New Roman" w:eastAsia="Times New Roman" w:cs="Times New Roman"/>
          <w:color w:val="231F20"/>
          <w:spacing w:val="2"/>
        </w:rPr>
        <w:t>4</w:t>
      </w:r>
      <w:r>
        <w:rPr>
          <w:color w:val="231F20"/>
          <w:spacing w:val="2"/>
        </w:rPr>
        <w:t>）签署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相关知情同意书。排除标准</w:t>
      </w:r>
      <w:r>
        <w:rPr>
          <w:color w:val="231F20"/>
          <w:spacing w:val="-3"/>
        </w:rPr>
        <w:t>：（</w:t>
      </w:r>
      <w:r>
        <w:rPr>
          <w:rFonts w:ascii="Times New Roman" w:hAnsi="Times New Roman" w:eastAsia="Times New Roman" w:cs="Times New Roman"/>
          <w:color w:val="231F20"/>
        </w:rPr>
        <w:t>1</w:t>
      </w:r>
      <w:r>
        <w:rPr>
          <w:color w:val="231F20"/>
        </w:rPr>
        <w:t>）存在凝血功能障碍、  </w:t>
      </w:r>
      <w:r>
        <w:rPr>
          <w:color w:val="231F20"/>
          <w:spacing w:val="-3"/>
        </w:rPr>
        <w:t>神经精神疾病等患者</w:t>
      </w:r>
      <w:r>
        <w:rPr>
          <w:color w:val="231F20"/>
          <w:spacing w:val="-20"/>
        </w:rPr>
        <w:t>；（</w:t>
      </w:r>
      <w:r>
        <w:rPr>
          <w:rFonts w:ascii="Times New Roman" w:hAnsi="Times New Roman" w:eastAsia="Times New Roman" w:cs="Times New Roman"/>
          <w:color w:val="231F20"/>
          <w:spacing w:val="-3"/>
        </w:rPr>
        <w:t>2</w:t>
      </w:r>
      <w:r>
        <w:rPr>
          <w:color w:val="231F20"/>
          <w:spacing w:val="-3"/>
        </w:rPr>
        <w:t>）近</w:t>
      </w:r>
      <w:r>
        <w:rPr>
          <w:color w:val="231F20"/>
          <w:spacing w:val="-4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6 </w:t>
      </w:r>
      <w:r>
        <w:rPr>
          <w:color w:val="231F20"/>
          <w:spacing w:val="-3"/>
        </w:rPr>
        <w:t>个月内应用免疫抑制剂、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糖皮质激素等药物治疗患者</w:t>
      </w:r>
      <w:r>
        <w:rPr>
          <w:color w:val="231F20"/>
          <w:spacing w:val="-14"/>
        </w:rPr>
        <w:t>；（</w:t>
      </w:r>
      <w:r>
        <w:rPr>
          <w:rFonts w:ascii="Times New Roman" w:hAnsi="Times New Roman" w:eastAsia="Times New Roman" w:cs="Times New Roman"/>
          <w:color w:val="231F20"/>
          <w:spacing w:val="2"/>
        </w:rPr>
        <w:t>3</w:t>
      </w:r>
      <w:r>
        <w:rPr>
          <w:color w:val="231F20"/>
          <w:spacing w:val="2"/>
        </w:rPr>
        <w:t>）合并其他感染</w:t>
      </w:r>
      <w:r>
        <w:rPr>
          <w:color w:val="231F20"/>
          <w:spacing w:val="1"/>
        </w:rPr>
        <w:t>疾病或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肿瘤患者。</w:t>
      </w:r>
    </w:p>
    <w:p>
      <w:pPr>
        <w:pStyle w:val="BodyText"/>
        <w:ind w:left="420"/>
        <w:spacing w:before="1" w:line="219" w:lineRule="auto"/>
        <w:rPr/>
      </w:pPr>
      <w:r>
        <w:rPr>
          <w:rFonts w:ascii="Times New Roman" w:hAnsi="Times New Roman" w:eastAsia="Times New Roman" w:cs="Times New Roman"/>
          <w:color w:val="231F20"/>
          <w:spacing w:val="-5"/>
        </w:rPr>
        <w:t>1.2</w:t>
      </w:r>
      <w:r>
        <w:rPr>
          <w:rFonts w:ascii="Times New Roman" w:hAnsi="Times New Roman" w:eastAsia="Times New Roman" w:cs="Times New Roman"/>
          <w:color w:val="231F20"/>
          <w:spacing w:val="6"/>
        </w:rPr>
        <w:t xml:space="preserve">  </w:t>
      </w:r>
      <w:r>
        <w:rPr>
          <w:color w:val="231F20"/>
          <w:spacing w:val="-5"/>
        </w:rPr>
        <w:t>手术方法</w:t>
      </w:r>
    </w:p>
    <w:p>
      <w:pPr>
        <w:pStyle w:val="BodyText"/>
        <w:ind w:left="7" w:right="70" w:firstLine="397"/>
        <w:spacing w:before="83" w:line="274" w:lineRule="auto"/>
        <w:rPr/>
      </w:pPr>
      <w:r>
        <w:rPr>
          <w:color w:val="231F20"/>
          <w:spacing w:val="5"/>
        </w:rPr>
        <w:t>观察组采用超声引导下</w:t>
      </w:r>
      <w:r>
        <w:rPr>
          <w:color w:val="231F20"/>
          <w:spacing w:val="-4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ERAT</w:t>
      </w:r>
      <w:r>
        <w:rPr>
          <w:rFonts w:ascii="Times New Roman" w:hAnsi="Times New Roman" w:eastAsia="Times New Roman" w:cs="Times New Roman"/>
          <w:color w:val="231F20"/>
          <w:spacing w:val="16"/>
        </w:rPr>
        <w:t xml:space="preserve"> </w:t>
      </w:r>
      <w:r>
        <w:rPr>
          <w:color w:val="231F20"/>
          <w:spacing w:val="5"/>
        </w:rPr>
        <w:t>治疗。术前</w:t>
      </w:r>
      <w:r>
        <w:rPr>
          <w:color w:val="231F20"/>
          <w:spacing w:val="-3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4 h</w:t>
      </w:r>
      <w:r>
        <w:rPr>
          <w:rFonts w:ascii="Times New Roman" w:hAnsi="Times New Roman" w:eastAsia="Times New Roman" w:cs="Times New Roman"/>
          <w:color w:val="231F20"/>
          <w:spacing w:val="16"/>
          <w:w w:val="101"/>
        </w:rPr>
        <w:t xml:space="preserve"> </w:t>
      </w:r>
      <w:r>
        <w:rPr>
          <w:color w:val="231F20"/>
          <w:spacing w:val="5"/>
        </w:rPr>
        <w:t>予清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肠准备，具体方法：患者服用</w:t>
      </w:r>
      <w:r>
        <w:rPr>
          <w:color w:val="231F20"/>
          <w:spacing w:val="-4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2</w:t>
      </w:r>
      <w:r>
        <w:rPr>
          <w:rFonts w:ascii="Times New Roman" w:hAnsi="Times New Roman" w:eastAsia="Times New Roman" w:cs="Times New Roman"/>
          <w:color w:val="231F20"/>
          <w:spacing w:val="16"/>
        </w:rPr>
        <w:t xml:space="preserve"> </w:t>
      </w:r>
      <w:r>
        <w:rPr>
          <w:color w:val="231F20"/>
          <w:spacing w:val="4"/>
        </w:rPr>
        <w:t>～</w:t>
      </w:r>
      <w:r>
        <w:rPr>
          <w:color w:val="231F20"/>
          <w:spacing w:val="-4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3 L</w:t>
      </w:r>
      <w:r>
        <w:rPr>
          <w:rFonts w:ascii="Times New Roman" w:hAnsi="Times New Roman" w:eastAsia="Times New Roman" w:cs="Times New Roman"/>
          <w:color w:val="231F20"/>
          <w:spacing w:val="18"/>
        </w:rPr>
        <w:t xml:space="preserve"> </w:t>
      </w:r>
      <w:r>
        <w:rPr>
          <w:color w:val="231F20"/>
          <w:spacing w:val="4"/>
        </w:rPr>
        <w:t>聚乙二醇电解质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溶液。结肠镜前端戴锥形透明帽，由肛门循腔进镜到达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"/>
        </w:rPr>
        <w:t>盲肠内找到</w:t>
      </w:r>
      <w:r>
        <w:rPr>
          <w:color w:val="231F20"/>
          <w:spacing w:val="-3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Gerlach </w:t>
      </w:r>
      <w:r>
        <w:rPr>
          <w:color w:val="231F20"/>
          <w:spacing w:val="-1"/>
        </w:rPr>
        <w:t>瓣后以锥形透明帽前端推开阑尾瓣抵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住阑尾内口，于超声引导下将导丝或取石网</w:t>
      </w:r>
      <w:r>
        <w:rPr>
          <w:color w:val="231F20"/>
          <w:spacing w:val="4"/>
        </w:rPr>
        <w:t>篮插入阑尾</w:t>
      </w:r>
    </w:p>
    <w:p>
      <w:pPr>
        <w:spacing w:line="274" w:lineRule="auto"/>
        <w:sectPr>
          <w:type w:val="continuous"/>
          <w:pgSz w:w="12246" w:h="16498"/>
          <w:pgMar w:top="1211" w:right="949" w:bottom="0" w:left="424" w:header="783" w:footer="0" w:gutter="0"/>
          <w:cols w:equalWidth="0" w:num="2">
            <w:col w:w="5769" w:space="100"/>
            <w:col w:w="5004" w:space="0"/>
          </w:cols>
        </w:sectPr>
        <w:rPr/>
      </w:pPr>
    </w:p>
    <w:p>
      <w:pPr>
        <w:spacing w:line="165" w:lineRule="exact"/>
        <w:rPr/>
      </w:pPr>
      <w:r/>
    </w:p>
    <w:p>
      <w:pPr>
        <w:spacing w:line="165" w:lineRule="exact"/>
        <w:sectPr>
          <w:headerReference w:type="default" r:id="rId6"/>
          <w:pgSz w:w="12246" w:h="16498"/>
          <w:pgMar w:top="1211" w:right="1020" w:bottom="0" w:left="424" w:header="783" w:footer="0" w:gutter="0"/>
          <w:cols w:equalWidth="0" w:num="1">
            <w:col w:w="10802" w:space="0"/>
          </w:cols>
        </w:sectPr>
        <w:rPr/>
      </w:pPr>
    </w:p>
    <w:p>
      <w:pPr>
        <w:pStyle w:val="BodyText"/>
        <w:ind w:left="602" w:right="231" w:firstLine="1"/>
        <w:spacing w:before="45" w:line="296" w:lineRule="auto"/>
        <w:jc w:val="both"/>
        <w:rPr/>
      </w:pPr>
      <w:r>
        <w:rPr>
          <w:color w:val="231F20"/>
        </w:rPr>
        <w:t>腔内，使用</w:t>
      </w:r>
      <w:r>
        <w:rPr>
          <w:color w:val="231F20"/>
          <w:spacing w:val="-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0.9</w:t>
      </w:r>
      <w:r>
        <w:rPr>
          <w:color w:val="231F20"/>
        </w:rPr>
        <w:t>%</w:t>
      </w:r>
      <w:r>
        <w:rPr>
          <w:color w:val="231F20"/>
          <w:spacing w:val="-39"/>
        </w:rPr>
        <w:t xml:space="preserve"> </w:t>
      </w:r>
      <w:r>
        <w:rPr>
          <w:color w:val="231F20"/>
        </w:rPr>
        <w:t>氯化钠注射液反复冲洗阑尾腔，观察冲 </w:t>
      </w:r>
      <w:r>
        <w:rPr>
          <w:color w:val="231F20"/>
          <w:spacing w:val="5"/>
        </w:rPr>
        <w:t>洗液情况。对有较大粪石的患者，使用取石网篮或球囊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4"/>
        </w:rPr>
        <w:t>进行取石治疗。对于阑尾内口炎症明显的患者或有管腔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狭窄的患者可给予支架置入进行脓液引流，过</w:t>
      </w:r>
      <w:r>
        <w:rPr>
          <w:color w:val="231F20"/>
          <w:spacing w:val="4"/>
        </w:rPr>
        <w:t>程中于超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声监视下评估支架置入情况；</w:t>
      </w:r>
      <w:r>
        <w:rPr>
          <w:rFonts w:ascii="Times New Roman" w:hAnsi="Times New Roman" w:eastAsia="Times New Roman" w:cs="Times New Roman"/>
          <w:color w:val="231F20"/>
          <w:spacing w:val="6"/>
        </w:rPr>
        <w:t>1</w:t>
      </w:r>
      <w:r>
        <w:rPr>
          <w:rFonts w:ascii="Times New Roman" w:hAnsi="Times New Roman" w:eastAsia="Times New Roman" w:cs="Times New Roman"/>
          <w:color w:val="231F20"/>
          <w:spacing w:val="18"/>
        </w:rPr>
        <w:t xml:space="preserve"> </w:t>
      </w:r>
      <w:r>
        <w:rPr>
          <w:color w:val="231F20"/>
          <w:spacing w:val="6"/>
        </w:rPr>
        <w:t>～</w:t>
      </w:r>
      <w:r>
        <w:rPr>
          <w:color w:val="231F20"/>
          <w:spacing w:val="-4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2 </w:t>
      </w:r>
      <w:r>
        <w:rPr>
          <w:color w:val="231F20"/>
          <w:spacing w:val="6"/>
        </w:rPr>
        <w:t>周后再次使用结肠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镜取出支架，并于镜下观察阑尾内口情况。抗生素使用：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患者入院后根据炎症指标情况评估是否使用抗</w:t>
      </w:r>
      <w:r>
        <w:rPr>
          <w:color w:val="231F20"/>
          <w:spacing w:val="4"/>
        </w:rPr>
        <w:t>生素，对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于影像学及腹部体征阳性但炎症指标升高不明</w:t>
      </w:r>
      <w:r>
        <w:rPr>
          <w:color w:val="231F20"/>
          <w:spacing w:val="4"/>
        </w:rPr>
        <w:t>显、阑尾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腔内以粪石为主而脓液较少的患者行超声引导下</w:t>
      </w:r>
      <w:r>
        <w:rPr>
          <w:color w:val="231F20"/>
          <w:spacing w:val="-4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ERAT </w:t>
      </w:r>
      <w:r>
        <w:rPr>
          <w:color w:val="231F20"/>
          <w:spacing w:val="-3"/>
        </w:rPr>
        <w:t>前后可不使用抗生素治疗。</w:t>
      </w:r>
    </w:p>
    <w:p>
      <w:pPr>
        <w:pStyle w:val="BodyText"/>
        <w:ind w:left="602" w:right="235" w:firstLine="396"/>
        <w:spacing w:before="5" w:line="296" w:lineRule="auto"/>
        <w:jc w:val="both"/>
        <w:rPr/>
      </w:pPr>
      <w:r>
        <w:rPr>
          <w:color w:val="231F20"/>
          <w:spacing w:val="28"/>
        </w:rPr>
        <w:t>对照组采用</w:t>
      </w:r>
      <w:r>
        <w:rPr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LA</w:t>
      </w:r>
      <w:r>
        <w:rPr>
          <w:rFonts w:ascii="Times New Roman" w:hAnsi="Times New Roman" w:eastAsia="Times New Roman" w:cs="Times New Roman"/>
          <w:color w:val="231F20"/>
          <w:spacing w:val="22"/>
        </w:rPr>
        <w:t xml:space="preserve"> </w:t>
      </w:r>
      <w:r>
        <w:rPr>
          <w:color w:val="231F20"/>
          <w:spacing w:val="28"/>
        </w:rPr>
        <w:t>治疗。患者取仰卧位，头低足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高，经气管插管进行全身麻醉，取脐上缘做切口（长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14"/>
        </w:rPr>
        <w:t>约</w:t>
      </w:r>
      <w:r>
        <w:rPr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4"/>
        </w:rPr>
        <w:t>1 </w:t>
      </w:r>
      <w:r>
        <w:rPr>
          <w:rFonts w:ascii="Times New Roman" w:hAnsi="Times New Roman" w:eastAsia="Times New Roman" w:cs="Times New Roman"/>
          <w:color w:val="231F20"/>
        </w:rPr>
        <w:t>cm</w:t>
      </w:r>
      <w:r>
        <w:rPr>
          <w:rFonts w:ascii="Times New Roman" w:hAnsi="Times New Roman" w:eastAsia="Times New Roman" w:cs="Times New Roman"/>
          <w:color w:val="231F20"/>
          <w:spacing w:val="-21"/>
        </w:rPr>
        <w:t xml:space="preserve"> </w:t>
      </w:r>
      <w:r>
        <w:rPr>
          <w:color w:val="231F20"/>
          <w:spacing w:val="17"/>
        </w:rPr>
        <w:t>），</w:t>
      </w:r>
      <w:r>
        <w:rPr>
          <w:color w:val="231F20"/>
          <w:spacing w:val="14"/>
        </w:rPr>
        <w:t>置入气腹针建立气腹［腹压约 </w:t>
      </w:r>
      <w:r>
        <w:rPr>
          <w:rFonts w:ascii="Times New Roman" w:hAnsi="Times New Roman" w:eastAsia="Times New Roman" w:cs="Times New Roman"/>
          <w:color w:val="231F20"/>
          <w:spacing w:val="14"/>
        </w:rPr>
        <w:t>10 </w:t>
      </w:r>
      <w:r>
        <w:rPr>
          <w:rFonts w:ascii="Times New Roman" w:hAnsi="Times New Roman" w:eastAsia="Times New Roman" w:cs="Times New Roman"/>
          <w:color w:val="231F20"/>
        </w:rPr>
        <w:t>mmHg </w:t>
      </w:r>
      <w:r>
        <w:rPr>
          <w:color w:val="231F20"/>
          <w:spacing w:val="5"/>
        </w:rPr>
        <w:t>（</w:t>
      </w:r>
      <w:r>
        <w:rPr>
          <w:rFonts w:ascii="Times New Roman" w:hAnsi="Times New Roman" w:eastAsia="Times New Roman" w:cs="Times New Roman"/>
          <w:color w:val="231F20"/>
          <w:spacing w:val="5"/>
        </w:rPr>
        <w:t>1</w:t>
      </w:r>
      <w:r>
        <w:rPr>
          <w:rFonts w:ascii="Times New Roman" w:hAnsi="Times New Roman" w:eastAsia="Times New Roman" w:cs="Times New Roman"/>
          <w:color w:val="231F20"/>
        </w:rPr>
        <w:t>mmHg</w:t>
      </w:r>
      <w:r>
        <w:rPr>
          <w:rFonts w:ascii="Times New Roman" w:hAnsi="Times New Roman" w:eastAsia="Times New Roman" w:cs="Times New Roman"/>
          <w:color w:val="231F20"/>
          <w:spacing w:val="25"/>
        </w:rPr>
        <w:t xml:space="preserve"> </w:t>
      </w:r>
      <w:r>
        <w:rPr>
          <w:color w:val="231F20"/>
          <w:spacing w:val="5"/>
        </w:rPr>
        <w:t>≈</w:t>
      </w:r>
      <w:r>
        <w:rPr>
          <w:color w:val="231F20"/>
          <w:spacing w:val="-4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0.133 </w:t>
      </w:r>
      <w:r>
        <w:rPr>
          <w:rFonts w:ascii="Times New Roman" w:hAnsi="Times New Roman" w:eastAsia="Times New Roman" w:cs="Times New Roman"/>
          <w:color w:val="231F20"/>
        </w:rPr>
        <w:t>kPa</w:t>
      </w:r>
      <w:r>
        <w:rPr>
          <w:color w:val="231F20"/>
          <w:spacing w:val="9"/>
        </w:rPr>
        <w:t>）］，</w:t>
      </w:r>
      <w:r>
        <w:rPr>
          <w:color w:val="231F20"/>
          <w:spacing w:val="5"/>
        </w:rPr>
        <w:t>从切口置入腔镜手术器械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探查腹腔情况，麦氏点、耻骨联合上方使用套管针穿刺，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4"/>
        </w:rPr>
        <w:t>分别刺入</w:t>
      </w:r>
      <w:r>
        <w:rPr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10</w:t>
      </w:r>
      <w:r>
        <w:rPr>
          <w:rFonts w:ascii="Times New Roman" w:hAnsi="Times New Roman" w:eastAsia="Times New Roman" w:cs="Times New Roman"/>
          <w:color w:val="231F20"/>
          <w:spacing w:val="-28"/>
        </w:rPr>
        <w:t xml:space="preserve"> </w:t>
      </w:r>
      <w:r>
        <w:rPr>
          <w:color w:val="231F20"/>
          <w:spacing w:val="4"/>
        </w:rPr>
        <w:t>、</w:t>
      </w:r>
      <w:r>
        <w:rPr>
          <w:rFonts w:ascii="Times New Roman" w:hAnsi="Times New Roman" w:eastAsia="Times New Roman" w:cs="Times New Roman"/>
          <w:color w:val="231F20"/>
          <w:spacing w:val="4"/>
        </w:rPr>
        <w:t>5 </w:t>
      </w:r>
      <w:r>
        <w:rPr>
          <w:rFonts w:ascii="Times New Roman" w:hAnsi="Times New Roman" w:eastAsia="Times New Roman" w:cs="Times New Roman"/>
          <w:color w:val="231F20"/>
        </w:rPr>
        <w:t>mm</w:t>
      </w:r>
      <w:r>
        <w:rPr>
          <w:rFonts w:ascii="Times New Roman" w:hAnsi="Times New Roman" w:eastAsia="Times New Roman" w:cs="Times New Roman"/>
          <w:color w:val="231F20"/>
          <w:spacing w:val="4"/>
        </w:rPr>
        <w:t xml:space="preserve"> </w:t>
      </w:r>
      <w:r>
        <w:rPr>
          <w:color w:val="231F20"/>
          <w:spacing w:val="4"/>
        </w:rPr>
        <w:t>套管针，置入抓钳与分离器钳；使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用电凝法，离断阑尾系膜与动脉。双重结扎阑尾根部，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离断阑尾，并处理残端，将离断的阑尾经套管取出，使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2"/>
        </w:rPr>
        <w:t>用</w:t>
      </w:r>
      <w:r>
        <w:rPr>
          <w:color w:val="231F20"/>
          <w:spacing w:val="-4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0.9</w:t>
      </w:r>
      <w:r>
        <w:rPr>
          <w:color w:val="231F20"/>
          <w:spacing w:val="2"/>
        </w:rPr>
        <w:t>%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2"/>
        </w:rPr>
        <w:t>氯化钠注射液冲洗腹腔，再次探查腹腔无活动性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出血后退镜，解除气腹后缝合切口，术毕。术</w:t>
      </w:r>
      <w:r>
        <w:rPr>
          <w:color w:val="231F20"/>
          <w:spacing w:val="4"/>
        </w:rPr>
        <w:t>后常规抗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感染治疗。</w:t>
      </w:r>
    </w:p>
    <w:p>
      <w:pPr>
        <w:pStyle w:val="BodyText"/>
        <w:ind w:left="1015"/>
        <w:spacing w:line="219" w:lineRule="auto"/>
        <w:rPr/>
      </w:pPr>
      <w:r>
        <w:rPr>
          <w:rFonts w:ascii="Times New Roman" w:hAnsi="Times New Roman" w:eastAsia="Times New Roman" w:cs="Times New Roman"/>
          <w:color w:val="231F20"/>
          <w:spacing w:val="-5"/>
        </w:rPr>
        <w:t>1.3</w:t>
      </w:r>
      <w:r>
        <w:rPr>
          <w:rFonts w:ascii="Times New Roman" w:hAnsi="Times New Roman" w:eastAsia="Times New Roman" w:cs="Times New Roman"/>
          <w:color w:val="231F20"/>
          <w:spacing w:val="6"/>
        </w:rPr>
        <w:t xml:space="preserve">  </w:t>
      </w:r>
      <w:r>
        <w:rPr>
          <w:color w:val="231F20"/>
          <w:spacing w:val="-5"/>
        </w:rPr>
        <w:t>观察指标</w:t>
      </w:r>
    </w:p>
    <w:p>
      <w:pPr>
        <w:pStyle w:val="BodyText"/>
        <w:ind w:left="603" w:right="180" w:firstLine="402"/>
        <w:spacing w:before="79" w:line="297" w:lineRule="auto"/>
        <w:jc w:val="both"/>
        <w:rPr/>
      </w:pPr>
      <w:r>
        <w:rPr>
          <w:color w:val="231F20"/>
          <w:spacing w:val="-1"/>
        </w:rPr>
        <w:t>（</w:t>
      </w:r>
      <w:r>
        <w:rPr>
          <w:rFonts w:ascii="Times New Roman" w:hAnsi="Times New Roman" w:eastAsia="Times New Roman" w:cs="Times New Roman"/>
          <w:color w:val="231F20"/>
          <w:spacing w:val="-1"/>
        </w:rPr>
        <w:t>1</w:t>
      </w:r>
      <w:r>
        <w:rPr>
          <w:color w:val="231F20"/>
          <w:spacing w:val="-1"/>
        </w:rPr>
        <w:t>）记录两组患者临床相关指标，包括手术时间、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4"/>
        </w:rPr>
        <w:t>术中出血量、术后排气时间、术后腹痛缓解时间、住院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2"/>
        </w:rPr>
        <w:t>时间，并进行比较。（</w:t>
      </w:r>
      <w:r>
        <w:rPr>
          <w:rFonts w:ascii="Times New Roman" w:hAnsi="Times New Roman" w:eastAsia="Times New Roman" w:cs="Times New Roman"/>
          <w:color w:val="231F20"/>
          <w:spacing w:val="-12"/>
        </w:rPr>
        <w:t>2</w:t>
      </w:r>
      <w:r>
        <w:rPr>
          <w:color w:val="231F20"/>
          <w:spacing w:val="-12"/>
        </w:rPr>
        <w:t>）检测两组患者手术前后炎性指标，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5"/>
        </w:rPr>
        <w:t>包括中性粒细胞、</w:t>
      </w:r>
      <w:r>
        <w:rPr>
          <w:rFonts w:ascii="Times New Roman" w:hAnsi="Times New Roman" w:eastAsia="Times New Roman" w:cs="Times New Roman"/>
          <w:color w:val="231F20"/>
          <w:spacing w:val="5"/>
        </w:rPr>
        <w:t>C </w:t>
      </w:r>
      <w:r>
        <w:rPr>
          <w:color w:val="231F20"/>
          <w:spacing w:val="5"/>
        </w:rPr>
        <w:t>反应蛋白，并进行比较。术前及术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"/>
        </w:rPr>
        <w:t>后</w:t>
      </w:r>
      <w:r>
        <w:rPr>
          <w:color w:val="231F20"/>
          <w:spacing w:val="-2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48 h </w:t>
      </w:r>
      <w:r>
        <w:rPr>
          <w:color w:val="231F20"/>
          <w:spacing w:val="-1"/>
        </w:rPr>
        <w:t>采集患者清晨</w:t>
      </w:r>
      <w:r>
        <w:rPr>
          <w:color w:val="231F20"/>
          <w:spacing w:val="-4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7:00</w:t>
      </w:r>
      <w:r>
        <w:rPr>
          <w:rFonts w:ascii="Times New Roman" w:hAnsi="Times New Roman" w:eastAsia="Times New Roman" w:cs="Times New Roman"/>
          <w:color w:val="231F20"/>
          <w:spacing w:val="15"/>
        </w:rPr>
        <w:t xml:space="preserve"> </w:t>
      </w:r>
      <w:r>
        <w:rPr>
          <w:color w:val="231F20"/>
          <w:spacing w:val="-1"/>
        </w:rPr>
        <w:t>空腹肘静脉血，每次采</w:t>
      </w:r>
      <w:r>
        <w:rPr>
          <w:color w:val="231F20"/>
          <w:spacing w:val="-4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2</w:t>
      </w:r>
      <w:r>
        <w:rPr>
          <w:rFonts w:ascii="Times New Roman" w:hAnsi="Times New Roman" w:eastAsia="Times New Roman" w:cs="Times New Roman"/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管，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每管采血</w:t>
      </w:r>
      <w:r>
        <w:rPr>
          <w:color w:val="231F20"/>
          <w:spacing w:val="-4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5 mL</w:t>
      </w:r>
      <w:r>
        <w:rPr>
          <w:color w:val="231F20"/>
          <w:spacing w:val="-4"/>
        </w:rPr>
        <w:t>，血常规检测使用含乙二胺四乙酸抗凝管，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C </w:t>
      </w:r>
      <w:r>
        <w:rPr>
          <w:color w:val="231F20"/>
          <w:spacing w:val="5"/>
        </w:rPr>
        <w:t>反应蛋白检测使用普通血清管。将抗凝剂与血充分混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7"/>
        </w:rPr>
        <w:t>匀后的血常规检测管放入</w:t>
      </w:r>
      <w:r>
        <w:rPr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Sysmex</w:t>
      </w:r>
      <w:r>
        <w:rPr>
          <w:rFonts w:ascii="Times New Roman" w:hAnsi="Times New Roman" w:eastAsia="Times New Roman" w:cs="Times New Roman"/>
          <w:color w:val="231F20"/>
          <w:spacing w:val="7"/>
        </w:rPr>
        <w:t xml:space="preserve"> </w:t>
      </w:r>
      <w:r>
        <w:rPr>
          <w:color w:val="231F20"/>
          <w:spacing w:val="7"/>
        </w:rPr>
        <w:t>血细胞分析仪（德国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希森美康公司，规格：</w:t>
      </w:r>
      <w:r>
        <w:rPr>
          <w:rFonts w:ascii="Times New Roman" w:hAnsi="Times New Roman" w:eastAsia="Times New Roman" w:cs="Times New Roman"/>
          <w:color w:val="231F20"/>
        </w:rPr>
        <w:t>XS</w:t>
      </w:r>
      <w:r>
        <w:rPr>
          <w:rFonts w:ascii="Times New Roman" w:hAnsi="Times New Roman" w:eastAsia="Times New Roman" w:cs="Times New Roman"/>
          <w:color w:val="231F20"/>
          <w:spacing w:val="4"/>
        </w:rPr>
        <w:t>-1000i</w:t>
      </w:r>
      <w:r>
        <w:rPr>
          <w:color w:val="231F20"/>
          <w:spacing w:val="4"/>
        </w:rPr>
        <w:t>）中进行分析；将</w:t>
      </w:r>
      <w:r>
        <w:rPr>
          <w:color w:val="231F20"/>
          <w:spacing w:val="-3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C </w:t>
      </w:r>
      <w:r>
        <w:rPr>
          <w:color w:val="231F20"/>
          <w:spacing w:val="4"/>
        </w:rPr>
        <w:t>反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1"/>
        <w:spacing w:before="36" w:line="295" w:lineRule="auto"/>
        <w:jc w:val="both"/>
        <w:rPr/>
      </w:pPr>
      <w:r>
        <w:rPr>
          <w:color w:val="231F20"/>
          <w:spacing w:val="-1"/>
        </w:rPr>
        <w:t>应蛋白检测管使用离心机</w:t>
      </w:r>
      <w:r>
        <w:rPr>
          <w:color w:val="231F20"/>
          <w:spacing w:val="-3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3 000 r</w:t>
      </w:r>
      <w:r>
        <w:rPr>
          <w:color w:val="231F20"/>
          <w:spacing w:val="-1"/>
        </w:rPr>
        <w:t>/</w:t>
      </w:r>
      <w:r>
        <w:rPr>
          <w:rFonts w:ascii="Times New Roman" w:hAnsi="Times New Roman" w:eastAsia="Times New Roman" w:cs="Times New Roman"/>
          <w:color w:val="231F20"/>
          <w:spacing w:val="-1"/>
        </w:rPr>
        <w:t>min</w:t>
      </w:r>
      <w:r>
        <w:rPr>
          <w:color w:val="231F20"/>
          <w:spacing w:val="-1"/>
        </w:rPr>
        <w:t>，离心 </w:t>
      </w:r>
      <w:r>
        <w:rPr>
          <w:rFonts w:ascii="Times New Roman" w:hAnsi="Times New Roman" w:eastAsia="Times New Roman" w:cs="Times New Roman"/>
          <w:color w:val="231F20"/>
          <w:spacing w:val="-1"/>
        </w:rPr>
        <w:t>10 min </w:t>
      </w:r>
      <w:r>
        <w:rPr>
          <w:color w:val="231F20"/>
          <w:spacing w:val="-1"/>
        </w:rPr>
        <w:t>后取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血清放入</w:t>
      </w:r>
      <w:r>
        <w:rPr>
          <w:color w:val="231F20"/>
          <w:spacing w:val="-4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Beckman</w:t>
      </w:r>
      <w:r>
        <w:rPr>
          <w:rFonts w:ascii="Times New Roman" w:hAnsi="Times New Roman" w:eastAsia="Times New Roman" w:cs="Times New Roman"/>
          <w:color w:val="231F20"/>
          <w:spacing w:val="3"/>
        </w:rPr>
        <w:t xml:space="preserve"> </w:t>
      </w:r>
      <w:r>
        <w:rPr>
          <w:color w:val="231F20"/>
          <w:spacing w:val="3"/>
        </w:rPr>
        <w:t>全自动生化分析仪（美国贝克曼库尔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特公司，规格</w:t>
      </w:r>
      <w:r>
        <w:rPr>
          <w:color w:val="231F20"/>
          <w:spacing w:val="-3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AU</w:t>
      </w:r>
      <w:r>
        <w:rPr>
          <w:rFonts w:ascii="Times New Roman" w:hAnsi="Times New Roman" w:eastAsia="Times New Roman" w:cs="Times New Roman"/>
          <w:color w:val="231F20"/>
          <w:spacing w:val="3"/>
        </w:rPr>
        <w:t>680</w:t>
      </w:r>
      <w:r>
        <w:rPr>
          <w:color w:val="231F20"/>
          <w:spacing w:val="3"/>
        </w:rPr>
        <w:t>）中进行分析，检测方法均为酶联</w:t>
      </w:r>
      <w:r>
        <w:rPr>
          <w:color w:val="231F20"/>
        </w:rPr>
        <w:t xml:space="preserve"> </w:t>
      </w:r>
      <w:r>
        <w:rPr>
          <w:color w:val="231F20"/>
        </w:rPr>
        <w:t>免疫法。中性粒细胞正常值范围（</w:t>
      </w:r>
      <w:r>
        <w:rPr>
          <w:rFonts w:ascii="Times New Roman" w:hAnsi="Times New Roman" w:eastAsia="Times New Roman" w:cs="Times New Roman"/>
          <w:color w:val="231F20"/>
        </w:rPr>
        <w:t>1.8</w:t>
      </w:r>
      <w:r>
        <w:rPr>
          <w:rFonts w:ascii="Times New Roman" w:hAnsi="Times New Roman" w:eastAsia="Times New Roman" w:cs="Times New Roman"/>
          <w:color w:val="231F20"/>
          <w:spacing w:val="14"/>
        </w:rPr>
        <w:t xml:space="preserve"> </w:t>
      </w:r>
      <w:r>
        <w:rPr>
          <w:color w:val="231F20"/>
        </w:rPr>
        <w:t>～</w:t>
      </w:r>
      <w:r>
        <w:rPr>
          <w:color w:val="231F20"/>
          <w:spacing w:val="-4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6.3</w:t>
      </w:r>
      <w:r>
        <w:rPr>
          <w:color w:val="231F20"/>
        </w:rPr>
        <w:t>）×</w:t>
      </w:r>
      <w:r>
        <w:rPr>
          <w:rFonts w:ascii="Times New Roman" w:hAnsi="Times New Roman" w:eastAsia="Times New Roman" w:cs="Times New Roman"/>
          <w:color w:val="231F20"/>
        </w:rPr>
        <w:t>10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position w:val="9"/>
        </w:rPr>
        <w:t>9</w:t>
      </w:r>
      <w:r>
        <w:rPr>
          <w:color w:val="231F20"/>
        </w:rPr>
        <w:t>/</w:t>
      </w:r>
      <w:r>
        <w:rPr>
          <w:rFonts w:ascii="Times New Roman" w:hAnsi="Times New Roman" w:eastAsia="Times New Roman" w:cs="Times New Roman"/>
          <w:color w:val="231F20"/>
        </w:rPr>
        <w:t>L</w:t>
      </w:r>
      <w:r>
        <w:rPr>
          <w:rFonts w:ascii="Times New Roman" w:hAnsi="Times New Roman" w:eastAsia="Times New Roman" w:cs="Times New Roman"/>
          <w:color w:val="231F20"/>
          <w:spacing w:val="-25"/>
        </w:rPr>
        <w:t xml:space="preserve"> </w:t>
      </w:r>
      <w:r>
        <w:rPr>
          <w:color w:val="231F20"/>
        </w:rPr>
        <w:t>， </w:t>
      </w:r>
      <w:r>
        <w:rPr>
          <w:rFonts w:ascii="Times New Roman" w:hAnsi="Times New Roman" w:eastAsia="Times New Roman" w:cs="Times New Roman"/>
          <w:color w:val="231F20"/>
          <w:spacing w:val="-3"/>
        </w:rPr>
        <w:t>C </w:t>
      </w:r>
      <w:r>
        <w:rPr>
          <w:color w:val="231F20"/>
          <w:spacing w:val="-3"/>
        </w:rPr>
        <w:t>反应蛋白正常值范围</w:t>
      </w:r>
      <w:r>
        <w:rPr>
          <w:color w:val="231F20"/>
          <w:spacing w:val="-3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0</w:t>
      </w:r>
      <w:r>
        <w:rPr>
          <w:rFonts w:ascii="Times New Roman" w:hAnsi="Times New Roman" w:eastAsia="Times New Roman" w:cs="Times New Roman"/>
          <w:color w:val="231F20"/>
          <w:spacing w:val="14"/>
        </w:rPr>
        <w:t xml:space="preserve"> </w:t>
      </w:r>
      <w:r>
        <w:rPr>
          <w:color w:val="231F20"/>
          <w:spacing w:val="-3"/>
        </w:rPr>
        <w:t>～</w:t>
      </w:r>
      <w:r>
        <w:rPr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10 mg</w:t>
      </w:r>
      <w:r>
        <w:rPr>
          <w:color w:val="231F20"/>
          <w:spacing w:val="-3"/>
        </w:rPr>
        <w:t>/</w:t>
      </w:r>
      <w:r>
        <w:rPr>
          <w:rFonts w:ascii="Times New Roman" w:hAnsi="Times New Roman" w:eastAsia="Times New Roman" w:cs="Times New Roman"/>
          <w:color w:val="231F20"/>
          <w:spacing w:val="-3"/>
        </w:rPr>
        <w:t>L</w:t>
      </w:r>
      <w:r>
        <w:rPr>
          <w:color w:val="231F20"/>
          <w:spacing w:val="-3"/>
        </w:rPr>
        <w:t>。</w:t>
      </w:r>
    </w:p>
    <w:p>
      <w:pPr>
        <w:pStyle w:val="BodyText"/>
        <w:ind w:left="425"/>
        <w:spacing w:before="9" w:line="221" w:lineRule="auto"/>
        <w:rPr/>
      </w:pPr>
      <w:r>
        <w:rPr>
          <w:rFonts w:ascii="Times New Roman" w:hAnsi="Times New Roman" w:eastAsia="Times New Roman" w:cs="Times New Roman"/>
          <w:color w:val="231F20"/>
          <w:spacing w:val="-5"/>
        </w:rPr>
        <w:t>1.4</w:t>
      </w:r>
      <w:r>
        <w:rPr>
          <w:rFonts w:ascii="Times New Roman" w:hAnsi="Times New Roman" w:eastAsia="Times New Roman" w:cs="Times New Roman"/>
          <w:color w:val="231F20"/>
          <w:spacing w:val="9"/>
        </w:rPr>
        <w:t xml:space="preserve">  </w:t>
      </w:r>
      <w:r>
        <w:rPr>
          <w:color w:val="231F20"/>
          <w:spacing w:val="-5"/>
        </w:rPr>
        <w:t>统计学方法</w:t>
      </w:r>
    </w:p>
    <w:p>
      <w:pPr>
        <w:pStyle w:val="BodyText"/>
        <w:ind w:firstLine="409"/>
        <w:spacing w:before="80" w:line="297" w:lineRule="auto"/>
        <w:rPr/>
      </w:pPr>
      <w:r>
        <w:pict>
          <v:shape id="_x0000_s30" style="position:absolute;margin-left:77.7745pt;margin-top:21.5607pt;mso-position-vertical-relative:text;mso-position-horizontal-relative:text;width:2.6pt;height:0.35pt;z-index:-251656192;" filled="false" strokecolor="#101214" strokeweight="0.30pt" coordsize="51,6" coordorigin="0,0" path="m0,3l51,3e">
            <v:stroke joinstyle="miter" miterlimit="4"/>
          </v:shape>
        </w:pict>
      </w:r>
      <w:r>
        <w:rPr>
          <w:color w:val="231F20"/>
          <w:spacing w:val="4"/>
        </w:rPr>
        <w:t>应用</w:t>
      </w:r>
      <w:r>
        <w:rPr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SPSS</w:t>
      </w:r>
      <w:r>
        <w:rPr>
          <w:rFonts w:ascii="Times New Roman" w:hAnsi="Times New Roman" w:eastAsia="Times New Roman" w:cs="Times New Roman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25.0</w:t>
      </w:r>
      <w:r>
        <w:rPr>
          <w:rFonts w:ascii="Times New Roman" w:hAnsi="Times New Roman" w:eastAsia="Times New Roman" w:cs="Times New Roman"/>
          <w:color w:val="231F20"/>
          <w:spacing w:val="14"/>
        </w:rPr>
        <w:t xml:space="preserve"> </w:t>
      </w:r>
      <w:r>
        <w:rPr>
          <w:color w:val="231F20"/>
          <w:spacing w:val="4"/>
        </w:rPr>
        <w:t>统计学软件分析数据。计量资料用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均数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"/>
        </w:rPr>
        <w:t>±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"/>
        </w:rPr>
        <w:t>标准差（</w:t>
      </w:r>
      <w:r>
        <w:rPr>
          <w:rFonts w:ascii="Times New Roman" w:hAnsi="Times New Roman" w:eastAsia="Times New Roman" w:cs="Times New Roman"/>
          <w:i/>
          <w:iCs/>
          <w:color w:val="231F20"/>
          <w:spacing w:val="1"/>
        </w:rPr>
        <w:t>x</w:t>
      </w:r>
      <w:r>
        <w:rPr>
          <w:rFonts w:ascii="Times New Roman" w:hAnsi="Times New Roman" w:eastAsia="Times New Roman" w:cs="Times New Roman"/>
          <w:i/>
          <w:iCs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  <w:spacing w:val="1"/>
        </w:rPr>
        <w:t>± s</w:t>
      </w:r>
      <w:r>
        <w:rPr>
          <w:color w:val="231F20"/>
          <w:spacing w:val="1"/>
        </w:rPr>
        <w:t>）表达，采用 </w:t>
      </w:r>
      <w:r>
        <w:rPr>
          <w:rFonts w:ascii="Times New Roman" w:hAnsi="Times New Roman" w:eastAsia="Times New Roman" w:cs="Times New Roman"/>
          <w:i/>
          <w:iCs/>
          <w:color w:val="231F20"/>
          <w:spacing w:val="1"/>
        </w:rPr>
        <w:t>t </w:t>
      </w:r>
      <w:r>
        <w:rPr>
          <w:color w:val="231F20"/>
          <w:spacing w:val="1"/>
        </w:rPr>
        <w:t>检验比</w:t>
      </w:r>
      <w:r>
        <w:rPr>
          <w:color w:val="231F20"/>
        </w:rPr>
        <w:t>较；计数资 </w:t>
      </w:r>
      <w:r>
        <w:rPr>
          <w:color w:val="231F20"/>
          <w:spacing w:val="-4"/>
        </w:rPr>
        <w:t>料用频数和百分率 [</w:t>
      </w:r>
      <w:r>
        <w:rPr>
          <w:rFonts w:ascii="Times New Roman" w:hAnsi="Times New Roman" w:eastAsia="Times New Roman" w:cs="Times New Roman"/>
          <w:i/>
          <w:iCs/>
          <w:color w:val="231F20"/>
          <w:spacing w:val="-4"/>
        </w:rPr>
        <w:t>n</w:t>
      </w:r>
      <w:r>
        <w:rPr>
          <w:color w:val="231F20"/>
          <w:spacing w:val="-4"/>
        </w:rPr>
        <w:t>（%）] 表示，采用 </w:t>
      </w:r>
      <w:r>
        <w:rPr>
          <w:i/>
          <w:iCs/>
          <w:color w:val="231F20"/>
          <w:spacing w:val="-4"/>
        </w:rPr>
        <w:t>χ</w:t>
      </w:r>
      <w:r>
        <w:rPr>
          <w:color w:val="231F20"/>
          <w:spacing w:val="-75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4"/>
          <w:position w:val="9"/>
        </w:rPr>
        <w:t>2  </w:t>
      </w:r>
      <w:r>
        <w:rPr>
          <w:color w:val="231F20"/>
          <w:spacing w:val="-4"/>
        </w:rPr>
        <w:t>检</w:t>
      </w:r>
      <w:r>
        <w:rPr>
          <w:color w:val="231F20"/>
          <w:spacing w:val="-5"/>
        </w:rPr>
        <w:t>验比较。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  <w:spacing w:val="-3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24"/>
          <w:w w:val="101"/>
        </w:rPr>
        <w:t xml:space="preserve"> </w:t>
      </w:r>
      <w:r>
        <w:rPr>
          <w:color w:val="231F20"/>
          <w:spacing w:val="-3"/>
        </w:rPr>
        <w:t>＜</w:t>
      </w:r>
      <w:r>
        <w:rPr>
          <w:color w:val="231F20"/>
          <w:spacing w:val="-4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0.05 </w:t>
      </w:r>
      <w:r>
        <w:rPr>
          <w:color w:val="231F20"/>
          <w:spacing w:val="-3"/>
        </w:rPr>
        <w:t>表示差异有统计学意义。</w:t>
      </w:r>
    </w:p>
    <w:p>
      <w:pPr>
        <w:ind w:left="8"/>
        <w:spacing w:line="225" w:lineRule="auto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2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     </w:t>
      </w:r>
      <w:r>
        <w:rPr>
          <w:rFonts w:ascii="SimHei" w:hAnsi="SimHei" w:eastAsia="SimHei" w:cs="SimHei"/>
          <w:sz w:val="20"/>
          <w:szCs w:val="20"/>
          <w:color w:val="231F20"/>
          <w:spacing w:val="-3"/>
        </w:rPr>
        <w:t>结果</w:t>
      </w:r>
    </w:p>
    <w:p>
      <w:pPr>
        <w:pStyle w:val="BodyText"/>
        <w:ind w:left="405"/>
        <w:spacing w:before="76" w:line="220" w:lineRule="auto"/>
        <w:rPr/>
      </w:pPr>
      <w:r>
        <w:rPr>
          <w:rFonts w:ascii="Times New Roman" w:hAnsi="Times New Roman" w:eastAsia="Times New Roman" w:cs="Times New Roman"/>
          <w:color w:val="231F20"/>
          <w:spacing w:val="-1"/>
        </w:rPr>
        <w:t>2.1  </w:t>
      </w:r>
      <w:r>
        <w:rPr>
          <w:color w:val="231F20"/>
          <w:spacing w:val="-1"/>
        </w:rPr>
        <w:t>两组临床相关指标比较</w:t>
      </w:r>
    </w:p>
    <w:p>
      <w:pPr>
        <w:pStyle w:val="BodyText"/>
        <w:ind w:left="15" w:firstLine="390"/>
        <w:spacing w:before="85" w:line="296" w:lineRule="auto"/>
        <w:rPr/>
      </w:pPr>
      <w:r>
        <w:rPr>
          <w:rFonts w:ascii="Times New Roman" w:hAnsi="Times New Roman" w:eastAsia="Times New Roman" w:cs="Times New Roman"/>
          <w:color w:val="231F20"/>
        </w:rPr>
        <w:t>ERAT</w:t>
      </w:r>
      <w:r>
        <w:rPr>
          <w:rFonts w:ascii="Times New Roman" w:hAnsi="Times New Roman" w:eastAsia="Times New Roman" w:cs="Times New Roman"/>
          <w:color w:val="231F20"/>
          <w:spacing w:val="7"/>
        </w:rPr>
        <w:t xml:space="preserve"> </w:t>
      </w:r>
      <w:r>
        <w:rPr>
          <w:color w:val="231F20"/>
          <w:spacing w:val="7"/>
        </w:rPr>
        <w:t>组手术时间、术后排气时间、术后腹痛缓解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时间和住院时间短于</w:t>
      </w:r>
      <w:r>
        <w:rPr>
          <w:color w:val="231F20"/>
          <w:spacing w:val="-4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LA </w:t>
      </w:r>
      <w:r>
        <w:rPr>
          <w:color w:val="231F20"/>
          <w:spacing w:val="-1"/>
        </w:rPr>
        <w:t>组，术中出血量少于</w:t>
      </w:r>
      <w:r>
        <w:rPr>
          <w:color w:val="231F20"/>
          <w:spacing w:val="-4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LA </w:t>
      </w:r>
      <w:r>
        <w:rPr>
          <w:color w:val="231F20"/>
          <w:spacing w:val="-1"/>
        </w:rPr>
        <w:t>组，差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异有统计学意义（</w:t>
      </w:r>
      <w:r>
        <w:rPr>
          <w:rFonts w:ascii="Times New Roman" w:hAnsi="Times New Roman" w:eastAsia="Times New Roman" w:cs="Times New Roman"/>
          <w:i/>
          <w:iCs/>
          <w:color w:val="231F20"/>
          <w:spacing w:val="-3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22"/>
        </w:rPr>
        <w:t xml:space="preserve"> </w:t>
      </w:r>
      <w:r>
        <w:rPr>
          <w:color w:val="231F20"/>
          <w:spacing w:val="-3"/>
        </w:rPr>
        <w:t>＜</w:t>
      </w:r>
      <w:r>
        <w:rPr>
          <w:color w:val="231F20"/>
          <w:spacing w:val="-4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0.05</w:t>
      </w:r>
      <w:r>
        <w:rPr>
          <w:color w:val="231F20"/>
        </w:rPr>
        <w:t>），</w:t>
      </w:r>
      <w:r>
        <w:rPr>
          <w:color w:val="231F20"/>
          <w:spacing w:val="-3"/>
        </w:rPr>
        <w:t>见表</w:t>
      </w:r>
      <w:r>
        <w:rPr>
          <w:color w:val="231F20"/>
          <w:spacing w:val="-3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2</w:t>
      </w:r>
      <w:r>
        <w:rPr>
          <w:color w:val="231F20"/>
          <w:spacing w:val="-3"/>
        </w:rPr>
        <w:t>。</w:t>
      </w:r>
    </w:p>
    <w:p>
      <w:pPr>
        <w:pStyle w:val="BodyText"/>
        <w:ind w:left="405"/>
        <w:spacing w:before="1" w:line="220" w:lineRule="auto"/>
        <w:rPr/>
      </w:pPr>
      <w:r>
        <w:rPr>
          <w:rFonts w:ascii="Times New Roman" w:hAnsi="Times New Roman" w:eastAsia="Times New Roman" w:cs="Times New Roman"/>
          <w:color w:val="231F20"/>
          <w:spacing w:val="-1"/>
        </w:rPr>
        <w:t>2.2  </w:t>
      </w:r>
      <w:r>
        <w:rPr>
          <w:color w:val="231F20"/>
          <w:spacing w:val="-1"/>
        </w:rPr>
        <w:t>两组炎性指标比较</w:t>
      </w:r>
    </w:p>
    <w:p>
      <w:pPr>
        <w:pStyle w:val="BodyText"/>
        <w:ind w:left="13" w:firstLine="397"/>
        <w:spacing w:before="84" w:line="296" w:lineRule="auto"/>
        <w:rPr/>
      </w:pPr>
      <w:r>
        <w:rPr>
          <w:color w:val="231F20"/>
          <w:spacing w:val="2"/>
        </w:rPr>
        <w:t>术前，两组中性粒细胞和</w:t>
      </w:r>
      <w:r>
        <w:rPr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C </w:t>
      </w:r>
      <w:r>
        <w:rPr>
          <w:color w:val="231F20"/>
          <w:spacing w:val="2"/>
        </w:rPr>
        <w:t>反应蛋白比较，差异无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统计学意义（</w:t>
      </w:r>
      <w:r>
        <w:rPr>
          <w:rFonts w:ascii="Times New Roman" w:hAnsi="Times New Roman" w:eastAsia="Times New Roman" w:cs="Times New Roman"/>
          <w:i/>
          <w:iCs/>
          <w:color w:val="231F20"/>
          <w:spacing w:val="3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26"/>
          <w:w w:val="101"/>
        </w:rPr>
        <w:t xml:space="preserve"> </w:t>
      </w:r>
      <w:r>
        <w:rPr>
          <w:color w:val="231F20"/>
          <w:spacing w:val="3"/>
        </w:rPr>
        <w:t>＞</w:t>
      </w:r>
      <w:r>
        <w:rPr>
          <w:color w:val="231F20"/>
          <w:spacing w:val="-4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0.05</w:t>
      </w:r>
      <w:r>
        <w:rPr>
          <w:color w:val="231F20"/>
          <w:spacing w:val="16"/>
        </w:rPr>
        <w:t>）；</w:t>
      </w:r>
      <w:r>
        <w:rPr>
          <w:color w:val="231F20"/>
          <w:spacing w:val="3"/>
        </w:rPr>
        <w:t>术后，两组中性粒细胞和</w:t>
      </w:r>
      <w:r>
        <w:rPr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C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color w:val="231F20"/>
          <w:spacing w:val="5"/>
        </w:rPr>
        <w:t>反应蛋白均低于术前，且</w:t>
      </w:r>
      <w:r>
        <w:rPr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ERAT</w:t>
      </w:r>
      <w:r>
        <w:rPr>
          <w:rFonts w:ascii="Times New Roman" w:hAnsi="Times New Roman" w:eastAsia="Times New Roman" w:cs="Times New Roman"/>
          <w:color w:val="231F20"/>
          <w:spacing w:val="5"/>
        </w:rPr>
        <w:t xml:space="preserve"> </w:t>
      </w:r>
      <w:r>
        <w:rPr>
          <w:color w:val="231F20"/>
          <w:spacing w:val="5"/>
        </w:rPr>
        <w:t>组均低于</w:t>
      </w:r>
      <w:r>
        <w:rPr>
          <w:color w:val="231F20"/>
          <w:spacing w:val="-4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LA</w:t>
      </w:r>
      <w:r>
        <w:rPr>
          <w:rFonts w:ascii="Times New Roman" w:hAnsi="Times New Roman" w:eastAsia="Times New Roman" w:cs="Times New Roman"/>
          <w:color w:val="231F20"/>
          <w:spacing w:val="5"/>
        </w:rPr>
        <w:t xml:space="preserve"> </w:t>
      </w:r>
      <w:r>
        <w:rPr>
          <w:color w:val="231F20"/>
          <w:spacing w:val="5"/>
        </w:rPr>
        <w:t>组，差异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有统计学意义（</w:t>
      </w:r>
      <w:r>
        <w:rPr>
          <w:rFonts w:ascii="Times New Roman" w:hAnsi="Times New Roman" w:eastAsia="Times New Roman" w:cs="Times New Roman"/>
          <w:i/>
          <w:iCs/>
          <w:color w:val="231F20"/>
          <w:spacing w:val="-3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20"/>
          <w:w w:val="101"/>
        </w:rPr>
        <w:t xml:space="preserve"> </w:t>
      </w:r>
      <w:r>
        <w:rPr>
          <w:color w:val="231F20"/>
          <w:spacing w:val="-3"/>
        </w:rPr>
        <w:t>＜</w:t>
      </w:r>
      <w:r>
        <w:rPr>
          <w:color w:val="231F20"/>
          <w:spacing w:val="-4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0.05</w:t>
      </w:r>
      <w:r>
        <w:rPr>
          <w:color w:val="231F20"/>
          <w:spacing w:val="-2"/>
        </w:rPr>
        <w:t>），</w:t>
      </w:r>
      <w:r>
        <w:rPr>
          <w:color w:val="231F20"/>
          <w:spacing w:val="-3"/>
        </w:rPr>
        <w:t>见表</w:t>
      </w:r>
      <w:r>
        <w:rPr>
          <w:color w:val="231F20"/>
          <w:spacing w:val="-3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3</w:t>
      </w:r>
      <w:r>
        <w:rPr>
          <w:color w:val="231F20"/>
          <w:spacing w:val="-3"/>
        </w:rPr>
        <w:t>。</w:t>
      </w:r>
    </w:p>
    <w:p>
      <w:pPr>
        <w:ind w:left="12"/>
        <w:spacing w:before="1" w:line="223" w:lineRule="auto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</w:rPr>
        <w:t>3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    </w:t>
      </w:r>
      <w:r>
        <w:rPr>
          <w:rFonts w:ascii="SimHei" w:hAnsi="SimHei" w:eastAsia="SimHei" w:cs="SimHei"/>
          <w:sz w:val="20"/>
          <w:szCs w:val="20"/>
          <w:color w:val="231F20"/>
          <w:spacing w:val="-5"/>
        </w:rPr>
        <w:t>讨论</w:t>
      </w:r>
    </w:p>
    <w:p>
      <w:pPr>
        <w:pStyle w:val="BodyText"/>
        <w:ind w:left="14" w:firstLine="400"/>
        <w:spacing w:before="80" w:line="296" w:lineRule="auto"/>
        <w:rPr/>
      </w:pPr>
      <w:r>
        <w:pict>
          <v:shape id="_x0000_s32" style="position:absolute;margin-left:36.4647pt;margin-top:180.083pt;mso-position-vertical-relative:text;mso-position-horizontal-relative:text;width:2.05pt;height:0.3pt;z-index:-251654144;" filled="false" strokecolor="#101214" strokeweight="0.30pt" coordsize="40,6" coordorigin="0,0" path="m0,2l40,2e">
            <v:stroke joinstyle="miter" miterlimit="4"/>
          </v:shape>
        </w:pict>
      </w:r>
      <w:r>
        <w:rPr>
          <w:color w:val="231F20"/>
          <w:spacing w:val="5"/>
        </w:rPr>
        <w:t>急性阑尾炎是阑尾发生急性炎症反应的过程，有研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2"/>
        </w:rPr>
        <w:t>究认为阑尾炎是由各种原因引起的管腔阻塞所导致</w:t>
      </w:r>
      <w:r>
        <w:rPr>
          <w:color w:val="231F20"/>
          <w:spacing w:val="-24"/>
        </w:rPr>
        <w:t xml:space="preserve"> </w:t>
      </w:r>
      <w:r>
        <w:rPr>
          <w:sz w:val="11"/>
          <w:szCs w:val="11"/>
          <w:color w:val="231F20"/>
          <w:spacing w:val="2"/>
          <w:position w:val="9"/>
        </w:rPr>
        <w:t>[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2"/>
          <w:position w:val="9"/>
        </w:rPr>
        <w:t>7</w:t>
      </w:r>
      <w:r>
        <w:rPr>
          <w:sz w:val="11"/>
          <w:szCs w:val="11"/>
          <w:color w:val="231F20"/>
          <w:spacing w:val="2"/>
          <w:position w:val="9"/>
        </w:rPr>
        <w:t>]</w:t>
      </w:r>
      <w:r>
        <w:rPr>
          <w:sz w:val="11"/>
          <w:szCs w:val="11"/>
          <w:color w:val="231F20"/>
          <w:spacing w:val="-27"/>
          <w:position w:val="9"/>
        </w:rPr>
        <w:t xml:space="preserve"> </w:t>
      </w:r>
      <w:r>
        <w:rPr>
          <w:color w:val="231F20"/>
          <w:spacing w:val="2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因阑尾具有分泌功能，在阑尾管腔阻塞时，阑尾黏膜继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续分泌物质，导致管腔内的压力上升，从而出现管腔扩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张、阑尾壁缺血，此时细菌从阑尾管腔穿过受损黏膜可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引起透壁性炎症</w:t>
      </w:r>
      <w:r>
        <w:rPr>
          <w:color w:val="231F20"/>
          <w:spacing w:val="-26"/>
        </w:rPr>
        <w:t xml:space="preserve"> </w:t>
      </w:r>
      <w:r>
        <w:rPr>
          <w:sz w:val="11"/>
          <w:szCs w:val="11"/>
          <w:color w:val="231F20"/>
          <w:spacing w:val="3"/>
          <w:position w:val="9"/>
        </w:rPr>
        <w:t>[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3"/>
          <w:position w:val="9"/>
        </w:rPr>
        <w:t>8</w:t>
      </w:r>
      <w:r>
        <w:rPr>
          <w:sz w:val="11"/>
          <w:szCs w:val="11"/>
          <w:color w:val="231F20"/>
          <w:spacing w:val="3"/>
          <w:position w:val="9"/>
        </w:rPr>
        <w:t>]</w:t>
      </w:r>
      <w:r>
        <w:rPr>
          <w:color w:val="231F20"/>
          <w:spacing w:val="3"/>
        </w:rPr>
        <w:t>。阑尾腔梗阻常由阑尾粪石</w:t>
      </w:r>
      <w:r>
        <w:rPr>
          <w:color w:val="231F20"/>
          <w:spacing w:val="2"/>
        </w:rPr>
        <w:t>及增生淋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巴滤泡、嵌顿粪便引起。急性阑尾炎临床表现包括恶心、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呕吐、发热、右下腹痛，查体可有明显右下腹深压痛，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2"/>
        </w:rPr>
        <w:t>中性粒细胞和</w:t>
      </w:r>
      <w:r>
        <w:rPr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C </w:t>
      </w:r>
      <w:r>
        <w:rPr>
          <w:color w:val="231F20"/>
          <w:spacing w:val="2"/>
        </w:rPr>
        <w:t>反应蛋白作为重要的炎性标志物，在急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性阑尾炎患者中常会明显升高，</w:t>
      </w:r>
      <w:r>
        <w:rPr>
          <w:rFonts w:ascii="Times New Roman" w:hAnsi="Times New Roman" w:eastAsia="Times New Roman" w:cs="Times New Roman"/>
          <w:color w:val="231F20"/>
          <w:spacing w:val="5"/>
        </w:rPr>
        <w:t>C </w:t>
      </w:r>
      <w:r>
        <w:rPr>
          <w:color w:val="231F20"/>
          <w:spacing w:val="5"/>
        </w:rPr>
        <w:t>反应蛋白和中性粒细</w:t>
      </w:r>
    </w:p>
    <w:p>
      <w:pPr>
        <w:spacing w:line="296" w:lineRule="auto"/>
        <w:sectPr>
          <w:type w:val="continuous"/>
          <w:pgSz w:w="12246" w:h="16498"/>
          <w:pgMar w:top="1211" w:right="1020" w:bottom="0" w:left="424" w:header="783" w:footer="0" w:gutter="0"/>
          <w:cols w:equalWidth="0" w:num="2">
            <w:col w:w="5765" w:space="100"/>
            <w:col w:w="4938" w:space="0"/>
          </w:cols>
        </w:sectPr>
        <w:rPr/>
      </w:pPr>
    </w:p>
    <w:p>
      <w:pPr>
        <w:pStyle w:val="BodyText"/>
        <w:ind w:left="4381"/>
        <w:spacing w:before="286" w:line="22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表</w:t>
      </w:r>
      <w:r>
        <w:rPr>
          <w:sz w:val="16"/>
          <w:szCs w:val="16"/>
          <w:color w:val="231F20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2    </w:t>
      </w:r>
      <w:r>
        <w:rPr>
          <w:sz w:val="16"/>
          <w:szCs w:val="16"/>
          <w:color w:val="231F20"/>
          <w:spacing w:val="-1"/>
        </w:rPr>
        <w:t>两组临床相关指标比较（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-1"/>
        </w:rPr>
        <w:t>x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-1"/>
        </w:rPr>
        <w:t>± s</w:t>
      </w:r>
      <w:r>
        <w:rPr>
          <w:sz w:val="16"/>
          <w:szCs w:val="16"/>
          <w:color w:val="231F20"/>
          <w:spacing w:val="-1"/>
        </w:rPr>
        <w:t>）</w:t>
      </w:r>
    </w:p>
    <w:p>
      <w:pPr>
        <w:spacing w:line="46" w:lineRule="exact"/>
        <w:rPr/>
      </w:pPr>
      <w:r/>
    </w:p>
    <w:tbl>
      <w:tblPr>
        <w:tblStyle w:val="TableNormal"/>
        <w:tblW w:w="10204" w:type="dxa"/>
        <w:tblInd w:w="59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14"/>
        <w:gridCol w:w="1124"/>
        <w:gridCol w:w="1689"/>
        <w:gridCol w:w="1615"/>
        <w:gridCol w:w="1511"/>
        <w:gridCol w:w="1826"/>
        <w:gridCol w:w="1425"/>
      </w:tblGrid>
      <w:tr>
        <w:trPr>
          <w:trHeight w:val="251" w:hRule="atLeast"/>
        </w:trPr>
        <w:tc>
          <w:tcPr>
            <w:tcW w:w="10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ind w:left="36"/>
              <w:spacing w:before="45" w:line="220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31F20"/>
                <w:spacing w:val="-3"/>
              </w:rPr>
              <w:t>组别</w:t>
            </w:r>
          </w:p>
        </w:tc>
        <w:tc>
          <w:tcPr>
            <w:tcW w:w="112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ind w:left="391"/>
              <w:spacing w:before="45" w:line="220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31F20"/>
                <w:spacing w:val="-2"/>
              </w:rPr>
              <w:t>例数</w:t>
            </w:r>
          </w:p>
        </w:tc>
        <w:tc>
          <w:tcPr>
            <w:tcW w:w="168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425"/>
              <w:spacing w:before="45" w:line="220" w:lineRule="auto"/>
              <w:rPr/>
            </w:pPr>
            <w:r>
              <w:rPr>
                <w:rFonts w:ascii="SimSun" w:hAnsi="SimSun" w:eastAsia="SimSun" w:cs="SimSun"/>
                <w:color w:val="231F20"/>
                <w:spacing w:val="-2"/>
              </w:rPr>
              <w:t>手术时间</w:t>
            </w:r>
            <w:r>
              <w:rPr>
                <w:rFonts w:ascii="SimSun" w:hAnsi="SimSun" w:eastAsia="SimSun" w:cs="SimSun"/>
                <w:color w:val="231F20"/>
                <w:spacing w:val="-32"/>
              </w:rPr>
              <w:t xml:space="preserve"> </w:t>
            </w:r>
            <w:r>
              <w:rPr>
                <w:rFonts w:ascii="SimSun" w:hAnsi="SimSun" w:eastAsia="SimSun" w:cs="SimSun"/>
                <w:color w:val="231F20"/>
                <w:spacing w:val="-2"/>
              </w:rPr>
              <w:t>/</w:t>
            </w:r>
            <w:r>
              <w:rPr>
                <w:color w:val="231F20"/>
                <w:spacing w:val="-2"/>
              </w:rPr>
              <w:t>min</w:t>
            </w:r>
          </w:p>
        </w:tc>
        <w:tc>
          <w:tcPr>
            <w:tcW w:w="161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61"/>
              <w:spacing w:before="45" w:line="220" w:lineRule="auto"/>
              <w:rPr/>
            </w:pPr>
            <w:r>
              <w:rPr>
                <w:rFonts w:ascii="SimSun" w:hAnsi="SimSun" w:eastAsia="SimSun" w:cs="SimSun"/>
                <w:color w:val="231F20"/>
                <w:spacing w:val="-2"/>
              </w:rPr>
              <w:t>术中出血量</w:t>
            </w:r>
            <w:r>
              <w:rPr>
                <w:rFonts w:ascii="SimSun" w:hAnsi="SimSun" w:eastAsia="SimSun" w:cs="SimSun"/>
                <w:color w:val="231F20"/>
                <w:spacing w:val="-33"/>
              </w:rPr>
              <w:t xml:space="preserve"> </w:t>
            </w:r>
            <w:r>
              <w:rPr>
                <w:rFonts w:ascii="SimSun" w:hAnsi="SimSun" w:eastAsia="SimSun" w:cs="SimSun"/>
                <w:color w:val="231F20"/>
                <w:spacing w:val="-2"/>
              </w:rPr>
              <w:t>/</w:t>
            </w:r>
            <w:r>
              <w:rPr>
                <w:color w:val="231F20"/>
                <w:spacing w:val="-2"/>
              </w:rPr>
              <w:t>mL</w:t>
            </w:r>
          </w:p>
        </w:tc>
        <w:tc>
          <w:tcPr>
            <w:tcW w:w="1511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21"/>
              <w:spacing w:before="45" w:line="220" w:lineRule="auto"/>
              <w:rPr/>
            </w:pPr>
            <w:r>
              <w:rPr>
                <w:rFonts w:ascii="SimSun" w:hAnsi="SimSun" w:eastAsia="SimSun" w:cs="SimSun"/>
                <w:color w:val="231F20"/>
                <w:spacing w:val="-2"/>
              </w:rPr>
              <w:t>术后排气时间</w:t>
            </w:r>
            <w:r>
              <w:rPr>
                <w:rFonts w:ascii="SimSun" w:hAnsi="SimSun" w:eastAsia="SimSun" w:cs="SimSun"/>
                <w:color w:val="231F20"/>
                <w:spacing w:val="-33"/>
              </w:rPr>
              <w:t xml:space="preserve"> </w:t>
            </w:r>
            <w:r>
              <w:rPr>
                <w:rFonts w:ascii="SimSun" w:hAnsi="SimSun" w:eastAsia="SimSun" w:cs="SimSun"/>
                <w:color w:val="231F20"/>
                <w:spacing w:val="-2"/>
              </w:rPr>
              <w:t>/</w:t>
            </w:r>
            <w:r>
              <w:rPr>
                <w:color w:val="231F20"/>
                <w:spacing w:val="-2"/>
              </w:rPr>
              <w:t>h</w:t>
            </w:r>
          </w:p>
        </w:tc>
        <w:tc>
          <w:tcPr>
            <w:tcW w:w="182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38"/>
              <w:spacing w:before="45" w:line="220" w:lineRule="auto"/>
              <w:rPr/>
            </w:pPr>
            <w:r>
              <w:rPr>
                <w:rFonts w:ascii="SimSun" w:hAnsi="SimSun" w:eastAsia="SimSun" w:cs="SimSun"/>
                <w:color w:val="231F20"/>
                <w:spacing w:val="-2"/>
              </w:rPr>
              <w:t>术后腹痛缓解时间</w:t>
            </w:r>
            <w:r>
              <w:rPr>
                <w:rFonts w:ascii="SimSun" w:hAnsi="SimSun" w:eastAsia="SimSun" w:cs="SimSun"/>
                <w:color w:val="231F20"/>
                <w:spacing w:val="-29"/>
              </w:rPr>
              <w:t xml:space="preserve"> </w:t>
            </w:r>
            <w:r>
              <w:rPr>
                <w:rFonts w:ascii="SimSun" w:hAnsi="SimSun" w:eastAsia="SimSun" w:cs="SimSun"/>
                <w:color w:val="231F20"/>
                <w:spacing w:val="-2"/>
              </w:rPr>
              <w:t>/</w:t>
            </w:r>
            <w:r>
              <w:rPr>
                <w:color w:val="231F20"/>
                <w:spacing w:val="-2"/>
              </w:rPr>
              <w:t>h</w:t>
            </w:r>
          </w:p>
        </w:tc>
        <w:tc>
          <w:tcPr>
            <w:tcW w:w="142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17"/>
              <w:spacing w:before="45" w:line="220" w:lineRule="auto"/>
              <w:rPr/>
            </w:pPr>
            <w:r>
              <w:rPr>
                <w:rFonts w:ascii="SimSun" w:hAnsi="SimSun" w:eastAsia="SimSun" w:cs="SimSun"/>
                <w:color w:val="231F20"/>
                <w:spacing w:val="-2"/>
              </w:rPr>
              <w:t>住院时间</w:t>
            </w:r>
            <w:r>
              <w:rPr>
                <w:rFonts w:ascii="SimSun" w:hAnsi="SimSun" w:eastAsia="SimSun" w:cs="SimSun"/>
                <w:color w:val="231F20"/>
                <w:spacing w:val="-35"/>
              </w:rPr>
              <w:t xml:space="preserve"> </w:t>
            </w:r>
            <w:r>
              <w:rPr>
                <w:rFonts w:ascii="SimSun" w:hAnsi="SimSun" w:eastAsia="SimSun" w:cs="SimSun"/>
                <w:color w:val="231F20"/>
                <w:spacing w:val="-2"/>
              </w:rPr>
              <w:t>/</w:t>
            </w:r>
            <w:r>
              <w:rPr>
                <w:color w:val="231F20"/>
                <w:spacing w:val="-2"/>
              </w:rPr>
              <w:t>d</w:t>
            </w:r>
          </w:p>
        </w:tc>
      </w:tr>
      <w:tr>
        <w:trPr>
          <w:trHeight w:val="240" w:hRule="atLeast"/>
        </w:trPr>
        <w:tc>
          <w:tcPr>
            <w:tcW w:w="1014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31"/>
              <w:spacing w:before="41" w:line="218" w:lineRule="auto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5"/>
              </w:rPr>
              <w:t>ERAT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rFonts w:ascii="SimSun" w:hAnsi="SimSun" w:eastAsia="SimSun" w:cs="SimSun"/>
                <w:color w:val="231F20"/>
                <w:spacing w:val="-5"/>
              </w:rPr>
              <w:t>组</w:t>
            </w:r>
          </w:p>
        </w:tc>
        <w:tc>
          <w:tcPr>
            <w:tcW w:w="1124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477"/>
              <w:spacing w:before="66" w:line="186" w:lineRule="auto"/>
              <w:rPr/>
            </w:pPr>
            <w:r>
              <w:rPr>
                <w:color w:val="231F20"/>
                <w:spacing w:val="-2"/>
              </w:rPr>
              <w:t>50</w:t>
            </w:r>
          </w:p>
        </w:tc>
        <w:tc>
          <w:tcPr>
            <w:tcW w:w="1689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484"/>
              <w:spacing w:before="41" w:line="218" w:lineRule="auto"/>
              <w:rPr/>
            </w:pPr>
            <w:r>
              <w:rPr>
                <w:color w:val="231F20"/>
                <w:spacing w:val="-1"/>
              </w:rPr>
              <w:t>32.30</w:t>
            </w:r>
            <w:r>
              <w:rPr>
                <w:rFonts w:ascii="SimSun" w:hAnsi="SimSun" w:eastAsia="SimSun" w:cs="SimSun"/>
                <w:color w:val="231F20"/>
                <w:spacing w:val="-1"/>
              </w:rPr>
              <w:t>±</w:t>
            </w:r>
            <w:r>
              <w:rPr>
                <w:color w:val="231F20"/>
                <w:spacing w:val="-1"/>
              </w:rPr>
              <w:t>6.30</w:t>
            </w:r>
          </w:p>
        </w:tc>
        <w:tc>
          <w:tcPr>
            <w:tcW w:w="1615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401"/>
              <w:spacing w:before="41" w:line="218" w:lineRule="auto"/>
              <w:rPr/>
            </w:pPr>
            <w:r>
              <w:rPr>
                <w:color w:val="231F20"/>
                <w:spacing w:val="-3"/>
              </w:rPr>
              <w:t>11.60</w:t>
            </w:r>
            <w:r>
              <w:rPr>
                <w:rFonts w:ascii="SimSun" w:hAnsi="SimSun" w:eastAsia="SimSun" w:cs="SimSun"/>
                <w:color w:val="231F20"/>
                <w:spacing w:val="-3"/>
              </w:rPr>
              <w:t>±</w:t>
            </w:r>
            <w:r>
              <w:rPr>
                <w:color w:val="231F20"/>
                <w:spacing w:val="-3"/>
              </w:rPr>
              <w:t>4.10</w:t>
            </w:r>
          </w:p>
        </w:tc>
        <w:tc>
          <w:tcPr>
            <w:tcW w:w="1511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367"/>
              <w:spacing w:before="41" w:line="218" w:lineRule="auto"/>
              <w:rPr/>
            </w:pPr>
            <w:r>
              <w:rPr>
                <w:color w:val="231F20"/>
                <w:spacing w:val="-2"/>
              </w:rPr>
              <w:t>10.21</w:t>
            </w:r>
            <w:r>
              <w:rPr>
                <w:rFonts w:ascii="SimSun" w:hAnsi="SimSun" w:eastAsia="SimSun" w:cs="SimSun"/>
                <w:color w:val="231F20"/>
                <w:spacing w:val="-2"/>
              </w:rPr>
              <w:t>±</w:t>
            </w:r>
            <w:r>
              <w:rPr>
                <w:color w:val="231F20"/>
                <w:spacing w:val="-2"/>
              </w:rPr>
              <w:t>4.12</w:t>
            </w:r>
          </w:p>
        </w:tc>
        <w:tc>
          <w:tcPr>
            <w:tcW w:w="1826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443"/>
              <w:spacing w:before="41" w:line="218" w:lineRule="auto"/>
              <w:rPr/>
            </w:pPr>
            <w:r>
              <w:rPr>
                <w:color w:val="231F20"/>
                <w:spacing w:val="-2"/>
              </w:rPr>
              <w:t>12.45</w:t>
            </w:r>
            <w:r>
              <w:rPr>
                <w:rFonts w:ascii="SimSun" w:hAnsi="SimSun" w:eastAsia="SimSun" w:cs="SimSun"/>
                <w:color w:val="231F20"/>
                <w:spacing w:val="-2"/>
              </w:rPr>
              <w:t>±</w:t>
            </w:r>
            <w:r>
              <w:rPr>
                <w:color w:val="231F20"/>
                <w:spacing w:val="-2"/>
              </w:rPr>
              <w:t>3.93</w:t>
            </w:r>
          </w:p>
        </w:tc>
        <w:tc>
          <w:tcPr>
            <w:tcW w:w="1425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269"/>
              <w:spacing w:before="41" w:line="218" w:lineRule="auto"/>
              <w:rPr/>
            </w:pPr>
            <w:r>
              <w:rPr>
                <w:color w:val="231F20"/>
                <w:spacing w:val="-1"/>
              </w:rPr>
              <w:t>4.20</w:t>
            </w:r>
            <w:r>
              <w:rPr>
                <w:rFonts w:ascii="SimSun" w:hAnsi="SimSun" w:eastAsia="SimSun" w:cs="SimSun"/>
                <w:color w:val="231F20"/>
                <w:spacing w:val="-1"/>
              </w:rPr>
              <w:t>±</w:t>
            </w:r>
            <w:r>
              <w:rPr>
                <w:color w:val="231F20"/>
                <w:spacing w:val="-1"/>
              </w:rPr>
              <w:t>0.55</w:t>
            </w:r>
          </w:p>
        </w:tc>
      </w:tr>
      <w:tr>
        <w:trPr>
          <w:trHeight w:val="264" w:hRule="atLeast"/>
        </w:trPr>
        <w:tc>
          <w:tcPr>
            <w:tcW w:w="1014" w:type="dxa"/>
            <w:vAlign w:val="top"/>
          </w:tcPr>
          <w:p>
            <w:pPr>
              <w:pStyle w:val="TableText"/>
              <w:ind w:left="31"/>
              <w:spacing w:before="58" w:line="226" w:lineRule="auto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2"/>
              </w:rPr>
              <w:t>LA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rFonts w:ascii="SimSun" w:hAnsi="SimSun" w:eastAsia="SimSun" w:cs="SimSun"/>
                <w:color w:val="231F20"/>
                <w:spacing w:val="-2"/>
              </w:rPr>
              <w:t>组</w:t>
            </w:r>
          </w:p>
        </w:tc>
        <w:tc>
          <w:tcPr>
            <w:tcW w:w="1124" w:type="dxa"/>
            <w:vAlign w:val="top"/>
          </w:tcPr>
          <w:p>
            <w:pPr>
              <w:pStyle w:val="TableText"/>
              <w:ind w:left="477"/>
              <w:spacing w:before="82" w:line="186" w:lineRule="auto"/>
              <w:rPr/>
            </w:pPr>
            <w:r>
              <w:rPr>
                <w:color w:val="231F20"/>
                <w:spacing w:val="-2"/>
              </w:rPr>
              <w:t>50</w:t>
            </w:r>
          </w:p>
        </w:tc>
        <w:tc>
          <w:tcPr>
            <w:tcW w:w="1689" w:type="dxa"/>
            <w:vAlign w:val="top"/>
          </w:tcPr>
          <w:p>
            <w:pPr>
              <w:pStyle w:val="TableText"/>
              <w:ind w:left="485"/>
              <w:spacing w:before="58" w:line="226" w:lineRule="auto"/>
              <w:rPr/>
            </w:pPr>
            <w:r>
              <w:rPr>
                <w:color w:val="231F20"/>
                <w:spacing w:val="-1"/>
              </w:rPr>
              <w:t>55.40</w:t>
            </w:r>
            <w:r>
              <w:rPr>
                <w:rFonts w:ascii="SimSun" w:hAnsi="SimSun" w:eastAsia="SimSun" w:cs="SimSun"/>
                <w:color w:val="231F20"/>
                <w:spacing w:val="-1"/>
              </w:rPr>
              <w:t>±</w:t>
            </w:r>
            <w:r>
              <w:rPr>
                <w:color w:val="231F20"/>
                <w:spacing w:val="-1"/>
              </w:rPr>
              <w:t>8.70</w:t>
            </w:r>
          </w:p>
        </w:tc>
        <w:tc>
          <w:tcPr>
            <w:tcW w:w="1615" w:type="dxa"/>
            <w:vAlign w:val="top"/>
          </w:tcPr>
          <w:p>
            <w:pPr>
              <w:pStyle w:val="TableText"/>
              <w:ind w:left="378"/>
              <w:spacing w:before="58" w:line="226" w:lineRule="auto"/>
              <w:rPr/>
            </w:pPr>
            <w:r>
              <w:rPr>
                <w:color w:val="231F20"/>
                <w:spacing w:val="-1"/>
              </w:rPr>
              <w:t>45.50</w:t>
            </w:r>
            <w:r>
              <w:rPr>
                <w:rFonts w:ascii="SimSun" w:hAnsi="SimSun" w:eastAsia="SimSun" w:cs="SimSun"/>
                <w:color w:val="231F20"/>
                <w:spacing w:val="-1"/>
              </w:rPr>
              <w:t>±</w:t>
            </w:r>
            <w:r>
              <w:rPr>
                <w:color w:val="231F20"/>
                <w:spacing w:val="-1"/>
              </w:rPr>
              <w:t>5.20</w:t>
            </w:r>
          </w:p>
        </w:tc>
        <w:tc>
          <w:tcPr>
            <w:tcW w:w="1511" w:type="dxa"/>
            <w:vAlign w:val="top"/>
          </w:tcPr>
          <w:p>
            <w:pPr>
              <w:pStyle w:val="TableText"/>
              <w:ind w:left="352"/>
              <w:spacing w:before="58" w:line="226" w:lineRule="auto"/>
              <w:rPr/>
            </w:pPr>
            <w:r>
              <w:rPr>
                <w:color w:val="231F20"/>
                <w:spacing w:val="-1"/>
              </w:rPr>
              <w:t>20.16</w:t>
            </w:r>
            <w:r>
              <w:rPr>
                <w:rFonts w:ascii="SimSun" w:hAnsi="SimSun" w:eastAsia="SimSun" w:cs="SimSun"/>
                <w:color w:val="231F20"/>
                <w:spacing w:val="-1"/>
              </w:rPr>
              <w:t>±</w:t>
            </w:r>
            <w:r>
              <w:rPr>
                <w:color w:val="231F20"/>
                <w:spacing w:val="-1"/>
              </w:rPr>
              <w:t>5.71</w:t>
            </w:r>
          </w:p>
        </w:tc>
        <w:tc>
          <w:tcPr>
            <w:tcW w:w="1826" w:type="dxa"/>
            <w:vAlign w:val="top"/>
          </w:tcPr>
          <w:p>
            <w:pPr>
              <w:pStyle w:val="TableText"/>
              <w:ind w:left="431"/>
              <w:spacing w:before="58" w:line="226" w:lineRule="auto"/>
              <w:rPr/>
            </w:pPr>
            <w:r>
              <w:rPr>
                <w:color w:val="231F20"/>
                <w:spacing w:val="-1"/>
              </w:rPr>
              <w:t>93.45</w:t>
            </w:r>
            <w:r>
              <w:rPr>
                <w:rFonts w:ascii="SimSun" w:hAnsi="SimSun" w:eastAsia="SimSun" w:cs="SimSun"/>
                <w:color w:val="231F20"/>
                <w:spacing w:val="-1"/>
              </w:rPr>
              <w:t>±</w:t>
            </w:r>
            <w:r>
              <w:rPr>
                <w:color w:val="231F20"/>
                <w:spacing w:val="-1"/>
              </w:rPr>
              <w:t>6.21</w:t>
            </w:r>
          </w:p>
        </w:tc>
        <w:tc>
          <w:tcPr>
            <w:tcW w:w="1425" w:type="dxa"/>
            <w:vAlign w:val="top"/>
          </w:tcPr>
          <w:p>
            <w:pPr>
              <w:pStyle w:val="TableText"/>
              <w:ind w:left="273"/>
              <w:spacing w:before="58" w:line="226" w:lineRule="auto"/>
              <w:rPr/>
            </w:pPr>
            <w:r>
              <w:rPr>
                <w:color w:val="231F20"/>
                <w:spacing w:val="-1"/>
              </w:rPr>
              <w:t>6.22</w:t>
            </w:r>
            <w:r>
              <w:rPr>
                <w:rFonts w:ascii="SimSun" w:hAnsi="SimSun" w:eastAsia="SimSun" w:cs="SimSun"/>
                <w:color w:val="231F20"/>
                <w:spacing w:val="-1"/>
              </w:rPr>
              <w:t>±</w:t>
            </w:r>
            <w:r>
              <w:rPr>
                <w:color w:val="231F20"/>
                <w:spacing w:val="-1"/>
              </w:rPr>
              <w:t>0.80</w:t>
            </w:r>
          </w:p>
        </w:tc>
      </w:tr>
      <w:tr>
        <w:trPr>
          <w:trHeight w:val="250" w:hRule="atLeast"/>
        </w:trPr>
        <w:tc>
          <w:tcPr>
            <w:tcW w:w="1014" w:type="dxa"/>
            <w:vAlign w:val="top"/>
          </w:tcPr>
          <w:p>
            <w:pPr>
              <w:pStyle w:val="TableText"/>
              <w:ind w:left="34"/>
              <w:spacing w:before="92" w:line="163" w:lineRule="auto"/>
              <w:rPr/>
            </w:pPr>
            <w:r>
              <w:rPr>
                <w:i/>
                <w:iCs/>
                <w:color w:val="231F20"/>
              </w:rPr>
              <w:t>t</w:t>
            </w:r>
          </w:p>
        </w:tc>
        <w:tc>
          <w:tcPr>
            <w:tcW w:w="1124" w:type="dxa"/>
            <w:vAlign w:val="top"/>
          </w:tcPr>
          <w:p>
            <w:pPr>
              <w:spacing w:line="240" w:lineRule="exact"/>
              <w:rPr>
                <w:rFonts w:ascii="Arial"/>
                <w:sz w:val="20"/>
              </w:rPr>
            </w:pPr>
            <w:r/>
          </w:p>
        </w:tc>
        <w:tc>
          <w:tcPr>
            <w:tcW w:w="1689" w:type="dxa"/>
            <w:vAlign w:val="top"/>
          </w:tcPr>
          <w:p>
            <w:pPr>
              <w:pStyle w:val="TableText"/>
              <w:ind w:left="696"/>
              <w:spacing w:before="75" w:line="186" w:lineRule="auto"/>
              <w:rPr/>
            </w:pPr>
            <w:r>
              <w:rPr>
                <w:color w:val="231F20"/>
                <w:spacing w:val="-3"/>
              </w:rPr>
              <w:t>15.207</w:t>
            </w:r>
          </w:p>
        </w:tc>
        <w:tc>
          <w:tcPr>
            <w:tcW w:w="1615" w:type="dxa"/>
            <w:vAlign w:val="top"/>
          </w:tcPr>
          <w:p>
            <w:pPr>
              <w:pStyle w:val="TableText"/>
              <w:ind w:left="582"/>
              <w:spacing w:before="75" w:line="186" w:lineRule="auto"/>
              <w:rPr/>
            </w:pPr>
            <w:r>
              <w:rPr>
                <w:color w:val="231F20"/>
                <w:spacing w:val="-1"/>
              </w:rPr>
              <w:t>36.199</w:t>
            </w:r>
          </w:p>
        </w:tc>
        <w:tc>
          <w:tcPr>
            <w:tcW w:w="1511" w:type="dxa"/>
            <w:vAlign w:val="top"/>
          </w:tcPr>
          <w:p>
            <w:pPr>
              <w:pStyle w:val="TableText"/>
              <w:ind w:left="634"/>
              <w:spacing w:before="75" w:line="186" w:lineRule="auto"/>
              <w:rPr/>
            </w:pPr>
            <w:r>
              <w:rPr>
                <w:color w:val="231F20"/>
                <w:spacing w:val="-1"/>
              </w:rPr>
              <w:t>9.992</w:t>
            </w:r>
          </w:p>
        </w:tc>
        <w:tc>
          <w:tcPr>
            <w:tcW w:w="1826" w:type="dxa"/>
            <w:vAlign w:val="top"/>
          </w:tcPr>
          <w:p>
            <w:pPr>
              <w:pStyle w:val="TableText"/>
              <w:ind w:left="630"/>
              <w:spacing w:before="75" w:line="186" w:lineRule="auto"/>
              <w:rPr/>
            </w:pPr>
            <w:r>
              <w:rPr>
                <w:color w:val="231F20"/>
                <w:spacing w:val="-1"/>
              </w:rPr>
              <w:t>77.935</w:t>
            </w:r>
          </w:p>
        </w:tc>
        <w:tc>
          <w:tcPr>
            <w:tcW w:w="1425" w:type="dxa"/>
            <w:vAlign w:val="top"/>
          </w:tcPr>
          <w:p>
            <w:pPr>
              <w:pStyle w:val="TableText"/>
              <w:ind w:left="405"/>
              <w:spacing w:before="75" w:line="186" w:lineRule="auto"/>
              <w:rPr/>
            </w:pPr>
            <w:r>
              <w:rPr>
                <w:color w:val="231F20"/>
                <w:spacing w:val="-3"/>
              </w:rPr>
              <w:t>14.712</w:t>
            </w:r>
          </w:p>
        </w:tc>
      </w:tr>
      <w:tr>
        <w:trPr>
          <w:trHeight w:val="262" w:hRule="atLeast"/>
        </w:trPr>
        <w:tc>
          <w:tcPr>
            <w:tcW w:w="101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4"/>
              <w:spacing w:before="84" w:line="183" w:lineRule="auto"/>
              <w:rPr/>
            </w:pPr>
            <w:r>
              <w:rPr>
                <w:i/>
                <w:iCs/>
                <w:color w:val="231F20"/>
                <w:spacing w:val="5"/>
              </w:rPr>
              <w:t>P</w:t>
            </w:r>
          </w:p>
        </w:tc>
        <w:tc>
          <w:tcPr>
            <w:tcW w:w="1124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8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575"/>
              <w:spacing w:before="57" w:line="225" w:lineRule="auto"/>
              <w:rPr/>
            </w:pPr>
            <w:r>
              <w:rPr>
                <w:rFonts w:ascii="SimSun" w:hAnsi="SimSun" w:eastAsia="SimSun" w:cs="SimSun"/>
                <w:color w:val="231F20"/>
                <w:spacing w:val="6"/>
              </w:rPr>
              <w:t>&lt;</w:t>
            </w:r>
            <w:r>
              <w:rPr>
                <w:rFonts w:ascii="SimSun" w:hAnsi="SimSun" w:eastAsia="SimSun" w:cs="SimSun"/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6"/>
              </w:rPr>
              <w:t>0.001</w:t>
            </w:r>
          </w:p>
        </w:tc>
        <w:tc>
          <w:tcPr>
            <w:tcW w:w="161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74"/>
              <w:spacing w:before="57" w:line="225" w:lineRule="auto"/>
              <w:rPr/>
            </w:pPr>
            <w:r>
              <w:rPr>
                <w:rFonts w:ascii="SimSun" w:hAnsi="SimSun" w:eastAsia="SimSun" w:cs="SimSun"/>
                <w:color w:val="231F20"/>
                <w:spacing w:val="6"/>
              </w:rPr>
              <w:t>&lt;</w:t>
            </w:r>
            <w:r>
              <w:rPr>
                <w:rFonts w:ascii="SimSun" w:hAnsi="SimSun" w:eastAsia="SimSun" w:cs="SimSun"/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6"/>
              </w:rPr>
              <w:t>0.001</w:t>
            </w:r>
          </w:p>
        </w:tc>
        <w:tc>
          <w:tcPr>
            <w:tcW w:w="151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46"/>
              <w:spacing w:before="57" w:line="225" w:lineRule="auto"/>
              <w:rPr/>
            </w:pPr>
            <w:r>
              <w:rPr>
                <w:rFonts w:ascii="SimSun" w:hAnsi="SimSun" w:eastAsia="SimSun" w:cs="SimSun"/>
                <w:color w:val="231F20"/>
                <w:spacing w:val="6"/>
              </w:rPr>
              <w:t>&lt;</w:t>
            </w:r>
            <w:r>
              <w:rPr>
                <w:rFonts w:ascii="SimSun" w:hAnsi="SimSun" w:eastAsia="SimSun" w:cs="SimSun"/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6"/>
              </w:rPr>
              <w:t>0.001</w:t>
            </w:r>
          </w:p>
        </w:tc>
        <w:tc>
          <w:tcPr>
            <w:tcW w:w="182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522"/>
              <w:spacing w:before="57" w:line="225" w:lineRule="auto"/>
              <w:rPr/>
            </w:pPr>
            <w:r>
              <w:rPr>
                <w:rFonts w:ascii="SimSun" w:hAnsi="SimSun" w:eastAsia="SimSun" w:cs="SimSun"/>
                <w:color w:val="231F20"/>
                <w:spacing w:val="6"/>
              </w:rPr>
              <w:t>&lt;</w:t>
            </w:r>
            <w:r>
              <w:rPr>
                <w:rFonts w:ascii="SimSun" w:hAnsi="SimSun" w:eastAsia="SimSun" w:cs="SimSun"/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6"/>
              </w:rPr>
              <w:t>0.001</w:t>
            </w:r>
          </w:p>
        </w:tc>
        <w:tc>
          <w:tcPr>
            <w:tcW w:w="142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84"/>
              <w:spacing w:before="57" w:line="225" w:lineRule="auto"/>
              <w:rPr/>
            </w:pPr>
            <w:r>
              <w:rPr>
                <w:rFonts w:ascii="SimSun" w:hAnsi="SimSun" w:eastAsia="SimSun" w:cs="SimSun"/>
                <w:color w:val="231F20"/>
                <w:spacing w:val="6"/>
              </w:rPr>
              <w:t>&lt;</w:t>
            </w:r>
            <w:r>
              <w:rPr>
                <w:rFonts w:ascii="SimSun" w:hAnsi="SimSun" w:eastAsia="SimSun" w:cs="SimSun"/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6"/>
              </w:rPr>
              <w:t>0.001</w:t>
            </w:r>
          </w:p>
        </w:tc>
      </w:tr>
    </w:tbl>
    <w:p>
      <w:pPr>
        <w:spacing w:line="323" w:lineRule="auto"/>
        <w:rPr>
          <w:rFonts w:ascii="Arial"/>
          <w:sz w:val="21"/>
        </w:rPr>
      </w:pPr>
      <w:r/>
    </w:p>
    <w:p>
      <w:pPr>
        <w:pStyle w:val="BodyText"/>
        <w:ind w:left="4540"/>
        <w:spacing w:before="52" w:line="220" w:lineRule="auto"/>
        <w:rPr>
          <w:sz w:val="16"/>
          <w:szCs w:val="16"/>
        </w:rPr>
      </w:pPr>
      <w:r>
        <w:pict>
          <v:shape id="_x0000_s34" style="position:absolute;margin-left:321.678pt;margin-top:3.81217pt;mso-position-vertical-relative:text;mso-position-horizontal-relative:text;width:2.05pt;height:0.3pt;z-index:-251655168;" filled="false" strokecolor="#101214" strokeweight="0.30pt" coordsize="40,6" coordorigin="0,0" path="m0,2l40,2e">
            <v:stroke joinstyle="miter" miterlimit="4"/>
          </v:shape>
        </w:pict>
      </w:r>
      <w:r>
        <w:rPr>
          <w:sz w:val="16"/>
          <w:szCs w:val="16"/>
          <w:color w:val="231F20"/>
          <w:spacing w:val="-1"/>
        </w:rPr>
        <w:t>表</w:t>
      </w:r>
      <w:r>
        <w:rPr>
          <w:sz w:val="16"/>
          <w:szCs w:val="16"/>
          <w:color w:val="231F20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3    </w:t>
      </w:r>
      <w:r>
        <w:rPr>
          <w:sz w:val="16"/>
          <w:szCs w:val="16"/>
          <w:color w:val="231F20"/>
          <w:spacing w:val="-1"/>
        </w:rPr>
        <w:t>两组炎性指标比较（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-1"/>
        </w:rPr>
        <w:t>x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-1"/>
        </w:rPr>
        <w:t>± s</w:t>
      </w:r>
      <w:r>
        <w:rPr>
          <w:sz w:val="16"/>
          <w:szCs w:val="16"/>
          <w:color w:val="231F20"/>
          <w:spacing w:val="-1"/>
        </w:rPr>
        <w:t>）</w:t>
      </w:r>
    </w:p>
    <w:p>
      <w:pPr>
        <w:spacing w:line="46" w:lineRule="exact"/>
        <w:rPr/>
      </w:pPr>
      <w:r/>
    </w:p>
    <w:tbl>
      <w:tblPr>
        <w:tblStyle w:val="TableNormal"/>
        <w:tblW w:w="10204" w:type="dxa"/>
        <w:tblInd w:w="59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1"/>
        <w:gridCol w:w="843"/>
        <w:gridCol w:w="1015"/>
        <w:gridCol w:w="1175"/>
        <w:gridCol w:w="905"/>
        <w:gridCol w:w="1023"/>
        <w:gridCol w:w="1201"/>
        <w:gridCol w:w="1188"/>
        <w:gridCol w:w="895"/>
        <w:gridCol w:w="1158"/>
      </w:tblGrid>
      <w:tr>
        <w:trPr>
          <w:trHeight w:val="258" w:hRule="atLeast"/>
        </w:trPr>
        <w:tc>
          <w:tcPr>
            <w:tcW w:w="801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ind w:left="36"/>
              <w:spacing w:before="173" w:line="220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31F20"/>
                <w:spacing w:val="-3"/>
              </w:rPr>
              <w:t>组别</w:t>
            </w:r>
          </w:p>
        </w:tc>
        <w:tc>
          <w:tcPr>
            <w:tcW w:w="843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ind w:left="179"/>
              <w:spacing w:before="173" w:line="219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31F20"/>
                <w:spacing w:val="-2"/>
              </w:rPr>
              <w:t>例数</w:t>
            </w:r>
          </w:p>
        </w:tc>
        <w:tc>
          <w:tcPr>
            <w:tcW w:w="4118" w:type="dxa"/>
            <w:vAlign w:val="top"/>
            <w:gridSpan w:val="4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137"/>
              <w:spacing w:before="25" w:line="211" w:lineRule="exact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color w:val="231F20"/>
                <w:spacing w:val="1"/>
              </w:rPr>
              <w:t>中性粒细胞</w:t>
            </w:r>
            <w:r>
              <w:rPr>
                <w:rFonts w:ascii="SimSun" w:hAnsi="SimSun" w:eastAsia="SimSun" w:cs="SimSun"/>
                <w:color w:val="231F20"/>
                <w:spacing w:val="-34"/>
              </w:rPr>
              <w:t xml:space="preserve"> </w:t>
            </w:r>
            <w:r>
              <w:rPr>
                <w:rFonts w:ascii="SimSun" w:hAnsi="SimSun" w:eastAsia="SimSun" w:cs="SimSun"/>
                <w:color w:val="231F20"/>
                <w:spacing w:val="1"/>
              </w:rPr>
              <w:t>/(×</w:t>
            </w:r>
            <w:r>
              <w:rPr>
                <w:color w:val="231F20"/>
                <w:spacing w:val="1"/>
              </w:rPr>
              <w:t>10</w:t>
            </w:r>
            <w:r>
              <w:rPr>
                <w:rFonts w:ascii="SimSun" w:hAnsi="SimSun" w:eastAsia="SimSun" w:cs="SimSun"/>
                <w:sz w:val="9"/>
                <w:szCs w:val="9"/>
                <w:color w:val="231F20"/>
                <w:spacing w:val="1"/>
                <w:position w:val="7"/>
              </w:rPr>
              <w:t>9</w:t>
            </w:r>
            <w:r>
              <w:rPr>
                <w:rFonts w:ascii="SimSun" w:hAnsi="SimSun" w:eastAsia="SimSun" w:cs="SimSun"/>
                <w:sz w:val="9"/>
                <w:szCs w:val="9"/>
                <w:color w:val="231F20"/>
                <w:spacing w:val="16"/>
                <w:w w:val="101"/>
                <w:position w:val="7"/>
              </w:rPr>
              <w:t xml:space="preserve"> </w:t>
            </w:r>
            <w:r>
              <w:rPr>
                <w:rFonts w:ascii="SimSun" w:hAnsi="SimSun" w:eastAsia="SimSun" w:cs="SimSun"/>
                <w:color w:val="231F20"/>
                <w:spacing w:val="1"/>
              </w:rPr>
              <w:t>·</w:t>
            </w:r>
            <w:r>
              <w:rPr>
                <w:color w:val="231F20"/>
                <w:spacing w:val="1"/>
              </w:rPr>
              <w:t>L</w:t>
            </w:r>
            <w:r>
              <w:rPr>
                <w:sz w:val="9"/>
                <w:szCs w:val="9"/>
                <w:color w:val="231F20"/>
                <w:spacing w:val="1"/>
                <w:position w:val="7"/>
              </w:rPr>
              <w:t>-</w:t>
            </w:r>
            <w:r>
              <w:rPr>
                <w:rFonts w:ascii="SimSun" w:hAnsi="SimSun" w:eastAsia="SimSun" w:cs="SimSun"/>
                <w:sz w:val="9"/>
                <w:szCs w:val="9"/>
                <w:color w:val="231F20"/>
                <w:spacing w:val="1"/>
                <w:position w:val="7"/>
              </w:rPr>
              <w:t>1</w:t>
            </w:r>
            <w:r>
              <w:rPr>
                <w:rFonts w:ascii="SimSun" w:hAnsi="SimSun" w:eastAsia="SimSun" w:cs="SimSun"/>
                <w:color w:val="231F20"/>
                <w:spacing w:val="1"/>
              </w:rPr>
              <w:t>）</w:t>
            </w:r>
          </w:p>
        </w:tc>
        <w:tc>
          <w:tcPr>
            <w:tcW w:w="4442" w:type="dxa"/>
            <w:vAlign w:val="top"/>
            <w:gridSpan w:val="4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400"/>
              <w:spacing w:before="25" w:line="230" w:lineRule="auto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4"/>
              </w:rPr>
              <w:t>C </w:t>
            </w:r>
            <w:r>
              <w:rPr>
                <w:rFonts w:ascii="SimSun" w:hAnsi="SimSun" w:eastAsia="SimSun" w:cs="SimSun"/>
                <w:color w:val="231F20"/>
                <w:spacing w:val="-4"/>
              </w:rPr>
              <w:t>反应蛋白</w:t>
            </w:r>
            <w:r>
              <w:rPr>
                <w:rFonts w:ascii="SimSun" w:hAnsi="SimSun" w:eastAsia="SimSun" w:cs="SimSun"/>
                <w:color w:val="231F20"/>
                <w:spacing w:val="-24"/>
              </w:rPr>
              <w:t xml:space="preserve"> </w:t>
            </w:r>
            <w:r>
              <w:rPr>
                <w:rFonts w:ascii="SimSun" w:hAnsi="SimSun" w:eastAsia="SimSun" w:cs="SimSun"/>
                <w:color w:val="231F20"/>
                <w:spacing w:val="-4"/>
              </w:rPr>
              <w:t>/（</w:t>
            </w:r>
            <w:r>
              <w:rPr>
                <w:color w:val="231F20"/>
                <w:spacing w:val="-4"/>
              </w:rPr>
              <w:t>mg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color w:val="231F20"/>
                <w:spacing w:val="-4"/>
              </w:rPr>
              <w:t>·</w:t>
            </w:r>
            <w:r>
              <w:rPr>
                <w:color w:val="231F20"/>
                <w:spacing w:val="-4"/>
              </w:rPr>
              <w:t>L</w:t>
            </w:r>
            <w:r>
              <w:rPr>
                <w:sz w:val="9"/>
                <w:szCs w:val="9"/>
                <w:color w:val="231F20"/>
                <w:spacing w:val="-4"/>
                <w:position w:val="7"/>
              </w:rPr>
              <w:t>-</w:t>
            </w:r>
            <w:r>
              <w:rPr>
                <w:rFonts w:ascii="SimSun" w:hAnsi="SimSun" w:eastAsia="SimSun" w:cs="SimSun"/>
                <w:sz w:val="9"/>
                <w:szCs w:val="9"/>
                <w:color w:val="231F20"/>
                <w:spacing w:val="-4"/>
                <w:position w:val="7"/>
              </w:rPr>
              <w:t>1</w:t>
            </w:r>
            <w:r>
              <w:rPr>
                <w:rFonts w:ascii="SimSun" w:hAnsi="SimSun" w:eastAsia="SimSun" w:cs="SimSun"/>
                <w:color w:val="231F20"/>
                <w:spacing w:val="-4"/>
              </w:rPr>
              <w:t>）</w:t>
            </w:r>
          </w:p>
        </w:tc>
      </w:tr>
      <w:tr>
        <w:trPr>
          <w:trHeight w:val="243" w:hRule="atLeast"/>
        </w:trPr>
        <w:tc>
          <w:tcPr>
            <w:tcW w:w="801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3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15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ind w:left="329"/>
              <w:spacing w:before="39" w:line="219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31F20"/>
                <w:spacing w:val="-2"/>
              </w:rPr>
              <w:t>术前</w:t>
            </w:r>
          </w:p>
        </w:tc>
        <w:tc>
          <w:tcPr>
            <w:tcW w:w="1175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ind w:left="391"/>
              <w:spacing w:before="39" w:line="219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31F20"/>
                <w:spacing w:val="-2"/>
              </w:rPr>
              <w:t>术后</w:t>
            </w:r>
          </w:p>
        </w:tc>
        <w:tc>
          <w:tcPr>
            <w:tcW w:w="905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430"/>
              <w:spacing w:before="82" w:line="162" w:lineRule="auto"/>
              <w:rPr/>
            </w:pPr>
            <w:r>
              <w:rPr>
                <w:i/>
                <w:iCs/>
                <w:color w:val="231F20"/>
              </w:rPr>
              <w:t>t</w:t>
            </w:r>
          </w:p>
        </w:tc>
        <w:tc>
          <w:tcPr>
            <w:tcW w:w="1023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567"/>
              <w:spacing w:before="66" w:line="183" w:lineRule="auto"/>
              <w:rPr/>
            </w:pPr>
            <w:r>
              <w:rPr>
                <w:i/>
                <w:iCs/>
                <w:color w:val="231F20"/>
                <w:spacing w:val="5"/>
              </w:rPr>
              <w:t>P</w:t>
            </w:r>
          </w:p>
        </w:tc>
        <w:tc>
          <w:tcPr>
            <w:tcW w:w="1201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ind w:left="520"/>
              <w:spacing w:before="39" w:line="219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31F20"/>
                <w:spacing w:val="-2"/>
              </w:rPr>
              <w:t>术前</w:t>
            </w:r>
          </w:p>
        </w:tc>
        <w:tc>
          <w:tcPr>
            <w:tcW w:w="1188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ind w:left="396"/>
              <w:spacing w:before="39" w:line="219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31F20"/>
                <w:spacing w:val="-2"/>
              </w:rPr>
              <w:t>术后</w:t>
            </w:r>
          </w:p>
        </w:tc>
        <w:tc>
          <w:tcPr>
            <w:tcW w:w="895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422"/>
              <w:spacing w:before="82" w:line="162" w:lineRule="auto"/>
              <w:rPr/>
            </w:pPr>
            <w:r>
              <w:rPr>
                <w:i/>
                <w:iCs/>
                <w:color w:val="231F20"/>
              </w:rPr>
              <w:t>t</w:t>
            </w:r>
          </w:p>
        </w:tc>
        <w:tc>
          <w:tcPr>
            <w:tcW w:w="1158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568"/>
              <w:spacing w:before="66" w:line="183" w:lineRule="auto"/>
              <w:rPr/>
            </w:pPr>
            <w:r>
              <w:rPr>
                <w:i/>
                <w:iCs/>
                <w:color w:val="231F20"/>
                <w:spacing w:val="5"/>
              </w:rPr>
              <w:t>P</w:t>
            </w:r>
          </w:p>
        </w:tc>
      </w:tr>
      <w:tr>
        <w:trPr>
          <w:trHeight w:val="245" w:hRule="atLeast"/>
        </w:trPr>
        <w:tc>
          <w:tcPr>
            <w:tcW w:w="80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1"/>
              <w:spacing w:before="46" w:line="217" w:lineRule="auto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5"/>
              </w:rPr>
              <w:t>ERAT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rFonts w:ascii="SimSun" w:hAnsi="SimSun" w:eastAsia="SimSun" w:cs="SimSun"/>
                <w:color w:val="231F20"/>
                <w:spacing w:val="-5"/>
              </w:rPr>
              <w:t>组</w:t>
            </w:r>
          </w:p>
        </w:tc>
        <w:tc>
          <w:tcPr>
            <w:tcW w:w="84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65"/>
              <w:spacing w:before="72" w:line="186" w:lineRule="auto"/>
              <w:rPr/>
            </w:pPr>
            <w:r>
              <w:rPr>
                <w:color w:val="231F20"/>
                <w:spacing w:val="-2"/>
              </w:rPr>
              <w:t>50</w:t>
            </w:r>
          </w:p>
        </w:tc>
        <w:tc>
          <w:tcPr>
            <w:tcW w:w="101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26"/>
              <w:spacing w:before="46" w:line="217" w:lineRule="auto"/>
              <w:rPr/>
            </w:pPr>
            <w:r>
              <w:rPr>
                <w:color w:val="231F20"/>
                <w:spacing w:val="-2"/>
              </w:rPr>
              <w:t>8.41</w:t>
            </w:r>
            <w:r>
              <w:rPr>
                <w:rFonts w:ascii="SimSun" w:hAnsi="SimSun" w:eastAsia="SimSun" w:cs="SimSun"/>
                <w:color w:val="231F20"/>
                <w:spacing w:val="-2"/>
              </w:rPr>
              <w:t>±</w:t>
            </w:r>
            <w:r>
              <w:rPr>
                <w:color w:val="231F20"/>
                <w:spacing w:val="-2"/>
              </w:rPr>
              <w:t>4.03</w:t>
            </w:r>
          </w:p>
        </w:tc>
        <w:tc>
          <w:tcPr>
            <w:tcW w:w="117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85"/>
              <w:spacing w:before="46" w:line="217" w:lineRule="auto"/>
              <w:rPr/>
            </w:pPr>
            <w:r>
              <w:rPr>
                <w:color w:val="231F20"/>
                <w:spacing w:val="-1"/>
              </w:rPr>
              <w:t>3.60</w:t>
            </w:r>
            <w:r>
              <w:rPr>
                <w:rFonts w:ascii="SimSun" w:hAnsi="SimSun" w:eastAsia="SimSun" w:cs="SimSun"/>
                <w:color w:val="231F20"/>
                <w:spacing w:val="-1"/>
              </w:rPr>
              <w:t>±</w:t>
            </w:r>
            <w:r>
              <w:rPr>
                <w:color w:val="231F20"/>
                <w:spacing w:val="-1"/>
              </w:rPr>
              <w:t>1.45</w:t>
            </w:r>
          </w:p>
        </w:tc>
        <w:tc>
          <w:tcPr>
            <w:tcW w:w="90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90"/>
              <w:spacing w:before="72" w:line="186" w:lineRule="auto"/>
              <w:rPr/>
            </w:pPr>
            <w:r>
              <w:rPr>
                <w:color w:val="231F20"/>
                <w:spacing w:val="-2"/>
              </w:rPr>
              <w:t>8.749</w:t>
            </w:r>
          </w:p>
        </w:tc>
        <w:tc>
          <w:tcPr>
            <w:tcW w:w="102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71"/>
              <w:spacing w:before="46" w:line="217" w:lineRule="auto"/>
              <w:rPr/>
            </w:pPr>
            <w:r>
              <w:rPr>
                <w:rFonts w:ascii="SimSun" w:hAnsi="SimSun" w:eastAsia="SimSun" w:cs="SimSun"/>
                <w:color w:val="231F20"/>
                <w:spacing w:val="6"/>
              </w:rPr>
              <w:t>&lt;</w:t>
            </w:r>
            <w:r>
              <w:rPr>
                <w:rFonts w:ascii="SimSun" w:hAnsi="SimSun" w:eastAsia="SimSun" w:cs="SimSun"/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6"/>
              </w:rPr>
              <w:t>0.001</w:t>
            </w:r>
          </w:p>
        </w:tc>
        <w:tc>
          <w:tcPr>
            <w:tcW w:w="120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29"/>
              <w:spacing w:before="46" w:line="217" w:lineRule="auto"/>
              <w:rPr/>
            </w:pPr>
            <w:r>
              <w:rPr>
                <w:color w:val="231F20"/>
                <w:spacing w:val="-1"/>
              </w:rPr>
              <w:t>45.61</w:t>
            </w:r>
            <w:r>
              <w:rPr>
                <w:rFonts w:ascii="SimSun" w:hAnsi="SimSun" w:eastAsia="SimSun" w:cs="SimSun"/>
                <w:color w:val="231F20"/>
                <w:spacing w:val="-1"/>
              </w:rPr>
              <w:t>±</w:t>
            </w:r>
            <w:r>
              <w:rPr>
                <w:color w:val="231F20"/>
                <w:spacing w:val="-1"/>
              </w:rPr>
              <w:t>11.56</w:t>
            </w:r>
          </w:p>
        </w:tc>
        <w:tc>
          <w:tcPr>
            <w:tcW w:w="118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06"/>
              <w:spacing w:before="46" w:line="217" w:lineRule="auto"/>
              <w:rPr/>
            </w:pPr>
            <w:r>
              <w:rPr>
                <w:color w:val="231F20"/>
                <w:spacing w:val="-1"/>
              </w:rPr>
              <w:t>20.21</w:t>
            </w:r>
            <w:r>
              <w:rPr>
                <w:rFonts w:ascii="SimSun" w:hAnsi="SimSun" w:eastAsia="SimSun" w:cs="SimSun"/>
                <w:color w:val="231F20"/>
                <w:spacing w:val="-1"/>
              </w:rPr>
              <w:t>±</w:t>
            </w:r>
            <w:r>
              <w:rPr>
                <w:color w:val="231F20"/>
                <w:spacing w:val="-1"/>
              </w:rPr>
              <w:t>7.86</w:t>
            </w:r>
          </w:p>
        </w:tc>
        <w:tc>
          <w:tcPr>
            <w:tcW w:w="89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11"/>
              <w:spacing w:before="72" w:line="186" w:lineRule="auto"/>
              <w:rPr/>
            </w:pPr>
            <w:r>
              <w:rPr>
                <w:color w:val="231F20"/>
                <w:spacing w:val="-3"/>
              </w:rPr>
              <w:t>12.848</w:t>
            </w:r>
          </w:p>
        </w:tc>
        <w:tc>
          <w:tcPr>
            <w:tcW w:w="115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72"/>
              <w:spacing w:before="46" w:line="217" w:lineRule="auto"/>
              <w:rPr/>
            </w:pPr>
            <w:r>
              <w:rPr>
                <w:rFonts w:ascii="SimSun" w:hAnsi="SimSun" w:eastAsia="SimSun" w:cs="SimSun"/>
                <w:color w:val="231F20"/>
                <w:spacing w:val="6"/>
              </w:rPr>
              <w:t>&lt;</w:t>
            </w:r>
            <w:r>
              <w:rPr>
                <w:rFonts w:ascii="SimSun" w:hAnsi="SimSun" w:eastAsia="SimSun" w:cs="SimSun"/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6"/>
              </w:rPr>
              <w:t>0.001</w:t>
            </w:r>
          </w:p>
        </w:tc>
      </w:tr>
      <w:tr>
        <w:trPr>
          <w:trHeight w:val="264" w:hRule="atLeast"/>
        </w:trPr>
        <w:tc>
          <w:tcPr>
            <w:tcW w:w="801" w:type="dxa"/>
            <w:vAlign w:val="top"/>
          </w:tcPr>
          <w:p>
            <w:pPr>
              <w:pStyle w:val="TableText"/>
              <w:ind w:left="31"/>
              <w:spacing w:before="58" w:line="225" w:lineRule="auto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2"/>
              </w:rPr>
              <w:t>LA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rFonts w:ascii="SimSun" w:hAnsi="SimSun" w:eastAsia="SimSun" w:cs="SimSun"/>
                <w:color w:val="231F20"/>
                <w:spacing w:val="-2"/>
              </w:rPr>
              <w:t>组</w:t>
            </w:r>
          </w:p>
        </w:tc>
        <w:tc>
          <w:tcPr>
            <w:tcW w:w="843" w:type="dxa"/>
            <w:vAlign w:val="top"/>
          </w:tcPr>
          <w:p>
            <w:pPr>
              <w:pStyle w:val="TableText"/>
              <w:ind w:left="265"/>
              <w:spacing w:before="83" w:line="186" w:lineRule="auto"/>
              <w:rPr/>
            </w:pPr>
            <w:r>
              <w:rPr>
                <w:color w:val="231F20"/>
                <w:spacing w:val="-2"/>
              </w:rPr>
              <w:t>50</w:t>
            </w:r>
          </w:p>
        </w:tc>
        <w:tc>
          <w:tcPr>
            <w:tcW w:w="1015" w:type="dxa"/>
            <w:vAlign w:val="top"/>
          </w:tcPr>
          <w:p>
            <w:pPr>
              <w:pStyle w:val="TableText"/>
              <w:ind w:left="126"/>
              <w:spacing w:before="58" w:line="225" w:lineRule="auto"/>
              <w:rPr/>
            </w:pPr>
            <w:r>
              <w:rPr>
                <w:color w:val="231F20"/>
                <w:spacing w:val="-2"/>
              </w:rPr>
              <w:t>8.52</w:t>
            </w:r>
            <w:r>
              <w:rPr>
                <w:rFonts w:ascii="SimSun" w:hAnsi="SimSun" w:eastAsia="SimSun" w:cs="SimSun"/>
                <w:color w:val="231F20"/>
                <w:spacing w:val="-2"/>
              </w:rPr>
              <w:t>±</w:t>
            </w:r>
            <w:r>
              <w:rPr>
                <w:color w:val="231F20"/>
                <w:spacing w:val="-2"/>
              </w:rPr>
              <w:t>4.10</w:t>
            </w:r>
          </w:p>
        </w:tc>
        <w:tc>
          <w:tcPr>
            <w:tcW w:w="1175" w:type="dxa"/>
            <w:vAlign w:val="top"/>
          </w:tcPr>
          <w:p>
            <w:pPr>
              <w:pStyle w:val="TableText"/>
              <w:ind w:left="185"/>
              <w:spacing w:before="58" w:line="225" w:lineRule="auto"/>
              <w:rPr/>
            </w:pPr>
            <w:r>
              <w:rPr>
                <w:color w:val="231F20"/>
                <w:spacing w:val="-1"/>
              </w:rPr>
              <w:t>6.42</w:t>
            </w:r>
            <w:r>
              <w:rPr>
                <w:rFonts w:ascii="SimSun" w:hAnsi="SimSun" w:eastAsia="SimSun" w:cs="SimSun"/>
                <w:color w:val="231F20"/>
                <w:spacing w:val="-1"/>
              </w:rPr>
              <w:t>±</w:t>
            </w:r>
            <w:r>
              <w:rPr>
                <w:color w:val="231F20"/>
                <w:spacing w:val="-1"/>
              </w:rPr>
              <w:t>1.33</w:t>
            </w:r>
          </w:p>
        </w:tc>
        <w:tc>
          <w:tcPr>
            <w:tcW w:w="905" w:type="dxa"/>
            <w:vAlign w:val="top"/>
          </w:tcPr>
          <w:p>
            <w:pPr>
              <w:pStyle w:val="TableText"/>
              <w:ind w:left="287"/>
              <w:spacing w:before="83" w:line="186" w:lineRule="auto"/>
              <w:rPr/>
            </w:pPr>
            <w:r>
              <w:rPr>
                <w:color w:val="231F20"/>
                <w:spacing w:val="-2"/>
              </w:rPr>
              <w:t>3.445</w:t>
            </w:r>
          </w:p>
        </w:tc>
        <w:tc>
          <w:tcPr>
            <w:tcW w:w="1023" w:type="dxa"/>
            <w:vAlign w:val="top"/>
          </w:tcPr>
          <w:p>
            <w:pPr>
              <w:pStyle w:val="TableText"/>
              <w:ind w:left="270"/>
              <w:spacing w:before="58" w:line="225" w:lineRule="auto"/>
              <w:rPr/>
            </w:pPr>
            <w:r>
              <w:rPr>
                <w:rFonts w:ascii="SimSun" w:hAnsi="SimSun" w:eastAsia="SimSun" w:cs="SimSun"/>
                <w:color w:val="231F20"/>
                <w:spacing w:val="6"/>
              </w:rPr>
              <w:t>&lt;</w:t>
            </w:r>
            <w:r>
              <w:rPr>
                <w:rFonts w:ascii="SimSun" w:hAnsi="SimSun" w:eastAsia="SimSun" w:cs="SimSun"/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6"/>
              </w:rPr>
              <w:t>0.001</w:t>
            </w:r>
          </w:p>
        </w:tc>
        <w:tc>
          <w:tcPr>
            <w:tcW w:w="1201" w:type="dxa"/>
            <w:vAlign w:val="top"/>
          </w:tcPr>
          <w:p>
            <w:pPr>
              <w:pStyle w:val="TableText"/>
              <w:ind w:left="229"/>
              <w:spacing w:before="58" w:line="225" w:lineRule="auto"/>
              <w:rPr/>
            </w:pPr>
            <w:r>
              <w:rPr>
                <w:color w:val="231F20"/>
                <w:spacing w:val="-1"/>
              </w:rPr>
              <w:t>45.78</w:t>
            </w:r>
            <w:r>
              <w:rPr>
                <w:rFonts w:ascii="SimSun" w:hAnsi="SimSun" w:eastAsia="SimSun" w:cs="SimSun"/>
                <w:color w:val="231F20"/>
                <w:spacing w:val="-1"/>
              </w:rPr>
              <w:t>±</w:t>
            </w:r>
            <w:r>
              <w:rPr>
                <w:color w:val="231F20"/>
                <w:spacing w:val="-1"/>
              </w:rPr>
              <w:t>11.49</w:t>
            </w:r>
          </w:p>
        </w:tc>
        <w:tc>
          <w:tcPr>
            <w:tcW w:w="1188" w:type="dxa"/>
            <w:vAlign w:val="top"/>
          </w:tcPr>
          <w:p>
            <w:pPr>
              <w:pStyle w:val="TableText"/>
              <w:ind w:left="109"/>
              <w:spacing w:before="58" w:line="225" w:lineRule="auto"/>
              <w:rPr/>
            </w:pPr>
            <w:r>
              <w:rPr>
                <w:color w:val="231F20"/>
                <w:spacing w:val="-1"/>
              </w:rPr>
              <w:t>31.34</w:t>
            </w:r>
            <w:r>
              <w:rPr>
                <w:rFonts w:ascii="SimSun" w:hAnsi="SimSun" w:eastAsia="SimSun" w:cs="SimSun"/>
                <w:color w:val="231F20"/>
                <w:spacing w:val="-1"/>
              </w:rPr>
              <w:t>±</w:t>
            </w:r>
            <w:r>
              <w:rPr>
                <w:color w:val="231F20"/>
                <w:spacing w:val="-1"/>
              </w:rPr>
              <w:t>10.66</w:t>
            </w:r>
          </w:p>
        </w:tc>
        <w:tc>
          <w:tcPr>
            <w:tcW w:w="895" w:type="dxa"/>
            <w:vAlign w:val="top"/>
          </w:tcPr>
          <w:p>
            <w:pPr>
              <w:pStyle w:val="TableText"/>
              <w:ind w:left="279"/>
              <w:spacing w:before="83" w:line="186" w:lineRule="auto"/>
              <w:rPr/>
            </w:pPr>
            <w:r>
              <w:rPr>
                <w:color w:val="231F20"/>
                <w:spacing w:val="-2"/>
              </w:rPr>
              <w:t>6.515</w:t>
            </w:r>
          </w:p>
        </w:tc>
        <w:tc>
          <w:tcPr>
            <w:tcW w:w="1158" w:type="dxa"/>
            <w:vAlign w:val="top"/>
          </w:tcPr>
          <w:p>
            <w:pPr>
              <w:pStyle w:val="TableText"/>
              <w:ind w:left="272"/>
              <w:spacing w:before="58" w:line="225" w:lineRule="auto"/>
              <w:rPr/>
            </w:pPr>
            <w:r>
              <w:rPr>
                <w:rFonts w:ascii="SimSun" w:hAnsi="SimSun" w:eastAsia="SimSun" w:cs="SimSun"/>
                <w:color w:val="231F20"/>
                <w:spacing w:val="6"/>
              </w:rPr>
              <w:t>&lt;</w:t>
            </w:r>
            <w:r>
              <w:rPr>
                <w:rFonts w:ascii="SimSun" w:hAnsi="SimSun" w:eastAsia="SimSun" w:cs="SimSun"/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6"/>
              </w:rPr>
              <w:t>0.001</w:t>
            </w:r>
          </w:p>
        </w:tc>
      </w:tr>
      <w:tr>
        <w:trPr>
          <w:trHeight w:val="250" w:hRule="atLeast"/>
        </w:trPr>
        <w:tc>
          <w:tcPr>
            <w:tcW w:w="801" w:type="dxa"/>
            <w:vAlign w:val="top"/>
          </w:tcPr>
          <w:p>
            <w:pPr>
              <w:pStyle w:val="TableText"/>
              <w:ind w:left="34"/>
              <w:spacing w:before="94" w:line="162" w:lineRule="auto"/>
              <w:rPr/>
            </w:pPr>
            <w:r>
              <w:rPr>
                <w:i/>
                <w:iCs/>
                <w:color w:val="231F20"/>
              </w:rPr>
              <w:t>t</w:t>
            </w:r>
          </w:p>
        </w:tc>
        <w:tc>
          <w:tcPr>
            <w:tcW w:w="843" w:type="dxa"/>
            <w:vAlign w:val="top"/>
          </w:tcPr>
          <w:p>
            <w:pPr>
              <w:spacing w:line="240" w:lineRule="exact"/>
              <w:rPr>
                <w:rFonts w:ascii="Arial"/>
                <w:sz w:val="20"/>
              </w:rPr>
            </w:pPr>
            <w:r/>
          </w:p>
        </w:tc>
        <w:tc>
          <w:tcPr>
            <w:tcW w:w="1015" w:type="dxa"/>
            <w:vAlign w:val="top"/>
          </w:tcPr>
          <w:p>
            <w:pPr>
              <w:pStyle w:val="TableText"/>
              <w:ind w:left="321"/>
              <w:spacing w:before="75" w:line="186" w:lineRule="auto"/>
              <w:rPr/>
            </w:pPr>
            <w:r>
              <w:rPr>
                <w:color w:val="231F20"/>
                <w:spacing w:val="-1"/>
              </w:rPr>
              <w:t>0.135</w:t>
            </w:r>
          </w:p>
        </w:tc>
        <w:tc>
          <w:tcPr>
            <w:tcW w:w="1175" w:type="dxa"/>
            <w:vAlign w:val="top"/>
          </w:tcPr>
          <w:p>
            <w:pPr>
              <w:pStyle w:val="TableText"/>
              <w:ind w:left="316"/>
              <w:spacing w:before="75" w:line="186" w:lineRule="auto"/>
              <w:rPr/>
            </w:pPr>
            <w:r>
              <w:rPr>
                <w:color w:val="231F20"/>
                <w:spacing w:val="-3"/>
              </w:rPr>
              <w:t>10.134</w:t>
            </w:r>
          </w:p>
        </w:tc>
        <w:tc>
          <w:tcPr>
            <w:tcW w:w="905" w:type="dxa"/>
            <w:vAlign w:val="top"/>
          </w:tcPr>
          <w:p>
            <w:pPr>
              <w:spacing w:line="240" w:lineRule="exact"/>
              <w:rPr>
                <w:rFonts w:ascii="Arial"/>
                <w:sz w:val="20"/>
              </w:rPr>
            </w:pPr>
            <w:r/>
          </w:p>
        </w:tc>
        <w:tc>
          <w:tcPr>
            <w:tcW w:w="1023" w:type="dxa"/>
            <w:vAlign w:val="top"/>
          </w:tcPr>
          <w:p>
            <w:pPr>
              <w:spacing w:line="240" w:lineRule="exact"/>
              <w:rPr>
                <w:rFonts w:ascii="Arial"/>
                <w:sz w:val="20"/>
              </w:rPr>
            </w:pPr>
            <w:r/>
          </w:p>
        </w:tc>
        <w:tc>
          <w:tcPr>
            <w:tcW w:w="1201" w:type="dxa"/>
            <w:vAlign w:val="top"/>
          </w:tcPr>
          <w:p>
            <w:pPr>
              <w:pStyle w:val="TableText"/>
              <w:ind w:left="512"/>
              <w:spacing w:before="75" w:line="186" w:lineRule="auto"/>
              <w:rPr/>
            </w:pPr>
            <w:r>
              <w:rPr>
                <w:color w:val="231F20"/>
                <w:spacing w:val="-1"/>
              </w:rPr>
              <w:t>0.073</w:t>
            </w:r>
          </w:p>
        </w:tc>
        <w:tc>
          <w:tcPr>
            <w:tcW w:w="1188" w:type="dxa"/>
            <w:vAlign w:val="top"/>
          </w:tcPr>
          <w:p>
            <w:pPr>
              <w:pStyle w:val="TableText"/>
              <w:ind w:left="389"/>
              <w:spacing w:before="75" w:line="186" w:lineRule="auto"/>
              <w:rPr/>
            </w:pPr>
            <w:r>
              <w:rPr>
                <w:color w:val="231F20"/>
                <w:spacing w:val="-2"/>
              </w:rPr>
              <w:t>6.515</w:t>
            </w:r>
          </w:p>
        </w:tc>
        <w:tc>
          <w:tcPr>
            <w:tcW w:w="895" w:type="dxa"/>
            <w:vAlign w:val="top"/>
          </w:tcPr>
          <w:p>
            <w:pPr>
              <w:spacing w:line="240" w:lineRule="exact"/>
              <w:rPr>
                <w:rFonts w:ascii="Arial"/>
                <w:sz w:val="20"/>
              </w:rPr>
            </w:pPr>
            <w:r/>
          </w:p>
        </w:tc>
        <w:tc>
          <w:tcPr>
            <w:tcW w:w="1158" w:type="dxa"/>
            <w:vAlign w:val="top"/>
          </w:tcPr>
          <w:p>
            <w:pPr>
              <w:spacing w:line="240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62" w:hRule="atLeast"/>
        </w:trPr>
        <w:tc>
          <w:tcPr>
            <w:tcW w:w="80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3"/>
              <w:spacing w:before="84" w:line="183" w:lineRule="auto"/>
              <w:rPr/>
            </w:pPr>
            <w:r>
              <w:rPr>
                <w:i/>
                <w:iCs/>
                <w:color w:val="231F20"/>
                <w:spacing w:val="5"/>
              </w:rPr>
              <w:t>P</w:t>
            </w:r>
          </w:p>
        </w:tc>
        <w:tc>
          <w:tcPr>
            <w:tcW w:w="843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1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21"/>
              <w:spacing w:before="82" w:line="186" w:lineRule="auto"/>
              <w:rPr/>
            </w:pPr>
            <w:r>
              <w:rPr>
                <w:color w:val="231F20"/>
                <w:spacing w:val="-1"/>
              </w:rPr>
              <w:t>0.892</w:t>
            </w:r>
          </w:p>
        </w:tc>
        <w:tc>
          <w:tcPr>
            <w:tcW w:w="117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96"/>
              <w:spacing w:before="57" w:line="224" w:lineRule="auto"/>
              <w:rPr/>
            </w:pPr>
            <w:r>
              <w:rPr>
                <w:rFonts w:ascii="SimSun" w:hAnsi="SimSun" w:eastAsia="SimSun" w:cs="SimSun"/>
                <w:color w:val="231F20"/>
                <w:spacing w:val="6"/>
              </w:rPr>
              <w:t>&lt;</w:t>
            </w:r>
            <w:r>
              <w:rPr>
                <w:rFonts w:ascii="SimSun" w:hAnsi="SimSun" w:eastAsia="SimSun" w:cs="SimSun"/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6"/>
              </w:rPr>
              <w:t>0.001</w:t>
            </w:r>
          </w:p>
        </w:tc>
        <w:tc>
          <w:tcPr>
            <w:tcW w:w="905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23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0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512"/>
              <w:spacing w:before="82" w:line="186" w:lineRule="auto"/>
              <w:rPr/>
            </w:pPr>
            <w:r>
              <w:rPr>
                <w:color w:val="231F20"/>
                <w:spacing w:val="-1"/>
              </w:rPr>
              <w:t>0.941</w:t>
            </w:r>
          </w:p>
        </w:tc>
        <w:tc>
          <w:tcPr>
            <w:tcW w:w="1188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00"/>
              <w:spacing w:before="57" w:line="224" w:lineRule="auto"/>
              <w:rPr/>
            </w:pPr>
            <w:r>
              <w:rPr>
                <w:rFonts w:ascii="SimSun" w:hAnsi="SimSun" w:eastAsia="SimSun" w:cs="SimSun"/>
                <w:color w:val="231F20"/>
                <w:spacing w:val="6"/>
              </w:rPr>
              <w:t>&lt;</w:t>
            </w:r>
            <w:r>
              <w:rPr>
                <w:rFonts w:ascii="SimSun" w:hAnsi="SimSun" w:eastAsia="SimSun" w:cs="SimSun"/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6"/>
              </w:rPr>
              <w:t>0.001</w:t>
            </w:r>
          </w:p>
        </w:tc>
        <w:tc>
          <w:tcPr>
            <w:tcW w:w="895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58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2246" w:h="16498"/>
          <w:pgMar w:top="1211" w:right="1020" w:bottom="0" w:left="424" w:header="783" w:footer="0" w:gutter="0"/>
          <w:cols w:equalWidth="0" w:num="1">
            <w:col w:w="10802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135" w:lineRule="exact"/>
        <w:rPr/>
      </w:pPr>
      <w:r/>
    </w:p>
    <w:p>
      <w:pPr>
        <w:spacing w:line="135" w:lineRule="exact"/>
        <w:sectPr>
          <w:headerReference w:type="default" r:id="rId7"/>
          <w:pgSz w:w="12246" w:h="16498"/>
          <w:pgMar w:top="1211" w:right="949" w:bottom="0" w:left="424" w:header="783" w:footer="0" w:gutter="0"/>
          <w:cols w:equalWidth="0" w:num="1">
            <w:col w:w="10873" w:space="0"/>
          </w:cols>
        </w:sectPr>
        <w:rPr/>
      </w:pPr>
    </w:p>
    <w:p>
      <w:pPr>
        <w:pStyle w:val="BodyText"/>
        <w:ind w:left="600" w:right="245" w:firstLine="4"/>
        <w:spacing w:before="70" w:line="302" w:lineRule="auto"/>
        <w:jc w:val="both"/>
        <w:rPr/>
      </w:pPr>
      <w:r>
        <w:rPr>
          <w:color w:val="231F20"/>
          <w:spacing w:val="4"/>
        </w:rPr>
        <w:t>胞的升高程度表明了阑尾炎症的严重程度。以往认为阑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5"/>
        </w:rPr>
        <w:t>尾为无用的器官，切除阑尾不会对人体造成很大影响，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所以一直以来急性阑尾炎治疗以外科手术为主。近年来，</w:t>
      </w:r>
      <w:r>
        <w:rPr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LA </w:t>
      </w:r>
      <w:r>
        <w:rPr>
          <w:color w:val="231F20"/>
        </w:rPr>
        <w:t>成为外科首选的急性阑尾炎治疗方式，虽然这种方式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2"/>
        </w:rPr>
        <w:t>具有创伤小等优点，但仍然需阑尾切除。</w:t>
      </w:r>
    </w:p>
    <w:p>
      <w:pPr>
        <w:pStyle w:val="BodyText"/>
        <w:ind w:left="603" w:right="238" w:firstLine="408"/>
        <w:spacing w:before="2" w:line="302" w:lineRule="auto"/>
        <w:rPr/>
      </w:pPr>
      <w:r>
        <w:rPr>
          <w:color w:val="231F20"/>
          <w:spacing w:val="4"/>
        </w:rPr>
        <w:t>随着研究深入，人们发现阑尾本身具有很多功能。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阑尾腔内含有很多肠道益生菌，是肠道益生菌的重要“储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备库”，这在维持肠道菌群平衡方面起重要作用。阑尾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还具有部分内分泌及外分泌功能，可分泌一些消</w:t>
      </w:r>
      <w:r>
        <w:rPr>
          <w:color w:val="231F20"/>
          <w:spacing w:val="3"/>
        </w:rPr>
        <w:t>化酶、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促进肠道蠕动激素、生长相关性激素等，从而发挥相关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4"/>
        </w:rPr>
        <w:t>作用。此外，阑尾具有丰富的淋巴组织，含有大量淋巴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3"/>
        </w:rPr>
        <w:t>细胞，包括</w:t>
      </w:r>
      <w:r>
        <w:rPr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T </w:t>
      </w:r>
      <w:r>
        <w:rPr>
          <w:color w:val="231F20"/>
          <w:spacing w:val="3"/>
        </w:rPr>
        <w:t>淋巴细胞、</w:t>
      </w:r>
      <w:r>
        <w:rPr>
          <w:rFonts w:ascii="Times New Roman" w:hAnsi="Times New Roman" w:eastAsia="Times New Roman" w:cs="Times New Roman"/>
          <w:color w:val="231F20"/>
          <w:spacing w:val="3"/>
        </w:rPr>
        <w:t>B </w:t>
      </w:r>
      <w:r>
        <w:rPr>
          <w:color w:val="231F20"/>
          <w:spacing w:val="3"/>
        </w:rPr>
        <w:t>淋巴细胞等，起着免疫调节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及免疫监视的作用。阑尾产生的高浓度黏蛋</w:t>
      </w:r>
      <w:r>
        <w:rPr>
          <w:color w:val="231F20"/>
          <w:spacing w:val="4"/>
        </w:rPr>
        <w:t>白和免疫球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蛋白</w:t>
      </w:r>
      <w:r>
        <w:rPr>
          <w:color w:val="231F20"/>
          <w:spacing w:val="-3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1"/>
        </w:rPr>
        <w:t>A </w:t>
      </w:r>
      <w:r>
        <w:rPr>
          <w:color w:val="231F20"/>
          <w:spacing w:val="11"/>
        </w:rPr>
        <w:t>在结肠黏膜受损时起着重要的修复黏膜屏障作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用</w:t>
      </w:r>
      <w:r>
        <w:rPr>
          <w:color w:val="231F20"/>
          <w:spacing w:val="-26"/>
        </w:rPr>
        <w:t xml:space="preserve"> </w:t>
      </w:r>
      <w:r>
        <w:rPr>
          <w:sz w:val="11"/>
          <w:szCs w:val="11"/>
          <w:color w:val="231F20"/>
          <w:spacing w:val="3"/>
          <w:position w:val="9"/>
        </w:rPr>
        <w:t>[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3"/>
          <w:position w:val="9"/>
        </w:rPr>
        <w:t>9</w:t>
      </w:r>
      <w:r>
        <w:rPr>
          <w:sz w:val="11"/>
          <w:szCs w:val="11"/>
          <w:color w:val="231F20"/>
          <w:spacing w:val="3"/>
          <w:position w:val="9"/>
        </w:rPr>
        <w:t>]</w:t>
      </w:r>
      <w:r>
        <w:rPr>
          <w:color w:val="231F20"/>
          <w:spacing w:val="3"/>
        </w:rPr>
        <w:t>。因此，随着阑尾功能逐渐被人们认识，保留</w:t>
      </w:r>
      <w:r>
        <w:rPr>
          <w:color w:val="231F20"/>
          <w:spacing w:val="2"/>
        </w:rPr>
        <w:t>阑尾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及其功能显得尤为重要。抗生素治疗阑尾炎因具有无创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5"/>
        </w:rPr>
        <w:t>和可保留阑尾的效果，易被人们接受。长时</w:t>
      </w:r>
      <w:r>
        <w:rPr>
          <w:color w:val="231F20"/>
          <w:spacing w:val="4"/>
        </w:rPr>
        <w:t>间以来，研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究者们不断对抗生素治疗阑尾炎进行研究，但</w:t>
      </w:r>
      <w:r>
        <w:rPr>
          <w:color w:val="231F20"/>
          <w:spacing w:val="4"/>
        </w:rPr>
        <w:t>结果发现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抗生素治疗急性阑尾炎具有较高复发率，在存在粪石的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2"/>
        </w:rPr>
        <w:t>阑尾炎患者中尤为显著，其</w:t>
      </w:r>
      <w:r>
        <w:rPr>
          <w:color w:val="231F20"/>
          <w:spacing w:val="-4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5 </w:t>
      </w:r>
      <w:r>
        <w:rPr>
          <w:color w:val="231F20"/>
          <w:spacing w:val="2"/>
        </w:rPr>
        <w:t>年累积复发率可达</w:t>
      </w:r>
      <w:r>
        <w:rPr>
          <w:rFonts w:ascii="Times New Roman" w:hAnsi="Times New Roman" w:eastAsia="Times New Roman" w:cs="Times New Roman"/>
          <w:color w:val="231F20"/>
          <w:spacing w:val="2"/>
        </w:rPr>
        <w:t>39.1</w:t>
      </w:r>
      <w:r>
        <w:rPr>
          <w:color w:val="231F20"/>
          <w:spacing w:val="2"/>
        </w:rPr>
        <w:t>%，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且在无粪石者中的复发率也高达</w:t>
      </w:r>
      <w:r>
        <w:rPr>
          <w:color w:val="231F20"/>
          <w:spacing w:val="-4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25</w:t>
      </w:r>
      <w:r>
        <w:rPr>
          <w:color w:val="231F20"/>
          <w:spacing w:val="3"/>
        </w:rPr>
        <w:t>%</w:t>
      </w:r>
      <w:r>
        <w:rPr>
          <w:color w:val="231F20"/>
          <w:spacing w:val="-52"/>
        </w:rPr>
        <w:t xml:space="preserve"> </w:t>
      </w:r>
      <w:r>
        <w:rPr>
          <w:sz w:val="11"/>
          <w:szCs w:val="11"/>
          <w:color w:val="231F20"/>
          <w:spacing w:val="3"/>
          <w:position w:val="9"/>
        </w:rPr>
        <w:t>[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3"/>
          <w:position w:val="9"/>
        </w:rPr>
        <w:t>10</w:t>
      </w:r>
      <w:r>
        <w:rPr>
          <w:sz w:val="11"/>
          <w:szCs w:val="11"/>
          <w:color w:val="231F20"/>
          <w:spacing w:val="3"/>
          <w:position w:val="9"/>
        </w:rPr>
        <w:t>]</w:t>
      </w:r>
      <w:r>
        <w:rPr>
          <w:color w:val="231F20"/>
          <w:spacing w:val="3"/>
        </w:rPr>
        <w:t>，抗生素治疗急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性阑尾炎的高复发率一直无法完全解决。</w:t>
      </w:r>
    </w:p>
    <w:p>
      <w:pPr>
        <w:pStyle w:val="BodyText"/>
        <w:ind w:left="597" w:right="167" w:firstLine="399"/>
        <w:spacing w:before="13" w:line="296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</w:rPr>
        <w:t>ERAT</w:t>
      </w:r>
      <w:r>
        <w:rPr>
          <w:rFonts w:ascii="Times New Roman" w:hAnsi="Times New Roman" w:eastAsia="Times New Roman" w:cs="Times New Roman"/>
          <w:color w:val="231F20"/>
          <w:spacing w:val="7"/>
        </w:rPr>
        <w:t xml:space="preserve"> </w:t>
      </w:r>
      <w:r>
        <w:rPr>
          <w:color w:val="231F20"/>
          <w:spacing w:val="7"/>
        </w:rPr>
        <w:t>作为一种无创阑尾炎治疗技术，通过结肠镜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2"/>
        </w:rPr>
        <w:t>到达阑尾内口，在</w:t>
      </w:r>
      <w:r>
        <w:rPr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X </w:t>
      </w:r>
      <w:r>
        <w:rPr>
          <w:color w:val="231F20"/>
          <w:spacing w:val="2"/>
        </w:rPr>
        <w:t>线或超声监视下，锥形帽辅助，对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阑尾进行插管、冲洗、取石，必要时进行阑尾支架置入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引流，达到减除阑尾腔内压力及清除炎性分泌物、粪石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5"/>
        </w:rPr>
        <w:t>的目的，最终可保留阑尾。与抗生素治疗急性非复杂性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5"/>
        </w:rPr>
        <w:t>阑尾炎比较，</w:t>
      </w:r>
      <w:r>
        <w:rPr>
          <w:rFonts w:ascii="Times New Roman" w:hAnsi="Times New Roman" w:eastAsia="Times New Roman" w:cs="Times New Roman"/>
          <w:color w:val="231F20"/>
        </w:rPr>
        <w:t>ERAT</w:t>
      </w:r>
      <w:r>
        <w:rPr>
          <w:rFonts w:ascii="Times New Roman" w:hAnsi="Times New Roman" w:eastAsia="Times New Roman" w:cs="Times New Roman"/>
          <w:color w:val="231F20"/>
          <w:spacing w:val="43"/>
        </w:rPr>
        <w:t xml:space="preserve"> </w:t>
      </w:r>
      <w:r>
        <w:rPr>
          <w:color w:val="231F20"/>
          <w:spacing w:val="5"/>
        </w:rPr>
        <w:t>因能解除阑尾梗阻、去除粪石而复</w:t>
      </w:r>
      <w:r>
        <w:rPr>
          <w:color w:val="231F20"/>
        </w:rPr>
        <w:t xml:space="preserve">  </w:t>
      </w:r>
      <w:r>
        <w:rPr>
          <w:color w:val="231F20"/>
        </w:rPr>
        <w:t>发率较低</w:t>
      </w:r>
      <w:r>
        <w:rPr>
          <w:color w:val="231F20"/>
          <w:spacing w:val="-26"/>
        </w:rPr>
        <w:t xml:space="preserve"> </w:t>
      </w:r>
      <w:r>
        <w:rPr>
          <w:sz w:val="11"/>
          <w:szCs w:val="11"/>
          <w:color w:val="231F20"/>
          <w:position w:val="9"/>
        </w:rPr>
        <w:t>[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position w:val="9"/>
        </w:rPr>
        <w:t>5</w:t>
      </w:r>
      <w:r>
        <w:rPr>
          <w:sz w:val="11"/>
          <w:szCs w:val="11"/>
          <w:color w:val="231F20"/>
          <w:position w:val="9"/>
        </w:rPr>
        <w:t>]</w:t>
      </w:r>
      <w:r>
        <w:rPr>
          <w:color w:val="231F20"/>
        </w:rPr>
        <w:t>。超声引导下</w:t>
      </w:r>
      <w:r>
        <w:rPr>
          <w:color w:val="231F20"/>
          <w:spacing w:val="-3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ERAT </w:t>
      </w:r>
      <w:r>
        <w:rPr>
          <w:color w:val="231F20"/>
        </w:rPr>
        <w:t>在</w:t>
      </w:r>
      <w:r>
        <w:rPr>
          <w:color w:val="231F20"/>
          <w:spacing w:val="-4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ERAT </w:t>
      </w:r>
      <w:r>
        <w:rPr>
          <w:color w:val="231F20"/>
        </w:rPr>
        <w:t>基础上，选用  </w:t>
      </w:r>
      <w:r>
        <w:rPr>
          <w:color w:val="231F20"/>
          <w:spacing w:val="4"/>
        </w:rPr>
        <w:t>超声进行引导，避免了放射性等因素，且简单方便，与</w:t>
      </w:r>
      <w:r>
        <w:rPr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3"/>
        </w:rPr>
        <w:t>X </w:t>
      </w:r>
      <w:r>
        <w:rPr>
          <w:color w:val="231F20"/>
          <w:spacing w:val="3"/>
        </w:rPr>
        <w:t>线引导下</w:t>
      </w:r>
      <w:r>
        <w:rPr>
          <w:color w:val="231F20"/>
          <w:spacing w:val="-4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ERAT</w:t>
      </w:r>
      <w:r>
        <w:rPr>
          <w:rFonts w:ascii="Times New Roman" w:hAnsi="Times New Roman" w:eastAsia="Times New Roman" w:cs="Times New Roman"/>
          <w:color w:val="231F20"/>
          <w:spacing w:val="31"/>
          <w:w w:val="101"/>
        </w:rPr>
        <w:t xml:space="preserve"> </w:t>
      </w:r>
      <w:r>
        <w:rPr>
          <w:color w:val="231F20"/>
          <w:spacing w:val="3"/>
        </w:rPr>
        <w:t>比较，在特殊人群如孕妇和儿童</w:t>
      </w:r>
      <w:r>
        <w:rPr>
          <w:color w:val="231F20"/>
          <w:spacing w:val="2"/>
        </w:rPr>
        <w:t>中具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有一定优势。本研究结果显示，</w:t>
      </w:r>
      <w:r>
        <w:rPr>
          <w:rFonts w:ascii="Times New Roman" w:hAnsi="Times New Roman" w:eastAsia="Times New Roman" w:cs="Times New Roman"/>
          <w:color w:val="231F20"/>
        </w:rPr>
        <w:t>ERAT</w:t>
      </w:r>
      <w:r>
        <w:rPr>
          <w:rFonts w:ascii="Times New Roman" w:hAnsi="Times New Roman" w:eastAsia="Times New Roman" w:cs="Times New Roman"/>
          <w:color w:val="231F20"/>
          <w:spacing w:val="6"/>
        </w:rPr>
        <w:t xml:space="preserve"> </w:t>
      </w:r>
      <w:r>
        <w:rPr>
          <w:color w:val="231F20"/>
          <w:spacing w:val="6"/>
        </w:rPr>
        <w:t>组手术时间、术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1"/>
        </w:rPr>
        <w:t>后排气时间、术后腹痛缓解时间和住院时间短于</w:t>
      </w:r>
      <w:r>
        <w:rPr>
          <w:color w:val="231F20"/>
          <w:spacing w:val="-5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LA </w:t>
      </w:r>
      <w:r>
        <w:rPr>
          <w:color w:val="231F20"/>
          <w:spacing w:val="-1"/>
        </w:rPr>
        <w:t>组，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术中出血量少于</w:t>
      </w:r>
      <w:r>
        <w:rPr>
          <w:color w:val="231F20"/>
          <w:spacing w:val="-5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5"/>
        </w:rPr>
        <w:t>LA </w:t>
      </w:r>
      <w:r>
        <w:rPr>
          <w:color w:val="231F20"/>
          <w:spacing w:val="-5"/>
        </w:rPr>
        <w:t>组，差异有统计学意义（</w:t>
      </w:r>
      <w:r>
        <w:rPr>
          <w:rFonts w:ascii="Times New Roman" w:hAnsi="Times New Roman" w:eastAsia="Times New Roman" w:cs="Times New Roman"/>
          <w:i/>
          <w:iCs/>
          <w:color w:val="231F20"/>
          <w:spacing w:val="-5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14"/>
          <w:w w:val="101"/>
        </w:rPr>
        <w:t xml:space="preserve"> </w:t>
      </w:r>
      <w:r>
        <w:rPr>
          <w:color w:val="231F20"/>
          <w:spacing w:val="-5"/>
        </w:rPr>
        <w:t>＜</w:t>
      </w:r>
      <w:r>
        <w:rPr>
          <w:color w:val="231F20"/>
          <w:spacing w:val="-5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5"/>
        </w:rPr>
        <w:t>0</w:t>
      </w:r>
      <w:r>
        <w:rPr>
          <w:rFonts w:ascii="Times New Roman" w:hAnsi="Times New Roman" w:eastAsia="Times New Roman" w:cs="Times New Roman"/>
          <w:color w:val="231F20"/>
          <w:spacing w:val="-6"/>
        </w:rPr>
        <w:t>.05</w:t>
      </w:r>
      <w:r>
        <w:rPr>
          <w:color w:val="231F20"/>
          <w:spacing w:val="-6"/>
        </w:rPr>
        <w:t>）。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分析其原因为超声引导下</w:t>
      </w:r>
      <w:r>
        <w:rPr>
          <w:color w:val="231F20"/>
          <w:spacing w:val="-3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ERAT</w:t>
      </w:r>
      <w:r>
        <w:rPr>
          <w:rFonts w:ascii="Times New Roman" w:hAnsi="Times New Roman" w:eastAsia="Times New Roman" w:cs="Times New Roman"/>
          <w:color w:val="231F20"/>
          <w:spacing w:val="4"/>
        </w:rPr>
        <w:t xml:space="preserve"> </w:t>
      </w:r>
      <w:r>
        <w:rPr>
          <w:color w:val="231F20"/>
          <w:spacing w:val="4"/>
        </w:rPr>
        <w:t>为一种无创阑尾炎治疗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方法，操作时间短，且其基本无创，故术中出血量极少，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5"/>
        </w:rPr>
        <w:t>术后肠道功能恢复更早；腹痛作为阑尾炎的重要临床表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3"/>
        </w:rPr>
        <w:t>现，在超声引导下</w:t>
      </w:r>
      <w:r>
        <w:rPr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ERAT</w:t>
      </w:r>
      <w:r>
        <w:rPr>
          <w:rFonts w:ascii="Times New Roman" w:hAnsi="Times New Roman" w:eastAsia="Times New Roman" w:cs="Times New Roman"/>
          <w:color w:val="231F20"/>
          <w:spacing w:val="3"/>
        </w:rPr>
        <w:t xml:space="preserve"> </w:t>
      </w:r>
      <w:r>
        <w:rPr>
          <w:color w:val="231F20"/>
          <w:spacing w:val="3"/>
        </w:rPr>
        <w:t>后早期即缓解甚至消失，可能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与超声引导下</w:t>
      </w:r>
      <w:r>
        <w:rPr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ERAT</w:t>
      </w:r>
      <w:r>
        <w:rPr>
          <w:rFonts w:ascii="Times New Roman" w:hAnsi="Times New Roman" w:eastAsia="Times New Roman" w:cs="Times New Roman"/>
          <w:color w:val="231F20"/>
          <w:spacing w:val="14"/>
        </w:rPr>
        <w:t xml:space="preserve"> </w:t>
      </w:r>
      <w:r>
        <w:rPr>
          <w:color w:val="231F20"/>
          <w:spacing w:val="3"/>
        </w:rPr>
        <w:t>治疗时进行阑尾冲洗、取石使阑尾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梗阻解除，并清除脓液使阑尾炎症减轻，阑尾肿胀缓解，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6"/>
        </w:rPr>
        <w:t>降低阑尾张力，减少疼痛介质有关；此外，与</w:t>
      </w:r>
      <w:r>
        <w:rPr>
          <w:color w:val="231F20"/>
          <w:spacing w:val="-5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6"/>
        </w:rPr>
        <w:t>LA </w:t>
      </w:r>
      <w:r>
        <w:rPr>
          <w:color w:val="231F20"/>
          <w:spacing w:val="-6"/>
        </w:rPr>
        <w:t>组比较，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ERAT</w:t>
      </w:r>
      <w:r>
        <w:rPr>
          <w:rFonts w:ascii="Times New Roman" w:hAnsi="Times New Roman" w:eastAsia="Times New Roman" w:cs="Times New Roman"/>
          <w:color w:val="231F20"/>
          <w:spacing w:val="6"/>
        </w:rPr>
        <w:t xml:space="preserve"> </w:t>
      </w:r>
      <w:r>
        <w:rPr>
          <w:color w:val="231F20"/>
          <w:spacing w:val="6"/>
        </w:rPr>
        <w:t>组患者住院时间短说明超声引导下</w:t>
      </w:r>
      <w:r>
        <w:rPr>
          <w:color w:val="231F20"/>
          <w:spacing w:val="-4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ERAT</w:t>
      </w:r>
      <w:r>
        <w:rPr>
          <w:rFonts w:ascii="Times New Roman" w:hAnsi="Times New Roman" w:eastAsia="Times New Roman" w:cs="Times New Roman"/>
          <w:color w:val="231F20"/>
          <w:spacing w:val="14"/>
          <w:w w:val="101"/>
        </w:rPr>
        <w:t xml:space="preserve"> </w:t>
      </w:r>
      <w:r>
        <w:rPr>
          <w:color w:val="231F20"/>
          <w:spacing w:val="6"/>
        </w:rPr>
        <w:t>治疗后</w:t>
      </w:r>
      <w:r>
        <w:rPr>
          <w:color w:val="231F20"/>
        </w:rPr>
        <w:t xml:space="preserve"> </w:t>
      </w:r>
      <w:r>
        <w:rPr>
          <w:color w:val="231F20"/>
        </w:rPr>
        <w:t>患者恢复更快，这与一项</w:t>
      </w:r>
      <w:r>
        <w:rPr>
          <w:color w:val="231F20"/>
          <w:spacing w:val="-3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Meta </w:t>
      </w:r>
      <w:r>
        <w:rPr>
          <w:color w:val="231F20"/>
        </w:rPr>
        <w:t>分析显示与传统手术组比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"/>
        <w:spacing w:before="45" w:line="299" w:lineRule="auto"/>
        <w:jc w:val="both"/>
        <w:rPr/>
      </w:pPr>
      <w:r>
        <w:rPr>
          <w:color w:val="231F20"/>
        </w:rPr>
        <w:t>较</w:t>
      </w:r>
      <w:r>
        <w:rPr>
          <w:color w:val="231F20"/>
          <w:spacing w:val="-4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ERAT </w:t>
      </w:r>
      <w:r>
        <w:rPr>
          <w:color w:val="231F20"/>
        </w:rPr>
        <w:t>组患者住院时间较短基本一致</w:t>
      </w:r>
      <w:r>
        <w:rPr>
          <w:color w:val="231F20"/>
          <w:spacing w:val="-27"/>
        </w:rPr>
        <w:t xml:space="preserve"> </w:t>
      </w:r>
      <w:r>
        <w:rPr>
          <w:sz w:val="11"/>
          <w:szCs w:val="11"/>
          <w:color w:val="231F20"/>
          <w:position w:val="9"/>
        </w:rPr>
        <w:t>[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position w:val="9"/>
        </w:rPr>
        <w:t>11</w:t>
      </w:r>
      <w:r>
        <w:rPr>
          <w:sz w:val="11"/>
          <w:szCs w:val="11"/>
          <w:color w:val="231F20"/>
          <w:position w:val="9"/>
        </w:rPr>
        <w:t>]</w:t>
      </w:r>
      <w:r>
        <w:rPr>
          <w:color w:val="231F20"/>
        </w:rPr>
        <w:t>。</w:t>
      </w:r>
      <w:r>
        <w:rPr>
          <w:color w:val="231F20"/>
          <w:spacing w:val="-1"/>
        </w:rPr>
        <w:t>本研究还发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现，术后，两组中性粒细胞和</w:t>
      </w:r>
      <w:r>
        <w:rPr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C </w:t>
      </w:r>
      <w:r>
        <w:rPr>
          <w:color w:val="231F20"/>
          <w:spacing w:val="2"/>
        </w:rPr>
        <w:t>反应蛋白均低于术前，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且</w:t>
      </w:r>
      <w:r>
        <w:rPr>
          <w:rFonts w:ascii="Times New Roman" w:hAnsi="Times New Roman" w:eastAsia="Times New Roman" w:cs="Times New Roman"/>
          <w:color w:val="231F20"/>
          <w:spacing w:val="-7"/>
        </w:rPr>
        <w:t>ERAT </w:t>
      </w:r>
      <w:r>
        <w:rPr>
          <w:color w:val="231F20"/>
          <w:spacing w:val="-7"/>
        </w:rPr>
        <w:t>组均低于</w:t>
      </w:r>
      <w:r>
        <w:rPr>
          <w:rFonts w:ascii="Times New Roman" w:hAnsi="Times New Roman" w:eastAsia="Times New Roman" w:cs="Times New Roman"/>
          <w:color w:val="231F20"/>
          <w:spacing w:val="-7"/>
        </w:rPr>
        <w:t>LA </w:t>
      </w:r>
      <w:r>
        <w:rPr>
          <w:color w:val="231F20"/>
          <w:spacing w:val="-7"/>
        </w:rPr>
        <w:t>组，差异有统计学意义（</w:t>
      </w:r>
      <w:r>
        <w:rPr>
          <w:rFonts w:ascii="Times New Roman" w:hAnsi="Times New Roman" w:eastAsia="Times New Roman" w:cs="Times New Roman"/>
          <w:i/>
          <w:iCs/>
          <w:color w:val="231F20"/>
          <w:spacing w:val="-7"/>
        </w:rPr>
        <w:t>P</w:t>
      </w:r>
      <w:r>
        <w:rPr>
          <w:color w:val="231F20"/>
          <w:spacing w:val="-8"/>
        </w:rPr>
        <w:t>＜</w:t>
      </w:r>
      <w:r>
        <w:rPr>
          <w:color w:val="231F20"/>
          <w:spacing w:val="-3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8"/>
        </w:rPr>
        <w:t>0.05</w:t>
      </w:r>
      <w:r>
        <w:rPr>
          <w:color w:val="231F20"/>
          <w:spacing w:val="-8"/>
        </w:rPr>
        <w:t>）。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分析其可能与超声引导下</w:t>
      </w:r>
      <w:r>
        <w:rPr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ERAT</w:t>
      </w:r>
      <w:r>
        <w:rPr>
          <w:rFonts w:ascii="Times New Roman" w:hAnsi="Times New Roman" w:eastAsia="Times New Roman" w:cs="Times New Roman"/>
          <w:color w:val="231F20"/>
          <w:spacing w:val="14"/>
        </w:rPr>
        <w:t xml:space="preserve"> </w:t>
      </w:r>
      <w:r>
        <w:rPr>
          <w:color w:val="231F20"/>
          <w:spacing w:val="3"/>
        </w:rPr>
        <w:t>治疗急性非复杂性阑尾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炎时采用阑尾腔引流有关，阑尾炎时炎性指标升高主要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与阑尾炎症刺激有关，阑尾腔引流可以清除大量脓性分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5"/>
        </w:rPr>
        <w:t>泌物及其他异物等，从而减少炎性因子产生，减轻阑尾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9"/>
        </w:rPr>
        <w:t>炎症。</w:t>
      </w:r>
    </w:p>
    <w:p>
      <w:pPr>
        <w:pStyle w:val="BodyText"/>
        <w:ind w:left="7" w:right="15" w:firstLine="400"/>
        <w:spacing w:line="297" w:lineRule="auto"/>
        <w:jc w:val="both"/>
        <w:rPr/>
      </w:pPr>
      <w:r>
        <w:rPr>
          <w:color w:val="231F20"/>
          <w:spacing w:val="3"/>
        </w:rPr>
        <w:t>综上所述，超声引导下</w:t>
      </w:r>
      <w:r>
        <w:rPr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ERAT</w:t>
      </w:r>
      <w:r>
        <w:rPr>
          <w:rFonts w:ascii="Times New Roman" w:hAnsi="Times New Roman" w:eastAsia="Times New Roman" w:cs="Times New Roman"/>
          <w:color w:val="231F20"/>
          <w:spacing w:val="14"/>
          <w:w w:val="101"/>
        </w:rPr>
        <w:t xml:space="preserve"> </w:t>
      </w:r>
      <w:r>
        <w:rPr>
          <w:color w:val="231F20"/>
          <w:spacing w:val="3"/>
        </w:rPr>
        <w:t>治疗急性非复杂性阑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尾炎能够缩短手术时间、术后排气时间、术后腹痛缓解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9"/>
        </w:rPr>
        <w:t>时间和住院时间，减少术中出血量，且能够减轻炎症反应，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4"/>
        </w:rPr>
        <w:t>是一种可保留阑尾的有效治疗方法。但本研究属于单中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5"/>
        </w:rPr>
        <w:t>心研究，选取病例的代表性具有一定局限性，故今后可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4"/>
        </w:rPr>
        <w:t>进一步开展多中心、大样本相关研究对本研究结论进行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8"/>
        </w:rPr>
        <w:t>佐证。</w:t>
      </w:r>
    </w:p>
    <w:p>
      <w:pPr>
        <w:spacing w:before="294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</w:rPr>
        <w:t>【参考文献】</w:t>
      </w:r>
    </w:p>
    <w:p>
      <w:pPr>
        <w:pStyle w:val="BodyText"/>
        <w:ind w:left="346" w:right="70" w:hanging="314"/>
        <w:spacing w:before="81" w:line="28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[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1</w:t>
      </w:r>
      <w:r>
        <w:rPr>
          <w:sz w:val="16"/>
          <w:szCs w:val="16"/>
          <w:color w:val="231F20"/>
          <w:spacing w:val="-2"/>
        </w:rPr>
        <w:t>]</w:t>
      </w:r>
      <w:r>
        <w:rPr>
          <w:sz w:val="16"/>
          <w:szCs w:val="16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SNYDER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J,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GUTHRIE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M,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CAGLE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S. Acute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appen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dicitis: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efficient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diagnosis and management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-3"/>
        </w:rPr>
        <w:t>[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J</w:t>
      </w:r>
      <w:r>
        <w:rPr>
          <w:sz w:val="16"/>
          <w:szCs w:val="16"/>
          <w:color w:val="231F20"/>
          <w:spacing w:val="-4"/>
        </w:rPr>
        <w:t>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Am Fam Physician, 2018,98</w:t>
      </w:r>
      <w:r>
        <w:rPr>
          <w:sz w:val="16"/>
          <w:szCs w:val="16"/>
          <w:color w:val="231F20"/>
          <w:spacing w:val="-4"/>
        </w:rPr>
        <w:t>(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1</w:t>
      </w:r>
      <w:r>
        <w:rPr>
          <w:sz w:val="16"/>
          <w:szCs w:val="16"/>
          <w:color w:val="231F20"/>
          <w:spacing w:val="-4"/>
        </w:rPr>
        <w:t>)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: 25-33.</w:t>
      </w:r>
    </w:p>
    <w:p>
      <w:pPr>
        <w:pStyle w:val="BodyText"/>
        <w:ind w:left="348" w:right="70" w:hanging="316"/>
        <w:spacing w:before="142" w:line="28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sz w:val="16"/>
          <w:szCs w:val="16"/>
          <w:color w:val="231F20"/>
          <w:spacing w:val="-3"/>
        </w:rPr>
        <w:t>[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2</w:t>
      </w:r>
      <w:r>
        <w:rPr>
          <w:sz w:val="16"/>
          <w:szCs w:val="16"/>
          <w:color w:val="231F20"/>
          <w:spacing w:val="-3"/>
        </w:rPr>
        <w:t>]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-3"/>
        </w:rPr>
        <w:t>刘改霞，邱铨鹏，任博博，等．阑尾切除改变肠道菌群对结直肠癌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4"/>
        </w:rPr>
        <w:t>预后影响的临床研究 [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J</w:t>
      </w:r>
      <w:r>
        <w:rPr>
          <w:sz w:val="16"/>
          <w:szCs w:val="16"/>
          <w:color w:val="231F20"/>
          <w:spacing w:val="-4"/>
        </w:rPr>
        <w:t>]．中国肿瘤临床，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2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021,48</w:t>
      </w:r>
      <w:r>
        <w:rPr>
          <w:sz w:val="16"/>
          <w:szCs w:val="16"/>
          <w:color w:val="231F20"/>
          <w:spacing w:val="-5"/>
        </w:rPr>
        <w:t>(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24</w:t>
      </w:r>
      <w:r>
        <w:rPr>
          <w:sz w:val="16"/>
          <w:szCs w:val="16"/>
          <w:color w:val="231F20"/>
          <w:spacing w:val="-5"/>
        </w:rPr>
        <w:t>)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1259-1265.</w:t>
      </w:r>
    </w:p>
    <w:p>
      <w:pPr>
        <w:pStyle w:val="BodyText"/>
        <w:ind w:left="344" w:right="69" w:hanging="312"/>
        <w:spacing w:before="140" w:line="34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[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3</w:t>
      </w:r>
      <w:r>
        <w:rPr>
          <w:sz w:val="16"/>
          <w:szCs w:val="16"/>
          <w:color w:val="231F20"/>
          <w:spacing w:val="7"/>
        </w:rPr>
        <w:t>]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JANSZKY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I,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MUKAMAL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J,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DALMAN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C,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et 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Childhood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appendectomy,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tonsillectomy,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risk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premature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acute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myocardial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infarction: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nationwide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population-based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cohort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study  </w:t>
      </w:r>
      <w:r>
        <w:rPr>
          <w:sz w:val="16"/>
          <w:szCs w:val="16"/>
          <w:color w:val="231F20"/>
          <w:spacing w:val="-3"/>
        </w:rPr>
        <w:t>[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J</w:t>
      </w:r>
      <w:r>
        <w:rPr>
          <w:sz w:val="16"/>
          <w:szCs w:val="16"/>
          <w:color w:val="231F20"/>
          <w:spacing w:val="-3"/>
        </w:rPr>
        <w:t>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Eur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J,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2011,32</w:t>
      </w:r>
      <w:r>
        <w:rPr>
          <w:sz w:val="16"/>
          <w:szCs w:val="16"/>
          <w:color w:val="231F20"/>
          <w:spacing w:val="-4"/>
        </w:rPr>
        <w:t>(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18</w:t>
      </w:r>
      <w:r>
        <w:rPr>
          <w:sz w:val="16"/>
          <w:szCs w:val="16"/>
          <w:color w:val="231F20"/>
          <w:spacing w:val="-4"/>
        </w:rPr>
        <w:t>)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: 2290-2296.</w:t>
      </w:r>
    </w:p>
    <w:p>
      <w:pPr>
        <w:pStyle w:val="BodyText"/>
        <w:ind w:left="340" w:right="70" w:hanging="308"/>
        <w:spacing w:before="140" w:line="32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sz w:val="16"/>
          <w:szCs w:val="16"/>
          <w:color w:val="231F20"/>
          <w:spacing w:val="-4"/>
        </w:rPr>
        <w:t>[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4</w:t>
      </w:r>
      <w:r>
        <w:rPr>
          <w:sz w:val="16"/>
          <w:szCs w:val="16"/>
          <w:color w:val="231F20"/>
          <w:spacing w:val="-4"/>
        </w:rPr>
        <w:t>]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KAWANISHI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K,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KINOSHITA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J, ABE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H,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et al. Appendectom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as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risk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factor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bacteremic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biliary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tract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infection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caused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by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antibiotic-resistant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pathogens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0"/>
          <w:w w:val="101"/>
        </w:rPr>
        <w:t xml:space="preserve"> </w:t>
      </w:r>
      <w:r>
        <w:rPr>
          <w:sz w:val="16"/>
          <w:szCs w:val="16"/>
          <w:color w:val="231F20"/>
          <w:spacing w:val="-4"/>
        </w:rPr>
        <w:t>[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J</w:t>
      </w:r>
      <w:r>
        <w:rPr>
          <w:sz w:val="16"/>
          <w:szCs w:val="16"/>
          <w:color w:val="231F20"/>
          <w:spacing w:val="-4"/>
        </w:rPr>
        <w:t>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. Biomed Res Int, 2017,2017: 3276120.</w:t>
      </w:r>
    </w:p>
    <w:p>
      <w:pPr>
        <w:pStyle w:val="BodyText"/>
        <w:ind w:left="360" w:right="79" w:hanging="328"/>
        <w:spacing w:before="142" w:line="28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sz w:val="16"/>
          <w:szCs w:val="16"/>
          <w:color w:val="231F20"/>
          <w:spacing w:val="-3"/>
        </w:rPr>
        <w:t>[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5</w:t>
      </w:r>
      <w:r>
        <w:rPr>
          <w:sz w:val="16"/>
          <w:szCs w:val="16"/>
          <w:color w:val="231F20"/>
          <w:spacing w:val="-3"/>
        </w:rPr>
        <w:t>]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-3"/>
        </w:rPr>
        <w:t>王淘淘，刘妍，张毕方，等．内镜逆行阑尾炎治疗</w:t>
      </w:r>
      <w:r>
        <w:rPr>
          <w:sz w:val="16"/>
          <w:szCs w:val="16"/>
          <w:color w:val="231F20"/>
          <w:spacing w:val="-4"/>
        </w:rPr>
        <w:t>术：阑尾炎治疗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4"/>
        </w:rPr>
        <w:t>的新选择 [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J</w:t>
      </w:r>
      <w:r>
        <w:rPr>
          <w:sz w:val="16"/>
          <w:szCs w:val="16"/>
          <w:color w:val="231F20"/>
          <w:spacing w:val="-4"/>
        </w:rPr>
        <w:t>]．现代消化及介入诊疗，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2022,27</w:t>
      </w:r>
      <w:r>
        <w:rPr>
          <w:sz w:val="16"/>
          <w:szCs w:val="16"/>
          <w:color w:val="231F20"/>
          <w:spacing w:val="-4"/>
        </w:rPr>
        <w:t>(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3</w:t>
      </w:r>
      <w:r>
        <w:rPr>
          <w:sz w:val="16"/>
          <w:szCs w:val="16"/>
          <w:color w:val="231F20"/>
          <w:spacing w:val="-4"/>
        </w:rPr>
        <w:t>)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: 379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-382,378.</w:t>
      </w:r>
    </w:p>
    <w:p>
      <w:pPr>
        <w:pStyle w:val="BodyText"/>
        <w:ind w:left="348" w:right="69" w:hanging="316"/>
        <w:spacing w:before="141" w:line="28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sz w:val="16"/>
          <w:szCs w:val="16"/>
          <w:color w:val="231F20"/>
          <w:spacing w:val="2"/>
        </w:rPr>
        <w:t>[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6</w:t>
      </w:r>
      <w:r>
        <w:rPr>
          <w:sz w:val="16"/>
          <w:szCs w:val="16"/>
          <w:color w:val="231F20"/>
          <w:spacing w:val="2"/>
        </w:rPr>
        <w:t>]</w:t>
      </w:r>
      <w:r>
        <w:rPr>
          <w:sz w:val="16"/>
          <w:szCs w:val="16"/>
          <w:color w:val="231F20"/>
          <w:spacing w:val="39"/>
        </w:rPr>
        <w:t xml:space="preserve"> </w:t>
      </w:r>
      <w:r>
        <w:rPr>
          <w:sz w:val="16"/>
          <w:szCs w:val="16"/>
          <w:color w:val="231F20"/>
          <w:spacing w:val="2"/>
        </w:rPr>
        <w:t>宋凯敏，刘俊．内镜逆行阑尾炎治疗术治疗急性阑尾炎的研究进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4"/>
        </w:rPr>
        <w:t>展 [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J</w:t>
      </w:r>
      <w:r>
        <w:rPr>
          <w:sz w:val="16"/>
          <w:szCs w:val="16"/>
          <w:color w:val="231F20"/>
          <w:spacing w:val="-4"/>
        </w:rPr>
        <w:t>]．临床与病理杂志，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2021,41</w:t>
      </w:r>
      <w:r>
        <w:rPr>
          <w:sz w:val="16"/>
          <w:szCs w:val="16"/>
          <w:color w:val="231F20"/>
          <w:spacing w:val="-4"/>
        </w:rPr>
        <w:t>(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2</w:t>
      </w:r>
      <w:r>
        <w:rPr>
          <w:sz w:val="16"/>
          <w:szCs w:val="16"/>
          <w:color w:val="231F20"/>
          <w:spacing w:val="-5"/>
        </w:rPr>
        <w:t>)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: 473-478.</w:t>
      </w:r>
    </w:p>
    <w:p>
      <w:pPr>
        <w:pStyle w:val="BodyText"/>
        <w:ind w:left="344" w:right="71" w:hanging="312"/>
        <w:spacing w:before="142" w:line="31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sz w:val="16"/>
          <w:szCs w:val="16"/>
          <w:color w:val="231F20"/>
          <w:spacing w:val="-4"/>
        </w:rPr>
        <w:t>[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7</w:t>
      </w:r>
      <w:r>
        <w:rPr>
          <w:sz w:val="16"/>
          <w:szCs w:val="16"/>
          <w:color w:val="231F20"/>
          <w:spacing w:val="-4"/>
        </w:rPr>
        <w:t>]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WAGNER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M,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TUBRE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J, ASENSIO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J A.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Evolution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current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trends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management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of acute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appendicitis  </w:t>
      </w:r>
      <w:r>
        <w:rPr>
          <w:sz w:val="16"/>
          <w:szCs w:val="16"/>
          <w:color w:val="231F20"/>
          <w:spacing w:val="3"/>
        </w:rPr>
        <w:t>[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J</w:t>
      </w:r>
      <w:r>
        <w:rPr>
          <w:sz w:val="16"/>
          <w:szCs w:val="16"/>
          <w:color w:val="231F20"/>
          <w:spacing w:val="3"/>
        </w:rPr>
        <w:t>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Su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rg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Clin North Am,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2018,98</w:t>
      </w:r>
      <w:r>
        <w:rPr>
          <w:sz w:val="16"/>
          <w:szCs w:val="16"/>
          <w:color w:val="231F20"/>
          <w:spacing w:val="-4"/>
        </w:rPr>
        <w:t>(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5</w:t>
      </w:r>
      <w:r>
        <w:rPr>
          <w:sz w:val="16"/>
          <w:szCs w:val="16"/>
          <w:color w:val="231F20"/>
          <w:spacing w:val="-4"/>
        </w:rPr>
        <w:t>)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1005-1023.</w:t>
      </w:r>
    </w:p>
    <w:p>
      <w:pPr>
        <w:pStyle w:val="BodyText"/>
        <w:ind w:left="344" w:right="71" w:hanging="312"/>
        <w:spacing w:before="141" w:line="28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sz w:val="16"/>
          <w:szCs w:val="16"/>
          <w:color w:val="231F20"/>
          <w:spacing w:val="12"/>
        </w:rPr>
        <w:t>[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8</w:t>
      </w:r>
      <w:r>
        <w:rPr>
          <w:sz w:val="16"/>
          <w:szCs w:val="16"/>
          <w:color w:val="231F20"/>
          <w:spacing w:val="12"/>
        </w:rPr>
        <w:t>]</w:t>
      </w:r>
      <w:r>
        <w:rPr>
          <w:sz w:val="16"/>
          <w:szCs w:val="16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D'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SOUZA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NUGENT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Appendicitis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 </w:t>
      </w:r>
      <w:r>
        <w:rPr>
          <w:sz w:val="16"/>
          <w:szCs w:val="16"/>
          <w:color w:val="231F20"/>
          <w:spacing w:val="12"/>
        </w:rPr>
        <w:t>[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J</w:t>
      </w:r>
      <w:r>
        <w:rPr>
          <w:sz w:val="16"/>
          <w:szCs w:val="16"/>
          <w:color w:val="231F20"/>
          <w:spacing w:val="12"/>
        </w:rPr>
        <w:t>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Fam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Physician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2016,93</w:t>
      </w:r>
      <w:r>
        <w:rPr>
          <w:sz w:val="16"/>
          <w:szCs w:val="16"/>
          <w:color w:val="231F20"/>
          <w:spacing w:val="-4"/>
        </w:rPr>
        <w:t>(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2</w:t>
      </w:r>
      <w:r>
        <w:rPr>
          <w:sz w:val="16"/>
          <w:szCs w:val="16"/>
          <w:color w:val="231F20"/>
          <w:spacing w:val="-4"/>
        </w:rPr>
        <w:t>)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142-143.</w:t>
      </w:r>
    </w:p>
    <w:p>
      <w:pPr>
        <w:pStyle w:val="BodyText"/>
        <w:ind w:left="344" w:right="107" w:hanging="312"/>
        <w:spacing w:before="142" w:line="28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sz w:val="16"/>
          <w:szCs w:val="16"/>
          <w:color w:val="231F20"/>
          <w:spacing w:val="-3"/>
        </w:rPr>
        <w:t>[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9</w:t>
      </w:r>
      <w:r>
        <w:rPr>
          <w:sz w:val="16"/>
          <w:szCs w:val="16"/>
          <w:color w:val="231F20"/>
          <w:spacing w:val="-3"/>
        </w:rPr>
        <w:t>]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-3"/>
        </w:rPr>
        <w:t>俞洁，韩兵．阑尾切除对自身免疫性疾病的影</w:t>
      </w:r>
      <w:r>
        <w:rPr>
          <w:sz w:val="16"/>
          <w:szCs w:val="16"/>
          <w:color w:val="231F20"/>
          <w:spacing w:val="-4"/>
        </w:rPr>
        <w:t>响 [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J</w:t>
      </w:r>
      <w:r>
        <w:rPr>
          <w:sz w:val="16"/>
          <w:szCs w:val="16"/>
          <w:color w:val="231F20"/>
          <w:spacing w:val="-4"/>
        </w:rPr>
        <w:t>]．重庆医学，</w:t>
      </w:r>
      <w:r>
        <w:rPr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2022,51</w:t>
      </w:r>
      <w:r>
        <w:rPr>
          <w:sz w:val="16"/>
          <w:szCs w:val="16"/>
          <w:color w:val="231F20"/>
          <w:spacing w:val="-3"/>
        </w:rPr>
        <w:t>(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15</w:t>
      </w:r>
      <w:r>
        <w:rPr>
          <w:sz w:val="16"/>
          <w:szCs w:val="16"/>
          <w:color w:val="231F20"/>
          <w:spacing w:val="-3"/>
        </w:rPr>
        <w:t>)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: 2668-26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72.</w:t>
      </w:r>
    </w:p>
    <w:p>
      <w:pPr>
        <w:pStyle w:val="BodyText"/>
        <w:ind w:left="397" w:right="69" w:hanging="365"/>
        <w:spacing w:before="141" w:line="32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sz w:val="16"/>
          <w:szCs w:val="16"/>
          <w:color w:val="231F20"/>
          <w:spacing w:val="-4"/>
        </w:rPr>
        <w:t>[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10</w:t>
      </w:r>
      <w:r>
        <w:rPr>
          <w:sz w:val="16"/>
          <w:szCs w:val="16"/>
          <w:color w:val="231F20"/>
          <w:spacing w:val="-4"/>
        </w:rPr>
        <w:t>]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SALMINEN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P,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TUOMINEN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R,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PAAJA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NEN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H,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et al.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Five-year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follow-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up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of antibiotic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therapy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uncomplicated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ac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ute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appendicitis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APPAC randomized clinical trial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-4"/>
        </w:rPr>
        <w:t>[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J</w:t>
      </w:r>
      <w:r>
        <w:rPr>
          <w:sz w:val="16"/>
          <w:szCs w:val="16"/>
          <w:color w:val="231F20"/>
          <w:spacing w:val="-4"/>
        </w:rPr>
        <w:t>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. JAMA, 2018,320</w:t>
      </w:r>
      <w:r>
        <w:rPr>
          <w:sz w:val="16"/>
          <w:szCs w:val="16"/>
          <w:color w:val="231F20"/>
          <w:spacing w:val="-4"/>
        </w:rPr>
        <w:t>(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12</w:t>
      </w:r>
      <w:r>
        <w:rPr>
          <w:sz w:val="16"/>
          <w:szCs w:val="16"/>
          <w:color w:val="231F20"/>
          <w:spacing w:val="-4"/>
        </w:rPr>
        <w:t>)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1259-1265.</w:t>
      </w:r>
    </w:p>
    <w:p>
      <w:pPr>
        <w:pStyle w:val="BodyText"/>
        <w:ind w:left="403" w:right="71" w:hanging="371"/>
        <w:spacing w:before="140" w:line="27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sz w:val="16"/>
          <w:szCs w:val="16"/>
          <w:color w:val="231F20"/>
          <w:spacing w:val="1"/>
        </w:rPr>
        <w:t>[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11</w:t>
      </w:r>
      <w:r>
        <w:rPr>
          <w:sz w:val="16"/>
          <w:szCs w:val="16"/>
          <w:color w:val="231F20"/>
          <w:spacing w:val="1"/>
        </w:rPr>
        <w:t>] 宋硕，张全会，张瑜，等．内镜</w:t>
      </w:r>
      <w:r>
        <w:rPr>
          <w:sz w:val="16"/>
          <w:szCs w:val="16"/>
          <w:color w:val="231F20"/>
        </w:rPr>
        <w:t>下逆行阑尾炎治疗术治疗急性阑 </w:t>
      </w:r>
      <w:r>
        <w:rPr>
          <w:sz w:val="16"/>
          <w:szCs w:val="16"/>
          <w:color w:val="231F20"/>
          <w:spacing w:val="-4"/>
        </w:rPr>
        <w:t>尾炎疗效的</w:t>
      </w:r>
      <w:r>
        <w:rPr>
          <w:sz w:val="16"/>
          <w:szCs w:val="16"/>
          <w:color w:val="231F20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Meta </w:t>
      </w:r>
      <w:r>
        <w:rPr>
          <w:sz w:val="16"/>
          <w:szCs w:val="16"/>
          <w:color w:val="231F20"/>
          <w:spacing w:val="-4"/>
        </w:rPr>
        <w:t>分析 [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J</w:t>
      </w:r>
      <w:r>
        <w:rPr>
          <w:sz w:val="16"/>
          <w:szCs w:val="16"/>
          <w:color w:val="231F20"/>
          <w:spacing w:val="-4"/>
        </w:rPr>
        <w:t>]．中国内镜杂志，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2022,28</w:t>
      </w:r>
      <w:r>
        <w:rPr>
          <w:sz w:val="16"/>
          <w:szCs w:val="16"/>
          <w:color w:val="231F20"/>
          <w:spacing w:val="-4"/>
        </w:rPr>
        <w:t>(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6</w:t>
      </w:r>
      <w:r>
        <w:rPr>
          <w:sz w:val="16"/>
          <w:szCs w:val="16"/>
          <w:color w:val="231F20"/>
          <w:spacing w:val="-4"/>
        </w:rPr>
        <w:t>)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: 59-71.</w:t>
      </w:r>
    </w:p>
    <w:sectPr>
      <w:type w:val="continuous"/>
      <w:pgSz w:w="12246" w:h="16498"/>
      <w:pgMar w:top="1211" w:right="949" w:bottom="0" w:left="424" w:header="783" w:footer="0" w:gutter="0"/>
      <w:cols w:equalWidth="0" w:num="2">
        <w:col w:w="5768" w:space="100"/>
        <w:col w:w="5005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74"/>
      <w:spacing w:before="56" w:line="216" w:lineRule="auto"/>
      <w:rPr>
        <w:rFonts w:ascii="KaiTi" w:hAnsi="KaiTi" w:eastAsia="KaiTi" w:cs="KaiTi"/>
        <w:sz w:val="21"/>
        <w:szCs w:val="21"/>
      </w:rPr>
    </w:pPr>
    <w:r>
      <w:pict>
        <v:shape id="WordPictureWatermark2" style="position:absolute;margin-left:21.2pt;margin-top:794.682pt;mso-position-vertical-relative:page;mso-position-horizontal-relative:page;width:168.95pt;height:12.5pt;z-index:-251658240;" o:allowincell="f" filled="false" stroked="false" type="#_x0000_t75">
          <v:imagedata o:title="" r:id="rId1"/>
        </v:shape>
      </w:pict>
    </w:r>
    <w:r>
      <w:pict>
        <v:shape id="_x0000_s4" style="position:absolute;margin-left:51.0236pt;margin-top:57.5389pt;mso-position-vertical-relative:page;mso-position-horizontal-relative:page;width:510.25pt;height:0.2pt;z-index:251663360;" o:allowincell="f" filled="false" strokecolor="#231F20" strokeweight="0.20pt" coordsize="10205,4" coordorigin="0,0" path="m0,1l10204,1e">
          <v:stroke joinstyle="miter" miterlimit="4"/>
        </v:shape>
      </w:pict>
    </w:r>
    <w:r>
      <w:pict>
        <v:shape id="_x0000_s6" style="position:absolute;margin-left:30.4616pt;margin-top:1.842pt;mso-position-vertical-relative:text;mso-position-horizontal-relative:text;width:45.2pt;height:14.45pt;z-index:2516613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19" w:line="219" w:lineRule="auto"/>
                  <w:rPr>
                    <w:rFonts w:ascii="KaiTi" w:hAnsi="KaiTi" w:eastAsia="KaiTi" w:cs="KaiTi"/>
                    <w:sz w:val="21"/>
                    <w:szCs w:val="21"/>
                  </w:rPr>
                </w:pPr>
                <w:r>
                  <w:rPr>
                    <w:rFonts w:ascii="KaiTi" w:hAnsi="KaiTi" w:eastAsia="KaiTi" w:cs="KaiTi"/>
                    <w:sz w:val="21"/>
                    <w:szCs w:val="21"/>
                    <w:color w:val="231F20"/>
                    <w:spacing w:val="5"/>
                  </w:rPr>
                  <w:t>医药前沿</w:t>
                </w:r>
              </w:p>
            </w:txbxContent>
          </v:textbox>
        </v:shape>
      </w:pict>
    </w:r>
    <w:r>
      <w:pict>
        <v:shape id="_x0000_s8" style="position:absolute;margin-left:81.6176pt;margin-top:1.842pt;mso-position-vertical-relative:text;mso-position-horizontal-relative:text;width:60.3pt;height:14.35pt;z-index:2516592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19" w:line="217" w:lineRule="auto"/>
                  <w:rPr>
                    <w:rFonts w:ascii="KaiTi" w:hAnsi="KaiTi" w:eastAsia="KaiTi" w:cs="KaiTi"/>
                    <w:sz w:val="21"/>
                    <w:szCs w:val="21"/>
                  </w:rPr>
                </w:pPr>
                <w:r>
                  <w:rPr>
                    <w:rFonts w:ascii="KaiTi" w:hAnsi="KaiTi" w:eastAsia="KaiTi" w:cs="KaiTi"/>
                    <w:sz w:val="21"/>
                    <w:szCs w:val="21"/>
                    <w:color w:val="231F20"/>
                    <w:spacing w:val="14"/>
                  </w:rPr>
                  <w:t>2024年11月</w:t>
                </w:r>
              </w:p>
            </w:txbxContent>
          </v:textbox>
        </v:shape>
      </w:pict>
    </w:r>
    <w:r>
      <w:pict>
        <v:shape id="_x0000_s10" style="position:absolute;margin-left:241.407pt;margin-top:1.842pt;mso-position-vertical-relative:text;mso-position-horizontal-relative:text;width:45.95pt;height:14.3pt;z-index:2516602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19" w:line="216" w:lineRule="auto"/>
                  <w:rPr>
                    <w:rFonts w:ascii="KaiTi" w:hAnsi="KaiTi" w:eastAsia="KaiTi" w:cs="KaiTi"/>
                    <w:sz w:val="21"/>
                    <w:szCs w:val="21"/>
                  </w:rPr>
                </w:pPr>
                <w:r>
                  <w:rPr>
                    <w:rFonts w:ascii="KaiTi" w:hAnsi="KaiTi" w:eastAsia="KaiTi" w:cs="KaiTi"/>
                    <w:sz w:val="21"/>
                    <w:szCs w:val="21"/>
                    <w:color w:val="231F20"/>
                    <w:spacing w:val="9"/>
                  </w:rPr>
                  <w:t>临床医学</w:t>
                </w:r>
              </w:p>
            </w:txbxContent>
          </v:textbox>
        </v:shape>
      </w:pict>
    </w:r>
    <w:r>
      <w:pict>
        <v:shape id="_x0000_s12" style="position:absolute;margin-left:509.325pt;margin-top:1.842pt;mso-position-vertical-relative:text;mso-position-horizontal-relative:text;width:31.75pt;height:15.6pt;z-index:2516623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spacing w:before="19" w:line="239" w:lineRule="auto"/>
                  <w:jc w:val="right"/>
                  <w:rPr>
                    <w:rFonts w:ascii="KaiTi" w:hAnsi="KaiTi" w:eastAsia="KaiTi" w:cs="KaiTi"/>
                    <w:sz w:val="21"/>
                    <w:szCs w:val="21"/>
                  </w:rPr>
                </w:pPr>
                <w:r>
                  <w:rPr>
                    <w:rFonts w:ascii="KaiTi" w:hAnsi="KaiTi" w:eastAsia="KaiTi" w:cs="KaiTi"/>
                    <w:sz w:val="21"/>
                    <w:szCs w:val="21"/>
                    <w:color w:val="231F20"/>
                    <w:spacing w:val="-46"/>
                  </w:rPr>
                  <w:t>·</w:t>
                </w:r>
                <w:r>
                  <w:rPr>
                    <w:rFonts w:ascii="KaiTi" w:hAnsi="KaiTi" w:eastAsia="KaiTi" w:cs="KaiTi"/>
                    <w:sz w:val="21"/>
                    <w:szCs w:val="21"/>
                    <w:color w:val="231F20"/>
                    <w:spacing w:val="-68"/>
                  </w:rPr>
                  <w:t xml:space="preserve"> </w:t>
                </w:r>
                <w:r>
                  <w:rPr>
                    <w:rFonts w:ascii="KaiTi" w:hAnsi="KaiTi" w:eastAsia="KaiTi" w:cs="KaiTi"/>
                    <w:sz w:val="21"/>
                    <w:szCs w:val="21"/>
                    <w:color w:val="231F20"/>
                    <w:spacing w:val="-46"/>
                  </w:rPr>
                  <w:t>53</w:t>
                </w:r>
                <w:r>
                  <w:rPr>
                    <w:rFonts w:ascii="KaiTi" w:hAnsi="KaiTi" w:eastAsia="KaiTi" w:cs="KaiTi"/>
                    <w:sz w:val="21"/>
                    <w:szCs w:val="21"/>
                    <w:color w:val="231F20"/>
                    <w:spacing w:val="5"/>
                  </w:rPr>
                  <w:t xml:space="preserve"> </w:t>
                </w:r>
                <w:r>
                  <w:rPr>
                    <w:rFonts w:ascii="KaiTi" w:hAnsi="KaiTi" w:eastAsia="KaiTi" w:cs="KaiTi"/>
                    <w:sz w:val="21"/>
                    <w:szCs w:val="21"/>
                    <w:color w:val="231F20"/>
                    <w:spacing w:val="-46"/>
                  </w:rPr>
                  <w:t>·</w:t>
                </w:r>
              </w:p>
            </w:txbxContent>
          </v:textbox>
        </v:shape>
      </w:pict>
    </w:r>
    <w:r>
      <w:rPr>
        <w:rFonts w:ascii="KaiTi" w:hAnsi="KaiTi" w:eastAsia="KaiTi" w:cs="KaiTi"/>
        <w:sz w:val="21"/>
        <w:szCs w:val="21"/>
        <w:color w:val="231F20"/>
        <w:spacing w:val="14"/>
      </w:rPr>
      <w:t>第14卷第31期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49"/>
      <w:spacing w:before="56" w:line="216" w:lineRule="auto"/>
      <w:rPr>
        <w:rFonts w:ascii="KaiTi" w:hAnsi="KaiTi" w:eastAsia="KaiTi" w:cs="KaiTi"/>
        <w:sz w:val="21"/>
        <w:szCs w:val="21"/>
      </w:rPr>
    </w:pPr>
    <w:r>
      <w:pict>
        <v:shape id="WordPictureWatermark18" style="position:absolute;margin-left:21.2pt;margin-top:794.682pt;mso-position-vertical-relative:page;mso-position-horizontal-relative:page;width:168.95pt;height:12.5pt;z-index:-251652096;" o:allowincell="f" filled="false" stroked="false" type="#_x0000_t75">
          <v:imagedata o:title="" r:id="rId1"/>
        </v:shape>
      </w:pict>
    </w:r>
    <w:r>
      <w:pict>
        <v:shape id="_x0000_s20" style="position:absolute;margin-left:51.0236pt;margin-top:57.5389pt;mso-position-vertical-relative:page;mso-position-horizontal-relative:page;width:510.25pt;height:0.2pt;z-index:251669504;" o:allowincell="f" filled="false" strokecolor="#231F20" strokeweight="0.20pt" coordsize="10205,4" coordorigin="0,0" path="m0,1l10204,1e">
          <v:stroke joinstyle="miter" miterlimit="4"/>
        </v:shape>
      </w:pict>
    </w:r>
    <w:r>
      <w:pict>
        <v:shape id="_x0000_s22" style="position:absolute;margin-left:33.4226pt;margin-top:1.842pt;mso-position-vertical-relative:text;mso-position-horizontal-relative:text;width:31.75pt;height:15.6pt;z-index:25166848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spacing w:before="19" w:line="239" w:lineRule="auto"/>
                  <w:jc w:val="right"/>
                  <w:rPr>
                    <w:rFonts w:ascii="KaiTi" w:hAnsi="KaiTi" w:eastAsia="KaiTi" w:cs="KaiTi"/>
                    <w:sz w:val="21"/>
                    <w:szCs w:val="21"/>
                  </w:rPr>
                </w:pPr>
                <w:r>
                  <w:rPr>
                    <w:rFonts w:ascii="KaiTi" w:hAnsi="KaiTi" w:eastAsia="KaiTi" w:cs="KaiTi"/>
                    <w:sz w:val="21"/>
                    <w:szCs w:val="21"/>
                    <w:color w:val="231F20"/>
                    <w:spacing w:val="-46"/>
                  </w:rPr>
                  <w:t>·</w:t>
                </w:r>
                <w:r>
                  <w:rPr>
                    <w:rFonts w:ascii="KaiTi" w:hAnsi="KaiTi" w:eastAsia="KaiTi" w:cs="KaiTi"/>
                    <w:sz w:val="21"/>
                    <w:szCs w:val="21"/>
                    <w:color w:val="231F20"/>
                    <w:spacing w:val="-68"/>
                  </w:rPr>
                  <w:t xml:space="preserve"> </w:t>
                </w:r>
                <w:r>
                  <w:rPr>
                    <w:rFonts w:ascii="KaiTi" w:hAnsi="KaiTi" w:eastAsia="KaiTi" w:cs="KaiTi"/>
                    <w:sz w:val="21"/>
                    <w:szCs w:val="21"/>
                    <w:color w:val="231F20"/>
                    <w:spacing w:val="-46"/>
                  </w:rPr>
                  <w:t>54</w:t>
                </w:r>
                <w:r>
                  <w:rPr>
                    <w:rFonts w:ascii="KaiTi" w:hAnsi="KaiTi" w:eastAsia="KaiTi" w:cs="KaiTi"/>
                    <w:sz w:val="21"/>
                    <w:szCs w:val="21"/>
                    <w:color w:val="231F20"/>
                    <w:spacing w:val="5"/>
                  </w:rPr>
                  <w:t xml:space="preserve"> </w:t>
                </w:r>
                <w:r>
                  <w:rPr>
                    <w:rFonts w:ascii="KaiTi" w:hAnsi="KaiTi" w:eastAsia="KaiTi" w:cs="KaiTi"/>
                    <w:sz w:val="21"/>
                    <w:szCs w:val="21"/>
                    <w:color w:val="231F20"/>
                    <w:spacing w:val="-46"/>
                  </w:rPr>
                  <w:t>·</w:t>
                </w:r>
              </w:p>
            </w:txbxContent>
          </v:textbox>
        </v:shape>
      </w:pict>
    </w:r>
    <w:r>
      <w:pict>
        <v:shape id="_x0000_s24" style="position:absolute;margin-left:284.184pt;margin-top:1.842pt;mso-position-vertical-relative:text;mso-position-horizontal-relative:text;width:45.2pt;height:14.45pt;z-index:25166745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19" w:line="219" w:lineRule="auto"/>
                  <w:rPr>
                    <w:rFonts w:ascii="KaiTi" w:hAnsi="KaiTi" w:eastAsia="KaiTi" w:cs="KaiTi"/>
                    <w:sz w:val="21"/>
                    <w:szCs w:val="21"/>
                  </w:rPr>
                </w:pPr>
                <w:r>
                  <w:rPr>
                    <w:rFonts w:ascii="KaiTi" w:hAnsi="KaiTi" w:eastAsia="KaiTi" w:cs="KaiTi"/>
                    <w:sz w:val="21"/>
                    <w:szCs w:val="21"/>
                    <w:color w:val="231F20"/>
                    <w:spacing w:val="5"/>
                  </w:rPr>
                  <w:t>医药前沿</w:t>
                </w:r>
              </w:p>
            </w:txbxContent>
          </v:textbox>
        </v:shape>
      </w:pict>
    </w:r>
    <w:r>
      <w:pict>
        <v:shape id="_x0000_s26" style="position:absolute;margin-left:335.34pt;margin-top:1.842pt;mso-position-vertical-relative:text;mso-position-horizontal-relative:text;width:60.3pt;height:14.35pt;z-index:25166540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19" w:line="217" w:lineRule="auto"/>
                  <w:rPr>
                    <w:rFonts w:ascii="KaiTi" w:hAnsi="KaiTi" w:eastAsia="KaiTi" w:cs="KaiTi"/>
                    <w:sz w:val="21"/>
                    <w:szCs w:val="21"/>
                  </w:rPr>
                </w:pPr>
                <w:r>
                  <w:rPr>
                    <w:rFonts w:ascii="KaiTi" w:hAnsi="KaiTi" w:eastAsia="KaiTi" w:cs="KaiTi"/>
                    <w:sz w:val="21"/>
                    <w:szCs w:val="21"/>
                    <w:color w:val="231F20"/>
                    <w:spacing w:val="14"/>
                  </w:rPr>
                  <w:t>2024年11月</w:t>
                </w:r>
              </w:p>
            </w:txbxContent>
          </v:textbox>
        </v:shape>
      </w:pict>
    </w:r>
    <w:r>
      <w:pict>
        <v:shape id="_x0000_s28" style="position:absolute;margin-left:495.129pt;margin-top:1.842pt;mso-position-vertical-relative:text;mso-position-horizontal-relative:text;width:45.95pt;height:14.3pt;z-index:2516664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19" w:line="216" w:lineRule="auto"/>
                  <w:rPr>
                    <w:rFonts w:ascii="KaiTi" w:hAnsi="KaiTi" w:eastAsia="KaiTi" w:cs="KaiTi"/>
                    <w:sz w:val="21"/>
                    <w:szCs w:val="21"/>
                  </w:rPr>
                </w:pPr>
                <w:r>
                  <w:rPr>
                    <w:rFonts w:ascii="KaiTi" w:hAnsi="KaiTi" w:eastAsia="KaiTi" w:cs="KaiTi"/>
                    <w:sz w:val="21"/>
                    <w:szCs w:val="21"/>
                    <w:color w:val="231F20"/>
                    <w:spacing w:val="9"/>
                  </w:rPr>
                  <w:t>临床医学</w:t>
                </w:r>
              </w:p>
            </w:txbxContent>
          </v:textbox>
        </v:shape>
      </w:pict>
    </w:r>
    <w:r>
      <w:rPr>
        <w:rFonts w:ascii="KaiTi" w:hAnsi="KaiTi" w:eastAsia="KaiTi" w:cs="KaiTi"/>
        <w:sz w:val="21"/>
        <w:szCs w:val="21"/>
        <w:color w:val="231F20"/>
        <w:spacing w:val="14"/>
      </w:rPr>
      <w:t>第14卷第31期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74"/>
      <w:spacing w:before="56" w:line="216" w:lineRule="auto"/>
      <w:rPr>
        <w:rFonts w:ascii="KaiTi" w:hAnsi="KaiTi" w:eastAsia="KaiTi" w:cs="KaiTi"/>
        <w:sz w:val="21"/>
        <w:szCs w:val="21"/>
      </w:rPr>
    </w:pPr>
    <w:r>
      <w:pict>
        <v:shape id="WordPictureWatermark36" style="position:absolute;margin-left:21.2pt;margin-top:794.682pt;mso-position-vertical-relative:page;mso-position-horizontal-relative:page;width:168.95pt;height:12.5pt;z-index:-251645952;" o:allowincell="f" filled="false" stroked="false" type="#_x0000_t75">
          <v:imagedata o:title="" r:id="rId1"/>
        </v:shape>
      </w:pict>
    </w:r>
    <w:r>
      <w:pict>
        <v:shape id="_x0000_s38" style="position:absolute;margin-left:51.0236pt;margin-top:57.5389pt;mso-position-vertical-relative:page;mso-position-horizontal-relative:page;width:510.25pt;height:0.2pt;z-index:251675648;" o:allowincell="f" filled="false" strokecolor="#231F20" strokeweight="0.20pt" coordsize="10205,4" coordorigin="0,0" path="m0,1l10204,1e">
          <v:stroke joinstyle="miter" miterlimit="4"/>
        </v:shape>
      </w:pict>
    </w:r>
    <w:r>
      <w:pict>
        <v:shape id="_x0000_s40" style="position:absolute;margin-left:30.4616pt;margin-top:1.842pt;mso-position-vertical-relative:text;mso-position-horizontal-relative:text;width:45.2pt;height:14.45pt;z-index:25167360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19" w:line="219" w:lineRule="auto"/>
                  <w:rPr>
                    <w:rFonts w:ascii="KaiTi" w:hAnsi="KaiTi" w:eastAsia="KaiTi" w:cs="KaiTi"/>
                    <w:sz w:val="21"/>
                    <w:szCs w:val="21"/>
                  </w:rPr>
                </w:pPr>
                <w:r>
                  <w:rPr>
                    <w:rFonts w:ascii="KaiTi" w:hAnsi="KaiTi" w:eastAsia="KaiTi" w:cs="KaiTi"/>
                    <w:sz w:val="21"/>
                    <w:szCs w:val="21"/>
                    <w:color w:val="231F20"/>
                    <w:spacing w:val="5"/>
                  </w:rPr>
                  <w:t>医药前沿</w:t>
                </w:r>
              </w:p>
            </w:txbxContent>
          </v:textbox>
        </v:shape>
      </w:pict>
    </w:r>
    <w:r>
      <w:pict>
        <v:shape id="_x0000_s42" style="position:absolute;margin-left:81.6176pt;margin-top:1.842pt;mso-position-vertical-relative:text;mso-position-horizontal-relative:text;width:60.3pt;height:14.35pt;z-index:25167155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19" w:line="217" w:lineRule="auto"/>
                  <w:rPr>
                    <w:rFonts w:ascii="KaiTi" w:hAnsi="KaiTi" w:eastAsia="KaiTi" w:cs="KaiTi"/>
                    <w:sz w:val="21"/>
                    <w:szCs w:val="21"/>
                  </w:rPr>
                </w:pPr>
                <w:r>
                  <w:rPr>
                    <w:rFonts w:ascii="KaiTi" w:hAnsi="KaiTi" w:eastAsia="KaiTi" w:cs="KaiTi"/>
                    <w:sz w:val="21"/>
                    <w:szCs w:val="21"/>
                    <w:color w:val="231F20"/>
                    <w:spacing w:val="14"/>
                  </w:rPr>
                  <w:t>2024年11月</w:t>
                </w:r>
              </w:p>
            </w:txbxContent>
          </v:textbox>
        </v:shape>
      </w:pict>
    </w:r>
    <w:r>
      <w:pict>
        <v:shape id="_x0000_s44" style="position:absolute;margin-left:241.407pt;margin-top:1.842pt;mso-position-vertical-relative:text;mso-position-horizontal-relative:text;width:45.95pt;height:14.3pt;z-index:25167257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19" w:line="216" w:lineRule="auto"/>
                  <w:rPr>
                    <w:rFonts w:ascii="KaiTi" w:hAnsi="KaiTi" w:eastAsia="KaiTi" w:cs="KaiTi"/>
                    <w:sz w:val="21"/>
                    <w:szCs w:val="21"/>
                  </w:rPr>
                </w:pPr>
                <w:r>
                  <w:rPr>
                    <w:rFonts w:ascii="KaiTi" w:hAnsi="KaiTi" w:eastAsia="KaiTi" w:cs="KaiTi"/>
                    <w:sz w:val="21"/>
                    <w:szCs w:val="21"/>
                    <w:color w:val="231F20"/>
                    <w:spacing w:val="9"/>
                  </w:rPr>
                  <w:t>临床医学</w:t>
                </w:r>
              </w:p>
            </w:txbxContent>
          </v:textbox>
        </v:shape>
      </w:pict>
    </w:r>
    <w:r>
      <w:pict>
        <v:shape id="_x0000_s46" style="position:absolute;margin-left:509.325pt;margin-top:1.842pt;mso-position-vertical-relative:text;mso-position-horizontal-relative:text;width:31.75pt;height:15.6pt;z-index:25167462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spacing w:before="19" w:line="239" w:lineRule="auto"/>
                  <w:jc w:val="right"/>
                  <w:rPr>
                    <w:rFonts w:ascii="KaiTi" w:hAnsi="KaiTi" w:eastAsia="KaiTi" w:cs="KaiTi"/>
                    <w:sz w:val="21"/>
                    <w:szCs w:val="21"/>
                  </w:rPr>
                </w:pPr>
                <w:r>
                  <w:rPr>
                    <w:rFonts w:ascii="KaiTi" w:hAnsi="KaiTi" w:eastAsia="KaiTi" w:cs="KaiTi"/>
                    <w:sz w:val="21"/>
                    <w:szCs w:val="21"/>
                    <w:color w:val="231F20"/>
                    <w:spacing w:val="-46"/>
                  </w:rPr>
                  <w:t>·</w:t>
                </w:r>
                <w:r>
                  <w:rPr>
                    <w:rFonts w:ascii="KaiTi" w:hAnsi="KaiTi" w:eastAsia="KaiTi" w:cs="KaiTi"/>
                    <w:sz w:val="21"/>
                    <w:szCs w:val="21"/>
                    <w:color w:val="231F20"/>
                    <w:spacing w:val="-68"/>
                  </w:rPr>
                  <w:t xml:space="preserve"> </w:t>
                </w:r>
                <w:r>
                  <w:rPr>
                    <w:rFonts w:ascii="KaiTi" w:hAnsi="KaiTi" w:eastAsia="KaiTi" w:cs="KaiTi"/>
                    <w:sz w:val="21"/>
                    <w:szCs w:val="21"/>
                    <w:color w:val="231F20"/>
                    <w:spacing w:val="-46"/>
                  </w:rPr>
                  <w:t>55</w:t>
                </w:r>
                <w:r>
                  <w:rPr>
                    <w:rFonts w:ascii="KaiTi" w:hAnsi="KaiTi" w:eastAsia="KaiTi" w:cs="KaiTi"/>
                    <w:sz w:val="21"/>
                    <w:szCs w:val="21"/>
                    <w:color w:val="231F20"/>
                    <w:spacing w:val="5"/>
                  </w:rPr>
                  <w:t xml:space="preserve"> </w:t>
                </w:r>
                <w:r>
                  <w:rPr>
                    <w:rFonts w:ascii="KaiTi" w:hAnsi="KaiTi" w:eastAsia="KaiTi" w:cs="KaiTi"/>
                    <w:sz w:val="21"/>
                    <w:szCs w:val="21"/>
                    <w:color w:val="231F20"/>
                    <w:spacing w:val="-46"/>
                  </w:rPr>
                  <w:t>·</w:t>
                </w:r>
              </w:p>
            </w:txbxContent>
          </v:textbox>
        </v:shape>
      </w:pict>
    </w:r>
    <w:r>
      <w:rPr>
        <w:rFonts w:ascii="KaiTi" w:hAnsi="KaiTi" w:eastAsia="KaiTi" w:cs="KaiTi"/>
        <w:sz w:val="21"/>
        <w:szCs w:val="21"/>
        <w:color w:val="231F20"/>
        <w:spacing w:val="14"/>
      </w:rPr>
      <w:t>第14卷第31期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0"/>
      <w:szCs w:val="2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tyles" Target="styles.xml"/><Relationship Id="rId8" Type="http://schemas.openxmlformats.org/officeDocument/2006/relationships/settings" Target="settings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image" Target="media/image5.png"/><Relationship Id="rId4" Type="http://schemas.openxmlformats.org/officeDocument/2006/relationships/image" Target="media/image4.png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0" Type="http://schemas.openxmlformats.org/officeDocument/2006/relationships/fontTable" Target="fontTable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2.5.0 Build 4087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2024-12-15T15:55:25Z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2025-10-28T21:32:29</vt:filetime>
  </property>
</Properties>
</file>