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25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高频超声联合低频超声诊断急性阑尾炎的有效性</w:t>
      </w:r>
    </w:p>
    <w:p>
      <w:pPr>
        <w:ind w:left="4314"/>
        <w:spacing w:before="21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及超声征象分析</w:t>
      </w:r>
    </w:p>
    <w:p>
      <w:pPr>
        <w:ind w:left="5009"/>
        <w:spacing w:before="195" w:line="21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王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峥，孙</w:t>
      </w:r>
      <w:r>
        <w:rPr>
          <w:rFonts w:ascii="KaiTi" w:hAnsi="KaiTi" w:eastAsia="KaiTi" w:cs="KaiTi"/>
          <w:sz w:val="20"/>
          <w:szCs w:val="20"/>
          <w:color w:val="231F20"/>
          <w:spacing w:val="6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赞</w:t>
      </w:r>
    </w:p>
    <w:p>
      <w:pPr>
        <w:ind w:left="3298"/>
        <w:spacing w:before="50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（淄博市市级机关医院超声科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淄博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2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55000）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601" w:hanging="7"/>
        <w:spacing w:before="65" w:line="320" w:lineRule="auto"/>
        <w:rPr>
          <w:sz w:val="17"/>
          <w:szCs w:val="17"/>
        </w:rPr>
      </w:pPr>
      <w:r>
        <w:rPr>
          <w:b/>
          <w:bCs/>
          <w:color w:val="231F20"/>
          <w:spacing w:val="-3"/>
        </w:rPr>
        <w:t>【摘要】</w:t>
      </w:r>
      <w:r>
        <w:rPr>
          <w:sz w:val="17"/>
          <w:szCs w:val="17"/>
          <w:b/>
          <w:bCs/>
          <w:color w:val="231F20"/>
          <w:spacing w:val="-3"/>
        </w:rPr>
        <w:t>目的：探究高频超声联合低频超声诊断急性阑</w:t>
      </w:r>
      <w:r>
        <w:rPr>
          <w:sz w:val="17"/>
          <w:szCs w:val="17"/>
          <w:b/>
          <w:bCs/>
          <w:color w:val="231F20"/>
          <w:spacing w:val="-4"/>
        </w:rPr>
        <w:t>尾炎的有效性，分析其超声征象。方法：选择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2021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年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9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月—2024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年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6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月淄博市市</w:t>
      </w:r>
      <w:r>
        <w:rPr>
          <w:sz w:val="17"/>
          <w:szCs w:val="17"/>
          <w:color w:val="231F20"/>
        </w:rPr>
        <w:t xml:space="preserve">   </w:t>
      </w:r>
      <w:r>
        <w:rPr>
          <w:sz w:val="17"/>
          <w:szCs w:val="17"/>
          <w:b/>
          <w:bCs/>
          <w:color w:val="231F20"/>
          <w:spacing w:val="-3"/>
        </w:rPr>
        <w:t>级机关医院超声科收治的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60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例疑似急性阑尾炎患者，均实施高频超声、低频超声诊断，以</w:t>
      </w:r>
      <w:r>
        <w:rPr>
          <w:sz w:val="17"/>
          <w:szCs w:val="17"/>
          <w:b/>
          <w:bCs/>
          <w:color w:val="231F20"/>
          <w:spacing w:val="-4"/>
        </w:rPr>
        <w:t>病理结果为金标准，比较高频超声、低频超声与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高低频超声联合诊断结果（灵敏度、特异度、准确率、阴性预测值、阳性预测值、疾病类型诊断符合率</w:t>
      </w:r>
      <w:r>
        <w:rPr>
          <w:sz w:val="17"/>
          <w:szCs w:val="17"/>
          <w:b/>
          <w:bCs/>
          <w:color w:val="231F20"/>
          <w:spacing w:val="-13"/>
        </w:rPr>
        <w:t>），</w:t>
      </w:r>
      <w:r>
        <w:rPr>
          <w:sz w:val="17"/>
          <w:szCs w:val="17"/>
          <w:b/>
          <w:bCs/>
          <w:color w:val="231F20"/>
          <w:spacing w:val="-5"/>
        </w:rPr>
        <w:t>分析超声征象。结果：60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例疑似</w:t>
      </w:r>
      <w:r>
        <w:rPr>
          <w:sz w:val="17"/>
          <w:szCs w:val="17"/>
          <w:color w:val="231F20"/>
        </w:rPr>
        <w:t xml:space="preserve">   </w:t>
      </w:r>
      <w:r>
        <w:rPr>
          <w:sz w:val="17"/>
          <w:szCs w:val="17"/>
          <w:b/>
          <w:bCs/>
          <w:color w:val="231F20"/>
          <w:spacing w:val="-3"/>
        </w:rPr>
        <w:t>急性阑尾炎患者，病理确诊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54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例；高频超声、低频超声、高低频超声联合诊断的分别准确检出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46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例、</w:t>
      </w:r>
      <w:r>
        <w:rPr>
          <w:sz w:val="17"/>
          <w:szCs w:val="17"/>
          <w:b/>
          <w:bCs/>
          <w:color w:val="231F20"/>
          <w:spacing w:val="-4"/>
        </w:rPr>
        <w:t>42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例、53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例。联合诊断的灵敏度、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6"/>
        </w:rPr>
        <w:t>准确率、阴性预测值均高于高频超声、低频超声单独诊断，差异有统计学意义（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6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4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＜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0.05</w:t>
      </w:r>
      <w:r>
        <w:rPr>
          <w:sz w:val="17"/>
          <w:szCs w:val="17"/>
          <w:b/>
          <w:bCs/>
          <w:color w:val="231F20"/>
          <w:spacing w:val="-22"/>
        </w:rPr>
        <w:t>）；</w:t>
      </w:r>
      <w:r>
        <w:rPr>
          <w:sz w:val="17"/>
          <w:szCs w:val="17"/>
          <w:b/>
          <w:bCs/>
          <w:color w:val="231F20"/>
          <w:spacing w:val="-6"/>
        </w:rPr>
        <w:t>联合诊断的特异</w:t>
      </w:r>
      <w:r>
        <w:rPr>
          <w:sz w:val="17"/>
          <w:szCs w:val="17"/>
          <w:b/>
          <w:bCs/>
          <w:color w:val="231F20"/>
          <w:spacing w:val="-7"/>
        </w:rPr>
        <w:t>度、阳性预测值高于高频超声、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低频超声单独诊断，但差异无统计学意义（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26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0.05）。高频超声、低频超声单一及联合诊断急性单纯性阑尾炎、急性坏疽穿孔性阑尾炎、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急性化脓性阑尾炎、阑尾周围脓肿的符合率比较，差异无统计学意义（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＞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0.05</w:t>
      </w:r>
      <w:r>
        <w:rPr>
          <w:sz w:val="17"/>
          <w:szCs w:val="17"/>
          <w:b/>
          <w:bCs/>
          <w:color w:val="231F20"/>
          <w:spacing w:val="-10"/>
        </w:rPr>
        <w:t>）；</w:t>
      </w:r>
      <w:r>
        <w:rPr>
          <w:sz w:val="17"/>
          <w:szCs w:val="17"/>
          <w:b/>
          <w:bCs/>
          <w:color w:val="231F20"/>
          <w:spacing w:val="-5"/>
        </w:rPr>
        <w:t>但联合诊断各类型的总符合率高于高频超声、低频超声</w:t>
      </w:r>
      <w:r>
        <w:rPr>
          <w:sz w:val="17"/>
          <w:szCs w:val="17"/>
          <w:color w:val="231F20"/>
        </w:rPr>
        <w:t xml:space="preserve">   </w:t>
      </w:r>
      <w:r>
        <w:rPr>
          <w:sz w:val="17"/>
          <w:szCs w:val="17"/>
          <w:b/>
          <w:bCs/>
          <w:color w:val="231F20"/>
          <w:spacing w:val="-5"/>
        </w:rPr>
        <w:t>单独诊断，差异有统计学意义（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26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0.05）。结论：高频与低频超声联合诊断在急性阑尾炎的诊断中效果显著，可取得更高的诊断灵敏度、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准确率，对不同类型急性阑尾炎的诊断符合率更高，还可提高不同超</w:t>
      </w:r>
      <w:r>
        <w:rPr>
          <w:sz w:val="17"/>
          <w:szCs w:val="17"/>
          <w:b/>
          <w:bCs/>
          <w:color w:val="231F20"/>
          <w:spacing w:val="-6"/>
        </w:rPr>
        <w:t>声征象检出率。</w:t>
      </w:r>
    </w:p>
    <w:p>
      <w:pPr>
        <w:pStyle w:val="BodyText"/>
        <w:ind w:left="594"/>
        <w:spacing w:line="220" w:lineRule="auto"/>
        <w:rPr>
          <w:sz w:val="17"/>
          <w:szCs w:val="17"/>
        </w:rPr>
      </w:pPr>
      <w:r>
        <w:rPr>
          <w:color w:val="231F20"/>
          <w:spacing w:val="-3"/>
        </w:rPr>
        <w:t>【关键词】</w:t>
      </w:r>
      <w:r>
        <w:rPr>
          <w:sz w:val="17"/>
          <w:szCs w:val="17"/>
          <w:color w:val="231F20"/>
          <w:spacing w:val="-3"/>
        </w:rPr>
        <w:t>急性阑尾炎；高频超声；低频超声；</w:t>
      </w:r>
      <w:r>
        <w:rPr>
          <w:sz w:val="17"/>
          <w:szCs w:val="17"/>
          <w:color w:val="231F20"/>
          <w:spacing w:val="-4"/>
        </w:rPr>
        <w:t>有效性；超声征象</w:t>
      </w:r>
    </w:p>
    <w:p>
      <w:pPr>
        <w:pStyle w:val="BodyText"/>
        <w:ind w:left="594"/>
        <w:spacing w:before="62" w:line="218" w:lineRule="auto"/>
        <w:rPr>
          <w:sz w:val="17"/>
          <w:szCs w:val="17"/>
        </w:rPr>
      </w:pPr>
      <w:r>
        <w:pict>
          <v:shape id="_x0000_s6" style="position:absolute;margin-left:442.533pt;margin-top:7.06322pt;mso-position-vertical-relative:text;mso-position-horizontal-relative:text;width:3.85pt;height:4pt;z-index:-251658240;" filled="false" strokecolor="#231F20" strokeweight="0.09pt" coordsize="76,80" coordorigin="0,0" path="m28,78l28,74l25,74c23,74,22,74,21,73c20,72,19,71,19,69l19,23c22,18,26,14,31,12c35,9,39,8,43,8c47,8,51,9,53,12c55,15,56,19,56,24l56,69c56,71,56,72,55,73c54,74,52,74,50,74l47,74l47,78l75,78l75,74l71,74c70,74,68,74,67,73c66,72,65,71,65,69l65,26c65,18,64,12,60,8c57,4,51,2,44,2c39,2,35,3,31,6c27,8,23,11,19,16l19,0l18,0c16,2,14,3,12,3c10,3,8,4,6,4l1,4l1,8l6,8c8,8,9,8,9,9c9,9,10,10,10,12l10,69c10,71,9,72,8,73c7,74,6,74,4,74l0,74l0,78l28,78xe">
            <v:stroke joinstyle="miter" miterlimit="4"/>
          </v:shape>
        </w:pict>
      </w:r>
      <w:r>
        <w:rPr>
          <w:color w:val="231F20"/>
          <w:spacing w:val="-2"/>
        </w:rPr>
        <w:t>【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2"/>
        </w:rPr>
        <w:t>中图分类号】</w:t>
      </w:r>
      <w:r>
        <w:rPr>
          <w:sz w:val="17"/>
          <w:szCs w:val="17"/>
          <w:color w:val="231F20"/>
          <w:spacing w:val="-2"/>
        </w:rPr>
        <w:t>R445.1                   </w:t>
      </w:r>
      <w:r>
        <w:rPr>
          <w:color w:val="231F20"/>
          <w:spacing w:val="-2"/>
        </w:rPr>
        <w:t>【文献标识码】</w:t>
      </w:r>
      <w:r>
        <w:rPr>
          <w:sz w:val="17"/>
          <w:szCs w:val="17"/>
          <w:color w:val="231F20"/>
          <w:spacing w:val="-2"/>
        </w:rPr>
        <w:t>A                      DOI:10.20267/j.issn.2096-3807.2025.</w:t>
      </w:r>
      <w:r>
        <w:rPr>
          <w:sz w:val="17"/>
          <w:szCs w:val="17"/>
          <w:color w:val="231F20"/>
          <w:spacing w:val="-3"/>
        </w:rPr>
        <w:t>02.045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headerReference w:type="default" r:id="rId1"/>
          <w:footerReference w:type="default" r:id="rId2"/>
          <w:pgSz w:w="12246" w:h="16498"/>
          <w:pgMar w:top="1207" w:right="960" w:bottom="868" w:left="424" w:header="827" w:footer="526" w:gutter="0"/>
          <w:cols w:equalWidth="0" w:num="1">
            <w:col w:w="10862" w:space="0"/>
          </w:cols>
        </w:sectPr>
        <w:rPr/>
      </w:pPr>
    </w:p>
    <w:p>
      <w:pPr>
        <w:pStyle w:val="BodyText"/>
        <w:ind w:left="603" w:right="190" w:firstLine="403"/>
        <w:spacing w:before="41" w:line="298" w:lineRule="auto"/>
        <w:rPr/>
      </w:pPr>
      <w:r>
        <w:rPr>
          <w:color w:val="231F20"/>
          <w:spacing w:val="-4"/>
        </w:rPr>
        <w:t>急性阑尾炎是外科临床的常见急腹症，主要症状表现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包括腹痛、厌食、恶心、呕吐、乏力、发热等，若未及时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给予有效诊疗干预，随着病情迁延，症状会逐渐加重，且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胃肠功能会不断减退，进而影响机体营养吸收</w:t>
      </w:r>
      <w:r>
        <w:rPr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-6"/>
          <w:position w:val="9"/>
        </w:rPr>
        <w:t>[1-2]</w:t>
      </w:r>
      <w:r>
        <w:rPr>
          <w:color w:val="231F20"/>
          <w:spacing w:val="-6"/>
        </w:rPr>
        <w:t>。目前，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临床用于检查该病的方式较多，常见的手段</w:t>
      </w:r>
      <w:r>
        <w:rPr>
          <w:color w:val="231F20"/>
          <w:spacing w:val="8"/>
        </w:rPr>
        <w:t>包括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超声，不同的检查手段会观察到不同的病理信息，通过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收集整理并分析这些信息便可获得准确的诊断结果</w:t>
      </w:r>
      <w:r>
        <w:rPr>
          <w:color w:val="231F20"/>
          <w:spacing w:val="-51"/>
        </w:rPr>
        <w:t xml:space="preserve"> </w:t>
      </w:r>
      <w:r>
        <w:rPr>
          <w:sz w:val="11"/>
          <w:szCs w:val="11"/>
          <w:color w:val="231F20"/>
          <w:position w:val="9"/>
        </w:rPr>
        <w:t>[3-4]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</w:rPr>
        <w:t>。 </w:t>
      </w:r>
      <w:r>
        <w:rPr>
          <w:color w:val="231F20"/>
          <w:spacing w:val="4"/>
        </w:rPr>
        <w:t>超声诊断是当前最常用的疾病检查手段，高频超声探查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的组织范围相对较小，探查深度也较浅，因此对于具有 </w:t>
      </w:r>
      <w:r>
        <w:rPr>
          <w:color w:val="231F20"/>
          <w:spacing w:val="5"/>
        </w:rPr>
        <w:t>厚脂肪壁的患者，其探查效果往往不够理想。低频超声 </w:t>
      </w:r>
      <w:r>
        <w:rPr>
          <w:color w:val="231F20"/>
          <w:spacing w:val="5"/>
        </w:rPr>
        <w:t>的探查范围更广，可探查深度也更深，且可观察到病灶 </w:t>
      </w:r>
      <w:r>
        <w:rPr>
          <w:color w:val="231F20"/>
          <w:spacing w:val="5"/>
        </w:rPr>
        <w:t>与其周围组织的关系。但高频超声的分辨</w:t>
      </w:r>
      <w:r>
        <w:rPr>
          <w:color w:val="231F20"/>
          <w:spacing w:val="4"/>
        </w:rPr>
        <w:t>率高于低频超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声，故两者联合诊断可以取长补短 </w:t>
      </w:r>
      <w:r>
        <w:rPr>
          <w:sz w:val="11"/>
          <w:szCs w:val="11"/>
          <w:color w:val="231F20"/>
          <w:spacing w:val="4"/>
          <w:position w:val="9"/>
        </w:rPr>
        <w:t>[5-6]</w:t>
      </w:r>
      <w:r>
        <w:rPr>
          <w:sz w:val="11"/>
          <w:szCs w:val="11"/>
          <w:color w:val="231F20"/>
          <w:spacing w:val="-25"/>
          <w:position w:val="9"/>
        </w:rPr>
        <w:t xml:space="preserve"> </w:t>
      </w:r>
      <w:r>
        <w:rPr>
          <w:color w:val="231F20"/>
          <w:spacing w:val="4"/>
        </w:rPr>
        <w:t>。基于</w:t>
      </w:r>
      <w:r>
        <w:rPr>
          <w:color w:val="231F20"/>
          <w:spacing w:val="3"/>
        </w:rPr>
        <w:t>此，本文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选择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2021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9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月—2024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月淄博市市级机关医院超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声科收治的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60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8"/>
        </w:rPr>
        <w:t>例疑似急性阑尾炎患者，旨</w:t>
      </w:r>
      <w:r>
        <w:rPr>
          <w:color w:val="231F20"/>
          <w:spacing w:val="7"/>
        </w:rPr>
        <w:t>在探究高频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超声联合低频超声对诊断急性阑尾炎的价值，现报道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如下。</w:t>
      </w:r>
    </w:p>
    <w:p>
      <w:pPr>
        <w:ind w:left="614"/>
        <w:spacing w:before="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1015"/>
        <w:spacing w:before="84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607" w:right="243" w:firstLine="392"/>
        <w:spacing w:before="82" w:line="281" w:lineRule="auto"/>
        <w:rPr/>
      </w:pPr>
      <w:r>
        <w:rPr>
          <w:color w:val="231F20"/>
          <w:spacing w:val="3"/>
        </w:rPr>
        <w:t>选择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2021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9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月—2024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6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月淄博市市级机关医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院超声科收治的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60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8"/>
        </w:rPr>
        <w:t>例疑似急性阑尾炎的患者，其中男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34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例，女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15"/>
        </w:rPr>
        <w:t>26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-15"/>
        </w:rPr>
        <w:t>例；年龄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5"/>
        </w:rPr>
        <w:t>32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5"/>
        </w:rPr>
        <w:t>～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15"/>
        </w:rPr>
        <w:t>65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5"/>
        </w:rPr>
        <w:t>岁，平均（47.27±5.16）岁；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发病时间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</w:t>
      </w:r>
      <w:r>
        <w:rPr>
          <w:color w:val="231F20"/>
          <w:spacing w:val="-1"/>
        </w:rPr>
        <w:t>，平均（5.13±1</w:t>
      </w:r>
      <w:r>
        <w:rPr>
          <w:color w:val="231F20"/>
          <w:spacing w:val="-2"/>
        </w:rPr>
        <w:t>.01）</w:t>
      </w:r>
      <w:r>
        <w:rPr>
          <w:rFonts w:ascii="Times New Roman" w:hAnsi="Times New Roman" w:eastAsia="Times New Roman" w:cs="Times New Roman"/>
          <w:color w:val="231F20"/>
          <w:spacing w:val="-2"/>
        </w:rPr>
        <w:t>h</w:t>
      </w:r>
      <w:r>
        <w:rPr>
          <w:color w:val="231F20"/>
          <w:spacing w:val="-2"/>
        </w:rPr>
        <w:t>；体质量指数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body mass index, BMI</w:t>
      </w:r>
      <w:r>
        <w:rPr>
          <w:color w:val="231F20"/>
          <w:spacing w:val="-1"/>
        </w:rPr>
        <w:t>）在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2"/>
        </w:rPr>
        <w:t>7.62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26.96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kg</w:t>
      </w:r>
      <w:r>
        <w:rPr>
          <w:color w:val="231F20"/>
          <w:spacing w:val="-2"/>
        </w:rPr>
        <w:t>/</w:t>
      </w:r>
      <w:r>
        <w:rPr>
          <w:rFonts w:ascii="Times New Roman" w:hAnsi="Times New Roman" w:eastAsia="Times New Roman" w:cs="Times New Roman"/>
          <w:color w:val="231F20"/>
          <w:spacing w:val="-2"/>
        </w:rPr>
        <w:t>m</w:t>
      </w:r>
      <w:r>
        <w:rPr>
          <w:sz w:val="11"/>
          <w:szCs w:val="11"/>
          <w:color w:val="231F20"/>
          <w:spacing w:val="-2"/>
          <w:position w:val="9"/>
        </w:rPr>
        <w:t>2</w:t>
      </w:r>
      <w:r>
        <w:rPr>
          <w:color w:val="231F20"/>
          <w:spacing w:val="-2"/>
        </w:rPr>
        <w:t>，平均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（23.14±1.22）</w:t>
      </w:r>
      <w:r>
        <w:rPr>
          <w:rFonts w:ascii="Times New Roman" w:hAnsi="Times New Roman" w:eastAsia="Times New Roman" w:cs="Times New Roman"/>
          <w:color w:val="231F20"/>
          <w:spacing w:val="-1"/>
        </w:rPr>
        <w:t>kg</w:t>
      </w:r>
      <w:r>
        <w:rPr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color w:val="231F20"/>
          <w:spacing w:val="-1"/>
        </w:rPr>
        <w:t>m</w:t>
      </w:r>
      <w:r>
        <w:rPr>
          <w:sz w:val="11"/>
          <w:szCs w:val="11"/>
          <w:color w:val="231F20"/>
          <w:spacing w:val="-1"/>
          <w:position w:val="9"/>
        </w:rPr>
        <w:t>2</w:t>
      </w:r>
      <w:r>
        <w:rPr>
          <w:color w:val="231F20"/>
          <w:spacing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9" w:firstLine="400"/>
        <w:spacing w:before="39" w:line="298" w:lineRule="auto"/>
        <w:jc w:val="both"/>
        <w:rPr/>
      </w:pPr>
      <w:r>
        <w:rPr>
          <w:color w:val="231F20"/>
          <w:spacing w:val="9"/>
        </w:rPr>
        <w:t>纳入标准</w:t>
      </w:r>
      <w:r>
        <w:rPr>
          <w:color w:val="231F20"/>
          <w:spacing w:val="-14"/>
        </w:rPr>
        <w:t>：（</w:t>
      </w:r>
      <w:r>
        <w:rPr>
          <w:color w:val="231F20"/>
          <w:spacing w:val="9"/>
        </w:rPr>
        <w:t>1）患者签署研究同意书</w:t>
      </w:r>
      <w:r>
        <w:rPr>
          <w:color w:val="231F20"/>
          <w:spacing w:val="-14"/>
        </w:rPr>
        <w:t>；（</w:t>
      </w:r>
      <w:r>
        <w:rPr>
          <w:color w:val="231F20"/>
          <w:spacing w:val="9"/>
        </w:rPr>
        <w:t>2）符合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超声检查适应证</w:t>
      </w:r>
      <w:r>
        <w:rPr>
          <w:color w:val="231F20"/>
          <w:spacing w:val="-12"/>
        </w:rPr>
        <w:t>；（</w:t>
      </w:r>
      <w:r>
        <w:rPr>
          <w:color w:val="231F20"/>
          <w:spacing w:val="-2"/>
        </w:rPr>
        <w:t>3）依从性较高，接受随访</w:t>
      </w:r>
      <w:r>
        <w:rPr>
          <w:color w:val="231F20"/>
          <w:spacing w:val="-12"/>
        </w:rPr>
        <w:t>；（</w:t>
      </w:r>
      <w:r>
        <w:rPr>
          <w:color w:val="231F20"/>
          <w:spacing w:val="-2"/>
        </w:rPr>
        <w:t>4）临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床资料完善</w:t>
      </w:r>
      <w:r>
        <w:rPr>
          <w:color w:val="231F20"/>
          <w:spacing w:val="-16"/>
        </w:rPr>
        <w:t>；（</w:t>
      </w:r>
      <w:r>
        <w:rPr>
          <w:color w:val="231F20"/>
          <w:spacing w:val="1"/>
        </w:rPr>
        <w:t>5）近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"/>
        </w:rPr>
        <w:t>周内未服用过可能会影响诊断结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果的药物。排除标准</w:t>
      </w:r>
      <w:r>
        <w:rPr>
          <w:color w:val="231F20"/>
          <w:spacing w:val="-10"/>
        </w:rPr>
        <w:t>：（</w:t>
      </w:r>
      <w:r>
        <w:rPr>
          <w:color w:val="231F20"/>
          <w:spacing w:val="-2"/>
        </w:rPr>
        <w:t>1）急性感染性疾病</w:t>
      </w:r>
      <w:r>
        <w:rPr>
          <w:color w:val="231F20"/>
          <w:spacing w:val="-10"/>
        </w:rPr>
        <w:t>；（</w:t>
      </w:r>
      <w:r>
        <w:rPr>
          <w:color w:val="231F20"/>
          <w:spacing w:val="-2"/>
        </w:rPr>
        <w:t>2）血液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系统与免疫系统异常</w:t>
      </w:r>
      <w:r>
        <w:rPr>
          <w:color w:val="231F20"/>
          <w:spacing w:val="-18"/>
        </w:rPr>
        <w:t>；（</w:t>
      </w:r>
      <w:r>
        <w:rPr>
          <w:color w:val="231F20"/>
          <w:spacing w:val="2"/>
        </w:rPr>
        <w:t>3）合并有肝、肾等重要器官病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变</w:t>
      </w:r>
      <w:r>
        <w:rPr>
          <w:color w:val="231F20"/>
          <w:spacing w:val="-11"/>
        </w:rPr>
        <w:t>；（</w:t>
      </w:r>
      <w:r>
        <w:rPr>
          <w:color w:val="231F20"/>
          <w:spacing w:val="7"/>
        </w:rPr>
        <w:t>4）合并有其他消化系统疾病</w:t>
      </w:r>
      <w:r>
        <w:rPr>
          <w:color w:val="231F20"/>
          <w:spacing w:val="-11"/>
        </w:rPr>
        <w:t>；（</w:t>
      </w:r>
      <w:r>
        <w:rPr>
          <w:color w:val="231F20"/>
          <w:spacing w:val="7"/>
        </w:rPr>
        <w:t>5）中途退出；</w:t>
      </w:r>
    </w:p>
    <w:p>
      <w:pPr>
        <w:pStyle w:val="BodyText"/>
        <w:ind w:left="7"/>
        <w:spacing w:before="1" w:line="218" w:lineRule="auto"/>
        <w:rPr/>
      </w:pPr>
      <w:r>
        <w:rPr>
          <w:color w:val="231F20"/>
          <w:spacing w:val="-6"/>
        </w:rPr>
        <w:t>（6）精神异常等无法自主沟通交流。</w:t>
      </w:r>
    </w:p>
    <w:p>
      <w:pPr>
        <w:pStyle w:val="BodyText"/>
        <w:ind w:left="413"/>
        <w:spacing w:before="86" w:line="221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1" w:right="59" w:firstLine="402"/>
        <w:spacing w:before="85" w:line="298" w:lineRule="auto"/>
        <w:rPr/>
      </w:pPr>
      <w:r>
        <w:rPr>
          <w:color w:val="231F20"/>
          <w:spacing w:val="6"/>
        </w:rPr>
        <w:t>高频超声检查：选择迈瑞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Mindray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DC</w:t>
      </w:r>
      <w:r>
        <w:rPr>
          <w:color w:val="231F20"/>
          <w:spacing w:val="6"/>
        </w:rPr>
        <w:t>-8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EXP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6"/>
        </w:rPr>
        <w:t>型号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的超声系统完成本次超声检查，线阵式模式，探头频率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设置为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7.0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10.5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MHz</w:t>
      </w:r>
      <w:r>
        <w:rPr>
          <w:color w:val="231F20"/>
          <w:spacing w:val="5"/>
        </w:rPr>
        <w:t>，指导患者保持仰卧位状态，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放松身体，而后使用探头对其压痛点进行局部加压（注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意加压力度，避免超出患者的承受范围</w:t>
      </w:r>
      <w:r>
        <w:rPr>
          <w:color w:val="231F20"/>
        </w:rPr>
        <w:t>）</w:t>
      </w:r>
      <w:r>
        <w:rPr>
          <w:color w:val="231F20"/>
          <w:spacing w:val="-51"/>
        </w:rPr>
        <w:t xml:space="preserve"> </w:t>
      </w:r>
      <w:r>
        <w:rPr>
          <w:color w:val="231F20"/>
        </w:rPr>
        <w:t>，</w:t>
      </w:r>
      <w:r>
        <w:rPr>
          <w:color w:val="231F20"/>
          <w:spacing w:val="3"/>
        </w:rPr>
        <w:t>并对</w:t>
      </w:r>
      <w:r>
        <w:rPr>
          <w:color w:val="231F20"/>
          <w:spacing w:val="2"/>
        </w:rPr>
        <w:t>阑尾及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其周围组织进行详细探查，观察其形态、回声、管壁层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次等。</w:t>
      </w:r>
    </w:p>
    <w:p>
      <w:pPr>
        <w:pStyle w:val="BodyText"/>
        <w:ind w:right="60" w:firstLine="397"/>
        <w:spacing w:before="2" w:line="298" w:lineRule="auto"/>
        <w:rPr/>
      </w:pPr>
      <w:r>
        <w:rPr>
          <w:color w:val="231F20"/>
          <w:spacing w:val="5"/>
        </w:rPr>
        <w:t>低频超声检查：选择同样的超声系统进行低频超声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检查，线阵式模式，探头频率设置为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3.5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6.0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MHz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指导患者保持仰卧位状态，放松身体，而后对腹部器官 </w:t>
      </w:r>
      <w:r>
        <w:rPr>
          <w:color w:val="231F20"/>
          <w:spacing w:val="4"/>
        </w:rPr>
        <w:t>进行常规范围性扫查，检查可能导致患者疼痛的其他因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素，排除急性阑尾炎之外的其他病因。之后调转探头方 </w:t>
      </w:r>
      <w:r>
        <w:rPr>
          <w:color w:val="231F20"/>
          <w:spacing w:val="5"/>
        </w:rPr>
        <w:t>向，对患者脐周进行扫查，着重观察疼痛感知最明显位 </w:t>
      </w:r>
      <w:r>
        <w:rPr>
          <w:color w:val="231F20"/>
          <w:spacing w:val="5"/>
        </w:rPr>
        <w:t>置的情况，探头加压力度要根据患者的感知情况而定， </w:t>
      </w:r>
      <w:r>
        <w:rPr>
          <w:color w:val="231F20"/>
          <w:spacing w:val="-4"/>
        </w:rPr>
        <w:t>对阑尾及其周围组织进行详细探查，观察其形态</w:t>
      </w:r>
      <w:r>
        <w:rPr>
          <w:color w:val="231F20"/>
          <w:spacing w:val="-5"/>
        </w:rPr>
        <w:t>、回声、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管壁层次等。</w:t>
      </w:r>
    </w:p>
    <w:p>
      <w:pPr>
        <w:pStyle w:val="BodyText"/>
        <w:ind w:left="403"/>
        <w:spacing w:line="193" w:lineRule="auto"/>
        <w:rPr/>
      </w:pPr>
      <w:r>
        <w:rPr>
          <w:color w:val="231F20"/>
          <w:spacing w:val="5"/>
        </w:rPr>
        <w:t>高低频超声联合检查：低频超声检查结束后，换高</w:t>
      </w:r>
    </w:p>
    <w:p>
      <w:pPr>
        <w:spacing w:line="193" w:lineRule="auto"/>
        <w:sectPr>
          <w:type w:val="continuous"/>
          <w:pgSz w:w="12246" w:h="16498"/>
          <w:pgMar w:top="1207" w:right="960" w:bottom="868" w:left="424" w:header="827" w:footer="526" w:gutter="0"/>
          <w:cols w:equalWidth="0" w:num="2">
            <w:col w:w="5776" w:space="100"/>
            <w:col w:w="4987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footerReference w:type="default" r:id="rId4"/>
          <w:pgSz w:w="12246" w:h="16498"/>
          <w:pgMar w:top="1208" w:right="949" w:bottom="868" w:left="424" w:header="826" w:footer="523" w:gutter="0"/>
          <w:cols w:equalWidth="0" w:num="1">
            <w:col w:w="10873" w:space="0"/>
          </w:cols>
        </w:sectPr>
        <w:rPr/>
      </w:pPr>
    </w:p>
    <w:p>
      <w:pPr>
        <w:pStyle w:val="BodyText"/>
        <w:ind w:left="603" w:right="239" w:firstLine="1"/>
        <w:spacing w:before="41" w:line="298" w:lineRule="auto"/>
        <w:rPr/>
      </w:pPr>
      <w:r>
        <w:rPr>
          <w:color w:val="231F20"/>
          <w:spacing w:val="-3"/>
        </w:rPr>
        <w:t>频探头继续扫查，观察低频与高频超声扫查图像的不</w:t>
      </w:r>
      <w:r>
        <w:rPr>
          <w:color w:val="231F20"/>
          <w:spacing w:val="-4"/>
        </w:rPr>
        <w:t>同，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记录分析阑尾壁增厚、回盲部水肿、右下腹局</w:t>
      </w:r>
      <w:r>
        <w:rPr>
          <w:color w:val="231F20"/>
          <w:spacing w:val="-5"/>
        </w:rPr>
        <w:t>部强回声、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右下腹淋巴结肿大等超声征象。所有经过后</w:t>
      </w:r>
      <w:r>
        <w:rPr>
          <w:color w:val="231F20"/>
          <w:spacing w:val="4"/>
        </w:rPr>
        <w:t>台工作站处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理的图像均由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名及以上具有丰富肛肠疾病读片经验的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影像医师进行共同解读，若出现分歧需反复讨论，必要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情况下可再次扫查，直至检查结果一致。</w:t>
      </w:r>
    </w:p>
    <w:p>
      <w:pPr>
        <w:pStyle w:val="BodyText"/>
        <w:ind w:left="1015"/>
        <w:spacing w:line="219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604" w:right="240" w:firstLine="402"/>
        <w:spacing w:before="86" w:line="298" w:lineRule="auto"/>
        <w:rPr/>
      </w:pPr>
      <w:r>
        <w:rPr>
          <w:color w:val="231F20"/>
        </w:rPr>
        <w:t>（1）以病理结果为金标准，比较高频超声、低频超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声与高低频超声联合诊断结果，包括灵敏度、特异</w:t>
      </w:r>
      <w:r>
        <w:rPr>
          <w:color w:val="231F20"/>
          <w:spacing w:val="3"/>
        </w:rPr>
        <w:t>度、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准确率、阴性预测值、阳性预测值、疾病类型诊断符合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率等。（2）分析高频超声、低频超声单一及联合诊</w:t>
      </w:r>
      <w:r>
        <w:rPr>
          <w:color w:val="231F20"/>
        </w:rPr>
        <w:t>断急 </w:t>
      </w:r>
      <w:r>
        <w:rPr>
          <w:color w:val="231F20"/>
          <w:spacing w:val="5"/>
        </w:rPr>
        <w:t>性单纯性阑尾炎、急性坏疽穿孔性阑尾炎、急性化脓性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阑尾炎、阑尾周围脓肿的符合率。（3）分析超声征象，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包括阑尾壁增厚、回盲部水肿、右下腹局部强回声、右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下腹淋巴结肿大。</w:t>
      </w:r>
    </w:p>
    <w:p>
      <w:pPr>
        <w:pStyle w:val="BodyText"/>
        <w:ind w:left="1015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605" w:right="240" w:firstLine="394"/>
        <w:spacing w:before="84" w:line="296" w:lineRule="auto"/>
        <w:rPr/>
      </w:pPr>
      <w:r>
        <w:rPr>
          <w:color w:val="231F20"/>
        </w:rPr>
        <w:t>采用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25.0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统计软件处理数据</w:t>
      </w:r>
      <w:r>
        <w:rPr>
          <w:color w:val="231F20"/>
          <w:spacing w:val="-1"/>
        </w:rPr>
        <w:t>。计量资料以均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数 ±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x</w:t>
      </w:r>
      <w:r>
        <w:rPr>
          <w:sz w:val="11"/>
          <w:szCs w:val="11"/>
          <w:color w:val="231F20"/>
          <w:spacing w:val="-4"/>
          <w:position w:val="9"/>
        </w:rPr>
        <w:t>-</w:t>
      </w:r>
      <w:r>
        <w:rPr>
          <w:sz w:val="11"/>
          <w:szCs w:val="11"/>
          <w:color w:val="231F20"/>
          <w:spacing w:val="35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s</w:t>
      </w:r>
      <w:r>
        <w:rPr>
          <w:color w:val="231F20"/>
          <w:spacing w:val="-4"/>
        </w:rPr>
        <w:t>）表示，采用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t </w:t>
      </w:r>
      <w:r>
        <w:rPr>
          <w:color w:val="231F20"/>
          <w:spacing w:val="-4"/>
        </w:rPr>
        <w:t>检验；计数资料以频</w:t>
      </w:r>
      <w:r>
        <w:rPr>
          <w:color w:val="231F20"/>
        </w:rPr>
        <w:t xml:space="preserve"> </w:t>
      </w:r>
      <w:r>
        <w:rPr>
          <w:color w:val="231F20"/>
        </w:rPr>
        <w:t>数（</w:t>
      </w:r>
      <w:r>
        <w:rPr>
          <w:rFonts w:ascii="Times New Roman" w:hAnsi="Times New Roman" w:eastAsia="Times New Roman" w:cs="Times New Roman"/>
          <w:i/>
          <w:iCs/>
          <w:color w:val="231F20"/>
        </w:rPr>
        <w:t>n</w:t>
      </w:r>
      <w:r>
        <w:rPr>
          <w:color w:val="231F20"/>
        </w:rPr>
        <w:t>）、百分率（%）表示，采用</w:t>
      </w:r>
      <w:r>
        <w:rPr>
          <w:color w:val="231F20"/>
          <w:spacing w:val="51"/>
        </w:rPr>
        <w:t xml:space="preserve"> </w:t>
      </w:r>
      <w:r>
        <w:rPr>
          <w:i/>
          <w:iCs/>
          <w:color w:val="231F20"/>
        </w:rPr>
        <w:t>χ</w:t>
      </w:r>
      <w:r>
        <w:rPr>
          <w:sz w:val="11"/>
          <w:szCs w:val="11"/>
          <w:color w:val="231F20"/>
          <w:position w:val="9"/>
        </w:rPr>
        <w:t>2 </w:t>
      </w:r>
      <w:r>
        <w:rPr>
          <w:color w:val="231F20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</w:rPr>
        <w:t xml:space="preserve"> </w:t>
      </w:r>
      <w:r>
        <w:rPr>
          <w:color w:val="231F20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0.05 </w:t>
      </w:r>
      <w:r>
        <w:rPr>
          <w:color w:val="231F20"/>
          <w:spacing w:val="-4"/>
        </w:rPr>
        <w:t>为差异有统计学意义。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39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07"/>
        <w:spacing w:before="77" w:line="220" w:lineRule="auto"/>
        <w:rPr/>
      </w:pPr>
      <w:r>
        <w:rPr>
          <w:color w:val="231F20"/>
          <w:spacing w:val="-1"/>
        </w:rPr>
        <w:t>2.1 不同检查方法的诊断结果</w:t>
      </w:r>
    </w:p>
    <w:p>
      <w:pPr>
        <w:pStyle w:val="BodyText"/>
        <w:ind w:left="7" w:right="70" w:firstLine="399"/>
        <w:spacing w:before="84" w:line="259" w:lineRule="auto"/>
        <w:rPr/>
      </w:pPr>
      <w:r>
        <w:rPr>
          <w:color w:val="231F20"/>
          <w:spacing w:val="5"/>
        </w:rPr>
        <w:t>60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例疑似急性阑尾炎患者，病理确诊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54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例；高频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超声、低频超声、高低频超声联合诊断的分别准确检出</w:t>
      </w:r>
    </w:p>
    <w:p>
      <w:pPr>
        <w:pStyle w:val="BodyText"/>
        <w:ind w:left="7"/>
        <w:spacing w:before="85" w:line="220" w:lineRule="auto"/>
        <w:rPr/>
      </w:pPr>
      <w:r>
        <w:rPr>
          <w:color w:val="231F20"/>
          <w:spacing w:val="-3"/>
        </w:rPr>
        <w:t>46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例、42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例、53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例。见表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1。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1374"/>
        <w:spacing w:before="52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不同检查方法的诊断结果</w:t>
      </w:r>
      <w:r>
        <w:rPr>
          <w:rFonts w:ascii="SimHei" w:hAnsi="SimHei" w:eastAsia="SimHei" w:cs="SimHei"/>
          <w:sz w:val="16"/>
          <w:szCs w:val="16"/>
          <w:color w:val="231F20"/>
          <w:spacing w:val="1"/>
        </w:rPr>
        <w:t xml:space="preserve">     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单位：例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4"/>
        <w:gridCol w:w="670"/>
        <w:gridCol w:w="1103"/>
        <w:gridCol w:w="1133"/>
        <w:gridCol w:w="1052"/>
      </w:tblGrid>
      <w:tr>
        <w:trPr>
          <w:trHeight w:val="253" w:hRule="atLeast"/>
        </w:trPr>
        <w:tc>
          <w:tcPr>
            <w:tcW w:w="97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68"/>
              <w:spacing w:before="173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67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78"/>
              <w:spacing w:before="174" w:line="220" w:lineRule="auto"/>
              <w:rPr/>
            </w:pPr>
            <w:r>
              <w:rPr>
                <w:color w:val="231F20"/>
                <w:spacing w:val="-3"/>
              </w:rPr>
              <w:t>性质</w:t>
            </w:r>
          </w:p>
        </w:tc>
        <w:tc>
          <w:tcPr>
            <w:tcW w:w="2236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85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金标准</w:t>
            </w:r>
          </w:p>
        </w:tc>
        <w:tc>
          <w:tcPr>
            <w:tcW w:w="105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53"/>
              <w:spacing w:before="173" w:line="221" w:lineRule="auto"/>
              <w:rPr/>
            </w:pPr>
            <w:r>
              <w:rPr>
                <w:color w:val="231F20"/>
                <w:spacing w:val="-2"/>
              </w:rPr>
              <w:t>合计（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=60）</w:t>
            </w:r>
          </w:p>
        </w:tc>
      </w:tr>
      <w:tr>
        <w:trPr>
          <w:trHeight w:val="245" w:hRule="atLeast"/>
        </w:trPr>
        <w:tc>
          <w:tcPr>
            <w:tcW w:w="97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0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5"/>
              <w:spacing w:before="39" w:line="220" w:lineRule="auto"/>
              <w:rPr/>
            </w:pPr>
            <w:r>
              <w:rPr>
                <w:color w:val="231F20"/>
                <w:spacing w:val="-4"/>
              </w:rPr>
              <w:t>阳性（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color w:val="231F20"/>
                <w:spacing w:val="-4"/>
              </w:rPr>
              <w:t>=54）</w:t>
            </w:r>
          </w:p>
        </w:tc>
        <w:tc>
          <w:tcPr>
            <w:tcW w:w="113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1"/>
              <w:spacing w:before="39" w:line="220" w:lineRule="auto"/>
              <w:rPr/>
            </w:pPr>
            <w:r>
              <w:rPr>
                <w:color w:val="231F20"/>
                <w:spacing w:val="-4"/>
              </w:rPr>
              <w:t>阴性（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color w:val="231F20"/>
                <w:spacing w:val="-4"/>
              </w:rPr>
              <w:t>=6）</w:t>
            </w:r>
          </w:p>
        </w:tc>
        <w:tc>
          <w:tcPr>
            <w:tcW w:w="1052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7" w:hRule="atLeast"/>
        </w:trPr>
        <w:tc>
          <w:tcPr>
            <w:tcW w:w="974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ind w:left="172"/>
              <w:spacing w:before="42" w:line="220" w:lineRule="auto"/>
              <w:rPr/>
            </w:pPr>
            <w:r>
              <w:rPr>
                <w:color w:val="231F20"/>
                <w:spacing w:val="-2"/>
              </w:rPr>
              <w:t>高频超声</w:t>
            </w:r>
          </w:p>
        </w:tc>
        <w:tc>
          <w:tcPr>
            <w:tcW w:w="67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8"/>
              <w:spacing w:before="42" w:line="220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110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92"/>
              <w:spacing w:before="42" w:line="224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113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50"/>
              <w:spacing w:before="42" w:line="224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05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52"/>
              <w:spacing w:before="42" w:line="224" w:lineRule="auto"/>
              <w:rPr/>
            </w:pPr>
            <w:r>
              <w:rPr>
                <w:color w:val="231F20"/>
                <w:spacing w:val="-2"/>
              </w:rPr>
              <w:t>48</w:t>
            </w:r>
          </w:p>
        </w:tc>
      </w:tr>
      <w:tr>
        <w:trPr>
          <w:trHeight w:val="256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0" w:type="dxa"/>
            <w:vAlign w:val="top"/>
          </w:tcPr>
          <w:p>
            <w:pPr>
              <w:pStyle w:val="TableText"/>
              <w:ind w:left="188"/>
              <w:spacing w:before="53" w:line="220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573"/>
              <w:spacing w:before="53" w:line="222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47"/>
              <w:spacing w:before="53" w:line="222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464"/>
              <w:spacing w:before="53" w:line="222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</w:tr>
      <w:tr>
        <w:trPr>
          <w:trHeight w:val="2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7"/>
              <w:spacing w:before="54" w:line="220" w:lineRule="auto"/>
              <w:rPr/>
            </w:pPr>
            <w:r>
              <w:rPr>
                <w:color w:val="231F20"/>
                <w:spacing w:val="-2"/>
              </w:rPr>
              <w:t>低频超声</w:t>
            </w:r>
          </w:p>
        </w:tc>
        <w:tc>
          <w:tcPr>
            <w:tcW w:w="670" w:type="dxa"/>
            <w:vAlign w:val="top"/>
          </w:tcPr>
          <w:p>
            <w:pPr>
              <w:pStyle w:val="TableText"/>
              <w:ind w:left="188"/>
              <w:spacing w:before="54" w:line="220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492"/>
              <w:spacing w:before="54" w:line="220" w:lineRule="auto"/>
              <w:rPr/>
            </w:pPr>
            <w:r>
              <w:rPr>
                <w:color w:val="231F20"/>
                <w:spacing w:val="-2"/>
              </w:rPr>
              <w:t>42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47"/>
              <w:spacing w:before="54" w:line="220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452"/>
              <w:spacing w:before="54" w:line="220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</w:tr>
      <w:tr>
        <w:trPr>
          <w:trHeight w:val="255" w:hRule="atLeast"/>
        </w:trPr>
        <w:tc>
          <w:tcPr>
            <w:tcW w:w="9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0" w:type="dxa"/>
            <w:vAlign w:val="top"/>
          </w:tcPr>
          <w:p>
            <w:pPr>
              <w:pStyle w:val="TableText"/>
              <w:ind w:left="188"/>
              <w:spacing w:before="56" w:line="218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505"/>
              <w:spacing w:before="56" w:line="218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50"/>
              <w:spacing w:before="56" w:line="218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464"/>
              <w:spacing w:before="56" w:line="218" w:lineRule="auto"/>
              <w:rPr/>
            </w:pPr>
            <w:r>
              <w:rPr>
                <w:color w:val="231F20"/>
                <w:spacing w:val="-5"/>
              </w:rPr>
              <w:t>14</w:t>
            </w:r>
          </w:p>
        </w:tc>
      </w:tr>
      <w:tr>
        <w:trPr>
          <w:trHeight w:val="255" w:hRule="atLeast"/>
        </w:trPr>
        <w:tc>
          <w:tcPr>
            <w:tcW w:w="9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8"/>
              <w:spacing w:before="57" w:line="220" w:lineRule="auto"/>
              <w:rPr/>
            </w:pPr>
            <w:r>
              <w:rPr>
                <w:color w:val="231F20"/>
                <w:spacing w:val="-2"/>
              </w:rPr>
              <w:t>联合诊断</w:t>
            </w:r>
          </w:p>
        </w:tc>
        <w:tc>
          <w:tcPr>
            <w:tcW w:w="670" w:type="dxa"/>
            <w:vAlign w:val="top"/>
          </w:tcPr>
          <w:p>
            <w:pPr>
              <w:pStyle w:val="TableText"/>
              <w:ind w:left="188"/>
              <w:spacing w:before="57" w:line="216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496"/>
              <w:spacing w:before="57" w:line="216" w:lineRule="auto"/>
              <w:rPr/>
            </w:pPr>
            <w:r>
              <w:rPr>
                <w:color w:val="231F20"/>
                <w:spacing w:val="-3"/>
              </w:rPr>
              <w:t>53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60"/>
              <w:spacing w:before="57" w:line="21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455"/>
              <w:spacing w:before="57" w:line="216" w:lineRule="auto"/>
              <w:rPr/>
            </w:pPr>
            <w:r>
              <w:rPr>
                <w:color w:val="231F20"/>
                <w:spacing w:val="-3"/>
              </w:rPr>
              <w:t>54</w:t>
            </w:r>
          </w:p>
        </w:tc>
      </w:tr>
      <w:tr>
        <w:trPr>
          <w:trHeight w:val="264" w:hRule="atLeast"/>
        </w:trPr>
        <w:tc>
          <w:tcPr>
            <w:tcW w:w="97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8"/>
              <w:spacing w:before="59" w:line="220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11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85"/>
              <w:spacing w:before="59" w:line="224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1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1"/>
              <w:spacing w:before="59" w:line="224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0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3"/>
              <w:spacing w:before="59" w:line="224" w:lineRule="auto"/>
              <w:rPr/>
            </w:pPr>
            <w:r>
              <w:rPr>
                <w:color w:val="231F20"/>
              </w:rPr>
              <w:t>6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66" w:line="220" w:lineRule="auto"/>
        <w:rPr/>
      </w:pPr>
      <w:r>
        <w:rPr>
          <w:color w:val="231F20"/>
          <w:spacing w:val="-1"/>
        </w:rPr>
        <w:t>2.2 不同检查方法的诊断效能比较</w:t>
      </w:r>
    </w:p>
    <w:p>
      <w:pPr>
        <w:pStyle w:val="BodyText"/>
        <w:ind w:left="13" w:right="81" w:firstLine="392"/>
        <w:spacing w:before="83" w:line="299" w:lineRule="auto"/>
        <w:rPr/>
      </w:pPr>
      <w:r>
        <w:rPr>
          <w:color w:val="231F20"/>
          <w:spacing w:val="15"/>
        </w:rPr>
        <w:t>联合诊断的灵敏度、准确率、阴性预测值均</w:t>
      </w:r>
      <w:r>
        <w:rPr>
          <w:color w:val="231F20"/>
          <w:spacing w:val="14"/>
        </w:rPr>
        <w:t>高于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高频超声、低频超声单独诊断，差异有统计学意义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9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9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9"/>
        </w:rPr>
        <w:t>0.05</w:t>
      </w:r>
      <w:r>
        <w:rPr>
          <w:color w:val="231F20"/>
          <w:spacing w:val="19"/>
        </w:rPr>
        <w:t>）；</w:t>
      </w:r>
      <w:r>
        <w:rPr>
          <w:color w:val="231F20"/>
          <w:spacing w:val="9"/>
        </w:rPr>
        <w:t>联合诊断的特异度、阳性预测值</w:t>
      </w:r>
      <w:r>
        <w:rPr>
          <w:color w:val="231F20"/>
          <w:spacing w:val="8"/>
        </w:rPr>
        <w:t>高于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高频超声、低频超声单独诊断，但差异无统计学意义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0.05）。见表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2。</w:t>
      </w:r>
    </w:p>
    <w:p>
      <w:pPr>
        <w:spacing w:line="299" w:lineRule="auto"/>
        <w:sectPr>
          <w:type w:val="continuous"/>
          <w:pgSz w:w="12246" w:h="16498"/>
          <w:pgMar w:top="1208" w:right="949" w:bottom="868" w:left="424" w:header="826" w:footer="523" w:gutter="0"/>
          <w:cols w:equalWidth="0" w:num="2">
            <w:col w:w="5769" w:space="100"/>
            <w:col w:w="5004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ind w:left="4048"/>
        <w:spacing w:before="53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不同检查方法的诊断效能比较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[%（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>m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）]</w:t>
      </w:r>
    </w:p>
    <w:p>
      <w:pPr>
        <w:spacing w:line="45" w:lineRule="exact"/>
        <w:rPr/>
      </w:pPr>
      <w:r/>
    </w:p>
    <w:tbl>
      <w:tblPr>
        <w:tblStyle w:val="TableNormal"/>
        <w:tblW w:w="10204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8"/>
        <w:gridCol w:w="1909"/>
        <w:gridCol w:w="1530"/>
        <w:gridCol w:w="1869"/>
        <w:gridCol w:w="1663"/>
        <w:gridCol w:w="1655"/>
      </w:tblGrid>
      <w:tr>
        <w:trPr>
          <w:trHeight w:val="252" w:hRule="atLeast"/>
        </w:trPr>
        <w:tc>
          <w:tcPr>
            <w:tcW w:w="157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37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诊断方式</w:t>
            </w:r>
          </w:p>
        </w:tc>
        <w:tc>
          <w:tcPr>
            <w:tcW w:w="19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41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灵敏度</w:t>
            </w:r>
          </w:p>
        </w:tc>
        <w:tc>
          <w:tcPr>
            <w:tcW w:w="153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31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特异度</w:t>
            </w:r>
          </w:p>
        </w:tc>
        <w:tc>
          <w:tcPr>
            <w:tcW w:w="186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03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准确率</w:t>
            </w:r>
          </w:p>
        </w:tc>
        <w:tc>
          <w:tcPr>
            <w:tcW w:w="166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86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阴性预测值</w:t>
            </w:r>
          </w:p>
        </w:tc>
        <w:tc>
          <w:tcPr>
            <w:tcW w:w="16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23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阳性预测值</w:t>
            </w:r>
          </w:p>
        </w:tc>
      </w:tr>
      <w:tr>
        <w:trPr>
          <w:trHeight w:val="233" w:hRule="atLeast"/>
        </w:trPr>
        <w:tc>
          <w:tcPr>
            <w:tcW w:w="157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0"/>
              <w:spacing w:before="40" w:line="211" w:lineRule="auto"/>
              <w:rPr/>
            </w:pPr>
            <w:r>
              <w:rPr>
                <w:color w:val="231F20"/>
                <w:spacing w:val="-2"/>
              </w:rPr>
              <w:t>高频超声</w:t>
            </w:r>
          </w:p>
        </w:tc>
        <w:tc>
          <w:tcPr>
            <w:tcW w:w="19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3"/>
              <w:spacing w:before="20" w:line="234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85.19（46/54）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①</w:t>
            </w:r>
          </w:p>
        </w:tc>
        <w:tc>
          <w:tcPr>
            <w:tcW w:w="153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2"/>
              <w:spacing w:before="40" w:line="211" w:lineRule="auto"/>
              <w:rPr/>
            </w:pPr>
            <w:r>
              <w:rPr>
                <w:color w:val="231F20"/>
                <w:spacing w:val="-2"/>
              </w:rPr>
              <w:t>66.67（4/6）</w:t>
            </w:r>
          </w:p>
        </w:tc>
        <w:tc>
          <w:tcPr>
            <w:tcW w:w="186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75"/>
              <w:spacing w:before="20" w:line="234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83.33（50/60）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①</w:t>
            </w:r>
          </w:p>
        </w:tc>
        <w:tc>
          <w:tcPr>
            <w:tcW w:w="166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0"/>
              <w:spacing w:before="20" w:line="234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33.33（4/12）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①</w:t>
            </w:r>
          </w:p>
        </w:tc>
        <w:tc>
          <w:tcPr>
            <w:tcW w:w="165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2"/>
              <w:spacing w:before="40" w:line="211" w:lineRule="auto"/>
              <w:rPr/>
            </w:pPr>
            <w:r>
              <w:rPr>
                <w:color w:val="231F20"/>
                <w:spacing w:val="-2"/>
              </w:rPr>
              <w:t>95.83（46/48）</w:t>
            </w:r>
          </w:p>
        </w:tc>
      </w:tr>
      <w:tr>
        <w:trPr>
          <w:trHeight w:val="266" w:hRule="atLeast"/>
        </w:trPr>
        <w:tc>
          <w:tcPr>
            <w:tcW w:w="1578" w:type="dxa"/>
            <w:vAlign w:val="top"/>
          </w:tcPr>
          <w:p>
            <w:pPr>
              <w:pStyle w:val="TableText"/>
              <w:ind w:left="535"/>
              <w:spacing w:before="64" w:line="220" w:lineRule="auto"/>
              <w:rPr/>
            </w:pPr>
            <w:r>
              <w:rPr>
                <w:color w:val="231F20"/>
                <w:spacing w:val="-2"/>
              </w:rPr>
              <w:t>低频超声</w:t>
            </w:r>
          </w:p>
        </w:tc>
        <w:tc>
          <w:tcPr>
            <w:tcW w:w="1909" w:type="dxa"/>
            <w:vAlign w:val="top"/>
          </w:tcPr>
          <w:p>
            <w:pPr>
              <w:pStyle w:val="TableText"/>
              <w:ind w:left="416"/>
              <w:spacing w:before="43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77.78（42/54）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①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294"/>
              <w:spacing w:before="63" w:line="222" w:lineRule="auto"/>
              <w:rPr/>
            </w:pPr>
            <w:r>
              <w:rPr>
                <w:color w:val="231F20"/>
                <w:spacing w:val="-2"/>
              </w:rPr>
              <w:t>33.33（2/6）</w:t>
            </w:r>
          </w:p>
        </w:tc>
        <w:tc>
          <w:tcPr>
            <w:tcW w:w="1869" w:type="dxa"/>
            <w:vAlign w:val="top"/>
          </w:tcPr>
          <w:p>
            <w:pPr>
              <w:pStyle w:val="TableText"/>
              <w:ind w:left="379"/>
              <w:spacing w:before="43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73.33（44/60）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①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298"/>
              <w:spacing w:before="43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14.29（2/14）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①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252"/>
              <w:spacing w:before="63" w:line="222" w:lineRule="auto"/>
              <w:rPr/>
            </w:pPr>
            <w:r>
              <w:rPr>
                <w:color w:val="231F20"/>
                <w:spacing w:val="-2"/>
              </w:rPr>
              <w:t>91.30（42/46）</w:t>
            </w:r>
          </w:p>
        </w:tc>
      </w:tr>
      <w:tr>
        <w:trPr>
          <w:trHeight w:val="251" w:hRule="atLeast"/>
        </w:trPr>
        <w:tc>
          <w:tcPr>
            <w:tcW w:w="1578" w:type="dxa"/>
            <w:vAlign w:val="top"/>
          </w:tcPr>
          <w:p>
            <w:pPr>
              <w:pStyle w:val="TableText"/>
              <w:ind w:left="537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联合诊断</w:t>
            </w:r>
          </w:p>
        </w:tc>
        <w:tc>
          <w:tcPr>
            <w:tcW w:w="1909" w:type="dxa"/>
            <w:vAlign w:val="top"/>
          </w:tcPr>
          <w:p>
            <w:pPr>
              <w:pStyle w:val="TableText"/>
              <w:ind w:left="420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98.15（53/54）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291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83.33（5/6）</w:t>
            </w:r>
          </w:p>
        </w:tc>
        <w:tc>
          <w:tcPr>
            <w:tcW w:w="1869" w:type="dxa"/>
            <w:vAlign w:val="top"/>
          </w:tcPr>
          <w:p>
            <w:pPr>
              <w:pStyle w:val="TableText"/>
              <w:ind w:left="382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96.67（58/60）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294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83.33（5/6）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252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98.15（53/54）</w:t>
            </w:r>
          </w:p>
        </w:tc>
      </w:tr>
      <w:tr>
        <w:trPr>
          <w:trHeight w:val="261" w:hRule="atLeast"/>
        </w:trPr>
        <w:tc>
          <w:tcPr>
            <w:tcW w:w="1578" w:type="dxa"/>
            <w:vAlign w:val="top"/>
          </w:tcPr>
          <w:p>
            <w:pPr>
              <w:pStyle w:val="TableText"/>
              <w:ind w:left="790"/>
              <w:spacing w:before="40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1909" w:type="dxa"/>
            <w:vAlign w:val="top"/>
          </w:tcPr>
          <w:p>
            <w:pPr>
              <w:pStyle w:val="TableText"/>
              <w:ind w:left="751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10.176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574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3.273</w:t>
            </w:r>
          </w:p>
        </w:tc>
        <w:tc>
          <w:tcPr>
            <w:tcW w:w="1869" w:type="dxa"/>
            <w:vAlign w:val="top"/>
          </w:tcPr>
          <w:p>
            <w:pPr>
              <w:pStyle w:val="TableText"/>
              <w:ind w:left="713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12.519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574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8.886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613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2.632</w:t>
            </w:r>
          </w:p>
        </w:tc>
      </w:tr>
      <w:tr>
        <w:trPr>
          <w:trHeight w:val="261" w:hRule="atLeast"/>
        </w:trPr>
        <w:tc>
          <w:tcPr>
            <w:tcW w:w="1578" w:type="dxa"/>
            <w:vAlign w:val="top"/>
            <w:tcBorders>
              <w:bottom w:val="single" w:color="231F20" w:sz="4" w:space="0"/>
            </w:tcBorders>
          </w:tcPr>
          <w:p>
            <w:pPr>
              <w:ind w:left="799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9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20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0.006</w:t>
            </w:r>
          </w:p>
        </w:tc>
        <w:tc>
          <w:tcPr>
            <w:tcW w:w="15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2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0.195</w:t>
            </w:r>
          </w:p>
        </w:tc>
        <w:tc>
          <w:tcPr>
            <w:tcW w:w="18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3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0.002</w:t>
            </w:r>
          </w:p>
        </w:tc>
        <w:tc>
          <w:tcPr>
            <w:tcW w:w="16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5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0.012</w:t>
            </w:r>
          </w:p>
        </w:tc>
        <w:tc>
          <w:tcPr>
            <w:tcW w:w="16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2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0.268</w:t>
            </w:r>
          </w:p>
        </w:tc>
      </w:tr>
    </w:tbl>
    <w:p>
      <w:pPr>
        <w:spacing w:line="37" w:lineRule="exact"/>
        <w:rPr>
          <w:rFonts w:ascii="Arial"/>
          <w:sz w:val="3"/>
        </w:rPr>
      </w:pPr>
      <w:r/>
    </w:p>
    <w:p>
      <w:pPr>
        <w:spacing w:line="37" w:lineRule="exact"/>
        <w:sectPr>
          <w:type w:val="continuous"/>
          <w:pgSz w:w="12246" w:h="16498"/>
          <w:pgMar w:top="1208" w:right="949" w:bottom="868" w:left="424" w:header="826" w:footer="523" w:gutter="0"/>
          <w:cols w:equalWidth="0" w:num="1">
            <w:col w:w="10873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942"/>
        <w:spacing w:before="40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注：①与联合诊断比较，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5"/>
        </w:rPr>
        <w:t>＜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5"/>
        </w:rPr>
        <w:t>0.05。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626" w:right="247" w:firstLine="377"/>
        <w:spacing w:before="66" w:line="298" w:lineRule="auto"/>
        <w:rPr/>
      </w:pPr>
      <w:r>
        <w:rPr>
          <w:color w:val="231F20"/>
          <w:spacing w:val="11"/>
        </w:rPr>
        <w:t>2.3</w:t>
      </w:r>
      <w:r>
        <w:rPr>
          <w:color w:val="231F20"/>
          <w:spacing w:val="81"/>
        </w:rPr>
        <w:t xml:space="preserve"> </w:t>
      </w:r>
      <w:r>
        <w:rPr>
          <w:color w:val="231F20"/>
          <w:spacing w:val="11"/>
        </w:rPr>
        <w:t>不同检查方法诊断急性阑尾炎类型的符合率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比较</w:t>
      </w:r>
    </w:p>
    <w:p>
      <w:pPr>
        <w:pStyle w:val="BodyText"/>
        <w:ind w:left="620" w:right="248" w:firstLine="385"/>
        <w:spacing w:line="298" w:lineRule="auto"/>
        <w:rPr/>
      </w:pPr>
      <w:r>
        <w:rPr>
          <w:color w:val="231F20"/>
          <w:spacing w:val="15"/>
        </w:rPr>
        <w:t>高频超声、低频超声单一及联合诊断急性单纯性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2"/>
        </w:rPr>
        <w:t>阑尾炎、急性坏疽创孔性阑尾炎、急性化脓性阑尾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firstLine="4"/>
        <w:spacing w:before="66" w:line="298" w:lineRule="auto"/>
        <w:jc w:val="both"/>
        <w:rPr/>
      </w:pPr>
      <w:r>
        <w:rPr>
          <w:color w:val="231F20"/>
          <w:spacing w:val="13"/>
        </w:rPr>
        <w:t>炎、阑尾周围脓肿的符合率比较，差异无统计学意义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color w:val="231F20"/>
          <w:spacing w:val="2"/>
        </w:rPr>
        <w:t>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0.05</w:t>
      </w:r>
      <w:r>
        <w:rPr>
          <w:color w:val="231F20"/>
          <w:spacing w:val="8"/>
        </w:rPr>
        <w:t>）；</w:t>
      </w:r>
      <w:r>
        <w:rPr>
          <w:color w:val="231F20"/>
          <w:spacing w:val="2"/>
        </w:rPr>
        <w:t>但联合诊断各类型的总符合率高于高频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超声、低频超声单独诊断，差异有统计学意义（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13"/>
        </w:rPr>
        <w:t>P </w:t>
      </w:r>
      <w:r>
        <w:rPr>
          <w:color w:val="231F20"/>
          <w:spacing w:val="-13"/>
        </w:rPr>
        <w:t>＜0.05）。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见表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6"/>
        </w:rPr>
        <w:t>3。</w:t>
      </w:r>
    </w:p>
    <w:p>
      <w:pPr>
        <w:spacing w:line="298" w:lineRule="auto"/>
        <w:sectPr>
          <w:type w:val="continuous"/>
          <w:pgSz w:w="12246" w:h="16498"/>
          <w:pgMar w:top="1208" w:right="949" w:bottom="868" w:left="424" w:header="826" w:footer="523" w:gutter="0"/>
          <w:cols w:equalWidth="0" w:num="2">
            <w:col w:w="5776" w:space="100"/>
            <w:col w:w="4997" w:space="0"/>
          </w:cols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left="3515"/>
        <w:spacing w:before="52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不同检查方法诊断急性阑尾炎类型的符合率比较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（%）]</w:t>
      </w:r>
    </w:p>
    <w:p>
      <w:pPr>
        <w:spacing w:line="46" w:lineRule="exact"/>
        <w:rPr/>
      </w:pPr>
      <w:r/>
    </w:p>
    <w:tbl>
      <w:tblPr>
        <w:tblStyle w:val="TableNormal"/>
        <w:tblW w:w="10199" w:type="dxa"/>
        <w:tblInd w:w="5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5"/>
        <w:gridCol w:w="1932"/>
        <w:gridCol w:w="2288"/>
        <w:gridCol w:w="1921"/>
        <w:gridCol w:w="1636"/>
        <w:gridCol w:w="1497"/>
      </w:tblGrid>
      <w:tr>
        <w:trPr>
          <w:trHeight w:val="252" w:hRule="atLeast"/>
        </w:trPr>
        <w:tc>
          <w:tcPr>
            <w:tcW w:w="92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6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诊断方式</w:t>
            </w:r>
          </w:p>
        </w:tc>
        <w:tc>
          <w:tcPr>
            <w:tcW w:w="19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5" w:line="220" w:lineRule="auto"/>
              <w:jc w:val="right"/>
              <w:rPr/>
            </w:pPr>
            <w:r>
              <w:rPr>
                <w:color w:val="231F20"/>
                <w:spacing w:val="-8"/>
              </w:rPr>
              <w:t>急性单纯性阑尾炎（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=25）</w:t>
            </w:r>
          </w:p>
        </w:tc>
        <w:tc>
          <w:tcPr>
            <w:tcW w:w="228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5" w:line="220" w:lineRule="auto"/>
              <w:jc w:val="right"/>
              <w:rPr/>
            </w:pPr>
            <w:r>
              <w:rPr>
                <w:color w:val="231F20"/>
                <w:spacing w:val="-2"/>
              </w:rPr>
              <w:t>急性坏疽穿孔性阑尾炎（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=13）</w:t>
            </w:r>
          </w:p>
        </w:tc>
        <w:tc>
          <w:tcPr>
            <w:tcW w:w="192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45" w:line="220" w:lineRule="auto"/>
              <w:jc w:val="right"/>
              <w:rPr/>
            </w:pPr>
            <w:r>
              <w:rPr>
                <w:color w:val="231F20"/>
                <w:spacing w:val="-7"/>
              </w:rPr>
              <w:t>急性化脓性阑尾炎（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=11）</w:t>
            </w:r>
          </w:p>
        </w:tc>
        <w:tc>
          <w:tcPr>
            <w:tcW w:w="163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8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阑尾周围脓肿（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=5）</w:t>
            </w:r>
          </w:p>
        </w:tc>
        <w:tc>
          <w:tcPr>
            <w:tcW w:w="149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8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总符合率（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=54）</w:t>
            </w:r>
          </w:p>
        </w:tc>
      </w:tr>
      <w:tr>
        <w:trPr>
          <w:trHeight w:val="233" w:hRule="atLeast"/>
        </w:trPr>
        <w:tc>
          <w:tcPr>
            <w:tcW w:w="92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9"/>
              <w:spacing w:before="40" w:line="211" w:lineRule="auto"/>
              <w:rPr/>
            </w:pPr>
            <w:r>
              <w:rPr>
                <w:color w:val="231F20"/>
                <w:spacing w:val="-2"/>
              </w:rPr>
              <w:t>高频超声</w:t>
            </w:r>
          </w:p>
        </w:tc>
        <w:tc>
          <w:tcPr>
            <w:tcW w:w="193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1"/>
              <w:spacing w:before="40" w:line="211" w:lineRule="auto"/>
              <w:rPr/>
            </w:pPr>
            <w:r>
              <w:rPr>
                <w:color w:val="231F20"/>
                <w:spacing w:val="-2"/>
              </w:rPr>
              <w:t>23（92.00）</w:t>
            </w:r>
          </w:p>
        </w:tc>
        <w:tc>
          <w:tcPr>
            <w:tcW w:w="228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62"/>
              <w:spacing w:before="40" w:line="211" w:lineRule="auto"/>
              <w:rPr/>
            </w:pPr>
            <w:r>
              <w:rPr>
                <w:color w:val="231F20"/>
                <w:spacing w:val="-3"/>
              </w:rPr>
              <w:t>12（92.21）</w:t>
            </w:r>
          </w:p>
        </w:tc>
        <w:tc>
          <w:tcPr>
            <w:tcW w:w="192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9"/>
              <w:spacing w:before="40" w:line="211" w:lineRule="auto"/>
              <w:rPr/>
            </w:pPr>
            <w:r>
              <w:rPr>
                <w:color w:val="231F20"/>
                <w:spacing w:val="-1"/>
              </w:rPr>
              <w:t>8（72.73）</w:t>
            </w:r>
          </w:p>
        </w:tc>
        <w:tc>
          <w:tcPr>
            <w:tcW w:w="163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48"/>
              <w:spacing w:before="40" w:line="211" w:lineRule="auto"/>
              <w:rPr/>
            </w:pPr>
            <w:r>
              <w:rPr>
                <w:color w:val="231F20"/>
                <w:spacing w:val="-2"/>
              </w:rPr>
              <w:t>3（60.00）</w:t>
            </w:r>
          </w:p>
        </w:tc>
        <w:tc>
          <w:tcPr>
            <w:tcW w:w="14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7"/>
              <w:spacing w:before="20" w:line="234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46（85.19）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①</w:t>
            </w:r>
          </w:p>
        </w:tc>
      </w:tr>
      <w:tr>
        <w:trPr>
          <w:trHeight w:val="266" w:hRule="atLeast"/>
        </w:trPr>
        <w:tc>
          <w:tcPr>
            <w:tcW w:w="925" w:type="dxa"/>
            <w:vAlign w:val="top"/>
          </w:tcPr>
          <w:p>
            <w:pPr>
              <w:pStyle w:val="TableText"/>
              <w:ind w:left="184"/>
              <w:spacing w:before="64" w:line="220" w:lineRule="auto"/>
              <w:rPr/>
            </w:pPr>
            <w:r>
              <w:rPr>
                <w:color w:val="231F20"/>
                <w:spacing w:val="-2"/>
              </w:rPr>
              <w:t>低频超声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591"/>
              <w:spacing w:before="63" w:line="222" w:lineRule="auto"/>
              <w:rPr/>
            </w:pPr>
            <w:r>
              <w:rPr>
                <w:color w:val="231F20"/>
                <w:spacing w:val="-2"/>
              </w:rPr>
              <w:t>21（84.00）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ind w:left="762"/>
              <w:spacing w:before="63" w:line="222" w:lineRule="auto"/>
              <w:rPr/>
            </w:pPr>
            <w:r>
              <w:rPr>
                <w:color w:val="231F20"/>
                <w:spacing w:val="-3"/>
              </w:rPr>
              <w:t>10（76.92）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599"/>
              <w:spacing w:before="63" w:line="222" w:lineRule="auto"/>
              <w:rPr/>
            </w:pPr>
            <w:r>
              <w:rPr>
                <w:color w:val="231F20"/>
                <w:spacing w:val="-2"/>
              </w:rPr>
              <w:t>9（81.82）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446"/>
              <w:spacing w:before="63" w:line="222" w:lineRule="auto"/>
              <w:rPr/>
            </w:pPr>
            <w:r>
              <w:rPr>
                <w:color w:val="231F20"/>
                <w:spacing w:val="-2"/>
              </w:rPr>
              <w:t>2（40.00）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317"/>
              <w:spacing w:before="43" w:line="213" w:lineRule="exact"/>
              <w:rPr>
                <w:sz w:val="9"/>
                <w:szCs w:val="9"/>
              </w:rPr>
            </w:pPr>
            <w:r>
              <w:rPr>
                <w:color w:val="231F20"/>
                <w:spacing w:val="-1"/>
                <w:position w:val="-1"/>
              </w:rPr>
              <w:t>42（77.78）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①</w:t>
            </w:r>
          </w:p>
        </w:tc>
      </w:tr>
      <w:tr>
        <w:trPr>
          <w:trHeight w:val="251" w:hRule="atLeast"/>
        </w:trPr>
        <w:tc>
          <w:tcPr>
            <w:tcW w:w="925" w:type="dxa"/>
            <w:vAlign w:val="top"/>
          </w:tcPr>
          <w:p>
            <w:pPr>
              <w:pStyle w:val="TableText"/>
              <w:ind w:left="185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联合诊断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591"/>
              <w:spacing w:before="54" w:line="215" w:lineRule="auto"/>
              <w:rPr/>
            </w:pPr>
            <w:r>
              <w:rPr>
                <w:color w:val="231F20"/>
                <w:spacing w:val="-1"/>
              </w:rPr>
              <w:t>25（100.00）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ind w:left="762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13（100.00）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530"/>
              <w:spacing w:before="54" w:line="215" w:lineRule="auto"/>
              <w:rPr/>
            </w:pPr>
            <w:r>
              <w:rPr>
                <w:color w:val="231F20"/>
                <w:spacing w:val="-2"/>
              </w:rPr>
              <w:t>11（100.00）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444"/>
              <w:spacing w:before="54" w:line="215" w:lineRule="auto"/>
              <w:rPr/>
            </w:pPr>
            <w:r>
              <w:rPr>
                <w:color w:val="231F20"/>
                <w:spacing w:val="-1"/>
              </w:rPr>
              <w:t>4（80.00）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327"/>
              <w:spacing w:before="54" w:line="215" w:lineRule="auto"/>
              <w:rPr/>
            </w:pPr>
            <w:r>
              <w:rPr>
                <w:color w:val="231F20"/>
                <w:spacing w:val="-1"/>
              </w:rPr>
              <w:t>53（98.15）</w:t>
            </w:r>
          </w:p>
        </w:tc>
      </w:tr>
      <w:tr>
        <w:trPr>
          <w:trHeight w:val="261" w:hRule="atLeast"/>
        </w:trPr>
        <w:tc>
          <w:tcPr>
            <w:tcW w:w="925" w:type="dxa"/>
            <w:vAlign w:val="top"/>
          </w:tcPr>
          <w:p>
            <w:pPr>
              <w:pStyle w:val="TableText"/>
              <w:ind w:left="439"/>
              <w:spacing w:before="40" w:line="211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828"/>
              <w:spacing w:before="60" w:line="220" w:lineRule="auto"/>
              <w:rPr/>
            </w:pPr>
            <w:r>
              <w:rPr>
                <w:color w:val="231F20"/>
                <w:spacing w:val="-1"/>
              </w:rPr>
              <w:t>4.348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ind w:left="994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3.900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801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3.300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656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1.667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536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10.176</w:t>
            </w:r>
          </w:p>
        </w:tc>
      </w:tr>
      <w:tr>
        <w:trPr>
          <w:trHeight w:val="261" w:hRule="atLeast"/>
        </w:trPr>
        <w:tc>
          <w:tcPr>
            <w:tcW w:w="925" w:type="dxa"/>
            <w:vAlign w:val="top"/>
            <w:tcBorders>
              <w:bottom w:val="single" w:color="231F20" w:sz="4" w:space="0"/>
            </w:tcBorders>
          </w:tcPr>
          <w:p>
            <w:pPr>
              <w:ind w:left="448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9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30"/>
              <w:spacing w:before="56" w:line="225" w:lineRule="auto"/>
              <w:rPr/>
            </w:pPr>
            <w:r>
              <w:rPr>
                <w:color w:val="231F20"/>
                <w:spacing w:val="-2"/>
              </w:rPr>
              <w:t>0.114</w:t>
            </w:r>
          </w:p>
        </w:tc>
        <w:tc>
          <w:tcPr>
            <w:tcW w:w="22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92"/>
              <w:spacing w:before="56" w:line="225" w:lineRule="auto"/>
              <w:rPr/>
            </w:pPr>
            <w:r>
              <w:rPr>
                <w:color w:val="231F20"/>
                <w:spacing w:val="-2"/>
              </w:rPr>
              <w:t>0.142</w:t>
            </w:r>
          </w:p>
        </w:tc>
        <w:tc>
          <w:tcPr>
            <w:tcW w:w="19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99"/>
              <w:spacing w:before="56" w:line="225" w:lineRule="auto"/>
              <w:rPr/>
            </w:pPr>
            <w:r>
              <w:rPr>
                <w:color w:val="231F20"/>
                <w:spacing w:val="-2"/>
              </w:rPr>
              <w:t>0.192</w:t>
            </w:r>
          </w:p>
        </w:tc>
        <w:tc>
          <w:tcPr>
            <w:tcW w:w="16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6"/>
              <w:spacing w:before="56" w:line="225" w:lineRule="auto"/>
              <w:rPr/>
            </w:pPr>
            <w:r>
              <w:rPr>
                <w:color w:val="231F20"/>
                <w:spacing w:val="-2"/>
              </w:rPr>
              <w:t>0.435</w:t>
            </w:r>
          </w:p>
        </w:tc>
        <w:tc>
          <w:tcPr>
            <w:tcW w:w="14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5"/>
              <w:spacing w:before="56" w:line="225" w:lineRule="auto"/>
              <w:rPr/>
            </w:pPr>
            <w:r>
              <w:rPr>
                <w:color w:val="231F20"/>
                <w:spacing w:val="-2"/>
              </w:rPr>
              <w:t>0.006</w:t>
            </w:r>
          </w:p>
        </w:tc>
      </w:tr>
    </w:tbl>
    <w:p>
      <w:pPr>
        <w:spacing w:line="36" w:lineRule="exact"/>
        <w:rPr>
          <w:rFonts w:ascii="Arial"/>
          <w:sz w:val="3"/>
        </w:rPr>
      </w:pPr>
      <w:r/>
    </w:p>
    <w:p>
      <w:pPr>
        <w:spacing w:line="36" w:lineRule="exact"/>
        <w:sectPr>
          <w:type w:val="continuous"/>
          <w:pgSz w:w="12246" w:h="16498"/>
          <w:pgMar w:top="1208" w:right="949" w:bottom="868" w:left="424" w:header="826" w:footer="523" w:gutter="0"/>
          <w:cols w:equalWidth="0" w:num="1">
            <w:col w:w="10873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942"/>
        <w:spacing w:before="41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注：①与联合诊断比较，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5"/>
        </w:rPr>
        <w:t>＜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5"/>
        </w:rPr>
        <w:t>0.05。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604"/>
        <w:spacing w:before="65" w:line="22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1007"/>
        <w:spacing w:before="81" w:line="185" w:lineRule="auto"/>
        <w:rPr/>
      </w:pPr>
      <w:r>
        <w:rPr>
          <w:color w:val="231F20"/>
          <w:spacing w:val="4"/>
        </w:rPr>
        <w:t>急性阑尾炎发病急、快，致病因素多，大多认为与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right="81" w:firstLine="6"/>
        <w:spacing w:before="66" w:line="241" w:lineRule="auto"/>
        <w:rPr/>
      </w:pPr>
      <w:r>
        <w:rPr>
          <w:color w:val="231F20"/>
          <w:spacing w:val="4"/>
        </w:rPr>
        <w:t>阑尾管腔阻塞、细菌入侵、阑尾先天畸形、胃肠道功能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障碍等密切相关。此外，饮食不洁、免疫力下降、长期</w:t>
      </w:r>
    </w:p>
    <w:p>
      <w:pPr>
        <w:spacing w:line="241" w:lineRule="auto"/>
        <w:sectPr>
          <w:type w:val="continuous"/>
          <w:pgSz w:w="12246" w:h="16498"/>
          <w:pgMar w:top="1208" w:right="949" w:bottom="868" w:left="424" w:header="826" w:footer="523" w:gutter="0"/>
          <w:cols w:equalWidth="0" w:num="2">
            <w:col w:w="5787" w:space="100"/>
            <w:col w:w="4986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5"/>
          <w:footerReference w:type="default" r:id="rId6"/>
          <w:pgSz w:w="12246" w:h="16498"/>
          <w:pgMar w:top="1207" w:right="970" w:bottom="868" w:left="424" w:header="827" w:footer="523" w:gutter="0"/>
          <w:cols w:equalWidth="0" w:num="1">
            <w:col w:w="10851" w:space="0"/>
          </w:cols>
        </w:sectPr>
        <w:rPr/>
      </w:pPr>
    </w:p>
    <w:p>
      <w:pPr>
        <w:pStyle w:val="BodyText"/>
        <w:ind w:left="606" w:right="247" w:hanging="1"/>
        <w:spacing w:before="44" w:line="306" w:lineRule="auto"/>
        <w:jc w:val="both"/>
        <w:rPr/>
      </w:pPr>
      <w:r>
        <w:rPr>
          <w:color w:val="231F20"/>
          <w:spacing w:val="3"/>
        </w:rPr>
        <w:t>便秘或排便不规律等也可能成为诱因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[7]</w:t>
      </w:r>
      <w:r>
        <w:rPr>
          <w:color w:val="231F20"/>
          <w:spacing w:val="3"/>
        </w:rPr>
        <w:t>。现如今</w:t>
      </w:r>
      <w:r>
        <w:rPr>
          <w:color w:val="231F20"/>
          <w:spacing w:val="2"/>
        </w:rPr>
        <w:t>，社会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工作与学习压力日渐增大，不良生活习惯导致急性阑尾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炎的发病率逐年增高。</w:t>
      </w:r>
    </w:p>
    <w:p>
      <w:pPr>
        <w:pStyle w:val="BodyText"/>
        <w:ind w:left="603" w:right="167" w:firstLine="396"/>
        <w:spacing w:before="5" w:line="298" w:lineRule="auto"/>
        <w:rPr/>
      </w:pPr>
      <w:r>
        <w:rPr>
          <w:color w:val="231F20"/>
          <w:spacing w:val="5"/>
        </w:rPr>
        <w:t>超声检查是当前临床用于检查急性阑尾炎最常用的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手段之一，高、低频超声可获得不同的诊断结果 </w:t>
      </w:r>
      <w:r>
        <w:rPr>
          <w:sz w:val="11"/>
          <w:szCs w:val="11"/>
          <w:color w:val="231F20"/>
          <w:spacing w:val="5"/>
          <w:position w:val="9"/>
        </w:rPr>
        <w:t>[8-9]</w:t>
      </w:r>
      <w:r>
        <w:rPr>
          <w:sz w:val="11"/>
          <w:szCs w:val="11"/>
          <w:color w:val="231F20"/>
          <w:spacing w:val="-19"/>
          <w:position w:val="9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本研究结果显示，联合诊断的灵敏度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98.15%、特异度</w:t>
      </w:r>
      <w:r>
        <w:rPr>
          <w:color w:val="231F20"/>
        </w:rPr>
        <w:t xml:space="preserve">  </w:t>
      </w:r>
      <w:r>
        <w:rPr>
          <w:color w:val="231F20"/>
        </w:rPr>
        <w:t>83.33%、准确率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96.67%、阴性预测值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83.33%、阳性预测 </w:t>
      </w:r>
      <w:r>
        <w:rPr>
          <w:color w:val="231F20"/>
          <w:spacing w:val="-7"/>
        </w:rPr>
        <w:t>值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7"/>
        </w:rPr>
        <w:t>98.15%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7"/>
        </w:rPr>
        <w:t>均高于高频超声、低频超声诊断， </w:t>
      </w:r>
      <w:r>
        <w:rPr>
          <w:color w:val="231F20"/>
          <w:spacing w:val="-8"/>
        </w:rPr>
        <w:t>其中灵敏度、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准确率、阴性预测值比较，差异有统计学意义（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1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 xml:space="preserve"> </w:t>
      </w:r>
      <w:r>
        <w:rPr>
          <w:color w:val="231F20"/>
          <w:spacing w:val="-12"/>
        </w:rPr>
        <w:t>＜0.05</w:t>
      </w:r>
      <w:r>
        <w:rPr>
          <w:color w:val="231F20"/>
          <w:spacing w:val="-40"/>
        </w:rPr>
        <w:t>），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与尹木兰等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[10] </w:t>
      </w:r>
      <w:r>
        <w:rPr>
          <w:color w:val="231F20"/>
          <w:spacing w:val="-1"/>
        </w:rPr>
        <w:t>研究结果基本一致，这提示高频与低频超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声联合诊断可在急性阑尾炎的诊断中获得高于单纯高频 </w:t>
      </w:r>
      <w:r>
        <w:rPr>
          <w:color w:val="231F20"/>
          <w:spacing w:val="5"/>
        </w:rPr>
        <w:t>或低频的诊断效能。原因分析，高频与低频超声在检查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中各具特色，低频扫查的穿透力更强，在超声图像中可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显示出更为清晰完整的阑尾组织病变情况，对于深处病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灶的探查效果良好，但诊断位置较浅或病变</w:t>
      </w:r>
      <w:r>
        <w:rPr>
          <w:color w:val="231F20"/>
          <w:spacing w:val="4"/>
        </w:rPr>
        <w:t>轻微的阑尾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炎患者的检出结果往往不够理想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[11]</w:t>
      </w:r>
      <w:r>
        <w:rPr>
          <w:color w:val="231F20"/>
          <w:spacing w:val="1"/>
        </w:rPr>
        <w:t>。高频探查的范围虽</w:t>
      </w:r>
      <w:r>
        <w:rPr>
          <w:color w:val="231F20"/>
        </w:rPr>
        <w:t xml:space="preserve"> </w:t>
      </w:r>
      <w:r>
        <w:rPr>
          <w:color w:val="231F20"/>
        </w:rPr>
        <w:t>较小，但其分辨率更高，可获得更多相关病理信息 </w:t>
      </w:r>
      <w:r>
        <w:rPr>
          <w:sz w:val="11"/>
          <w:szCs w:val="11"/>
          <w:color w:val="231F20"/>
          <w:position w:val="9"/>
        </w:rPr>
        <w:t>[12]</w:t>
      </w:r>
      <w:r>
        <w:rPr>
          <w:sz w:val="11"/>
          <w:szCs w:val="11"/>
          <w:color w:val="231F20"/>
          <w:spacing w:val="-24"/>
          <w:position w:val="9"/>
        </w:rPr>
        <w:t xml:space="preserve"> </w:t>
      </w:r>
      <w:r>
        <w:rPr>
          <w:color w:val="231F20"/>
        </w:rPr>
        <w:t>。 </w:t>
      </w:r>
      <w:r>
        <w:rPr>
          <w:color w:val="231F20"/>
          <w:spacing w:val="5"/>
        </w:rPr>
        <w:t>两者联合诊断可以互相补足缺陷，继而获得</w:t>
      </w:r>
      <w:r>
        <w:rPr>
          <w:color w:val="231F20"/>
          <w:spacing w:val="4"/>
        </w:rPr>
        <w:t>更高的诊断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符合率。本研究结果还显示，高频超声、低频超声单一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及联合诊断急性单纯性阑尾炎、急性坏疽穿孔</w:t>
      </w:r>
      <w:r>
        <w:rPr>
          <w:color w:val="231F20"/>
          <w:spacing w:val="-5"/>
        </w:rPr>
        <w:t>性阑尾炎、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急性化脓性阑尾炎、阑尾周围脓肿的符合率比较，差异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</w:rPr>
        <w:t xml:space="preserve"> </w:t>
      </w:r>
      <w:r>
        <w:rPr>
          <w:color w:val="231F20"/>
          <w:spacing w:val="1"/>
        </w:rPr>
        <w:t>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0.05</w:t>
      </w:r>
      <w:r>
        <w:rPr>
          <w:color w:val="231F20"/>
          <w:spacing w:val="16"/>
        </w:rPr>
        <w:t>）；</w:t>
      </w:r>
      <w:r>
        <w:rPr>
          <w:color w:val="231F20"/>
          <w:spacing w:val="1"/>
        </w:rPr>
        <w:t>但联合诊断各类型的总符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合率高于高频超声、低频超声单独诊断（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</w:rPr>
        <w:t xml:space="preserve"> </w:t>
      </w:r>
      <w:r>
        <w:rPr>
          <w:color w:val="231F20"/>
          <w:spacing w:val="3"/>
        </w:rPr>
        <w:t>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0.05），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与许慧君等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[13] </w:t>
      </w:r>
      <w:r>
        <w:rPr>
          <w:color w:val="231F20"/>
          <w:spacing w:val="-1"/>
        </w:rPr>
        <w:t>研究结果类似，这提示高频与低频超声联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合诊断可更好地分辨急性阑尾炎的患病类型，</w:t>
      </w:r>
      <w:r>
        <w:rPr>
          <w:color w:val="231F20"/>
          <w:spacing w:val="4"/>
        </w:rPr>
        <w:t>诊断价值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较高。这是因为高频与低频超声在联合诊断</w:t>
      </w:r>
      <w:r>
        <w:rPr>
          <w:color w:val="231F20"/>
          <w:spacing w:val="4"/>
        </w:rPr>
        <w:t>的情况下可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以进一步扩大扫查范围，可详细探查阑尾组织近、远端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的结构，不同类型的病变体现出不同的超声征象，例如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急性单纯性阑尾炎表现为强回声、轻度肿胀、血流信号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丰富等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[14-15]</w:t>
      </w:r>
      <w:r>
        <w:rPr>
          <w:sz w:val="11"/>
          <w:szCs w:val="11"/>
          <w:color w:val="231F20"/>
          <w:spacing w:val="-28"/>
          <w:position w:val="8"/>
        </w:rPr>
        <w:t xml:space="preserve"> </w:t>
      </w:r>
      <w:r>
        <w:rPr>
          <w:color w:val="231F20"/>
          <w:spacing w:val="1"/>
        </w:rPr>
        <w:t>。高频与低频超声联合诊</w:t>
      </w:r>
      <w:r>
        <w:rPr>
          <w:color w:val="231F20"/>
        </w:rPr>
        <w:t>断能够获得更准确  </w:t>
      </w:r>
      <w:r>
        <w:rPr>
          <w:color w:val="231F20"/>
          <w:spacing w:val="-3"/>
        </w:rPr>
        <w:t>的超声征象，是因为高频与低频扫查因其探头频率不同，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获得的病理信息也有所差异，高频在穿透力与探查范围  </w:t>
      </w:r>
      <w:r>
        <w:rPr>
          <w:color w:val="231F20"/>
          <w:spacing w:val="5"/>
        </w:rPr>
        <w:t>方面相对弱势，但在探查中不易受到肠腔中气体干扰，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可观察到的内部组织结构及回声方面的信息更为可靠，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结合低频超声高穿透力与广范围的扫查结果，</w:t>
      </w:r>
      <w:r>
        <w:rPr>
          <w:color w:val="231F20"/>
          <w:spacing w:val="4"/>
        </w:rPr>
        <w:t>能够囊括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组织近端、远端的全部病理信息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[16]</w:t>
      </w:r>
      <w:r>
        <w:rPr>
          <w:color w:val="231F20"/>
          <w:spacing w:val="-1"/>
        </w:rPr>
        <w:t>。</w:t>
      </w:r>
    </w:p>
    <w:p>
      <w:pPr>
        <w:pStyle w:val="BodyText"/>
        <w:ind w:left="620" w:right="250" w:firstLine="382"/>
        <w:spacing w:line="241" w:lineRule="auto"/>
        <w:rPr/>
      </w:pPr>
      <w:r>
        <w:rPr>
          <w:color w:val="231F20"/>
          <w:spacing w:val="5"/>
        </w:rPr>
        <w:t>综上所述，高频与低频超声联合诊断在急性阑尾炎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的诊断中效果显著，可取得更高的诊断灵敏度、准确率，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" w:right="60" w:hanging="20"/>
        <w:spacing w:before="69" w:line="300" w:lineRule="auto"/>
        <w:rPr/>
      </w:pPr>
      <w:r>
        <w:rPr>
          <w:color w:val="231F20"/>
          <w:spacing w:val="4"/>
        </w:rPr>
        <w:t>对不同类型急性阑尾炎的诊断符合率更高，还可提高不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同超声征象检出率。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41"/>
        <w:spacing w:before="83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尹克宁，卓凡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单孔腹腔镜手术治疗急性阑尾炎的临床疗效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</w:p>
    <w:p>
      <w:pPr>
        <w:ind w:left="344"/>
        <w:spacing w:before="139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腹腔镜外科杂志，2018，23(2):109-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112.</w:t>
      </w:r>
    </w:p>
    <w:p>
      <w:pPr>
        <w:ind w:left="354" w:right="49" w:hanging="313"/>
        <w:spacing w:before="139" w:line="31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苏洲，姚寒晖，夏猛，等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腹腔镜和开腹手术治疗急性阑尾</w:t>
      </w:r>
      <w:r>
        <w:rPr>
          <w:rFonts w:ascii="KaiTi" w:hAnsi="KaiTi" w:eastAsia="KaiTi" w:cs="KaiTi"/>
          <w:sz w:val="16"/>
          <w:szCs w:val="16"/>
          <w:color w:val="231F20"/>
        </w:rPr>
        <w:t>炎的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临床疗效和安全性分析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中华全科医学，2017，15(7):1</w:t>
      </w:r>
      <w:r>
        <w:rPr>
          <w:rFonts w:ascii="KaiTi" w:hAnsi="KaiTi" w:eastAsia="KaiTi" w:cs="KaiTi"/>
          <w:sz w:val="16"/>
          <w:szCs w:val="16"/>
          <w:color w:val="231F20"/>
        </w:rPr>
        <w:t>150-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1152，1165.</w:t>
      </w:r>
    </w:p>
    <w:p>
      <w:pPr>
        <w:ind w:left="341" w:right="49" w:hanging="300"/>
        <w:spacing w:before="139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钱国旗，徐启中，杨彬，等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多排螺旋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对急性阑尾炎的诊断价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中国临床保健杂志，2017，20(4):414-416.</w:t>
      </w:r>
    </w:p>
    <w:p>
      <w:pPr>
        <w:ind w:left="343" w:right="56" w:hanging="302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姚志伟，黄桂芬，陈镨婷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高频、低频彩色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多普勒超声检查与血浆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PCT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对阑尾炎的诊断价值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海南医学，2022，33(6):76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9-772.</w:t>
      </w:r>
    </w:p>
    <w:p>
      <w:pPr>
        <w:ind w:left="344" w:right="48" w:hanging="303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霍兰茹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彩色多普勒超声在急性阑尾炎诊断中的价值分析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现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代诊断与治疗，2023，34(18):2803-2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805.</w:t>
      </w:r>
    </w:p>
    <w:p>
      <w:pPr>
        <w:pStyle w:val="BodyText"/>
        <w:ind w:left="343" w:right="49" w:hanging="302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55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陈</w:t>
      </w:r>
      <w:r>
        <w:rPr>
          <w:sz w:val="16"/>
          <w:szCs w:val="16"/>
          <w:color w:val="231F20"/>
          <w:spacing w:val="-5"/>
        </w:rPr>
        <w:t>堃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，杨爱萍，王小艳，等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高频彩色多普勒超声在阑尾炎的诊断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山西医药杂志，2019，48(24):3038-3040.</w:t>
      </w:r>
    </w:p>
    <w:p>
      <w:pPr>
        <w:ind w:left="41"/>
        <w:spacing w:before="139" w:line="2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5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薛光荣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老年急性阑尾炎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60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例的病因诊断及其临床治疗分析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</w:p>
    <w:p>
      <w:pPr>
        <w:ind w:left="364"/>
        <w:spacing w:before="135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中国社区医师，2017，33(22):86，88.</w:t>
      </w:r>
    </w:p>
    <w:p>
      <w:pPr>
        <w:ind w:left="341" w:right="48" w:hanging="300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徐姗姗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高频超声联合低频超声检查在急性阑尾炎诊断中的应用价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医疗装备，2019，32(13):28-2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9.</w:t>
      </w:r>
    </w:p>
    <w:p>
      <w:pPr>
        <w:ind w:left="341" w:right="48" w:hanging="300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张立平，邢建华，汤代军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急性阑尾炎的超声诊断特征与病理对照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研究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重庆医学，2018，47(2):262-264.</w:t>
      </w:r>
    </w:p>
    <w:p>
      <w:pPr>
        <w:ind w:left="406" w:right="48" w:hanging="365"/>
        <w:spacing w:before="139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尹木兰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高频超声联合低频超声检查在诊断急性阑尾炎中的临床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意义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基层医学论坛，2022，26(3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1):119-121.</w:t>
      </w:r>
    </w:p>
    <w:p>
      <w:pPr>
        <w:ind w:left="422" w:right="49" w:hanging="381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9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梁珍，周婷.联用高、低频超声检查诊断急性阑尾炎的效果分析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医学信息，2018，31(S2):247-248.</w:t>
      </w:r>
    </w:p>
    <w:p>
      <w:pPr>
        <w:ind w:left="414" w:right="51" w:hanging="373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汪婧，江峰，刘表虎，等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高频与低频超声联合应用对急性阑尾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炎的诊断价值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临床医学，2017，37(3):18-19.</w:t>
      </w:r>
    </w:p>
    <w:p>
      <w:pPr>
        <w:ind w:left="399" w:right="50" w:hanging="358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许慧君，王光霞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高频超声对不同病理类型急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性阑尾炎及并发症的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诊断价值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中国中西医结合外科杂志，2019，25(2):145-150.</w:t>
      </w:r>
    </w:p>
    <w:p>
      <w:pPr>
        <w:ind w:left="421" w:right="49" w:hanging="380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刘爽.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高频超声联合低频超声在急性阑尾炎诊断中的应用价值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中国民康医学，2018，30(7):59-60.</w:t>
      </w:r>
    </w:p>
    <w:p>
      <w:pPr>
        <w:ind w:left="403" w:right="80" w:hanging="362"/>
        <w:spacing w:before="139" w:line="31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[15]</w:t>
      </w:r>
      <w:r>
        <w:rPr>
          <w:rFonts w:ascii="KaiTi" w:hAnsi="KaiTi" w:eastAsia="KaiTi" w:cs="KaiTi"/>
          <w:sz w:val="16"/>
          <w:szCs w:val="16"/>
          <w:color w:val="231F20"/>
          <w:spacing w:val="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陈文君，王亚萍，张佩雯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急诊成人急性阑尾炎患者腹部超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声、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平扫影像学特征及其诊断效果对比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杂志，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2022，20(10):126-127.</w:t>
      </w:r>
    </w:p>
    <w:p>
      <w:pPr>
        <w:ind w:left="412" w:right="50" w:hanging="371"/>
        <w:spacing w:before="140" w:line="29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[16]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梁晓霞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超声直接征象联合间接征象对阑尾炎的诊断价值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山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西医药杂志，2018，47(11):1272-1273.</w:t>
      </w:r>
    </w:p>
    <w:sectPr>
      <w:type w:val="continuous"/>
      <w:pgSz w:w="12246" w:h="16498"/>
      <w:pgMar w:top="1207" w:right="970" w:bottom="868" w:left="424" w:header="827" w:footer="523" w:gutter="0"/>
      <w:cols w:equalWidth="0" w:num="2">
        <w:col w:w="5768" w:space="100"/>
        <w:col w:w="4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429"/>
      <w:spacing w:line="335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335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1.2pt;margin-top:794.68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1.0236pt;margin-top:57.2844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2025年1月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第9卷第2期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8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8" style="position:absolute;margin-left:21.2pt;margin-top:794.682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48.189pt;margin-top:57.2844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2025年1月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第9卷第2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2" style="position:absolute;margin-left:21.2pt;margin-top:794.682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51.0236pt;margin-top:57.2844pt;mso-position-vertical-relative:page;mso-position-horizontal-relative:page;width:512.75pt;height:0.75pt;z-index:251663360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2025年1月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第9卷第2期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2025-03-10T13:04:52Z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2025-10-28T21:32:34</vt:filetime>
  </property>
</Properties>
</file>