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35"/>
        <w:spacing w:before="209" w:line="221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1"/>
        </w:rPr>
        <w:t>经阴道彩色多普勒超声对宫外孕破裂与卵巢黄体破裂的</w:t>
      </w:r>
    </w:p>
    <w:p>
      <w:pPr>
        <w:ind w:left="4927"/>
        <w:spacing w:before="20" w:line="222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3"/>
        </w:rPr>
        <w:t>鉴别价值</w:t>
      </w:r>
    </w:p>
    <w:p>
      <w:pPr>
        <w:ind w:left="5417"/>
        <w:spacing w:before="184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"/>
        </w:rPr>
        <w:t>赵阁艳</w:t>
      </w:r>
    </w:p>
    <w:p>
      <w:pPr>
        <w:ind w:left="3414"/>
        <w:spacing w:before="42" w:line="21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</w:rPr>
        <w:t>（黔西南州人民医院超声科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</w:rPr>
        <w:t>贵州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</w:rPr>
        <w:t>兴义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</w:rPr>
        <w:t>562400）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618" w:right="2" w:hanging="8"/>
        <w:spacing w:before="65" w:line="319" w:lineRule="auto"/>
        <w:jc w:val="both"/>
        <w:rPr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2781884</wp:posOffset>
            </wp:positionH>
            <wp:positionV relativeFrom="paragraph">
              <wp:posOffset>235075</wp:posOffset>
            </wp:positionV>
            <wp:extent cx="2811767" cy="10101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1767" cy="10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4460494</wp:posOffset>
            </wp:positionH>
            <wp:positionV relativeFrom="paragraph">
              <wp:posOffset>616075</wp:posOffset>
            </wp:positionV>
            <wp:extent cx="101015" cy="10101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015" cy="10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4384488</wp:posOffset>
            </wp:positionH>
            <wp:positionV relativeFrom="paragraph">
              <wp:posOffset>844780</wp:posOffset>
            </wp:positionV>
            <wp:extent cx="228126" cy="5005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126" cy="5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31F20"/>
          <w:spacing w:val="-3"/>
        </w:rPr>
        <w:t>【摘要】</w:t>
      </w:r>
      <w:r>
        <w:rPr>
          <w:sz w:val="17"/>
          <w:szCs w:val="17"/>
          <w:b/>
          <w:bCs/>
          <w:color w:val="231F20"/>
          <w:spacing w:val="-3"/>
        </w:rPr>
        <w:t>目的：探讨卵巢黄体破裂、宫外孕破裂</w:t>
      </w:r>
      <w:r>
        <w:rPr>
          <w:sz w:val="17"/>
          <w:szCs w:val="17"/>
          <w:b/>
          <w:bCs/>
          <w:color w:val="231F20"/>
          <w:spacing w:val="-4"/>
        </w:rPr>
        <w:t>应用经阴道彩色多普勒超声（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4"/>
        </w:rPr>
        <w:t>TVS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21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）诊断的鉴别价值。方法：选取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2022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年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1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月—2023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年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5"/>
        </w:rPr>
        <w:t>11</w:t>
      </w:r>
      <w:r>
        <w:rPr>
          <w:sz w:val="17"/>
          <w:szCs w:val="17"/>
          <w:color w:val="231F20"/>
          <w:spacing w:val="-33"/>
        </w:rPr>
        <w:t xml:space="preserve"> </w:t>
      </w:r>
      <w:r>
        <w:rPr>
          <w:sz w:val="17"/>
          <w:szCs w:val="17"/>
          <w:color w:val="231F20"/>
          <w:spacing w:val="-5"/>
        </w:rPr>
        <w:t>月黔西南州人民医院收治的</w:t>
      </w:r>
      <w:r>
        <w:rPr>
          <w:sz w:val="17"/>
          <w:szCs w:val="17"/>
          <w:color w:val="231F20"/>
          <w:spacing w:val="-47"/>
        </w:rPr>
        <w:t xml:space="preserve"> </w:t>
      </w:r>
      <w:r>
        <w:rPr>
          <w:sz w:val="17"/>
          <w:szCs w:val="17"/>
          <w:color w:val="231F20"/>
          <w:spacing w:val="-5"/>
        </w:rPr>
        <w:t>96</w:t>
      </w:r>
      <w:r>
        <w:rPr>
          <w:sz w:val="17"/>
          <w:szCs w:val="17"/>
          <w:color w:val="231F20"/>
          <w:spacing w:val="-47"/>
        </w:rPr>
        <w:t xml:space="preserve"> </w:t>
      </w:r>
      <w:r>
        <w:rPr>
          <w:sz w:val="17"/>
          <w:szCs w:val="17"/>
          <w:color w:val="231F20"/>
          <w:spacing w:val="-5"/>
        </w:rPr>
        <w:t>例经病理确诊为卵巢黄体破裂和宫外孕破裂的患者，根据手术病理结果，以卵巢黄体破裂患者</w:t>
      </w:r>
      <w:r>
        <w:rPr>
          <w:sz w:val="17"/>
          <w:szCs w:val="17"/>
          <w:color w:val="231F20"/>
          <w:spacing w:val="-48"/>
        </w:rPr>
        <w:t xml:space="preserve"> </w:t>
      </w:r>
      <w:r>
        <w:rPr>
          <w:sz w:val="17"/>
          <w:szCs w:val="17"/>
          <w:color w:val="231F20"/>
          <w:spacing w:val="-5"/>
        </w:rPr>
        <w:t>40</w:t>
      </w:r>
      <w:r>
        <w:rPr>
          <w:sz w:val="17"/>
          <w:szCs w:val="17"/>
          <w:color w:val="231F20"/>
          <w:spacing w:val="-47"/>
        </w:rPr>
        <w:t xml:space="preserve"> </w:t>
      </w:r>
      <w:r>
        <w:rPr>
          <w:sz w:val="17"/>
          <w:szCs w:val="17"/>
          <w:color w:val="231F20"/>
          <w:spacing w:val="-5"/>
        </w:rPr>
        <w:t>例为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A </w:t>
      </w:r>
      <w:r>
        <w:rPr>
          <w:sz w:val="17"/>
          <w:szCs w:val="17"/>
          <w:color w:val="231F20"/>
          <w:spacing w:val="-5"/>
        </w:rPr>
        <w:t>组，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-6"/>
        </w:rPr>
        <w:t>宫外孕破裂患者</w:t>
      </w:r>
      <w:r>
        <w:rPr>
          <w:sz w:val="17"/>
          <w:szCs w:val="17"/>
          <w:color w:val="231F20"/>
          <w:spacing w:val="-42"/>
        </w:rPr>
        <w:t xml:space="preserve"> </w:t>
      </w:r>
      <w:r>
        <w:rPr>
          <w:sz w:val="17"/>
          <w:szCs w:val="17"/>
          <w:b/>
          <w:bCs/>
          <w:color w:val="231F20"/>
          <w:spacing w:val="-6"/>
        </w:rPr>
        <w:t>56</w:t>
      </w:r>
      <w:r>
        <w:rPr>
          <w:sz w:val="17"/>
          <w:szCs w:val="17"/>
          <w:color w:val="231F20"/>
          <w:spacing w:val="-46"/>
        </w:rPr>
        <w:t xml:space="preserve"> </w:t>
      </w:r>
      <w:r>
        <w:rPr>
          <w:sz w:val="17"/>
          <w:szCs w:val="17"/>
          <w:b/>
          <w:bCs/>
          <w:color w:val="231F20"/>
          <w:spacing w:val="-6"/>
        </w:rPr>
        <w:t>例为</w:t>
      </w:r>
      <w:r>
        <w:rPr>
          <w:sz w:val="17"/>
          <w:szCs w:val="17"/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6"/>
        </w:rPr>
        <w:t>B </w:t>
      </w:r>
      <w:r>
        <w:rPr>
          <w:sz w:val="17"/>
          <w:szCs w:val="17"/>
          <w:b/>
          <w:bCs/>
          <w:color w:val="231F20"/>
          <w:spacing w:val="-6"/>
        </w:rPr>
        <w:t>组，全部患者均采取</w:t>
      </w:r>
      <w:r>
        <w:rPr>
          <w:sz w:val="17"/>
          <w:szCs w:val="17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6"/>
        </w:rPr>
        <w:t>TVS </w:t>
      </w:r>
      <w:r>
        <w:rPr>
          <w:sz w:val="17"/>
          <w:szCs w:val="17"/>
          <w:b/>
          <w:bCs/>
          <w:color w:val="231F20"/>
          <w:spacing w:val="-6"/>
        </w:rPr>
        <w:t>检查，观</w:t>
      </w:r>
      <w:r>
        <w:rPr>
          <w:sz w:val="17"/>
          <w:szCs w:val="17"/>
          <w:b/>
          <w:bCs/>
          <w:color w:val="231F20"/>
          <w:spacing w:val="-7"/>
        </w:rPr>
        <w:t>察</w:t>
      </w:r>
      <w:r>
        <w:rPr>
          <w:sz w:val="17"/>
          <w:szCs w:val="17"/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7"/>
        </w:rPr>
        <w:t>TVS </w:t>
      </w:r>
      <w:r>
        <w:rPr>
          <w:sz w:val="17"/>
          <w:szCs w:val="17"/>
          <w:b/>
          <w:bCs/>
          <w:color w:val="231F20"/>
          <w:spacing w:val="-7"/>
        </w:rPr>
        <w:t>鉴别两者疾病的诊断效能，分析两组</w:t>
      </w:r>
      <w:r>
        <w:rPr>
          <w:sz w:val="17"/>
          <w:szCs w:val="17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7"/>
        </w:rPr>
        <w:t>TVS </w:t>
      </w:r>
      <w:r>
        <w:rPr>
          <w:sz w:val="17"/>
          <w:szCs w:val="17"/>
          <w:b/>
          <w:bCs/>
          <w:color w:val="231F20"/>
          <w:spacing w:val="-7"/>
        </w:rPr>
        <w:t>声像图特征以及血流参数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b/>
          <w:bCs/>
          <w:color w:val="231F20"/>
          <w:spacing w:val="-7"/>
        </w:rPr>
        <w:t>[</w:t>
      </w:r>
      <w:r>
        <w:rPr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b/>
          <w:bCs/>
          <w:color w:val="231F20"/>
          <w:spacing w:val="-7"/>
        </w:rPr>
        <w:t>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9"/>
        </w:rPr>
        <w:t>力指数（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>RI</w:t>
      </w:r>
      <w:r>
        <w:rPr>
          <w:sz w:val="17"/>
          <w:szCs w:val="17"/>
          <w:color w:val="231F20"/>
          <w:spacing w:val="-9"/>
        </w:rPr>
        <w:t>）、收缩期峰值流速（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>PSV</w:t>
      </w:r>
      <w:r>
        <w:rPr>
          <w:sz w:val="17"/>
          <w:szCs w:val="17"/>
          <w:color w:val="231F20"/>
          <w:spacing w:val="-9"/>
        </w:rPr>
        <w:t>）及搏动指数（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>PI</w:t>
      </w:r>
      <w:r>
        <w:rPr>
          <w:sz w:val="17"/>
          <w:szCs w:val="17"/>
          <w:color w:val="231F20"/>
          <w:spacing w:val="-9"/>
        </w:rPr>
        <w:t>）]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9"/>
        </w:rPr>
        <w:t>的差异。结果：经</w:t>
      </w:r>
      <w:r>
        <w:rPr>
          <w:sz w:val="17"/>
          <w:szCs w:val="17"/>
          <w:color w:val="231F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>TVS </w:t>
      </w:r>
      <w:r>
        <w:rPr>
          <w:sz w:val="17"/>
          <w:szCs w:val="17"/>
          <w:color w:val="231F20"/>
          <w:spacing w:val="-9"/>
        </w:rPr>
        <w:t>检查卵巢黄体破裂和宫外孕破裂的准确率为</w:t>
      </w:r>
      <w:r>
        <w:rPr>
          <w:sz w:val="17"/>
          <w:szCs w:val="17"/>
          <w:color w:val="231F20"/>
          <w:spacing w:val="-49"/>
        </w:rPr>
        <w:t xml:space="preserve"> </w:t>
      </w:r>
      <w:r>
        <w:rPr>
          <w:sz w:val="17"/>
          <w:szCs w:val="17"/>
          <w:color w:val="231F20"/>
          <w:spacing w:val="-9"/>
        </w:rPr>
        <w:t>94.79%（91/96</w:t>
      </w:r>
      <w:r>
        <w:rPr>
          <w:sz w:val="17"/>
          <w:szCs w:val="17"/>
          <w:color w:val="231F20"/>
          <w:spacing w:val="-38"/>
        </w:rPr>
        <w:t>），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特异度为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</w:rPr>
        <w:t>94.64%（53/56</w:t>
      </w:r>
      <w:r>
        <w:rPr>
          <w:sz w:val="17"/>
          <w:szCs w:val="17"/>
          <w:color w:val="231F20"/>
          <w:spacing w:val="-8"/>
        </w:rPr>
        <w:t>），</w:t>
      </w:r>
      <w:r>
        <w:rPr>
          <w:sz w:val="17"/>
          <w:szCs w:val="17"/>
          <w:color w:val="231F20"/>
        </w:rPr>
        <w:t>灵敏度为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</w:rPr>
        <w:t>9</w:t>
      </w:r>
      <w:r>
        <w:rPr>
          <w:sz w:val="17"/>
          <w:szCs w:val="17"/>
          <w:color w:val="231F20"/>
          <w:spacing w:val="-1"/>
        </w:rPr>
        <w:t>5.00%（38/40</w:t>
      </w:r>
      <w:r>
        <w:rPr>
          <w:sz w:val="17"/>
          <w:szCs w:val="17"/>
          <w:color w:val="231F20"/>
          <w:spacing w:val="-8"/>
        </w:rPr>
        <w:t>），</w:t>
      </w:r>
      <w:r>
        <w:rPr>
          <w:sz w:val="17"/>
          <w:szCs w:val="17"/>
          <w:color w:val="231F20"/>
          <w:spacing w:val="-1"/>
        </w:rPr>
        <w:t>与病理诊断一致性</w:t>
      </w:r>
      <w:r>
        <w:rPr>
          <w:sz w:val="17"/>
          <w:szCs w:val="17"/>
          <w:color w:val="231F20"/>
          <w:spacing w:val="-51"/>
        </w:rPr>
        <w:t xml:space="preserve"> </w:t>
      </w:r>
      <w:r>
        <w:rPr>
          <w:sz w:val="17"/>
          <w:szCs w:val="17"/>
          <w:color w:val="231F20"/>
          <w:spacing w:val="-1"/>
        </w:rPr>
        <w:t>良好（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1"/>
        </w:rPr>
        <w:t>Kappa </w:t>
      </w:r>
      <w:r>
        <w:rPr>
          <w:sz w:val="17"/>
          <w:szCs w:val="17"/>
          <w:color w:val="231F20"/>
          <w:spacing w:val="-1"/>
        </w:rPr>
        <w:t>值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1"/>
        </w:rPr>
        <w:t>=0.893）。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A </w:t>
      </w:r>
      <w:r>
        <w:rPr>
          <w:sz w:val="17"/>
          <w:szCs w:val="17"/>
          <w:color w:val="231F20"/>
          <w:spacing w:val="-1"/>
        </w:rPr>
        <w:t>组的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TVS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1"/>
        </w:rPr>
        <w:t>图像特征中，血流信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号以半环状或环状（95.00%</w:t>
      </w:r>
      <w:r>
        <w:rPr>
          <w:sz w:val="17"/>
          <w:szCs w:val="17"/>
          <w:color w:val="231F20"/>
          <w:spacing w:val="-30"/>
        </w:rPr>
        <w:t>），</w:t>
      </w:r>
      <w:r>
        <w:rPr>
          <w:sz w:val="17"/>
          <w:szCs w:val="17"/>
          <w:color w:val="231F20"/>
          <w:spacing w:val="-5"/>
        </w:rPr>
        <w:t>血流频谱以低阻力型（87.50%）为主，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B </w:t>
      </w:r>
      <w:r>
        <w:rPr>
          <w:sz w:val="17"/>
          <w:szCs w:val="17"/>
          <w:color w:val="231F20"/>
          <w:spacing w:val="-5"/>
        </w:rPr>
        <w:t>组的</w:t>
      </w:r>
      <w:r>
        <w:rPr>
          <w:sz w:val="17"/>
          <w:szCs w:val="17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TVS </w:t>
      </w:r>
      <w:r>
        <w:rPr>
          <w:sz w:val="17"/>
          <w:szCs w:val="17"/>
          <w:color w:val="231F20"/>
          <w:spacing w:val="-5"/>
        </w:rPr>
        <w:t>声像特征中，</w:t>
      </w:r>
      <w:r>
        <w:rPr>
          <w:sz w:val="17"/>
          <w:szCs w:val="17"/>
          <w:color w:val="231F20"/>
          <w:spacing w:val="-6"/>
        </w:rPr>
        <w:t>血流信号以点状（60.71%）、条状（32.14%</w:t>
      </w:r>
      <w:r>
        <w:rPr>
          <w:sz w:val="17"/>
          <w:szCs w:val="17"/>
          <w:color w:val="231F20"/>
          <w:spacing w:val="-30"/>
        </w:rPr>
        <w:t>），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血流频谱以高阻力型（50.00%）为主，两组比较差异有统计学意义（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-2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17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＜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b/>
          <w:bCs/>
          <w:color w:val="231F20"/>
          <w:spacing w:val="-2"/>
        </w:rPr>
        <w:t>0.05）。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2"/>
        </w:rPr>
        <w:t>A </w:t>
      </w:r>
      <w:r>
        <w:rPr>
          <w:sz w:val="17"/>
          <w:szCs w:val="17"/>
          <w:b/>
          <w:bCs/>
          <w:color w:val="231F20"/>
          <w:spacing w:val="-2"/>
        </w:rPr>
        <w:t>组</w:t>
      </w:r>
      <w:r>
        <w:rPr>
          <w:sz w:val="17"/>
          <w:szCs w:val="17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2"/>
        </w:rPr>
        <w:t>RI</w:t>
      </w:r>
      <w:r>
        <w:rPr>
          <w:sz w:val="17"/>
          <w:szCs w:val="17"/>
          <w:b/>
          <w:bCs/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2"/>
        </w:rPr>
        <w:t>PI </w:t>
      </w:r>
      <w:r>
        <w:rPr>
          <w:sz w:val="17"/>
          <w:szCs w:val="17"/>
          <w:b/>
          <w:bCs/>
          <w:color w:val="231F20"/>
          <w:spacing w:val="-2"/>
        </w:rPr>
        <w:t>低于</w:t>
      </w:r>
      <w:r>
        <w:rPr>
          <w:sz w:val="17"/>
          <w:szCs w:val="17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2"/>
        </w:rPr>
        <w:t>B </w:t>
      </w:r>
      <w:r>
        <w:rPr>
          <w:sz w:val="17"/>
          <w:szCs w:val="17"/>
          <w:b/>
          <w:bCs/>
          <w:color w:val="231F20"/>
          <w:spacing w:val="-2"/>
        </w:rPr>
        <w:t>组</w:t>
      </w:r>
      <w:r>
        <w:rPr>
          <w:sz w:val="17"/>
          <w:szCs w:val="17"/>
          <w:b/>
          <w:bCs/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3"/>
        </w:rPr>
        <w:t>PSV </w:t>
      </w:r>
      <w:r>
        <w:rPr>
          <w:sz w:val="17"/>
          <w:szCs w:val="17"/>
          <w:b/>
          <w:bCs/>
          <w:color w:val="231F20"/>
          <w:spacing w:val="-3"/>
        </w:rPr>
        <w:t>高于</w:t>
      </w:r>
      <w:r>
        <w:rPr>
          <w:sz w:val="17"/>
          <w:szCs w:val="17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3"/>
        </w:rPr>
        <w:t>B </w:t>
      </w:r>
      <w:r>
        <w:rPr>
          <w:sz w:val="17"/>
          <w:szCs w:val="17"/>
          <w:b/>
          <w:bCs/>
          <w:color w:val="231F20"/>
          <w:spacing w:val="-3"/>
        </w:rPr>
        <w:t>组，差异有统计学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4"/>
        </w:rPr>
        <w:t>意义（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16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＜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0.05）。结论：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4"/>
        </w:rPr>
        <w:t>TVS </w:t>
      </w:r>
      <w:r>
        <w:rPr>
          <w:sz w:val="17"/>
          <w:szCs w:val="17"/>
          <w:b/>
          <w:bCs/>
          <w:color w:val="231F20"/>
          <w:spacing w:val="-4"/>
        </w:rPr>
        <w:t>检查对卵巢黄体破裂与宫外孕破裂进行鉴别诊断，具有极高的诊断效能。</w:t>
      </w:r>
    </w:p>
    <w:p>
      <w:pPr>
        <w:pStyle w:val="BodyText"/>
        <w:ind w:left="610"/>
        <w:spacing w:line="220" w:lineRule="auto"/>
        <w:rPr>
          <w:sz w:val="17"/>
          <w:szCs w:val="17"/>
        </w:rPr>
      </w:pPr>
      <w:r>
        <w:rPr>
          <w:b/>
          <w:bCs/>
          <w:color w:val="231F20"/>
          <w:spacing w:val="-5"/>
        </w:rPr>
        <w:t>【关键词】</w:t>
      </w:r>
      <w:r>
        <w:rPr>
          <w:sz w:val="17"/>
          <w:szCs w:val="17"/>
          <w:b/>
          <w:bCs/>
          <w:color w:val="231F20"/>
          <w:spacing w:val="-5"/>
        </w:rPr>
        <w:t>阴道彩色多普勒超声；宫外孕破裂；卵巢黄体破裂</w:t>
      </w:r>
      <w:r>
        <w:rPr>
          <w:sz w:val="17"/>
          <w:szCs w:val="17"/>
          <w:b/>
          <w:bCs/>
          <w:color w:val="231F20"/>
          <w:spacing w:val="-6"/>
        </w:rPr>
        <w:t>；鉴别</w:t>
      </w:r>
    </w:p>
    <w:p>
      <w:pPr>
        <w:pStyle w:val="BodyText"/>
        <w:ind w:left="610"/>
        <w:spacing w:before="61" w:line="219" w:lineRule="auto"/>
        <w:rPr>
          <w:sz w:val="17"/>
          <w:szCs w:val="17"/>
        </w:rPr>
      </w:pPr>
      <w:r>
        <w:rPr>
          <w:color w:val="231F20"/>
          <w:spacing w:val="-3"/>
        </w:rPr>
        <w:t>【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中图分类号】</w:t>
      </w:r>
      <w:r>
        <w:rPr>
          <w:sz w:val="17"/>
          <w:szCs w:val="17"/>
          <w:color w:val="231F20"/>
          <w:spacing w:val="-3"/>
        </w:rPr>
        <w:t>R445.1                   </w:t>
      </w:r>
      <w:r>
        <w:rPr>
          <w:color w:val="231F20"/>
          <w:spacing w:val="-3"/>
        </w:rPr>
        <w:t>【文献标识码】</w:t>
      </w:r>
      <w:r>
        <w:rPr>
          <w:sz w:val="17"/>
          <w:szCs w:val="17"/>
          <w:color w:val="231F20"/>
          <w:spacing w:val="-3"/>
        </w:rPr>
        <w:t>A                      </w:t>
      </w:r>
      <w:r>
        <w:rPr>
          <w:color w:val="231F20"/>
          <w:spacing w:val="-3"/>
        </w:rPr>
        <w:t>【文章编号】</w:t>
      </w:r>
      <w:r>
        <w:rPr>
          <w:sz w:val="17"/>
          <w:szCs w:val="17"/>
          <w:color w:val="231F20"/>
          <w:spacing w:val="-3"/>
        </w:rPr>
        <w:t>2096-3807（2024）06-0164-03</w:t>
      </w:r>
    </w:p>
    <w:p>
      <w:pPr>
        <w:spacing w:before="197"/>
        <w:rPr/>
      </w:pPr>
      <w:r/>
    </w:p>
    <w:p>
      <w:pPr>
        <w:sectPr>
          <w:headerReference w:type="default" r:id="rId1"/>
          <w:footerReference w:type="default" r:id="rId2"/>
          <w:pgSz w:w="12246" w:h="16498"/>
          <w:pgMar w:top="1207" w:right="970" w:bottom="868" w:left="407" w:header="827" w:footer="526" w:gutter="0"/>
          <w:cols w:equalWidth="0" w:num="1">
            <w:col w:w="10867" w:space="0"/>
          </w:cols>
        </w:sectPr>
        <w:rPr/>
      </w:pPr>
    </w:p>
    <w:p>
      <w:pPr>
        <w:pStyle w:val="BodyText"/>
        <w:ind w:left="619" w:right="170" w:firstLine="403"/>
        <w:spacing w:before="46" w:line="276" w:lineRule="auto"/>
        <w:rPr/>
      </w:pPr>
      <w:r>
        <w:rPr>
          <w:color w:val="231F20"/>
          <w:spacing w:val="5"/>
        </w:rPr>
        <w:t>卵巢黄体破裂，是指卵巢黄体在生长过程中，在受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到外力作用后，导致黄体发生破裂后引发的大出血情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况</w:t>
      </w:r>
      <w:r>
        <w:rPr>
          <w:color w:val="231F20"/>
          <w:spacing w:val="-11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[1]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1"/>
        </w:rPr>
        <w:t>。宫外孕则是妊娠后胚胎着床于子宫之外的部位的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情况，临床上也称为异位妊娠，其最常发生的部位在输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卵管、卵巢等部位，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在子宫外生长的胚胎无法长期存活，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随着时间不断进展，可导致孕囊破裂，从而导致宫外孕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破裂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[2]</w:t>
      </w:r>
      <w:r>
        <w:rPr>
          <w:color w:val="231F20"/>
          <w:spacing w:val="3"/>
        </w:rPr>
        <w:t>。这两种疾病都属于临床妇科中常见的急腹症，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且在临床表现上也极为相似，比如都有月经紊乱、剧烈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的腹部疼痛、阴道出现不规则出血等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[3]</w:t>
      </w:r>
      <w:r>
        <w:rPr>
          <w:color w:val="231F20"/>
          <w:spacing w:val="3"/>
        </w:rPr>
        <w:t>。以往临床上常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采取腹部超声进行检查，检查中均能观察到附件区存在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明显的异常包块，因此在临床检查中很容易造成误诊，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从而延误患者的正确治疗，对其生命安全造成了威胁</w:t>
      </w:r>
      <w:r>
        <w:rPr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-4"/>
          <w:position w:val="9"/>
        </w:rPr>
        <w:t>[4]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-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随着影像学技术的不断发展，相比经腹部彩超检查，经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阴道彩色多普勒超声（</w:t>
      </w:r>
      <w:r>
        <w:rPr>
          <w:rFonts w:ascii="Times New Roman" w:hAnsi="Times New Roman" w:eastAsia="Times New Roman" w:cs="Times New Roman"/>
          <w:color w:val="231F20"/>
          <w:spacing w:val="-7"/>
        </w:rPr>
        <w:t>TVS</w:t>
      </w:r>
      <w:r>
        <w:rPr>
          <w:color w:val="231F20"/>
          <w:spacing w:val="-7"/>
        </w:rPr>
        <w:t>）检查能够避免受到腹部脂肪、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49"/>
        <w:spacing w:before="36" w:line="277" w:lineRule="auto"/>
        <w:jc w:val="both"/>
        <w:rPr/>
      </w:pPr>
      <w:r>
        <w:rPr>
          <w:color w:val="231F20"/>
          <w:spacing w:val="4"/>
        </w:rPr>
        <w:t>腹部肠道气体的影响，在检查中能更加清楚地显示出子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宫及附件部位的结构情况，以此更好地了解病变详情，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具有更明显的优势</w:t>
      </w:r>
      <w:r>
        <w:rPr>
          <w:color w:val="231F20"/>
          <w:spacing w:val="-20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[5]</w:t>
      </w:r>
      <w:r>
        <w:rPr>
          <w:color w:val="231F20"/>
          <w:spacing w:val="3"/>
        </w:rPr>
        <w:t>。基于此，本研究从这两种疾病鉴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别诊断的角度出发，选取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2022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月—2023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11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月黔</w:t>
      </w:r>
      <w:r>
        <w:rPr>
          <w:color w:val="231F20"/>
        </w:rPr>
        <w:t xml:space="preserve"> </w:t>
      </w:r>
      <w:r>
        <w:rPr>
          <w:color w:val="231F20"/>
        </w:rPr>
        <w:t>西南州人民医院收治的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96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例经病理诊断确诊卵巢黄体破 </w:t>
      </w:r>
      <w:r>
        <w:rPr>
          <w:color w:val="231F20"/>
        </w:rPr>
        <w:t>裂和宫外孕破裂患者进行研究，探讨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TVS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color w:val="231F20"/>
        </w:rPr>
        <w:t>的诊断效能， </w:t>
      </w:r>
      <w:r>
        <w:rPr>
          <w:color w:val="231F20"/>
          <w:spacing w:val="-6"/>
        </w:rPr>
        <w:t>现报道如下。</w:t>
      </w:r>
    </w:p>
    <w:p>
      <w:pPr>
        <w:ind w:left="16"/>
        <w:spacing w:before="2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资料与方法</w:t>
      </w:r>
    </w:p>
    <w:p>
      <w:pPr>
        <w:pStyle w:val="BodyText"/>
        <w:ind w:left="417"/>
        <w:spacing w:before="61" w:line="220" w:lineRule="auto"/>
        <w:rPr/>
      </w:pPr>
      <w:r>
        <w:rPr>
          <w:color w:val="231F20"/>
          <w:spacing w:val="-5"/>
        </w:rPr>
        <w:t>1.1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一般资料</w:t>
      </w:r>
    </w:p>
    <w:p>
      <w:pPr>
        <w:pStyle w:val="BodyText"/>
        <w:ind w:right="49" w:firstLine="402"/>
        <w:spacing w:before="61" w:line="277" w:lineRule="auto"/>
        <w:rPr/>
      </w:pPr>
      <w:r>
        <w:rPr>
          <w:color w:val="231F20"/>
          <w:spacing w:val="-2"/>
        </w:rPr>
        <w:t>选取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2022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月—2023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11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月黔西南州人民医院</w:t>
      </w:r>
      <w:r>
        <w:rPr>
          <w:color w:val="231F20"/>
        </w:rPr>
        <w:t xml:space="preserve"> </w:t>
      </w:r>
      <w:r>
        <w:rPr>
          <w:color w:val="231F20"/>
        </w:rPr>
        <w:t>收治的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96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例经病理诊断确诊卵巢黄体破裂和宫外孕破裂 </w:t>
      </w:r>
      <w:r>
        <w:rPr>
          <w:color w:val="231F20"/>
        </w:rPr>
        <w:t>患者，根据手术病理结果，以卵巢黄体破裂患者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40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例为 </w:t>
      </w:r>
      <w:r>
        <w:rPr>
          <w:rFonts w:ascii="Times New Roman" w:hAnsi="Times New Roman" w:eastAsia="Times New Roman" w:cs="Times New Roman"/>
          <w:color w:val="231F20"/>
          <w:spacing w:val="-1"/>
        </w:rPr>
        <w:t>A </w:t>
      </w:r>
      <w:r>
        <w:rPr>
          <w:color w:val="231F20"/>
          <w:spacing w:val="-1"/>
        </w:rPr>
        <w:t>组，宫外孕破裂患者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56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例为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 </w:t>
      </w:r>
      <w:r>
        <w:rPr>
          <w:color w:val="231F20"/>
          <w:spacing w:val="-1"/>
        </w:rPr>
        <w:t>组。两组一</w:t>
      </w:r>
      <w:r>
        <w:rPr>
          <w:color w:val="231F20"/>
          <w:spacing w:val="-2"/>
        </w:rPr>
        <w:t>般资料比较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有可比性（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＞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0.05</w:t>
      </w:r>
      <w:r>
        <w:rPr>
          <w:color w:val="231F20"/>
          <w:spacing w:val="3"/>
        </w:rPr>
        <w:t>），</w:t>
      </w:r>
      <w:r>
        <w:rPr>
          <w:color w:val="231F20"/>
          <w:spacing w:val="-4"/>
        </w:rPr>
        <w:t>见表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1。</w:t>
      </w:r>
    </w:p>
    <w:p>
      <w:pPr>
        <w:spacing w:line="277" w:lineRule="auto"/>
        <w:sectPr>
          <w:type w:val="continuous"/>
          <w:pgSz w:w="12246" w:h="16498"/>
          <w:pgMar w:top="1207" w:right="970" w:bottom="868" w:left="407" w:header="827" w:footer="526" w:gutter="0"/>
          <w:cols w:equalWidth="0" w:num="2">
            <w:col w:w="5787" w:space="100"/>
            <w:col w:w="4981" w:space="0"/>
          </w:cols>
        </w:sectPr>
        <w:rPr/>
      </w:pPr>
    </w:p>
    <w:p>
      <w:pPr>
        <w:spacing w:line="301" w:lineRule="auto"/>
        <w:rPr>
          <w:rFonts w:ascii="Arial"/>
          <w:sz w:val="21"/>
        </w:rPr>
      </w:pPr>
      <w:r/>
    </w:p>
    <w:p>
      <w:pPr>
        <w:ind w:left="4901"/>
        <w:spacing w:before="52" w:line="221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-37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组一般资料对比</w:t>
      </w:r>
    </w:p>
    <w:p>
      <w:pPr>
        <w:spacing w:line="46" w:lineRule="exact"/>
        <w:rPr/>
      </w:pPr>
      <w:r/>
    </w:p>
    <w:tbl>
      <w:tblPr>
        <w:tblStyle w:val="TableNormal"/>
        <w:tblW w:w="10204" w:type="dxa"/>
        <w:tblInd w:w="6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92"/>
        <w:gridCol w:w="1610"/>
        <w:gridCol w:w="1820"/>
        <w:gridCol w:w="1580"/>
        <w:gridCol w:w="1702"/>
      </w:tblGrid>
      <w:tr>
        <w:trPr>
          <w:trHeight w:val="252" w:hRule="atLeast"/>
        </w:trPr>
        <w:tc>
          <w:tcPr>
            <w:tcW w:w="10204" w:type="dxa"/>
            <w:vAlign w:val="top"/>
            <w:gridSpan w:val="5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49"/>
              <w:spacing w:before="25" w:line="211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项目</w:t>
            </w:r>
            <w:r>
              <w:rPr>
                <w:color w:val="231F20"/>
                <w:spacing w:val="4"/>
              </w:rPr>
              <w:t xml:space="preserve">                    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A </w:t>
            </w:r>
            <w:r>
              <w:rPr>
                <w:color w:val="231F20"/>
                <w:spacing w:val="-2"/>
              </w:rPr>
              <w:t>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2"/>
              </w:rPr>
              <w:t>n</w:t>
            </w:r>
            <w:r>
              <w:rPr>
                <w:color w:val="231F20"/>
                <w:spacing w:val="-2"/>
              </w:rPr>
              <w:t>=40）</w:t>
            </w:r>
            <w:r>
              <w:rPr>
                <w:color w:val="231F20"/>
                <w:spacing w:val="3"/>
              </w:rPr>
              <w:t xml:space="preserve">        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B </w:t>
            </w:r>
            <w:r>
              <w:rPr>
                <w:color w:val="231F20"/>
                <w:spacing w:val="-2"/>
              </w:rPr>
              <w:t>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2"/>
              </w:rPr>
              <w:t>n</w:t>
            </w:r>
            <w:r>
              <w:rPr>
                <w:color w:val="231F20"/>
                <w:spacing w:val="-2"/>
              </w:rPr>
              <w:t>=56）</w:t>
            </w:r>
            <w:r>
              <w:rPr>
                <w:color w:val="231F20"/>
                <w:spacing w:val="2"/>
              </w:rPr>
              <w:t xml:space="preserve">             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2"/>
              </w:rPr>
              <w:t>t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χ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2                                  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2"/>
              </w:rPr>
              <w:t>P</w:t>
            </w:r>
          </w:p>
        </w:tc>
      </w:tr>
      <w:tr>
        <w:trPr>
          <w:trHeight w:val="245" w:hRule="atLeast"/>
        </w:trPr>
        <w:tc>
          <w:tcPr>
            <w:tcW w:w="349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5"/>
              <w:spacing w:before="39" w:line="220" w:lineRule="auto"/>
              <w:rPr/>
            </w:pPr>
            <w:r>
              <w:rPr>
                <w:color w:val="231F20"/>
                <w:spacing w:val="-5"/>
              </w:rPr>
              <w:t>年龄（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5"/>
              </w:rPr>
              <w:t>x</w:t>
            </w:r>
            <w:r>
              <w:rPr>
                <w:sz w:val="9"/>
                <w:szCs w:val="9"/>
                <w:color w:val="231F20"/>
                <w:spacing w:val="-5"/>
                <w:position w:val="7"/>
              </w:rPr>
              <w:t>- 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5"/>
              </w:rPr>
              <w:t>± s</w:t>
            </w:r>
            <w:r>
              <w:rPr>
                <w:color w:val="231F20"/>
                <w:spacing w:val="-5"/>
              </w:rPr>
              <w:t>，岁）</w:t>
            </w:r>
          </w:p>
        </w:tc>
        <w:tc>
          <w:tcPr>
            <w:tcW w:w="161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29"/>
              <w:spacing w:before="40" w:line="225" w:lineRule="auto"/>
              <w:rPr/>
            </w:pPr>
            <w:r>
              <w:rPr>
                <w:color w:val="231F20"/>
                <w:spacing w:val="-1"/>
              </w:rPr>
              <w:t>33.64±7.23</w:t>
            </w:r>
          </w:p>
        </w:tc>
        <w:tc>
          <w:tcPr>
            <w:tcW w:w="182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20"/>
              <w:spacing w:before="40" w:line="225" w:lineRule="auto"/>
              <w:rPr/>
            </w:pPr>
            <w:r>
              <w:rPr>
                <w:color w:val="231F20"/>
                <w:spacing w:val="-1"/>
              </w:rPr>
              <w:t>34.17±6.98</w:t>
            </w:r>
          </w:p>
        </w:tc>
        <w:tc>
          <w:tcPr>
            <w:tcW w:w="158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39"/>
              <w:spacing w:before="40" w:line="225" w:lineRule="auto"/>
              <w:rPr/>
            </w:pPr>
            <w:r>
              <w:rPr>
                <w:color w:val="231F20"/>
                <w:spacing w:val="-2"/>
              </w:rPr>
              <w:t>0.361</w:t>
            </w:r>
          </w:p>
        </w:tc>
        <w:tc>
          <w:tcPr>
            <w:tcW w:w="170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659"/>
              <w:spacing w:before="40" w:line="225" w:lineRule="auto"/>
              <w:rPr/>
            </w:pPr>
            <w:r>
              <w:rPr>
                <w:color w:val="231F20"/>
                <w:spacing w:val="-2"/>
              </w:rPr>
              <w:t>0.718</w:t>
            </w:r>
          </w:p>
        </w:tc>
      </w:tr>
      <w:tr>
        <w:trPr>
          <w:trHeight w:val="255" w:hRule="atLeast"/>
        </w:trPr>
        <w:tc>
          <w:tcPr>
            <w:tcW w:w="3492" w:type="dxa"/>
            <w:vAlign w:val="top"/>
          </w:tcPr>
          <w:p>
            <w:pPr>
              <w:pStyle w:val="TableText"/>
              <w:ind w:left="35"/>
              <w:spacing w:before="52" w:line="220" w:lineRule="auto"/>
              <w:rPr/>
            </w:pPr>
            <w:r>
              <w:rPr>
                <w:color w:val="231F20"/>
                <w:spacing w:val="-6"/>
              </w:rPr>
              <w:t>就诊时间（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6"/>
              </w:rPr>
              <w:t>x</w:t>
            </w:r>
            <w:r>
              <w:rPr>
                <w:sz w:val="9"/>
                <w:szCs w:val="9"/>
                <w:color w:val="231F20"/>
                <w:spacing w:val="-6"/>
                <w:position w:val="7"/>
              </w:rPr>
              <w:t>- 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6"/>
              </w:rPr>
              <w:t>±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6"/>
              </w:rPr>
              <w:t>s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d</w:t>
            </w:r>
            <w:r>
              <w:rPr>
                <w:color w:val="231F20"/>
                <w:spacing w:val="-5"/>
              </w:rPr>
              <w:t>）</w:t>
            </w:r>
          </w:p>
        </w:tc>
        <w:tc>
          <w:tcPr>
            <w:tcW w:w="1610" w:type="dxa"/>
            <w:vAlign w:val="top"/>
          </w:tcPr>
          <w:p>
            <w:pPr>
              <w:pStyle w:val="TableText"/>
              <w:ind w:left="418"/>
              <w:spacing w:before="51" w:line="223" w:lineRule="auto"/>
              <w:rPr/>
            </w:pPr>
            <w:r>
              <w:rPr>
                <w:color w:val="231F20"/>
                <w:spacing w:val="-3"/>
              </w:rPr>
              <w:t>1.46±0.63</w:t>
            </w:r>
          </w:p>
        </w:tc>
        <w:tc>
          <w:tcPr>
            <w:tcW w:w="1820" w:type="dxa"/>
            <w:vAlign w:val="top"/>
          </w:tcPr>
          <w:p>
            <w:pPr>
              <w:pStyle w:val="TableText"/>
              <w:ind w:left="508"/>
              <w:spacing w:before="51" w:line="223" w:lineRule="auto"/>
              <w:rPr/>
            </w:pPr>
            <w:r>
              <w:rPr>
                <w:color w:val="231F20"/>
                <w:spacing w:val="-3"/>
              </w:rPr>
              <w:t>1.26±0.55</w:t>
            </w:r>
          </w:p>
        </w:tc>
        <w:tc>
          <w:tcPr>
            <w:tcW w:w="1580" w:type="dxa"/>
            <w:vAlign w:val="top"/>
          </w:tcPr>
          <w:p>
            <w:pPr>
              <w:pStyle w:val="TableText"/>
              <w:ind w:left="549"/>
              <w:spacing w:before="51" w:line="223" w:lineRule="auto"/>
              <w:rPr/>
            </w:pPr>
            <w:r>
              <w:rPr>
                <w:color w:val="231F20"/>
                <w:spacing w:val="-3"/>
              </w:rPr>
              <w:t>1.652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659"/>
              <w:spacing w:before="51" w:line="223" w:lineRule="auto"/>
              <w:rPr/>
            </w:pPr>
            <w:r>
              <w:rPr>
                <w:color w:val="231F20"/>
                <w:spacing w:val="-2"/>
              </w:rPr>
              <w:t>0.101</w:t>
            </w:r>
          </w:p>
        </w:tc>
      </w:tr>
      <w:tr>
        <w:trPr>
          <w:trHeight w:val="256" w:hRule="atLeast"/>
        </w:trPr>
        <w:tc>
          <w:tcPr>
            <w:tcW w:w="3492" w:type="dxa"/>
            <w:vAlign w:val="top"/>
          </w:tcPr>
          <w:p>
            <w:pPr>
              <w:pStyle w:val="TableText"/>
              <w:ind w:left="43"/>
              <w:spacing w:before="53" w:line="219" w:lineRule="auto"/>
              <w:rPr/>
            </w:pPr>
            <w:r>
              <w:rPr>
                <w:color w:val="231F20"/>
                <w:spacing w:val="-4"/>
              </w:rPr>
              <w:t>临床表现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4"/>
              </w:rPr>
              <w:t>例</w:t>
            </w:r>
            <w:r>
              <w:rPr>
                <w:color w:val="231F20"/>
                <w:spacing w:val="3"/>
              </w:rPr>
              <w:t xml:space="preserve">         </w:t>
            </w:r>
            <w:r>
              <w:rPr>
                <w:color w:val="231F20"/>
                <w:spacing w:val="-4"/>
              </w:rPr>
              <w:t>月经紊乱</w:t>
            </w:r>
          </w:p>
        </w:tc>
        <w:tc>
          <w:tcPr>
            <w:tcW w:w="1610" w:type="dxa"/>
            <w:vAlign w:val="top"/>
          </w:tcPr>
          <w:p>
            <w:pPr>
              <w:pStyle w:val="TableText"/>
              <w:ind w:left="765"/>
              <w:spacing w:before="53" w:line="222" w:lineRule="auto"/>
              <w:rPr/>
            </w:pPr>
            <w:r>
              <w:rPr>
                <w:color w:val="231F20"/>
              </w:rPr>
              <w:t>4</w:t>
            </w:r>
          </w:p>
        </w:tc>
        <w:tc>
          <w:tcPr>
            <w:tcW w:w="1820" w:type="dxa"/>
            <w:vAlign w:val="top"/>
          </w:tcPr>
          <w:p>
            <w:pPr>
              <w:pStyle w:val="TableText"/>
              <w:ind w:left="860"/>
              <w:spacing w:before="53" w:line="222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1580" w:type="dxa"/>
            <w:vAlign w:val="top"/>
          </w:tcPr>
          <w:p>
            <w:pPr>
              <w:pStyle w:val="TableText"/>
              <w:ind w:left="549"/>
              <w:spacing w:before="53" w:line="222" w:lineRule="auto"/>
              <w:rPr/>
            </w:pPr>
            <w:r>
              <w:rPr>
                <w:color w:val="231F20"/>
                <w:spacing w:val="-3"/>
              </w:rPr>
              <w:t>1.515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659"/>
              <w:spacing w:before="53" w:line="222" w:lineRule="auto"/>
              <w:rPr/>
            </w:pPr>
            <w:r>
              <w:rPr>
                <w:color w:val="231F20"/>
                <w:spacing w:val="-2"/>
              </w:rPr>
              <w:t>0.679</w:t>
            </w:r>
          </w:p>
        </w:tc>
      </w:tr>
      <w:tr>
        <w:trPr>
          <w:trHeight w:val="254" w:hRule="atLeast"/>
        </w:trPr>
        <w:tc>
          <w:tcPr>
            <w:tcW w:w="3492" w:type="dxa"/>
            <w:vAlign w:val="top"/>
          </w:tcPr>
          <w:p>
            <w:pPr>
              <w:pStyle w:val="TableText"/>
              <w:ind w:left="1736"/>
              <w:spacing w:before="54" w:line="219" w:lineRule="auto"/>
              <w:rPr/>
            </w:pPr>
            <w:r>
              <w:rPr>
                <w:color w:val="231F20"/>
                <w:spacing w:val="-1"/>
              </w:rPr>
              <w:t>伴有月经不规则出血</w:t>
            </w:r>
          </w:p>
        </w:tc>
        <w:tc>
          <w:tcPr>
            <w:tcW w:w="1610" w:type="dxa"/>
            <w:vAlign w:val="top"/>
          </w:tcPr>
          <w:p>
            <w:pPr>
              <w:pStyle w:val="TableText"/>
              <w:ind w:left="698"/>
              <w:spacing w:before="54" w:line="219" w:lineRule="auto"/>
              <w:rPr/>
            </w:pPr>
            <w:r>
              <w:rPr>
                <w:color w:val="231F20"/>
                <w:spacing w:val="-5"/>
              </w:rPr>
              <w:t>14</w:t>
            </w:r>
          </w:p>
        </w:tc>
        <w:tc>
          <w:tcPr>
            <w:tcW w:w="1820" w:type="dxa"/>
            <w:vAlign w:val="top"/>
          </w:tcPr>
          <w:p>
            <w:pPr>
              <w:pStyle w:val="TableText"/>
              <w:ind w:left="788"/>
              <w:spacing w:before="54" w:line="219" w:lineRule="auto"/>
              <w:rPr/>
            </w:pPr>
            <w:r>
              <w:rPr>
                <w:color w:val="231F20"/>
                <w:spacing w:val="-5"/>
              </w:rPr>
              <w:t>18</w:t>
            </w:r>
          </w:p>
        </w:tc>
        <w:tc>
          <w:tcPr>
            <w:tcW w:w="1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5" w:hRule="atLeast"/>
        </w:trPr>
        <w:tc>
          <w:tcPr>
            <w:tcW w:w="3492" w:type="dxa"/>
            <w:vAlign w:val="top"/>
          </w:tcPr>
          <w:p>
            <w:pPr>
              <w:pStyle w:val="TableText"/>
              <w:ind w:left="1740"/>
              <w:spacing w:before="56" w:line="217" w:lineRule="auto"/>
              <w:rPr/>
            </w:pPr>
            <w:r>
              <w:rPr>
                <w:color w:val="231F20"/>
                <w:spacing w:val="-2"/>
              </w:rPr>
              <w:t>急性下腹痛</w:t>
            </w:r>
          </w:p>
        </w:tc>
        <w:tc>
          <w:tcPr>
            <w:tcW w:w="1610" w:type="dxa"/>
            <w:vAlign w:val="top"/>
          </w:tcPr>
          <w:p>
            <w:pPr>
              <w:pStyle w:val="TableText"/>
              <w:ind w:left="688"/>
              <w:spacing w:before="56" w:line="217" w:lineRule="auto"/>
              <w:rPr/>
            </w:pPr>
            <w:r>
              <w:rPr>
                <w:color w:val="231F20"/>
                <w:spacing w:val="-3"/>
              </w:rPr>
              <w:t>22</w:t>
            </w:r>
          </w:p>
        </w:tc>
        <w:tc>
          <w:tcPr>
            <w:tcW w:w="1820" w:type="dxa"/>
            <w:vAlign w:val="top"/>
          </w:tcPr>
          <w:p>
            <w:pPr>
              <w:pStyle w:val="TableText"/>
              <w:ind w:left="780"/>
              <w:spacing w:before="56" w:line="217" w:lineRule="auto"/>
              <w:rPr/>
            </w:pPr>
            <w:r>
              <w:rPr>
                <w:color w:val="231F20"/>
                <w:spacing w:val="-3"/>
              </w:rPr>
              <w:t>31</w:t>
            </w:r>
          </w:p>
        </w:tc>
        <w:tc>
          <w:tcPr>
            <w:tcW w:w="1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4" w:hRule="atLeast"/>
        </w:trPr>
        <w:tc>
          <w:tcPr>
            <w:tcW w:w="349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34"/>
              <w:spacing w:before="58" w:line="220" w:lineRule="auto"/>
              <w:rPr/>
            </w:pPr>
            <w:r>
              <w:rPr>
                <w:color w:val="231F20"/>
                <w:spacing w:val="-2"/>
              </w:rPr>
              <w:t>休克</w:t>
            </w:r>
          </w:p>
        </w:tc>
        <w:tc>
          <w:tcPr>
            <w:tcW w:w="161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67"/>
              <w:spacing w:before="58" w:line="225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182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58"/>
              <w:spacing w:before="58" w:line="225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158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pacing w:line="74" w:lineRule="exact"/>
        <w:rPr/>
      </w:pPr>
      <w:r/>
    </w:p>
    <w:p>
      <w:pPr>
        <w:spacing w:line="74" w:lineRule="exact"/>
        <w:sectPr>
          <w:type w:val="continuous"/>
          <w:pgSz w:w="12246" w:h="16498"/>
          <w:pgMar w:top="1207" w:right="970" w:bottom="868" w:left="407" w:header="827" w:footer="526" w:gutter="0"/>
          <w:cols w:equalWidth="0" w:num="1">
            <w:col w:w="10867" w:space="0"/>
          </w:cols>
        </w:sectPr>
        <w:rPr/>
      </w:pPr>
    </w:p>
    <w:p>
      <w:pPr>
        <w:pStyle w:val="BodyText"/>
        <w:ind w:left="620" w:right="254" w:firstLine="398"/>
        <w:spacing w:before="40" w:line="277" w:lineRule="auto"/>
        <w:jc w:val="both"/>
        <w:rPr/>
      </w:pPr>
      <w:r>
        <w:rPr>
          <w:color w:val="231F20"/>
          <w:spacing w:val="2"/>
        </w:rPr>
        <w:t>纳入标准</w:t>
      </w:r>
      <w:r>
        <w:rPr>
          <w:color w:val="231F20"/>
          <w:spacing w:val="-13"/>
        </w:rPr>
        <w:t>：（</w:t>
      </w:r>
      <w:r>
        <w:rPr>
          <w:color w:val="231F20"/>
          <w:spacing w:val="2"/>
        </w:rPr>
        <w:t>1）均经手术病理检查确诊为宫外孕破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裂、卵巢黄体破裂</w:t>
      </w:r>
      <w:r>
        <w:rPr>
          <w:color w:val="231F20"/>
          <w:spacing w:val="-10"/>
        </w:rPr>
        <w:t>；（</w:t>
      </w:r>
      <w:r>
        <w:rPr>
          <w:color w:val="231F20"/>
          <w:spacing w:val="7"/>
        </w:rPr>
        <w:t>2）已婚女性</w:t>
      </w:r>
      <w:r>
        <w:rPr>
          <w:color w:val="231F20"/>
          <w:spacing w:val="-10"/>
        </w:rPr>
        <w:t>；（</w:t>
      </w:r>
      <w:r>
        <w:rPr>
          <w:color w:val="231F20"/>
          <w:spacing w:val="7"/>
        </w:rPr>
        <w:t>3）全部患者均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1"/>
        </w:rPr>
        <w:t>知晓并同意本研究</w:t>
      </w:r>
      <w:r>
        <w:rPr>
          <w:color w:val="231F20"/>
          <w:spacing w:val="-15"/>
        </w:rPr>
        <w:t>；（</w:t>
      </w:r>
      <w:r>
        <w:rPr>
          <w:color w:val="231F20"/>
          <w:spacing w:val="11"/>
        </w:rPr>
        <w:t>4）临床资料完整。排除标准：</w:t>
      </w:r>
    </w:p>
    <w:p>
      <w:pPr>
        <w:pStyle w:val="BodyText"/>
        <w:ind w:left="621" w:right="257" w:firstLine="3"/>
        <w:spacing w:before="1" w:line="230" w:lineRule="auto"/>
        <w:rPr/>
      </w:pPr>
      <w:r>
        <w:rPr>
          <w:color w:val="231F20"/>
          <w:spacing w:val="1"/>
        </w:rPr>
        <w:t>（1）合并盆腔恶性肿瘤者</w:t>
      </w:r>
      <w:r>
        <w:rPr>
          <w:color w:val="231F20"/>
          <w:spacing w:val="-6"/>
        </w:rPr>
        <w:t>；（</w:t>
      </w:r>
      <w:r>
        <w:rPr>
          <w:color w:val="231F20"/>
          <w:spacing w:val="1"/>
        </w:rPr>
        <w:t>2）先天畸形者</w:t>
      </w:r>
      <w:r>
        <w:rPr>
          <w:color w:val="231F20"/>
          <w:spacing w:val="-6"/>
        </w:rPr>
        <w:t>；（</w:t>
      </w:r>
      <w:r>
        <w:rPr>
          <w:color w:val="231F20"/>
          <w:spacing w:val="1"/>
        </w:rPr>
        <w:t>3）患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者均为首次发病</w:t>
      </w:r>
      <w:r>
        <w:rPr>
          <w:color w:val="231F20"/>
          <w:spacing w:val="-10"/>
        </w:rPr>
        <w:t>；（</w:t>
      </w:r>
      <w:r>
        <w:rPr>
          <w:color w:val="231F20"/>
          <w:spacing w:val="7"/>
        </w:rPr>
        <w:t>4）均未采取相关治疗</w:t>
      </w:r>
      <w:r>
        <w:rPr>
          <w:color w:val="231F20"/>
          <w:spacing w:val="-10"/>
        </w:rPr>
        <w:t>；（</w:t>
      </w:r>
      <w:r>
        <w:rPr>
          <w:color w:val="231F20"/>
          <w:spacing w:val="7"/>
        </w:rPr>
        <w:t>5）有精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8" w:line="219" w:lineRule="auto"/>
        <w:rPr/>
      </w:pPr>
      <w:r>
        <w:rPr>
          <w:color w:val="231F20"/>
          <w:spacing w:val="-4"/>
        </w:rPr>
        <w:t>神障碍或精神疾病者。</w:t>
      </w:r>
    </w:p>
    <w:p>
      <w:pPr>
        <w:pStyle w:val="BodyText"/>
        <w:ind w:left="413"/>
        <w:spacing w:before="63" w:line="221" w:lineRule="auto"/>
        <w:rPr/>
      </w:pPr>
      <w:r>
        <w:rPr>
          <w:color w:val="231F20"/>
          <w:spacing w:val="-6"/>
        </w:rPr>
        <w:t>1.2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方法</w:t>
      </w:r>
    </w:p>
    <w:p>
      <w:pPr>
        <w:pStyle w:val="BodyText"/>
        <w:ind w:right="49" w:firstLine="398"/>
        <w:spacing w:before="61" w:line="246" w:lineRule="auto"/>
        <w:rPr/>
      </w:pPr>
      <w:r>
        <w:rPr>
          <w:color w:val="231F20"/>
          <w:spacing w:val="3"/>
        </w:rPr>
        <w:t>全部患者均采用飞利浦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EPIQS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彩色超声诊断仪进行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TVS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检查，检查前嘱咐患者排空膀胱，超声探头</w:t>
      </w:r>
      <w:r>
        <w:rPr>
          <w:color w:val="231F20"/>
          <w:spacing w:val="3"/>
        </w:rPr>
        <w:t>频率设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置为（6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～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"/>
        </w:rPr>
        <w:t>7.5）</w:t>
      </w:r>
      <w:r>
        <w:rPr>
          <w:rFonts w:ascii="Times New Roman" w:hAnsi="Times New Roman" w:eastAsia="Times New Roman" w:cs="Times New Roman"/>
          <w:color w:val="231F20"/>
          <w:spacing w:val="-1"/>
        </w:rPr>
        <w:t>MHz</w:t>
      </w:r>
      <w:r>
        <w:rPr>
          <w:color w:val="231F20"/>
          <w:spacing w:val="-1"/>
        </w:rPr>
        <w:t>，取患者膀胱截石位，在探头上套</w:t>
      </w:r>
    </w:p>
    <w:p>
      <w:pPr>
        <w:spacing w:line="246" w:lineRule="auto"/>
        <w:sectPr>
          <w:type w:val="continuous"/>
          <w:pgSz w:w="12246" w:h="16498"/>
          <w:pgMar w:top="1207" w:right="970" w:bottom="868" w:left="407" w:header="827" w:footer="526" w:gutter="0"/>
          <w:cols w:equalWidth="0" w:num="2">
            <w:col w:w="5791" w:space="100"/>
            <w:col w:w="4976" w:space="0"/>
          </w:cols>
        </w:sectPr>
        <w:rPr/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6"/>
          <w:footerReference w:type="default" r:id="rId7"/>
          <w:pgSz w:w="12246" w:h="16498"/>
          <w:pgMar w:top="1208" w:right="949" w:bottom="868" w:left="407" w:header="826" w:footer="526" w:gutter="0"/>
          <w:cols w:equalWidth="0" w:num="1">
            <w:col w:w="10889" w:space="0"/>
          </w:cols>
        </w:sectPr>
        <w:rPr/>
      </w:pPr>
    </w:p>
    <w:p>
      <w:pPr>
        <w:pStyle w:val="BodyText"/>
        <w:ind w:left="615" w:right="169" w:firstLine="6"/>
        <w:spacing w:before="35" w:line="281" w:lineRule="auto"/>
        <w:jc w:val="both"/>
        <w:rPr/>
      </w:pPr>
      <w:r>
        <w:rPr>
          <w:color w:val="231F20"/>
          <w:spacing w:val="-3"/>
        </w:rPr>
        <w:t>上一次性避孕套，充分涂抹耦合剂后即可开始进行检查，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经患者阴道置入探头，注意在置入过程中要保持轻柔的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力度、缓慢的速度，避免给患者造成疼痛，以此避免其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产生应激反应从而影响到检查结果。探头进入到宫腔内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后，采取多切面检查子宫及附件，观察包块的形态、回声、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边缘等情况，并测量其大小，确定包块的类型、回声特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征以及边界特征，做好相应的记录工作。并从多个切面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着重观察包块周围血液流动的情况，在血流丰富处</w:t>
      </w:r>
      <w:r>
        <w:rPr>
          <w:color w:val="231F20"/>
          <w:spacing w:val="4"/>
        </w:rPr>
        <w:t>选取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多个点位进行测量，包括阻力指数（</w:t>
      </w:r>
      <w:r>
        <w:rPr>
          <w:rFonts w:ascii="Times New Roman" w:hAnsi="Times New Roman" w:eastAsia="Times New Roman" w:cs="Times New Roman"/>
          <w:color w:val="231F20"/>
        </w:rPr>
        <w:t>resistance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index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RI</w:t>
      </w:r>
      <w:r>
        <w:rPr>
          <w:color w:val="231F20"/>
        </w:rPr>
        <w:t>）、搏动指数（</w:t>
      </w:r>
      <w:r>
        <w:rPr>
          <w:rFonts w:ascii="Times New Roman" w:hAnsi="Times New Roman" w:eastAsia="Times New Roman" w:cs="Times New Roman"/>
          <w:color w:val="231F20"/>
        </w:rPr>
        <w:t>pulsatility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index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color w:val="231F20"/>
        </w:rPr>
        <w:t>，</w:t>
      </w:r>
      <w:r>
        <w:rPr>
          <w:rFonts w:ascii="Times New Roman" w:hAnsi="Times New Roman" w:eastAsia="Times New Roman" w:cs="Times New Roman"/>
          <w:color w:val="231F20"/>
        </w:rPr>
        <w:t>PI</w:t>
      </w:r>
      <w:r>
        <w:rPr>
          <w:color w:val="231F20"/>
          <w:spacing w:val="-1"/>
        </w:rPr>
        <w:t>）和收缩期峰值流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速（</w:t>
      </w:r>
      <w:r>
        <w:rPr>
          <w:rFonts w:ascii="Times New Roman" w:hAnsi="Times New Roman" w:eastAsia="Times New Roman" w:cs="Times New Roman"/>
          <w:color w:val="231F20"/>
          <w:spacing w:val="-1"/>
        </w:rPr>
        <w:t>peak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systolic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velocity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</w:rPr>
        <w:t>PSV</w:t>
      </w:r>
      <w:r>
        <w:rPr>
          <w:color w:val="231F20"/>
          <w:spacing w:val="-1"/>
        </w:rPr>
        <w:t>）</w:t>
      </w:r>
      <w:r>
        <w:rPr>
          <w:color w:val="231F20"/>
          <w:spacing w:val="-2"/>
        </w:rPr>
        <w:t>。各个指标要反复经过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次测量后取平均值作为最终结果。血流信号形态</w:t>
      </w:r>
      <w:r>
        <w:rPr>
          <w:color w:val="231F20"/>
          <w:spacing w:val="-2"/>
        </w:rPr>
        <w:t>类型：</w:t>
      </w:r>
    </w:p>
    <w:p>
      <w:pPr>
        <w:pStyle w:val="BodyText"/>
        <w:ind w:left="619" w:right="240" w:firstLine="6"/>
        <w:spacing w:before="2" w:line="279" w:lineRule="auto"/>
        <w:jc w:val="both"/>
        <w:rPr/>
      </w:pPr>
      <w:r>
        <w:rPr>
          <w:color w:val="231F20"/>
        </w:rPr>
        <w:t>（1）点状血流：检测出的血流宽度和血流长度未发现显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"/>
        </w:rPr>
        <w:t>著差异，当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0.</w:t>
      </w:r>
      <w:r>
        <w:rPr>
          <w:rFonts w:ascii="Times New Roman" w:hAnsi="Times New Roman" w:eastAsia="Times New Roman" w:cs="Times New Roman"/>
          <w:color w:val="231F20"/>
          <w:spacing w:val="1"/>
        </w:rPr>
        <w:t>5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≤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RI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color w:val="231F20"/>
          <w:spacing w:val="1"/>
        </w:rPr>
        <w:t>＜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0.99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时为“高阻力型血流”，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0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≤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RI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0.5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时为“低阻力型血流”</w:t>
      </w:r>
      <w:r>
        <w:rPr>
          <w:sz w:val="11"/>
          <w:szCs w:val="11"/>
          <w:color w:val="231F20"/>
          <w:spacing w:val="-3"/>
          <w:position w:val="9"/>
        </w:rPr>
        <w:t>[6]</w:t>
      </w:r>
      <w:r>
        <w:rPr>
          <w:color w:val="231F20"/>
          <w:spacing w:val="3"/>
        </w:rPr>
        <w:t>；（</w:t>
      </w:r>
      <w:r>
        <w:rPr>
          <w:color w:val="231F20"/>
          <w:spacing w:val="-3"/>
        </w:rPr>
        <w:t>2）半环状或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环状血流：其中半环状血流在圆周长的二分之一到四分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之三范围内；环状血流则大于圆周长的四分之三，同时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还能观察到有相连性的网状结构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position w:val="9"/>
        </w:rPr>
        <w:t>[7]</w:t>
      </w:r>
      <w:r>
        <w:rPr>
          <w:sz w:val="11"/>
          <w:szCs w:val="11"/>
          <w:color w:val="231F20"/>
          <w:spacing w:val="-30"/>
          <w:position w:val="9"/>
        </w:rPr>
        <w:t xml:space="preserve"> </w:t>
      </w:r>
      <w:r>
        <w:rPr>
          <w:color w:val="231F20"/>
          <w:spacing w:val="-24"/>
        </w:rPr>
        <w:t>；（</w:t>
      </w:r>
      <w:r>
        <w:rPr>
          <w:color w:val="231F20"/>
        </w:rPr>
        <w:t>3）条状血流：检 </w:t>
      </w:r>
      <w:r>
        <w:rPr>
          <w:color w:val="231F20"/>
          <w:spacing w:val="-1"/>
        </w:rPr>
        <w:t>测血流在圆周长的四分之一到二分之一范围内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[8]</w:t>
      </w:r>
      <w:r>
        <w:rPr>
          <w:color w:val="231F20"/>
          <w:spacing w:val="-1"/>
        </w:rPr>
        <w:t>。</w:t>
      </w:r>
    </w:p>
    <w:p>
      <w:pPr>
        <w:pStyle w:val="BodyText"/>
        <w:ind w:left="1031"/>
        <w:spacing w:before="9" w:line="220" w:lineRule="auto"/>
        <w:rPr/>
      </w:pPr>
      <w:r>
        <w:rPr>
          <w:color w:val="231F20"/>
          <w:spacing w:val="-3"/>
        </w:rPr>
        <w:t>1.3 观察指标</w:t>
      </w:r>
    </w:p>
    <w:p>
      <w:pPr>
        <w:pStyle w:val="BodyText"/>
        <w:ind w:left="621" w:right="169" w:firstLine="401"/>
        <w:spacing w:before="64" w:line="282" w:lineRule="auto"/>
        <w:jc w:val="both"/>
        <w:rPr/>
      </w:pPr>
      <w:r>
        <w:rPr>
          <w:color w:val="231F20"/>
          <w:spacing w:val="6"/>
        </w:rPr>
        <w:t>（1）以手术病理结果为金标准，分析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TVS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诊断的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准确率、灵敏度、特异度。（2）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比较两组超声图像特</w:t>
      </w:r>
      <w:r>
        <w:rPr>
          <w:color w:val="231F20"/>
          <w:spacing w:val="-10"/>
        </w:rPr>
        <w:t>征，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比如血流信号形态（点状、条状、半环状或环状）、血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5"/>
        </w:rPr>
        <w:t>流频谱特征（舒张期、无张力期间、高阻力型、低阻力型</w:t>
      </w:r>
      <w:r>
        <w:rPr>
          <w:color w:val="231F20"/>
          <w:spacing w:val="-16"/>
        </w:rPr>
        <w:t>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/>
        <w:spacing w:before="38" w:line="220" w:lineRule="auto"/>
        <w:rPr/>
      </w:pPr>
      <w:r>
        <w:rPr>
          <w:color w:val="231F20"/>
          <w:spacing w:val="-3"/>
        </w:rPr>
        <w:t>（3）比较两组血流参数（</w:t>
      </w:r>
      <w:r>
        <w:rPr>
          <w:rFonts w:ascii="Times New Roman" w:hAnsi="Times New Roman" w:eastAsia="Times New Roman" w:cs="Times New Roman"/>
          <w:color w:val="231F20"/>
          <w:spacing w:val="-3"/>
        </w:rPr>
        <w:t>RI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color w:val="231F20"/>
          <w:spacing w:val="-3"/>
        </w:rPr>
        <w:t>PI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color w:val="231F20"/>
          <w:spacing w:val="-4"/>
        </w:rPr>
        <w:t>SV</w:t>
      </w:r>
      <w:r>
        <w:rPr>
          <w:color w:val="231F20"/>
          <w:spacing w:val="-4"/>
        </w:rPr>
        <w:t>）。</w:t>
      </w:r>
    </w:p>
    <w:p>
      <w:pPr>
        <w:pStyle w:val="BodyText"/>
        <w:ind w:left="419"/>
        <w:spacing w:before="62" w:line="221" w:lineRule="auto"/>
        <w:rPr/>
      </w:pPr>
      <w:r>
        <w:rPr>
          <w:color w:val="231F20"/>
          <w:spacing w:val="-5"/>
        </w:rPr>
        <w:t>1.4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统计学方法</w:t>
      </w:r>
    </w:p>
    <w:p>
      <w:pPr>
        <w:pStyle w:val="BodyText"/>
        <w:ind w:left="7" w:right="67" w:firstLine="396"/>
        <w:spacing w:before="61" w:line="276" w:lineRule="auto"/>
        <w:rPr/>
      </w:pPr>
      <w:r>
        <w:rPr>
          <w:color w:val="231F20"/>
        </w:rPr>
        <w:t>采用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SPSS   </w:t>
      </w:r>
      <w:r>
        <w:rPr>
          <w:color w:val="231F20"/>
        </w:rPr>
        <w:t>25.0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统计软件处理数据。符合</w:t>
      </w:r>
      <w:r>
        <w:rPr>
          <w:color w:val="231F20"/>
          <w:spacing w:val="-1"/>
        </w:rPr>
        <w:t>正态分布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的计量资料以均数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±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7"/>
        </w:rPr>
        <w:t>标准差（</w:t>
      </w:r>
      <w:r>
        <w:rPr>
          <w:rFonts w:ascii="Times New Roman" w:hAnsi="Times New Roman" w:eastAsia="Times New Roman" w:cs="Times New Roman"/>
          <w:i/>
          <w:iCs/>
          <w:color w:val="231F20"/>
          <w:spacing w:val="-7"/>
        </w:rPr>
        <w:t>x</w:t>
      </w:r>
      <w:r>
        <w:rPr>
          <w:sz w:val="11"/>
          <w:szCs w:val="11"/>
          <w:color w:val="231F20"/>
          <w:spacing w:val="-7"/>
          <w:position w:val="9"/>
        </w:rPr>
        <w:t>- </w:t>
      </w:r>
      <w:r>
        <w:rPr>
          <w:rFonts w:ascii="Times New Roman" w:hAnsi="Times New Roman" w:eastAsia="Times New Roman" w:cs="Times New Roman"/>
          <w:i/>
          <w:iCs/>
          <w:color w:val="231F20"/>
          <w:spacing w:val="-7"/>
        </w:rPr>
        <w:t>± s</w:t>
      </w:r>
      <w:r>
        <w:rPr>
          <w:color w:val="231F20"/>
          <w:spacing w:val="-7"/>
        </w:rPr>
        <w:t>）表示，采用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7"/>
        </w:rPr>
        <w:t>t </w:t>
      </w:r>
      <w:r>
        <w:rPr>
          <w:color w:val="231F20"/>
          <w:spacing w:val="-7"/>
        </w:rPr>
        <w:t>检验；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计数资料以频数（</w:t>
      </w:r>
      <w:r>
        <w:rPr>
          <w:rFonts w:ascii="Times New Roman" w:hAnsi="Times New Roman" w:eastAsia="Times New Roman" w:cs="Times New Roman"/>
          <w:i/>
          <w:iCs/>
          <w:color w:val="231F20"/>
          <w:spacing w:val="-9"/>
        </w:rPr>
        <w:t>n</w:t>
      </w:r>
      <w:r>
        <w:rPr>
          <w:color w:val="231F20"/>
          <w:spacing w:val="-9"/>
        </w:rPr>
        <w:t>）、百分率（%）表示，采用 </w:t>
      </w:r>
      <w:r>
        <w:rPr>
          <w:i/>
          <w:iCs/>
          <w:color w:val="231F20"/>
          <w:spacing w:val="-9"/>
        </w:rPr>
        <w:t>χ</w:t>
      </w:r>
      <w:r>
        <w:rPr>
          <w:sz w:val="11"/>
          <w:szCs w:val="11"/>
          <w:color w:val="231F20"/>
          <w:spacing w:val="-9"/>
          <w:position w:val="9"/>
        </w:rPr>
        <w:t>2 </w:t>
      </w:r>
      <w:r>
        <w:rPr>
          <w:color w:val="231F20"/>
          <w:spacing w:val="-17"/>
        </w:rPr>
        <w:t>检验；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一致性采用</w:t>
      </w:r>
      <w:r>
        <w:rPr>
          <w:color w:val="231F20"/>
          <w:spacing w:val="-5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Kappa </w:t>
      </w:r>
      <w:r>
        <w:rPr>
          <w:color w:val="231F20"/>
        </w:rPr>
        <w:t>检验，</w:t>
      </w:r>
      <w:r>
        <w:rPr>
          <w:rFonts w:ascii="Times New Roman" w:hAnsi="Times New Roman" w:eastAsia="Times New Roman" w:cs="Times New Roman"/>
          <w:i/>
          <w:iCs/>
          <w:color w:val="231F20"/>
        </w:rPr>
        <w:t>Kappa </w:t>
      </w:r>
      <w:r>
        <w:rPr>
          <w:color w:val="231F20"/>
        </w:rPr>
        <w:t>值≥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0.75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表</w:t>
      </w:r>
      <w:r>
        <w:rPr>
          <w:color w:val="231F20"/>
          <w:spacing w:val="-1"/>
        </w:rPr>
        <w:t>示一致性良</w:t>
      </w:r>
      <w:r>
        <w:rPr>
          <w:color w:val="231F20"/>
        </w:rPr>
        <w:t xml:space="preserve"> </w:t>
      </w:r>
      <w:r>
        <w:rPr>
          <w:color w:val="231F20"/>
        </w:rPr>
        <w:t>好，0.4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6"/>
        </w:rPr>
        <w:t>～＜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0.75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表示一致性尚可</w:t>
      </w:r>
      <w:r>
        <w:rPr>
          <w:color w:val="231F20"/>
          <w:spacing w:val="-6"/>
        </w:rPr>
        <w:t>，＜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0.4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则表示一致 </w:t>
      </w:r>
      <w:r>
        <w:rPr>
          <w:color w:val="231F20"/>
          <w:spacing w:val="-3"/>
        </w:rPr>
        <w:t>性较差。以</w:t>
      </w:r>
      <w:r>
        <w:rPr>
          <w:color w:val="231F20"/>
          <w:spacing w:val="-5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0.05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代表差异有统计学意义。</w:t>
      </w:r>
    </w:p>
    <w:p>
      <w:pPr>
        <w:ind w:left="6"/>
        <w:spacing w:before="5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left="407"/>
        <w:spacing w:before="54" w:line="220" w:lineRule="auto"/>
        <w:rPr/>
      </w:pPr>
      <w:r>
        <w:rPr>
          <w:color w:val="231F20"/>
          <w:spacing w:val="-1"/>
        </w:rPr>
        <w:t>2.1 </w:t>
      </w:r>
      <w:r>
        <w:rPr>
          <w:rFonts w:ascii="Times New Roman" w:hAnsi="Times New Roman" w:eastAsia="Times New Roman" w:cs="Times New Roman"/>
          <w:color w:val="231F20"/>
          <w:spacing w:val="-1"/>
        </w:rPr>
        <w:t>TVS </w:t>
      </w:r>
      <w:r>
        <w:rPr>
          <w:color w:val="231F20"/>
          <w:spacing w:val="-1"/>
        </w:rPr>
        <w:t>检查与病理结果比较</w:t>
      </w:r>
    </w:p>
    <w:p>
      <w:pPr>
        <w:pStyle w:val="BodyText"/>
        <w:ind w:left="7" w:right="70" w:firstLine="398"/>
        <w:spacing w:before="62" w:line="277" w:lineRule="auto"/>
        <w:rPr/>
      </w:pPr>
      <w:r>
        <w:rPr>
          <w:color w:val="231F20"/>
          <w:spacing w:val="1"/>
        </w:rPr>
        <w:t>经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TVS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检查卵巢黄体破裂和宫外孕破裂的准确率为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94.79%（91/96</w:t>
      </w:r>
      <w:r>
        <w:rPr>
          <w:color w:val="231F20"/>
        </w:rPr>
        <w:t>），</w:t>
      </w:r>
      <w:r>
        <w:rPr>
          <w:color w:val="231F20"/>
          <w:spacing w:val="2"/>
        </w:rPr>
        <w:t>特异度为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94.64%（53/56</w:t>
      </w:r>
      <w:r>
        <w:rPr>
          <w:color w:val="231F20"/>
        </w:rPr>
        <w:t>），</w:t>
      </w:r>
      <w:r>
        <w:rPr>
          <w:color w:val="231F20"/>
          <w:spacing w:val="2"/>
        </w:rPr>
        <w:t>灵敏度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为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8"/>
        </w:rPr>
        <w:t>95.00%（38/40</w:t>
      </w:r>
      <w:r>
        <w:rPr>
          <w:color w:val="231F20"/>
          <w:spacing w:val="17"/>
        </w:rPr>
        <w:t>），</w:t>
      </w:r>
      <w:r>
        <w:rPr>
          <w:color w:val="231F20"/>
          <w:spacing w:val="8"/>
        </w:rPr>
        <w:t>与病理诊断一致性良好（</w:t>
      </w:r>
      <w:r>
        <w:rPr>
          <w:rFonts w:ascii="Times New Roman" w:hAnsi="Times New Roman" w:eastAsia="Times New Roman" w:cs="Times New Roman"/>
          <w:i/>
          <w:iCs/>
          <w:color w:val="231F20"/>
        </w:rPr>
        <w:t>Kappa </w:t>
      </w:r>
      <w:r>
        <w:rPr>
          <w:color w:val="231F20"/>
          <w:spacing w:val="-1"/>
        </w:rPr>
        <w:t>值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"/>
        </w:rPr>
        <w:t>=0.893</w:t>
      </w:r>
      <w:r>
        <w:rPr>
          <w:color w:val="231F20"/>
        </w:rPr>
        <w:t>），</w:t>
      </w:r>
      <w:r>
        <w:rPr>
          <w:color w:val="231F20"/>
          <w:spacing w:val="-1"/>
        </w:rPr>
        <w:t>见表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"/>
        </w:rPr>
        <w:t>2。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ind w:left="1223"/>
        <w:spacing w:before="52" w:line="222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病理与</w:t>
      </w:r>
      <w:r>
        <w:rPr>
          <w:rFonts w:ascii="SimHei" w:hAnsi="SimHei" w:eastAsia="SimHei" w:cs="SimHei"/>
          <w:sz w:val="16"/>
          <w:szCs w:val="16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TVS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检查结果对比</w:t>
      </w:r>
      <w:r>
        <w:rPr>
          <w:rFonts w:ascii="SimHei" w:hAnsi="SimHei" w:eastAsia="SimHei" w:cs="SimHei"/>
          <w:sz w:val="16"/>
          <w:szCs w:val="16"/>
          <w:color w:val="231F20"/>
          <w:spacing w:val="1"/>
        </w:rPr>
        <w:t xml:space="preserve">        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单位：例</w:t>
      </w:r>
    </w:p>
    <w:p>
      <w:pPr>
        <w:spacing w:line="44" w:lineRule="exact"/>
        <w:rPr/>
      </w:pPr>
      <w:r/>
    </w:p>
    <w:tbl>
      <w:tblPr>
        <w:tblStyle w:val="TableNormal"/>
        <w:tblW w:w="49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33"/>
        <w:gridCol w:w="1277"/>
        <w:gridCol w:w="1189"/>
        <w:gridCol w:w="1233"/>
      </w:tblGrid>
      <w:tr>
        <w:trPr>
          <w:trHeight w:val="252" w:hRule="atLeast"/>
        </w:trPr>
        <w:tc>
          <w:tcPr>
            <w:tcW w:w="1233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470"/>
              <w:spacing w:before="198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TVS</w:t>
            </w:r>
          </w:p>
        </w:tc>
        <w:tc>
          <w:tcPr>
            <w:tcW w:w="2466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18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病理结果</w:t>
            </w:r>
          </w:p>
        </w:tc>
        <w:tc>
          <w:tcPr>
            <w:tcW w:w="1233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463"/>
              <w:spacing w:before="173" w:line="221" w:lineRule="auto"/>
              <w:rPr/>
            </w:pPr>
            <w:r>
              <w:rPr>
                <w:color w:val="231F20"/>
                <w:spacing w:val="-2"/>
              </w:rPr>
              <w:t>合计</w:t>
            </w:r>
          </w:p>
        </w:tc>
      </w:tr>
      <w:tr>
        <w:trPr>
          <w:trHeight w:val="244" w:hRule="atLeast"/>
        </w:trPr>
        <w:tc>
          <w:tcPr>
            <w:tcW w:w="1233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7"/>
              <w:spacing w:before="39" w:line="220" w:lineRule="auto"/>
              <w:rPr/>
            </w:pPr>
            <w:r>
              <w:rPr>
                <w:color w:val="231F20"/>
                <w:spacing w:val="-2"/>
              </w:rPr>
              <w:t>卵巢黄体破裂</w:t>
            </w:r>
          </w:p>
        </w:tc>
        <w:tc>
          <w:tcPr>
            <w:tcW w:w="118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7"/>
              <w:spacing w:before="40" w:line="220" w:lineRule="auto"/>
              <w:rPr/>
            </w:pPr>
            <w:r>
              <w:rPr>
                <w:color w:val="231F20"/>
                <w:spacing w:val="-3"/>
              </w:rPr>
              <w:t>宫外孕破裂</w:t>
            </w:r>
          </w:p>
        </w:tc>
        <w:tc>
          <w:tcPr>
            <w:tcW w:w="1233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tcW w:w="123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47"/>
              <w:spacing w:before="42" w:line="220" w:lineRule="auto"/>
              <w:rPr/>
            </w:pPr>
            <w:r>
              <w:rPr>
                <w:color w:val="231F20"/>
                <w:spacing w:val="-2"/>
              </w:rPr>
              <w:t>卵巢黄体破裂</w:t>
            </w:r>
          </w:p>
        </w:tc>
        <w:tc>
          <w:tcPr>
            <w:tcW w:w="127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46"/>
              <w:spacing w:before="42" w:line="221" w:lineRule="auto"/>
              <w:rPr/>
            </w:pPr>
            <w:r>
              <w:rPr>
                <w:color w:val="231F20"/>
                <w:spacing w:val="-3"/>
              </w:rPr>
              <w:t>38</w:t>
            </w:r>
          </w:p>
        </w:tc>
        <w:tc>
          <w:tcPr>
            <w:tcW w:w="118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82"/>
              <w:spacing w:before="42" w:line="221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123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42"/>
              <w:spacing w:before="42" w:line="221" w:lineRule="auto"/>
              <w:rPr/>
            </w:pPr>
            <w:r>
              <w:rPr>
                <w:color w:val="231F20"/>
                <w:spacing w:val="-2"/>
              </w:rPr>
              <w:t>41</w:t>
            </w:r>
          </w:p>
        </w:tc>
      </w:tr>
      <w:tr>
        <w:trPr>
          <w:trHeight w:val="255" w:hRule="atLeast"/>
        </w:trPr>
        <w:tc>
          <w:tcPr>
            <w:tcW w:w="12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0"/>
              <w:spacing w:before="55" w:line="219" w:lineRule="auto"/>
              <w:rPr/>
            </w:pPr>
            <w:r>
              <w:rPr>
                <w:color w:val="231F20"/>
                <w:spacing w:val="-3"/>
              </w:rPr>
              <w:t>宫外孕破裂</w:t>
            </w:r>
          </w:p>
        </w:tc>
        <w:tc>
          <w:tcPr>
            <w:tcW w:w="12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4"/>
              <w:spacing w:before="55" w:line="219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118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02"/>
              <w:spacing w:before="55" w:line="219" w:lineRule="auto"/>
              <w:rPr/>
            </w:pPr>
            <w:r>
              <w:rPr>
                <w:color w:val="231F20"/>
                <w:spacing w:val="-3"/>
              </w:rPr>
              <w:t>53</w:t>
            </w:r>
          </w:p>
        </w:tc>
        <w:tc>
          <w:tcPr>
            <w:tcW w:w="12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46"/>
              <w:spacing w:before="55" w:line="219" w:lineRule="auto"/>
              <w:rPr/>
            </w:pPr>
            <w:r>
              <w:rPr>
                <w:color w:val="231F20"/>
                <w:spacing w:val="-3"/>
              </w:rPr>
              <w:t>55</w:t>
            </w:r>
          </w:p>
        </w:tc>
      </w:tr>
      <w:tr>
        <w:trPr>
          <w:trHeight w:val="252" w:hRule="atLeast"/>
        </w:trPr>
        <w:tc>
          <w:tcPr>
            <w:tcW w:w="123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63"/>
              <w:spacing w:before="47" w:line="221" w:lineRule="auto"/>
              <w:rPr/>
            </w:pPr>
            <w:r>
              <w:rPr>
                <w:color w:val="231F20"/>
                <w:spacing w:val="-2"/>
              </w:rPr>
              <w:t>合计</w:t>
            </w:r>
          </w:p>
        </w:tc>
        <w:tc>
          <w:tcPr>
            <w:tcW w:w="12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2"/>
              <w:spacing w:before="47" w:line="225" w:lineRule="auto"/>
              <w:rPr/>
            </w:pPr>
            <w:r>
              <w:rPr>
                <w:color w:val="231F20"/>
                <w:spacing w:val="-2"/>
              </w:rPr>
              <w:t>40</w:t>
            </w:r>
          </w:p>
        </w:tc>
        <w:tc>
          <w:tcPr>
            <w:tcW w:w="118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02"/>
              <w:spacing w:before="47" w:line="225" w:lineRule="auto"/>
              <w:rPr/>
            </w:pPr>
            <w:r>
              <w:rPr>
                <w:color w:val="231F20"/>
                <w:spacing w:val="-3"/>
              </w:rPr>
              <w:t>56</w:t>
            </w:r>
          </w:p>
        </w:tc>
        <w:tc>
          <w:tcPr>
            <w:tcW w:w="123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3"/>
              <w:spacing w:before="47" w:line="225" w:lineRule="auto"/>
              <w:rPr/>
            </w:pPr>
            <w:r>
              <w:rPr>
                <w:color w:val="231F20"/>
                <w:spacing w:val="-2"/>
              </w:rPr>
              <w:t>96</w:t>
            </w:r>
          </w:p>
        </w:tc>
      </w:tr>
    </w:tbl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407"/>
        <w:spacing w:before="65" w:line="220" w:lineRule="auto"/>
        <w:rPr/>
      </w:pPr>
      <w:r>
        <w:rPr>
          <w:color w:val="231F20"/>
          <w:spacing w:val="-3"/>
        </w:rPr>
        <w:t>2.2 </w:t>
      </w:r>
      <w:r>
        <w:rPr>
          <w:rFonts w:ascii="Times New Roman" w:hAnsi="Times New Roman" w:eastAsia="Times New Roman" w:cs="Times New Roman"/>
          <w:color w:val="231F20"/>
          <w:spacing w:val="-3"/>
        </w:rPr>
        <w:t>TVS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图像特征</w:t>
      </w:r>
    </w:p>
    <w:p>
      <w:pPr>
        <w:pStyle w:val="BodyText"/>
        <w:ind w:left="29" w:right="80" w:firstLine="368"/>
        <w:spacing w:before="62" w:line="279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A </w:t>
      </w:r>
      <w:r>
        <w:rPr>
          <w:color w:val="231F20"/>
          <w:spacing w:val="3"/>
        </w:rPr>
        <w:t>组与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B </w:t>
      </w:r>
      <w:r>
        <w:rPr>
          <w:color w:val="231F20"/>
          <w:spacing w:val="3"/>
        </w:rPr>
        <w:t>组的血流信号形态、血流频谱特征方面对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比差异有统计学意义（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2"/>
        </w:rPr>
        <w:t xml:space="preserve"> </w:t>
      </w:r>
      <w:r>
        <w:rPr>
          <w:color w:val="231F20"/>
          <w:spacing w:val="-4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0.05</w:t>
      </w:r>
      <w:r>
        <w:rPr>
          <w:color w:val="231F20"/>
          <w:spacing w:val="2"/>
        </w:rPr>
        <w:t>），</w:t>
      </w:r>
      <w:r>
        <w:rPr>
          <w:color w:val="231F20"/>
          <w:spacing w:val="-4"/>
        </w:rPr>
        <w:t>见表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4"/>
        </w:rPr>
        <w:t>3。</w:t>
      </w:r>
    </w:p>
    <w:p>
      <w:pPr>
        <w:spacing w:line="279" w:lineRule="auto"/>
        <w:sectPr>
          <w:type w:val="continuous"/>
          <w:pgSz w:w="12246" w:h="16498"/>
          <w:pgMar w:top="1208" w:right="949" w:bottom="868" w:left="407" w:header="826" w:footer="526" w:gutter="0"/>
          <w:cols w:equalWidth="0" w:num="2">
            <w:col w:w="5785" w:space="100"/>
            <w:col w:w="5004" w:space="0"/>
          </w:cols>
        </w:sectPr>
        <w:rPr/>
      </w:pPr>
    </w:p>
    <w:p>
      <w:pPr>
        <w:spacing w:line="360" w:lineRule="auto"/>
        <w:rPr>
          <w:rFonts w:ascii="Arial"/>
          <w:sz w:val="21"/>
        </w:rPr>
      </w:pPr>
      <w:r/>
    </w:p>
    <w:p>
      <w:pPr>
        <w:ind w:left="4384"/>
        <w:spacing w:before="52" w:line="221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8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8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8"/>
        </w:rPr>
        <w:t>3</w:t>
      </w:r>
      <w:r>
        <w:rPr>
          <w:rFonts w:ascii="SimHei" w:hAnsi="SimHei" w:eastAsia="SimHei" w:cs="SimHei"/>
          <w:sz w:val="16"/>
          <w:szCs w:val="16"/>
          <w:color w:val="231F20"/>
          <w:spacing w:val="-8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8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8"/>
        </w:rPr>
        <w:t>组</w:t>
      </w:r>
      <w:r>
        <w:rPr>
          <w:rFonts w:ascii="SimHei" w:hAnsi="SimHei" w:eastAsia="SimHei" w:cs="SimHei"/>
          <w:sz w:val="16"/>
          <w:szCs w:val="16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>TVS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8"/>
        </w:rPr>
        <w:t>图像特征对比</w:t>
      </w:r>
      <w:r>
        <w:rPr>
          <w:rFonts w:ascii="SimHei" w:hAnsi="SimHei" w:eastAsia="SimHei" w:cs="SimHei"/>
          <w:sz w:val="16"/>
          <w:szCs w:val="16"/>
          <w:color w:val="231F20"/>
          <w:spacing w:val="-8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8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8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8"/>
        </w:rPr>
        <w:t>（%）]</w:t>
      </w:r>
    </w:p>
    <w:p>
      <w:pPr>
        <w:spacing w:line="45" w:lineRule="exact"/>
        <w:rPr/>
      </w:pPr>
      <w:r/>
    </w:p>
    <w:tbl>
      <w:tblPr>
        <w:tblStyle w:val="TableNormal"/>
        <w:tblW w:w="10208" w:type="dxa"/>
        <w:tblInd w:w="6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4"/>
        <w:gridCol w:w="972"/>
        <w:gridCol w:w="1073"/>
        <w:gridCol w:w="1220"/>
        <w:gridCol w:w="297"/>
        <w:gridCol w:w="974"/>
        <w:gridCol w:w="480"/>
        <w:gridCol w:w="769"/>
        <w:gridCol w:w="363"/>
        <w:gridCol w:w="1134"/>
        <w:gridCol w:w="792"/>
        <w:gridCol w:w="341"/>
        <w:gridCol w:w="809"/>
      </w:tblGrid>
      <w:tr>
        <w:trPr>
          <w:trHeight w:val="252" w:hRule="atLeast"/>
        </w:trPr>
        <w:tc>
          <w:tcPr>
            <w:tcW w:w="98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44"/>
              <w:spacing w:before="174" w:line="220" w:lineRule="auto"/>
              <w:rPr/>
            </w:pPr>
            <w:r>
              <w:rPr>
                <w:color w:val="231F20"/>
                <w:spacing w:val="-3"/>
              </w:rPr>
              <w:t>组别</w:t>
            </w:r>
          </w:p>
        </w:tc>
        <w:tc>
          <w:tcPr>
            <w:tcW w:w="972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36"/>
              <w:spacing w:before="173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3564" w:type="dxa"/>
            <w:vAlign w:val="top"/>
            <w:gridSpan w:val="4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28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血流信号形态</w:t>
            </w:r>
          </w:p>
        </w:tc>
        <w:tc>
          <w:tcPr>
            <w:tcW w:w="4688" w:type="dxa"/>
            <w:vAlign w:val="top"/>
            <w:gridSpan w:val="7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49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血流频谱特征</w:t>
            </w:r>
          </w:p>
        </w:tc>
      </w:tr>
      <w:tr>
        <w:trPr>
          <w:trHeight w:val="245" w:hRule="atLeast"/>
        </w:trPr>
        <w:tc>
          <w:tcPr>
            <w:tcW w:w="98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2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21"/>
              <w:spacing w:before="39" w:line="220" w:lineRule="auto"/>
              <w:rPr/>
            </w:pPr>
            <w:r>
              <w:rPr>
                <w:color w:val="231F20"/>
                <w:spacing w:val="-4"/>
              </w:rPr>
              <w:t>点状</w:t>
            </w:r>
          </w:p>
        </w:tc>
        <w:tc>
          <w:tcPr>
            <w:tcW w:w="122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6"/>
              <w:spacing w:before="39" w:line="220" w:lineRule="auto"/>
              <w:rPr/>
            </w:pPr>
            <w:r>
              <w:rPr>
                <w:color w:val="231F20"/>
                <w:spacing w:val="-2"/>
              </w:rPr>
              <w:t>半环状或环状</w:t>
            </w:r>
          </w:p>
        </w:tc>
        <w:tc>
          <w:tcPr>
            <w:tcW w:w="1271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89"/>
              <w:spacing w:before="39" w:line="220" w:lineRule="auto"/>
              <w:rPr/>
            </w:pPr>
            <w:r>
              <w:rPr>
                <w:color w:val="231F20"/>
                <w:spacing w:val="-2"/>
              </w:rPr>
              <w:t>条状</w:t>
            </w:r>
          </w:p>
        </w:tc>
        <w:tc>
          <w:tcPr>
            <w:tcW w:w="1249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8"/>
              <w:spacing w:before="39" w:line="220" w:lineRule="auto"/>
              <w:rPr/>
            </w:pPr>
            <w:r>
              <w:rPr>
                <w:color w:val="231F20"/>
                <w:spacing w:val="-2"/>
              </w:rPr>
              <w:t>低阻力型</w:t>
            </w:r>
          </w:p>
        </w:tc>
        <w:tc>
          <w:tcPr>
            <w:tcW w:w="2289" w:type="dxa"/>
            <w:vAlign w:val="top"/>
            <w:gridSpan w:val="3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8"/>
              <w:spacing w:before="39" w:line="220" w:lineRule="auto"/>
              <w:rPr/>
            </w:pPr>
            <w:r>
              <w:rPr>
                <w:color w:val="231F20"/>
                <w:spacing w:val="-2"/>
              </w:rPr>
              <w:t>高阻力型</w:t>
            </w:r>
            <w:r>
              <w:rPr>
                <w:color w:val="231F20"/>
                <w:spacing w:val="4"/>
              </w:rPr>
              <w:t xml:space="preserve">     </w:t>
            </w:r>
            <w:r>
              <w:rPr>
                <w:color w:val="231F20"/>
                <w:spacing w:val="-2"/>
              </w:rPr>
              <w:t>无张力期间</w:t>
            </w:r>
          </w:p>
        </w:tc>
        <w:tc>
          <w:tcPr>
            <w:tcW w:w="1150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51"/>
              <w:spacing w:before="40" w:line="220" w:lineRule="auto"/>
              <w:rPr/>
            </w:pPr>
            <w:r>
              <w:rPr>
                <w:color w:val="231F20"/>
                <w:spacing w:val="-2"/>
              </w:rPr>
              <w:t>舒张期</w:t>
            </w:r>
          </w:p>
        </w:tc>
      </w:tr>
      <w:tr>
        <w:trPr>
          <w:trHeight w:val="240" w:hRule="atLeast"/>
        </w:trPr>
        <w:tc>
          <w:tcPr>
            <w:tcW w:w="98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39"/>
              <w:spacing w:before="41" w:line="21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组</w:t>
            </w:r>
          </w:p>
        </w:tc>
        <w:tc>
          <w:tcPr>
            <w:tcW w:w="97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15"/>
              <w:spacing w:before="41" w:line="217" w:lineRule="auto"/>
              <w:rPr/>
            </w:pPr>
            <w:r>
              <w:rPr>
                <w:color w:val="231F20"/>
                <w:spacing w:val="-2"/>
              </w:rPr>
              <w:t>40</w:t>
            </w:r>
          </w:p>
        </w:tc>
        <w:tc>
          <w:tcPr>
            <w:tcW w:w="107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14"/>
              <w:spacing w:before="41" w:line="217" w:lineRule="auto"/>
              <w:rPr/>
            </w:pPr>
            <w:r>
              <w:rPr>
                <w:color w:val="231F20"/>
                <w:spacing w:val="-2"/>
              </w:rPr>
              <w:t>0（0.00）</w:t>
            </w:r>
          </w:p>
        </w:tc>
        <w:tc>
          <w:tcPr>
            <w:tcW w:w="122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97"/>
              <w:spacing w:before="41" w:line="217" w:lineRule="auto"/>
              <w:rPr/>
            </w:pPr>
            <w:r>
              <w:rPr>
                <w:color w:val="231F20"/>
                <w:spacing w:val="-2"/>
              </w:rPr>
              <w:t>38（95.00）</w:t>
            </w:r>
          </w:p>
        </w:tc>
        <w:tc>
          <w:tcPr>
            <w:tcW w:w="29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89"/>
              <w:spacing w:before="41" w:line="217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97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before="41" w:line="217" w:lineRule="auto"/>
              <w:rPr/>
            </w:pPr>
            <w:r>
              <w:rPr>
                <w:color w:val="231F20"/>
                <w:spacing w:val="-6"/>
              </w:rPr>
              <w:t>（5.00）</w:t>
            </w:r>
          </w:p>
        </w:tc>
        <w:tc>
          <w:tcPr>
            <w:tcW w:w="48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92"/>
              <w:spacing w:before="41" w:line="217" w:lineRule="auto"/>
              <w:rPr/>
            </w:pPr>
            <w:r>
              <w:rPr>
                <w:color w:val="231F20"/>
                <w:spacing w:val="-3"/>
              </w:rPr>
              <w:t>35</w:t>
            </w:r>
          </w:p>
        </w:tc>
        <w:tc>
          <w:tcPr>
            <w:tcW w:w="76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before="41" w:line="217" w:lineRule="auto"/>
              <w:rPr/>
            </w:pPr>
            <w:r>
              <w:rPr>
                <w:color w:val="231F20"/>
                <w:spacing w:val="-5"/>
              </w:rPr>
              <w:t>（87.50）</w:t>
            </w:r>
          </w:p>
        </w:tc>
        <w:tc>
          <w:tcPr>
            <w:tcW w:w="36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57"/>
              <w:spacing w:before="41" w:line="217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113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before="41" w:line="217" w:lineRule="auto"/>
              <w:rPr/>
            </w:pPr>
            <w:r>
              <w:rPr>
                <w:color w:val="231F20"/>
                <w:spacing w:val="-3"/>
              </w:rPr>
              <w:t>（12.50）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0</w:t>
            </w:r>
          </w:p>
        </w:tc>
        <w:tc>
          <w:tcPr>
            <w:tcW w:w="79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before="41" w:line="217" w:lineRule="auto"/>
              <w:rPr/>
            </w:pPr>
            <w:r>
              <w:rPr>
                <w:color w:val="231F20"/>
                <w:spacing w:val="-6"/>
              </w:rPr>
              <w:t>（0.00）</w:t>
            </w:r>
          </w:p>
        </w:tc>
        <w:tc>
          <w:tcPr>
            <w:tcW w:w="34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32"/>
              <w:spacing w:before="41" w:line="217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80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before="41" w:line="217" w:lineRule="auto"/>
              <w:rPr/>
            </w:pPr>
            <w:r>
              <w:rPr>
                <w:color w:val="231F20"/>
                <w:spacing w:val="-6"/>
              </w:rPr>
              <w:t>（0.00）</w:t>
            </w:r>
          </w:p>
        </w:tc>
      </w:tr>
      <w:tr>
        <w:trPr>
          <w:trHeight w:val="250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345"/>
              <w:spacing w:before="58" w:line="209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B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组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419"/>
              <w:spacing w:before="58" w:line="209" w:lineRule="auto"/>
              <w:rPr/>
            </w:pPr>
            <w:r>
              <w:rPr>
                <w:color w:val="231F20"/>
                <w:spacing w:val="-3"/>
              </w:rPr>
              <w:t>56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136"/>
              <w:spacing w:before="58" w:line="209" w:lineRule="auto"/>
              <w:rPr/>
            </w:pPr>
            <w:r>
              <w:rPr>
                <w:color w:val="231F20"/>
                <w:spacing w:val="-2"/>
              </w:rPr>
              <w:t>34（60.71）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273"/>
              <w:spacing w:before="58" w:line="209" w:lineRule="auto"/>
              <w:rPr/>
            </w:pPr>
            <w:r>
              <w:rPr>
                <w:color w:val="231F20"/>
                <w:spacing w:val="-1"/>
              </w:rPr>
              <w:t>4（7.14）</w:t>
            </w:r>
          </w:p>
        </w:tc>
        <w:tc>
          <w:tcPr>
            <w:tcW w:w="297" w:type="dxa"/>
            <w:vAlign w:val="top"/>
          </w:tcPr>
          <w:p>
            <w:pPr>
              <w:pStyle w:val="TableText"/>
              <w:ind w:left="119"/>
              <w:spacing w:before="58" w:line="209" w:lineRule="auto"/>
              <w:rPr/>
            </w:pPr>
            <w:r>
              <w:rPr>
                <w:color w:val="231F20"/>
                <w:spacing w:val="-5"/>
              </w:rPr>
              <w:t>18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spacing w:before="58" w:line="209" w:lineRule="auto"/>
              <w:rPr/>
            </w:pPr>
            <w:r>
              <w:rPr>
                <w:color w:val="231F20"/>
                <w:spacing w:val="-4"/>
              </w:rPr>
              <w:t>（32.14）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370"/>
              <w:spacing w:before="58" w:line="209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spacing w:before="58" w:line="209" w:lineRule="auto"/>
              <w:rPr/>
            </w:pPr>
            <w:r>
              <w:rPr>
                <w:color w:val="231F20"/>
                <w:spacing w:val="-5"/>
              </w:rPr>
              <w:t>（10.71）</w:t>
            </w:r>
          </w:p>
        </w:tc>
        <w:tc>
          <w:tcPr>
            <w:tcW w:w="363" w:type="dxa"/>
            <w:vAlign w:val="top"/>
          </w:tcPr>
          <w:p>
            <w:pPr>
              <w:pStyle w:val="TableText"/>
              <w:ind w:left="176"/>
              <w:spacing w:before="58" w:line="209" w:lineRule="auto"/>
              <w:rPr/>
            </w:pPr>
            <w:r>
              <w:rPr>
                <w:color w:val="231F20"/>
                <w:spacing w:val="-3"/>
              </w:rPr>
              <w:t>28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spacing w:before="58" w:line="209" w:lineRule="auto"/>
              <w:rPr/>
            </w:pPr>
            <w:r>
              <w:rPr>
                <w:color w:val="231F20"/>
                <w:spacing w:val="-3"/>
              </w:rPr>
              <w:t>（50.00）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9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spacing w:before="58" w:line="209" w:lineRule="auto"/>
              <w:rPr/>
            </w:pPr>
            <w:r>
              <w:rPr>
                <w:color w:val="231F20"/>
                <w:spacing w:val="-5"/>
              </w:rPr>
              <w:t>（16.07）</w:t>
            </w:r>
          </w:p>
        </w:tc>
        <w:tc>
          <w:tcPr>
            <w:tcW w:w="341" w:type="dxa"/>
            <w:vAlign w:val="top"/>
          </w:tcPr>
          <w:p>
            <w:pPr>
              <w:pStyle w:val="TableText"/>
              <w:ind w:left="163"/>
              <w:spacing w:before="58" w:line="209" w:lineRule="auto"/>
              <w:rPr/>
            </w:pPr>
            <w:r>
              <w:rPr>
                <w:color w:val="231F20"/>
                <w:spacing w:val="-5"/>
              </w:rPr>
              <w:t>13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spacing w:before="58" w:line="209" w:lineRule="auto"/>
              <w:rPr/>
            </w:pPr>
            <w:r>
              <w:rPr>
                <w:color w:val="231F20"/>
                <w:spacing w:val="-5"/>
              </w:rPr>
              <w:t>（23.21）</w:t>
            </w:r>
          </w:p>
        </w:tc>
      </w:tr>
      <w:tr>
        <w:trPr>
          <w:trHeight w:val="266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436"/>
              <w:spacing w:before="45" w:line="210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</w:p>
        </w:tc>
        <w:tc>
          <w:tcPr>
            <w:tcW w:w="9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</w:tcPr>
          <w:p>
            <w:pPr>
              <w:pStyle w:val="TableText"/>
              <w:ind w:left="397"/>
              <w:spacing w:before="65" w:line="220" w:lineRule="auto"/>
              <w:rPr/>
            </w:pPr>
            <w:r>
              <w:rPr>
                <w:color w:val="231F20"/>
                <w:spacing w:val="-2"/>
              </w:rPr>
              <w:t>73.704</w:t>
            </w:r>
          </w:p>
        </w:tc>
        <w:tc>
          <w:tcPr>
            <w:tcW w:w="2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4" w:type="dxa"/>
            <w:vAlign w:val="top"/>
          </w:tcPr>
          <w:p>
            <w:pPr>
              <w:pStyle w:val="TableText"/>
              <w:ind w:left="579"/>
              <w:spacing w:before="65" w:line="220" w:lineRule="auto"/>
              <w:rPr/>
            </w:pPr>
            <w:r>
              <w:rPr>
                <w:color w:val="231F20"/>
                <w:spacing w:val="-2"/>
              </w:rPr>
              <w:t>57.472</w:t>
            </w:r>
          </w:p>
        </w:tc>
        <w:tc>
          <w:tcPr>
            <w:tcW w:w="7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1" w:hRule="atLeast"/>
        </w:trPr>
        <w:tc>
          <w:tcPr>
            <w:tcW w:w="984" w:type="dxa"/>
            <w:vAlign w:val="top"/>
            <w:tcBorders>
              <w:bottom w:val="single" w:color="231F20" w:sz="4" w:space="0"/>
            </w:tcBorders>
          </w:tcPr>
          <w:p>
            <w:pPr>
              <w:ind w:left="444"/>
              <w:spacing w:before="83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97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85"/>
              <w:spacing w:before="55" w:line="225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0.001</w:t>
            </w:r>
          </w:p>
        </w:tc>
        <w:tc>
          <w:tcPr>
            <w:tcW w:w="29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76"/>
              <w:spacing w:before="55" w:line="225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0.001</w:t>
            </w:r>
          </w:p>
        </w:tc>
        <w:tc>
          <w:tcPr>
            <w:tcW w:w="79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1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pacing w:line="176" w:lineRule="exact"/>
        <w:rPr/>
      </w:pPr>
      <w:r/>
    </w:p>
    <w:p>
      <w:pPr>
        <w:spacing w:line="176" w:lineRule="exact"/>
        <w:sectPr>
          <w:type w:val="continuous"/>
          <w:pgSz w:w="12246" w:h="16498"/>
          <w:pgMar w:top="1208" w:right="949" w:bottom="868" w:left="407" w:header="826" w:footer="526" w:gutter="0"/>
          <w:cols w:equalWidth="0" w:num="1">
            <w:col w:w="10889" w:space="0"/>
          </w:cols>
        </w:sectPr>
        <w:rPr/>
      </w:pPr>
    </w:p>
    <w:p>
      <w:pPr>
        <w:pStyle w:val="BodyText"/>
        <w:ind w:left="1019"/>
        <w:spacing w:before="39" w:line="220" w:lineRule="auto"/>
        <w:rPr/>
      </w:pPr>
      <w:r>
        <w:rPr>
          <w:color w:val="231F20"/>
          <w:spacing w:val="-2"/>
        </w:rPr>
        <w:t>2.3 </w:t>
      </w:r>
      <w:r>
        <w:rPr>
          <w:rFonts w:ascii="Times New Roman" w:hAnsi="Times New Roman" w:eastAsia="Times New Roman" w:cs="Times New Roman"/>
          <w:color w:val="231F20"/>
          <w:spacing w:val="-2"/>
        </w:rPr>
        <w:t>TVS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color w:val="231F20"/>
          <w:spacing w:val="-2"/>
        </w:rPr>
        <w:t>血流参数</w:t>
      </w:r>
    </w:p>
    <w:p>
      <w:pPr>
        <w:pStyle w:val="BodyText"/>
        <w:ind w:left="620" w:right="256" w:firstLine="390"/>
        <w:spacing w:before="67" w:line="285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组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RI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3"/>
        </w:rPr>
        <w:t>、</w:t>
      </w:r>
      <w:r>
        <w:rPr>
          <w:rFonts w:ascii="Times New Roman" w:hAnsi="Times New Roman" w:eastAsia="Times New Roman" w:cs="Times New Roman"/>
          <w:color w:val="231F20"/>
        </w:rPr>
        <w:t>PI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低于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B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3"/>
        </w:rPr>
        <w:t>组、</w:t>
      </w:r>
      <w:r>
        <w:rPr>
          <w:rFonts w:ascii="Times New Roman" w:hAnsi="Times New Roman" w:eastAsia="Times New Roman" w:cs="Times New Roman"/>
          <w:color w:val="231F20"/>
        </w:rPr>
        <w:t>PSV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color w:val="231F20"/>
          <w:spacing w:val="3"/>
        </w:rPr>
        <w:t>高于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B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3"/>
        </w:rPr>
        <w:t>组，差异有统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0.05</w:t>
      </w:r>
      <w:r>
        <w:rPr>
          <w:color w:val="231F20"/>
          <w:spacing w:val="4"/>
        </w:rPr>
        <w:t>），</w:t>
      </w:r>
      <w:r>
        <w:rPr>
          <w:color w:val="231F20"/>
          <w:spacing w:val="-4"/>
        </w:rPr>
        <w:t>见表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4"/>
        </w:rPr>
        <w:t>4。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1927"/>
        <w:spacing w:before="53" w:line="221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6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4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组血流参数对比（x±s）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6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3"/>
        <w:gridCol w:w="683"/>
        <w:gridCol w:w="1045"/>
        <w:gridCol w:w="1377"/>
        <w:gridCol w:w="1054"/>
      </w:tblGrid>
      <w:tr>
        <w:trPr>
          <w:trHeight w:val="251" w:hRule="atLeast"/>
        </w:trPr>
        <w:tc>
          <w:tcPr>
            <w:tcW w:w="77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5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组别</w:t>
            </w:r>
          </w:p>
        </w:tc>
        <w:tc>
          <w:tcPr>
            <w:tcW w:w="68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4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04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467"/>
              <w:spacing w:before="72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RI</w:t>
            </w:r>
          </w:p>
        </w:tc>
        <w:tc>
          <w:tcPr>
            <w:tcW w:w="13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8"/>
              <w:spacing w:before="25" w:line="215" w:lineRule="exac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8"/>
                <w:position w:val="1"/>
              </w:rPr>
              <w:t>PSV</w:t>
            </w:r>
            <w:r>
              <w:rPr>
                <w:color w:val="231F20"/>
                <w:spacing w:val="-8"/>
                <w:position w:val="1"/>
              </w:rPr>
              <w:t>/（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  <w:position w:val="1"/>
              </w:rPr>
              <w:t>cm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·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  <w:position w:val="1"/>
              </w:rPr>
              <w:t>s</w:t>
            </w:r>
            <w:r>
              <w:rPr>
                <w:sz w:val="9"/>
                <w:szCs w:val="9"/>
                <w:color w:val="231F20"/>
                <w:spacing w:val="3"/>
                <w:position w:val="7"/>
              </w:rPr>
              <w:t>-1</w:t>
            </w:r>
            <w:r>
              <w:rPr>
                <w:color w:val="231F20"/>
                <w:spacing w:val="3"/>
                <w:position w:val="1"/>
              </w:rPr>
              <w:t>）</w:t>
            </w:r>
          </w:p>
        </w:tc>
        <w:tc>
          <w:tcPr>
            <w:tcW w:w="105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481"/>
              <w:spacing w:before="72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PI</w:t>
            </w:r>
          </w:p>
        </w:tc>
      </w:tr>
      <w:tr>
        <w:trPr>
          <w:trHeight w:val="240" w:hRule="atLeast"/>
        </w:trPr>
        <w:tc>
          <w:tcPr>
            <w:tcW w:w="77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40"/>
              <w:spacing w:before="41" w:line="218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组</w:t>
            </w:r>
          </w:p>
        </w:tc>
        <w:tc>
          <w:tcPr>
            <w:tcW w:w="68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03"/>
              <w:spacing w:before="41" w:line="218" w:lineRule="auto"/>
              <w:rPr/>
            </w:pPr>
            <w:r>
              <w:rPr>
                <w:color w:val="231F20"/>
                <w:spacing w:val="-2"/>
              </w:rPr>
              <w:t>40</w:t>
            </w:r>
          </w:p>
        </w:tc>
        <w:tc>
          <w:tcPr>
            <w:tcW w:w="104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52"/>
              <w:spacing w:before="41" w:line="218" w:lineRule="auto"/>
              <w:rPr/>
            </w:pPr>
            <w:r>
              <w:rPr>
                <w:color w:val="231F20"/>
                <w:spacing w:val="-1"/>
              </w:rPr>
              <w:t>0.44±0.08</w:t>
            </w:r>
          </w:p>
        </w:tc>
        <w:tc>
          <w:tcPr>
            <w:tcW w:w="137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85"/>
              <w:spacing w:before="41" w:line="218" w:lineRule="auto"/>
              <w:rPr/>
            </w:pPr>
            <w:r>
              <w:rPr>
                <w:color w:val="231F20"/>
                <w:spacing w:val="-2"/>
              </w:rPr>
              <w:t>15.83±1.17</w:t>
            </w:r>
          </w:p>
        </w:tc>
        <w:tc>
          <w:tcPr>
            <w:tcW w:w="105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57"/>
              <w:spacing w:before="41" w:line="218" w:lineRule="auto"/>
              <w:rPr/>
            </w:pPr>
            <w:r>
              <w:rPr>
                <w:color w:val="231F20"/>
                <w:spacing w:val="-1"/>
              </w:rPr>
              <w:t>0.74±0.08</w:t>
            </w:r>
          </w:p>
        </w:tc>
      </w:tr>
      <w:tr>
        <w:trPr>
          <w:trHeight w:val="264" w:hRule="atLeast"/>
        </w:trPr>
        <w:tc>
          <w:tcPr>
            <w:tcW w:w="773" w:type="dxa"/>
            <w:vAlign w:val="top"/>
          </w:tcPr>
          <w:p>
            <w:pPr>
              <w:pStyle w:val="TableText"/>
              <w:ind w:left="246"/>
              <w:spacing w:before="58" w:line="226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B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组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307"/>
              <w:spacing w:before="58" w:line="226" w:lineRule="auto"/>
              <w:rPr/>
            </w:pPr>
            <w:r>
              <w:rPr>
                <w:color w:val="231F20"/>
                <w:spacing w:val="-3"/>
              </w:rPr>
              <w:t>56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152"/>
              <w:spacing w:before="58" w:line="226" w:lineRule="auto"/>
              <w:rPr/>
            </w:pPr>
            <w:r>
              <w:rPr>
                <w:color w:val="231F20"/>
                <w:spacing w:val="-1"/>
              </w:rPr>
              <w:t>0.62±0.09</w:t>
            </w:r>
          </w:p>
        </w:tc>
        <w:tc>
          <w:tcPr>
            <w:tcW w:w="1377" w:type="dxa"/>
            <w:vAlign w:val="top"/>
          </w:tcPr>
          <w:p>
            <w:pPr>
              <w:pStyle w:val="TableText"/>
              <w:ind w:left="285"/>
              <w:spacing w:before="58" w:line="226" w:lineRule="auto"/>
              <w:rPr/>
            </w:pPr>
            <w:r>
              <w:rPr>
                <w:color w:val="231F20"/>
                <w:spacing w:val="-2"/>
              </w:rPr>
              <w:t>12.21±1.46</w:t>
            </w:r>
          </w:p>
        </w:tc>
        <w:tc>
          <w:tcPr>
            <w:tcW w:w="1054" w:type="dxa"/>
            <w:vAlign w:val="top"/>
          </w:tcPr>
          <w:p>
            <w:pPr>
              <w:pStyle w:val="TableText"/>
              <w:ind w:left="157"/>
              <w:spacing w:before="58" w:line="226" w:lineRule="auto"/>
              <w:rPr/>
            </w:pPr>
            <w:r>
              <w:rPr>
                <w:color w:val="231F20"/>
                <w:spacing w:val="-1"/>
              </w:rPr>
              <w:t>0.93±0.22</w:t>
            </w:r>
          </w:p>
        </w:tc>
      </w:tr>
      <w:tr>
        <w:trPr>
          <w:trHeight w:val="251" w:hRule="atLeast"/>
        </w:trPr>
        <w:tc>
          <w:tcPr>
            <w:tcW w:w="773" w:type="dxa"/>
            <w:vAlign w:val="top"/>
          </w:tcPr>
          <w:p>
            <w:pPr>
              <w:ind w:left="381"/>
              <w:spacing w:before="93" w:line="16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</w:rPr>
              <w:t>t</w:t>
            </w:r>
          </w:p>
        </w:tc>
        <w:tc>
          <w:tcPr>
            <w:tcW w:w="683" w:type="dxa"/>
            <w:vAlign w:val="top"/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45" w:type="dxa"/>
            <w:vAlign w:val="top"/>
          </w:tcPr>
          <w:p>
            <w:pPr>
              <w:pStyle w:val="TableText"/>
              <w:ind w:left="323"/>
              <w:spacing w:before="50" w:line="220" w:lineRule="auto"/>
              <w:rPr/>
            </w:pPr>
            <w:r>
              <w:rPr>
                <w:color w:val="231F20"/>
                <w:spacing w:val="-3"/>
              </w:rPr>
              <w:t>10.111</w:t>
            </w:r>
          </w:p>
        </w:tc>
        <w:tc>
          <w:tcPr>
            <w:tcW w:w="1377" w:type="dxa"/>
            <w:vAlign w:val="top"/>
          </w:tcPr>
          <w:p>
            <w:pPr>
              <w:pStyle w:val="TableText"/>
              <w:ind w:left="485"/>
              <w:spacing w:before="50" w:line="220" w:lineRule="auto"/>
              <w:rPr/>
            </w:pPr>
            <w:r>
              <w:rPr>
                <w:color w:val="231F20"/>
                <w:spacing w:val="-3"/>
              </w:rPr>
              <w:t>12.978</w:t>
            </w:r>
          </w:p>
        </w:tc>
        <w:tc>
          <w:tcPr>
            <w:tcW w:w="1054" w:type="dxa"/>
            <w:vAlign w:val="top"/>
          </w:tcPr>
          <w:p>
            <w:pPr>
              <w:pStyle w:val="TableText"/>
              <w:ind w:left="359"/>
              <w:spacing w:before="50" w:line="220" w:lineRule="auto"/>
              <w:rPr/>
            </w:pPr>
            <w:r>
              <w:rPr>
                <w:color w:val="231F20"/>
                <w:spacing w:val="-2"/>
              </w:rPr>
              <w:t>5.214</w:t>
            </w:r>
          </w:p>
        </w:tc>
      </w:tr>
      <w:tr>
        <w:trPr>
          <w:trHeight w:val="261" w:hRule="atLeast"/>
        </w:trPr>
        <w:tc>
          <w:tcPr>
            <w:tcW w:w="773" w:type="dxa"/>
            <w:vAlign w:val="top"/>
            <w:tcBorders>
              <w:bottom w:val="single" w:color="231F20" w:sz="4" w:space="0"/>
            </w:tcBorders>
          </w:tcPr>
          <w:p>
            <w:pPr>
              <w:ind w:left="345"/>
              <w:spacing w:before="83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68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9"/>
              <w:spacing w:before="56" w:line="225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0.001</w:t>
            </w:r>
          </w:p>
        </w:tc>
        <w:tc>
          <w:tcPr>
            <w:tcW w:w="13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59"/>
              <w:spacing w:before="56" w:line="225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0.001</w:t>
            </w:r>
          </w:p>
        </w:tc>
        <w:tc>
          <w:tcPr>
            <w:tcW w:w="105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1"/>
              <w:spacing w:before="56" w:line="225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0.001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019"/>
        <w:spacing w:before="66" w:line="220" w:lineRule="auto"/>
        <w:rPr/>
      </w:pPr>
      <w:r>
        <w:rPr>
          <w:color w:val="231F20"/>
          <w:spacing w:val="-1"/>
        </w:rPr>
        <w:t>2.4 影像学表现</w:t>
      </w:r>
    </w:p>
    <w:p>
      <w:pPr>
        <w:pStyle w:val="BodyText"/>
        <w:ind w:left="621" w:right="254" w:firstLine="389"/>
        <w:spacing w:before="67" w:line="234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A </w:t>
      </w:r>
      <w:r>
        <w:rPr>
          <w:color w:val="231F20"/>
          <w:spacing w:val="5"/>
        </w:rPr>
        <w:t>组的超声声像表现为：在子宫附件区可见囊性实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质性包块，可见包块形态不规则，且大小不</w:t>
      </w:r>
      <w:r>
        <w:rPr>
          <w:color w:val="231F20"/>
          <w:spacing w:val="4"/>
        </w:rPr>
        <w:t>一，包膜边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"/>
        <w:spacing w:before="38" w:line="288" w:lineRule="auto"/>
        <w:jc w:val="both"/>
        <w:rPr/>
      </w:pPr>
      <w:r>
        <w:rPr>
          <w:color w:val="231F20"/>
          <w:spacing w:val="-8"/>
        </w:rPr>
        <w:t>界不清晰，有杂乱的回声；血流型号以半环状或环状</w:t>
      </w:r>
      <w:r>
        <w:rPr>
          <w:color w:val="231F20"/>
          <w:spacing w:val="-9"/>
        </w:rPr>
        <w:t>为主，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血流色彩明亮，且充盈度饱满，在内部未见较多血流信号。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回声为低回声，内部可见强回声，以低阻力型血流频谱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特征为主。</w:t>
      </w:r>
    </w:p>
    <w:p>
      <w:pPr>
        <w:pStyle w:val="BodyText"/>
        <w:ind w:right="70" w:firstLine="393"/>
        <w:spacing w:line="288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B </w:t>
      </w:r>
      <w:r>
        <w:rPr>
          <w:color w:val="231F20"/>
          <w:spacing w:val="6"/>
        </w:rPr>
        <w:t>组的超声声像表现为：在子宫内未发现有孕囊，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也未观察到孕囊的超声表现，子宫附件区可</w:t>
      </w:r>
      <w:r>
        <w:rPr>
          <w:color w:val="231F20"/>
          <w:spacing w:val="4"/>
        </w:rPr>
        <w:t>见到边界模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糊、不规则的包块，且包块为高回声，检测包块周围的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情况，其血流频谱主要是以高阻力型血流为主，其次则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是舒张期血流；血流信号则主要为点状。大部分患者经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检查都能看到子宫、直肠窝内有游离性暗区，且患者阴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道出血量越多，则该暗区有越大的深度。</w:t>
      </w:r>
    </w:p>
    <w:p>
      <w:pPr>
        <w:spacing w:before="1" w:line="223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讨论</w:t>
      </w:r>
    </w:p>
    <w:p>
      <w:pPr>
        <w:pStyle w:val="BodyText"/>
        <w:ind w:left="403"/>
        <w:spacing w:before="70" w:line="193" w:lineRule="auto"/>
        <w:rPr/>
      </w:pPr>
      <w:r>
        <w:rPr>
          <w:color w:val="231F20"/>
          <w:spacing w:val="5"/>
        </w:rPr>
        <w:t>卵巢黄体破裂作为一种急腹症，因女性黄体内有丰</w:t>
      </w:r>
    </w:p>
    <w:p>
      <w:pPr>
        <w:spacing w:line="193" w:lineRule="auto"/>
        <w:sectPr>
          <w:type w:val="continuous"/>
          <w:pgSz w:w="12246" w:h="16498"/>
          <w:pgMar w:top="1208" w:right="949" w:bottom="868" w:left="407" w:header="826" w:footer="526" w:gutter="0"/>
          <w:cols w:equalWidth="0" w:num="2">
            <w:col w:w="5792" w:space="100"/>
            <w:col w:w="4997" w:space="0"/>
          </w:cols>
        </w:sectPr>
        <w:rPr/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1"/>
          <w:footerReference w:type="default" r:id="rId8"/>
          <w:pgSz w:w="12246" w:h="16498"/>
          <w:pgMar w:top="1207" w:right="970" w:bottom="868" w:left="407" w:header="827" w:footer="526" w:gutter="0"/>
          <w:cols w:equalWidth="0" w:num="1">
            <w:col w:w="10867" w:space="0"/>
          </w:cols>
        </w:sectPr>
        <w:rPr/>
      </w:pPr>
    </w:p>
    <w:p>
      <w:pPr>
        <w:pStyle w:val="BodyText"/>
        <w:ind w:left="619" w:right="238" w:firstLine="10"/>
        <w:spacing w:before="49" w:line="294" w:lineRule="auto"/>
        <w:rPr/>
      </w:pPr>
      <w:r>
        <w:rPr>
          <w:color w:val="231F20"/>
          <w:spacing w:val="-4"/>
        </w:rPr>
        <w:t>富的血管，在内部环境压力过大时，再加上外力的作用，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就很容易导致其发生破裂，从而导致患者严重出血</w:t>
      </w:r>
      <w:r>
        <w:rPr>
          <w:color w:val="231F20"/>
          <w:spacing w:val="-21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[9]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宫外孕在医学上的说法也叫“异位妊娠”，</w:t>
      </w:r>
      <w:r>
        <w:rPr>
          <w:color w:val="231F20"/>
          <w:spacing w:val="4"/>
        </w:rPr>
        <w:t>是妊娠女性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死亡的重要原因之一</w:t>
      </w:r>
      <w:r>
        <w:rPr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[10]</w:t>
      </w:r>
      <w:r>
        <w:rPr>
          <w:color w:val="231F20"/>
          <w:spacing w:val="1"/>
        </w:rPr>
        <w:t>。两疾病在实验室检查方面存在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一定的差异，且宫外孕疾病患者多有停经史，而卵巢黄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体破裂患者则多伴随着月经紊乱，但临床上</w:t>
      </w:r>
      <w:r>
        <w:rPr>
          <w:color w:val="231F20"/>
          <w:spacing w:val="4"/>
        </w:rPr>
        <w:t>因患者症状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相似，从而在未充分了解患者病史的情况下，很容易发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生诊断错误的情况，进而影响到患者的对症治疗</w:t>
      </w:r>
      <w:r>
        <w:rPr>
          <w:color w:val="231F20"/>
          <w:spacing w:val="-17"/>
        </w:rPr>
        <w:t xml:space="preserve"> </w:t>
      </w:r>
      <w:r>
        <w:rPr>
          <w:sz w:val="11"/>
          <w:szCs w:val="11"/>
          <w:color w:val="231F20"/>
          <w:position w:val="9"/>
        </w:rPr>
        <w:t>[11]</w:t>
      </w:r>
      <w:r>
        <w:rPr>
          <w:color w:val="231F20"/>
        </w:rPr>
        <w:t>。因 </w:t>
      </w:r>
      <w:r>
        <w:rPr>
          <w:color w:val="231F20"/>
          <w:spacing w:val="4"/>
        </w:rPr>
        <w:t>此临床上必须予以有效的检查。随着医学影像学技术的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发展，超声检查以无创性、检查快速、操作简单等优势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而广泛应用于临床中，特别是在妇产科领域得到了更为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充分的使用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position w:val="9"/>
        </w:rPr>
        <w:t>[12]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</w:rPr>
        <w:t>。以往临床上针对这两</w:t>
      </w:r>
      <w:r>
        <w:rPr>
          <w:color w:val="231F20"/>
          <w:spacing w:val="-1"/>
        </w:rPr>
        <w:t>种疾病，多采取常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规经腹部超声检查，该方式是通过患者腹部</w:t>
      </w:r>
      <w:r>
        <w:rPr>
          <w:color w:val="231F20"/>
          <w:spacing w:val="4"/>
        </w:rPr>
        <w:t>对子宫及附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件区域进行探查，因探头频率较低，再加上间隔腹部，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导致探头与子宫及附件之间的距离较远，因</w:t>
      </w:r>
      <w:r>
        <w:rPr>
          <w:color w:val="231F20"/>
          <w:spacing w:val="4"/>
        </w:rPr>
        <w:t>此导致最终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呈现出来的超声图像，在表现病灶方面不够理想，难以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实现鉴别诊断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position w:val="9"/>
        </w:rPr>
        <w:t>[13]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</w:rPr>
        <w:t>。而经阴道彩色多普勒超声</w:t>
      </w:r>
      <w:r>
        <w:rPr>
          <w:color w:val="231F20"/>
          <w:spacing w:val="-1"/>
        </w:rPr>
        <w:t>检查，其探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头设置的频率比较高，从阴道进入到患者的子宫、附件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等区域，距离更近，能更加清楚地观察包块的</w:t>
      </w:r>
      <w:r>
        <w:rPr>
          <w:color w:val="231F20"/>
          <w:spacing w:val="4"/>
        </w:rPr>
        <w:t>情况，从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而准确判断包块的性质，为临床上鉴别诊断</w:t>
      </w:r>
      <w:r>
        <w:rPr>
          <w:color w:val="231F20"/>
          <w:spacing w:val="4"/>
        </w:rPr>
        <w:t>卵巢黄体破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裂以及宫外孕破裂疾病奠定良好的基础</w:t>
      </w:r>
      <w:r>
        <w:rPr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[14]</w:t>
      </w:r>
      <w:r>
        <w:rPr>
          <w:color w:val="231F20"/>
          <w:spacing w:val="-1"/>
        </w:rPr>
        <w:t>。</w:t>
      </w:r>
    </w:p>
    <w:p>
      <w:pPr>
        <w:pStyle w:val="BodyText"/>
        <w:ind w:left="619" w:right="237" w:firstLine="398"/>
        <w:spacing w:before="11" w:line="294" w:lineRule="auto"/>
        <w:jc w:val="both"/>
        <w:rPr/>
      </w:pPr>
      <w:r>
        <w:rPr>
          <w:color w:val="231F20"/>
          <w:spacing w:val="20"/>
        </w:rPr>
        <w:t>本研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20"/>
        </w:rPr>
        <w:t>究结果表明，采取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TVS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color w:val="231F20"/>
          <w:spacing w:val="20"/>
        </w:rPr>
        <w:t>检查鉴别黄体破裂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以及宫外孕破裂中，发现准确率为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94.79%，灵敏度为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95.00%，特异度为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9"/>
        </w:rPr>
        <w:t>94.64%，与病理检查结果一致性良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好，表明在这两种疾病的鉴别诊断中，采取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TVS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检查具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有一定的价值，与潘明淇等</w:t>
      </w:r>
      <w:r>
        <w:rPr>
          <w:color w:val="231F20"/>
          <w:spacing w:val="-6"/>
        </w:rPr>
        <w:t xml:space="preserve"> </w:t>
      </w:r>
      <w:r>
        <w:rPr>
          <w:sz w:val="11"/>
          <w:szCs w:val="11"/>
          <w:color w:val="231F20"/>
          <w:spacing w:val="5"/>
          <w:position w:val="9"/>
        </w:rPr>
        <w:t>[15] </w:t>
      </w:r>
      <w:r>
        <w:rPr>
          <w:color w:val="231F20"/>
          <w:spacing w:val="5"/>
        </w:rPr>
        <w:t>研究结果一致。两组患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者采取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TVS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检查的图像特征比较可以看出，</w:t>
      </w:r>
      <w:r>
        <w:rPr>
          <w:rFonts w:ascii="Times New Roman" w:hAnsi="Times New Roman" w:eastAsia="Times New Roman" w:cs="Times New Roman"/>
          <w:color w:val="231F20"/>
          <w:spacing w:val="2"/>
        </w:rPr>
        <w:t>B </w:t>
      </w:r>
      <w:r>
        <w:rPr>
          <w:color w:val="231F20"/>
          <w:spacing w:val="2"/>
        </w:rPr>
        <w:t>组患者中</w:t>
      </w:r>
      <w:r>
        <w:rPr>
          <w:color w:val="231F20"/>
        </w:rPr>
        <w:t xml:space="preserve"> </w:t>
      </w:r>
      <w:r>
        <w:rPr>
          <w:color w:val="231F20"/>
        </w:rPr>
        <w:t>60.71%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为点状的血流信号、32.14%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为条状的血流信号， </w:t>
      </w:r>
      <w:r>
        <w:rPr>
          <w:color w:val="231F20"/>
          <w:spacing w:val="5"/>
        </w:rPr>
        <w:t>与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 </w:t>
      </w:r>
      <w:r>
        <w:rPr>
          <w:color w:val="231F20"/>
          <w:spacing w:val="5"/>
        </w:rPr>
        <w:t>组患者中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5"/>
        </w:rPr>
        <w:t>95.00%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5"/>
        </w:rPr>
        <w:t>为半环状或环状的血流信号具有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较大的差异；同时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 </w:t>
      </w:r>
      <w:r>
        <w:rPr>
          <w:color w:val="231F20"/>
          <w:spacing w:val="-1"/>
        </w:rPr>
        <w:t>组患者中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50.00%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为</w:t>
      </w:r>
      <w:r>
        <w:rPr>
          <w:color w:val="231F20"/>
          <w:spacing w:val="-2"/>
        </w:rPr>
        <w:t>高阻力型血流频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谱、23.21%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为舒张期血流频谱，与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 </w:t>
      </w:r>
      <w:r>
        <w:rPr>
          <w:color w:val="231F20"/>
          <w:spacing w:val="2"/>
        </w:rPr>
        <w:t>组中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87.50%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患者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为低阻力型血流频谱差异有统计学意义；此外，在血流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参数的比较之下，</w:t>
      </w:r>
      <w:r>
        <w:rPr>
          <w:rFonts w:ascii="Times New Roman" w:hAnsi="Times New Roman" w:eastAsia="Times New Roman" w:cs="Times New Roman"/>
          <w:color w:val="231F20"/>
          <w:spacing w:val="-2"/>
        </w:rPr>
        <w:t>B </w:t>
      </w:r>
      <w:r>
        <w:rPr>
          <w:color w:val="231F20"/>
          <w:spacing w:val="-2"/>
        </w:rPr>
        <w:t>组患者的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PI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2"/>
        </w:rPr>
        <w:t>RI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高于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 </w:t>
      </w:r>
      <w:r>
        <w:rPr>
          <w:color w:val="231F20"/>
          <w:spacing w:val="-2"/>
        </w:rPr>
        <w:t>组，而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PSV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4"/>
        </w:rPr>
        <w:t>则低于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 </w:t>
      </w:r>
      <w:r>
        <w:rPr>
          <w:color w:val="231F20"/>
          <w:spacing w:val="4"/>
        </w:rPr>
        <w:t>组，两组差异有统计学意义，与季薇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4"/>
          <w:position w:val="9"/>
        </w:rPr>
        <w:t>[16] </w:t>
      </w:r>
      <w:r>
        <w:rPr>
          <w:color w:val="231F20"/>
          <w:spacing w:val="4"/>
        </w:rPr>
        <w:t>研究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结果一致。以宫外孕破裂病例为例，其超声主要表现为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3"/>
        </w:rPr>
        <w:t>高回声，且在输卵管、卵巢等非子宫腔内可观察到包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块，但由于胚胎生长部位错误，导致血液供应</w:t>
      </w:r>
      <w:r>
        <w:rPr>
          <w:color w:val="231F20"/>
          <w:spacing w:val="4"/>
        </w:rPr>
        <w:t>不足，从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而所检测到的血流信号较差</w:t>
      </w:r>
      <w:r>
        <w:rPr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[17]</w:t>
      </w:r>
      <w:r>
        <w:rPr>
          <w:color w:val="231F20"/>
          <w:spacing w:val="1"/>
        </w:rPr>
        <w:t>。而黄体破裂的典型超声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表现则为低回声，且能在卵巢内观察到囊实性</w:t>
      </w:r>
      <w:r>
        <w:rPr>
          <w:color w:val="231F20"/>
          <w:spacing w:val="4"/>
        </w:rPr>
        <w:t>的包块性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质，因黄体内血管丰富，从而导致能检测到更好的血流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  <w:position w:val="-3"/>
        </w:rPr>
        <w:t>信号</w:t>
      </w:r>
      <w:r>
        <w:rPr>
          <w:color w:val="231F20"/>
          <w:spacing w:val="-24"/>
          <w:position w:val="-3"/>
        </w:rPr>
        <w:t xml:space="preserve"> </w:t>
      </w:r>
      <w:r>
        <w:rPr>
          <w:sz w:val="11"/>
          <w:szCs w:val="11"/>
          <w:color w:val="231F20"/>
          <w:spacing w:val="-3"/>
          <w:position w:val="5"/>
        </w:rPr>
        <w:t>[18]</w:t>
      </w:r>
      <w:r>
        <w:rPr>
          <w:color w:val="231F20"/>
          <w:spacing w:val="-3"/>
          <w:position w:val="-3"/>
        </w:rPr>
        <w:t>。</w:t>
      </w:r>
    </w:p>
    <w:p>
      <w:pPr>
        <w:pStyle w:val="BodyText"/>
        <w:ind w:left="621" w:right="247" w:firstLine="398"/>
        <w:spacing w:before="2" w:line="258" w:lineRule="auto"/>
        <w:jc w:val="both"/>
        <w:rPr/>
      </w:pPr>
      <w:r>
        <w:rPr>
          <w:color w:val="231F20"/>
          <w:spacing w:val="4"/>
        </w:rPr>
        <w:t>综上所述，</w:t>
      </w:r>
      <w:r>
        <w:rPr>
          <w:rFonts w:ascii="Times New Roman" w:hAnsi="Times New Roman" w:eastAsia="Times New Roman" w:cs="Times New Roman"/>
          <w:color w:val="231F20"/>
        </w:rPr>
        <w:t>TVS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在特异度、准确率以及灵敏度等方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面更具优势，将其应用于鉴别黄体破裂和宫外孕破裂的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诊断中能降低漏诊率、误诊率。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8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ind w:left="342" w:right="48" w:hanging="301"/>
        <w:spacing w:before="81" w:line="32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SEONG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The predicting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indication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 surgery in patients with hemoperitoneum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caused 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corpus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luteum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cyst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rupture [J]. Sci Rep,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2021,</w:t>
      </w:r>
      <w:r>
        <w:rPr>
          <w:rFonts w:ascii="KaiTi" w:hAnsi="KaiTi" w:eastAsia="KaiTi" w:cs="KaiTi"/>
          <w:sz w:val="16"/>
          <w:szCs w:val="16"/>
          <w:color w:val="231F20"/>
          <w:spacing w:val="1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11(1):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17766.</w:t>
      </w:r>
    </w:p>
    <w:p>
      <w:pPr>
        <w:ind w:left="346" w:right="47" w:hanging="305"/>
        <w:spacing w:before="142" w:line="32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W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characteristics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associated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ruptured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ectopic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19-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retrospective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observational study [J]. Medicine,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2022,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101(24):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29514.</w:t>
      </w:r>
    </w:p>
    <w:p>
      <w:pPr>
        <w:ind w:left="356" w:right="48" w:hanging="315"/>
        <w:spacing w:before="141" w:line="32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6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5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刘倩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经阴道彩色多普勒超声鉴别宫外孕破裂与卵巢黄体破裂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的临床有效性探讨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[J/</w:t>
      </w:r>
      <w:r>
        <w:rPr>
          <w:rFonts w:ascii="KaiTi" w:hAnsi="KaiTi" w:eastAsia="KaiTi" w:cs="KaiTi"/>
          <w:sz w:val="16"/>
          <w:szCs w:val="16"/>
          <w:color w:val="231F20"/>
        </w:rPr>
        <w:t>CD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].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实用妇科内分泌电子杂志，2023，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10(21):99-101.</w:t>
      </w:r>
    </w:p>
    <w:p>
      <w:pPr>
        <w:ind w:left="343" w:right="48" w:hanging="302"/>
        <w:spacing w:before="126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4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秦亚南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经阴道彩色多普勒超声在鉴别诊断宫外孕破裂与卵巢黄体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破裂中的应用价值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罕少疾病杂志，202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2，29(12):69-71.</w:t>
      </w:r>
    </w:p>
    <w:p>
      <w:pPr>
        <w:pStyle w:val="BodyText"/>
        <w:ind w:left="355" w:right="48" w:hanging="314"/>
        <w:spacing w:before="136" w:line="29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4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张</w:t>
      </w:r>
      <w:r>
        <w:rPr>
          <w:sz w:val="16"/>
          <w:szCs w:val="16"/>
          <w:color w:val="231F20"/>
          <w:spacing w:val="-4"/>
        </w:rPr>
        <w:t>珣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经阴道彩色多普勒超声在宫外孕破裂与卵巢黄体破裂鉴别诊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断中的临床价值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中国医疗器械信息，2021，27(19):72，87.</w:t>
      </w:r>
    </w:p>
    <w:p>
      <w:pPr>
        <w:ind w:left="343" w:right="48" w:hanging="302"/>
        <w:spacing w:before="136" w:line="31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孙晓英，刘晓燕，闫娟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宫外孕破裂与卵巢黄体破裂患者采用阴道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彩色多普勒超声检查的鉴别诊断的价值分析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影像研究与医学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应用，2021，5(12):91-92.</w:t>
      </w:r>
    </w:p>
    <w:p>
      <w:pPr>
        <w:ind w:left="348" w:right="49" w:hanging="307"/>
        <w:spacing w:before="136" w:line="31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郭娟，张晓林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经阴道彩色多普勒超声对宫外孕破裂及卵巢黄体破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裂鉴别诊断价值研究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[J/CD].</w:t>
      </w:r>
      <w:r>
        <w:rPr>
          <w:rFonts w:ascii="KaiTi" w:hAnsi="KaiTi" w:eastAsia="KaiTi" w:cs="KaiTi"/>
          <w:sz w:val="16"/>
          <w:szCs w:val="16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世界最新医学信息文摘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(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连续型电子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期刊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)，2021，21(19):239-240.</w:t>
      </w:r>
    </w:p>
    <w:p>
      <w:pPr>
        <w:ind w:left="41"/>
        <w:spacing w:before="136" w:line="21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7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李情娣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超声对宫外孕破裂与卵巢黄体破裂的鉴别诊断价值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[J/CD].</w:t>
      </w:r>
    </w:p>
    <w:p>
      <w:pPr>
        <w:ind w:left="361"/>
        <w:spacing w:before="133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7"/>
        </w:rPr>
        <w:t>实用妇科内分泌电子杂志，2021，8(34):74-76.</w:t>
      </w:r>
    </w:p>
    <w:p>
      <w:pPr>
        <w:ind w:left="361" w:right="49" w:hanging="320"/>
        <w:spacing w:before="138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8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黄灿武，张洪霞，陈俊滨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经阴道彩色多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>普勒超声鉴别宫外孕破裂与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>卵巢黄体破裂的临床意义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>实用医技杂志，2021，28(3):3</w:t>
      </w:r>
      <w:r>
        <w:rPr>
          <w:rFonts w:ascii="KaiTi" w:hAnsi="KaiTi" w:eastAsia="KaiTi" w:cs="KaiTi"/>
          <w:sz w:val="16"/>
          <w:szCs w:val="16"/>
          <w:color w:val="231F20"/>
          <w:spacing w:val="-10"/>
        </w:rPr>
        <w:t>26-328.</w:t>
      </w:r>
    </w:p>
    <w:p>
      <w:pPr>
        <w:ind w:left="399" w:right="49" w:hanging="358"/>
        <w:spacing w:before="137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[10]</w:t>
      </w:r>
      <w:r>
        <w:rPr>
          <w:rFonts w:ascii="KaiTi" w:hAnsi="KaiTi" w:eastAsia="KaiTi" w:cs="KaiTi"/>
          <w:sz w:val="16"/>
          <w:szCs w:val="16"/>
          <w:color w:val="231F20"/>
          <w:spacing w:val="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张菊丽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经阴道彩色多普勒超声在宫外孕破裂与卵巢黄体破裂鉴别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诊断中的临床应用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中国现代药物应用，2020，14(20):76-78.</w:t>
      </w:r>
    </w:p>
    <w:p>
      <w:pPr>
        <w:ind w:left="406" w:right="49" w:hanging="365"/>
        <w:spacing w:before="137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[11]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仲家苗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经阴道彩色多普勒超声对宫外孕破裂及卵巢黄体破裂的鉴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别诊断价值研究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影像研究与医学应用，2020，4(21):215-216.</w:t>
      </w:r>
    </w:p>
    <w:p>
      <w:pPr>
        <w:ind w:left="406" w:right="52" w:hanging="365"/>
        <w:spacing w:before="138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[12]</w:t>
      </w:r>
      <w:r>
        <w:rPr>
          <w:rFonts w:ascii="KaiTi" w:hAnsi="KaiTi" w:eastAsia="KaiTi" w:cs="KaiTi"/>
          <w:sz w:val="16"/>
          <w:szCs w:val="16"/>
          <w:color w:val="231F20"/>
          <w:spacing w:val="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刘会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经阴道彩色多普勒超声对宫外孕破裂、卵巢黄体破裂的鉴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别诊断价值研究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中国医疗器械信息，2020，26(12):120-121.</w:t>
      </w:r>
    </w:p>
    <w:p>
      <w:pPr>
        <w:ind w:left="399" w:right="48" w:hanging="358"/>
        <w:spacing w:before="137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[13]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马爽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阴式彩色多普勒超声对卵巢黄体破裂与宫外孕破裂的应用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价值研究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世界复合医学，2023，9(6):102-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105.</w:t>
      </w:r>
    </w:p>
    <w:p>
      <w:pPr>
        <w:ind w:left="414" w:right="49" w:hanging="373"/>
        <w:spacing w:before="137" w:line="32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[14]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左玉霞，陈玺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经阴道彩色多普勒超声对鉴别诊断宫外孕破裂与卵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巢黄体破裂的临床意义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现代医用影像学，2023，32(7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):1377-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1380.</w:t>
      </w:r>
    </w:p>
    <w:p>
      <w:pPr>
        <w:ind w:left="399" w:right="48" w:hanging="358"/>
        <w:spacing w:before="115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[15]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潘明淇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经阴道彩超在卵巢黄体破裂和宫外孕破裂鉴别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诊断中的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应用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中国医疗器械信息，2023，29(16):124-126.</w:t>
      </w:r>
    </w:p>
    <w:p>
      <w:pPr>
        <w:ind w:left="409" w:right="48" w:hanging="368"/>
        <w:spacing w:before="136" w:line="31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[16]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季薇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宫外孕破裂和卵巢黄体破裂阴道彩色多普勒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超声检查在血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流量特征血流动力参数和血流频谱的差异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实用医技杂志，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2021，28(11):1282-1284.</w:t>
      </w:r>
    </w:p>
    <w:p>
      <w:pPr>
        <w:ind w:left="401" w:right="49" w:hanging="360"/>
        <w:spacing w:before="138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[17]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符俊娟，颜雪萍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宫外孕破裂的多普勒超声声像图和血流频谱特征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及临床鉴别诊断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临床与病理杂志，2021，41(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8):1800-1805.</w:t>
      </w:r>
    </w:p>
    <w:p>
      <w:pPr>
        <w:ind w:left="398" w:right="48" w:hanging="357"/>
        <w:spacing w:before="135" w:line="27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[18]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谭莉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经阴道彩超用于宫外孕破裂及卵巢黄体破裂鉴别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诊断的临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床价值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实用中西医结合临床，2022，22(9):78-80.</w:t>
      </w:r>
    </w:p>
    <w:sectPr>
      <w:type w:val="continuous"/>
      <w:pgSz w:w="12246" w:h="16498"/>
      <w:pgMar w:top="1207" w:right="970" w:bottom="868" w:left="407" w:header="827" w:footer="526" w:gutter="0"/>
      <w:cols w:equalWidth="0" w:num="2">
        <w:col w:w="5784" w:space="100"/>
        <w:col w:w="498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0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164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445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165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0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166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0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2" style="position:absolute;margin-left:20.4pt;margin-top:797.48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1.0251pt;margin-top:57.2814pt;mso-position-vertical-relative:page;mso-position-horizontal-relative:page;width:512.75pt;height:0.75pt;z-index:25165926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0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70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2024年3月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第8卷第6期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54"/>
      <w:spacing w:before="48" w:line="224" w:lineRule="auto"/>
      <w:rPr>
        <w:rFonts w:ascii="SimHei" w:hAnsi="SimHei" w:eastAsia="SimHei" w:cs="SimHei"/>
        <w:sz w:val="21"/>
        <w:szCs w:val="21"/>
      </w:rPr>
    </w:pPr>
    <w:r>
      <w:pict>
        <v:shape id="WordPictureWatermark6" style="position:absolute;margin-left:20.4pt;margin-top:797.48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48.1905pt;margin-top:57.2814pt;mso-position-vertical-relative:page;mso-position-horizontal-relative:page;width:513.1pt;height:0.75pt;z-index:251661312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2024年3月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第8卷第6</w:t>
    </w:r>
    <w:r>
      <w:rPr>
        <w:rFonts w:ascii="KaiTi" w:hAnsi="KaiTi" w:eastAsia="KaiTi" w:cs="KaiTi"/>
        <w:sz w:val="21"/>
        <w:szCs w:val="21"/>
        <w:color w:val="231F20"/>
        <w:spacing w:val="11"/>
      </w:rPr>
      <w:t>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2.xml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2024-05-08T20:49:45Z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2025-10-28T21:29:25</vt:filetime>
  </property>
</Properties>
</file>