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709"/>
        <w:spacing w:before="64" w:line="19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" style="position:absolute;margin-left:24.56pt;margin-top:3.30019pt;mso-position-vertical-relative:text;mso-position-horizontal-relative:text;width:33.95pt;height:13.1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14"/>
                      <w:w w:val="116"/>
                    </w:rPr>
                    <w:t>·</w:t>
                  </w:r>
                  <w:r>
                    <w:rPr>
                      <w:sz w:val="15"/>
                      <w:szCs w:val="15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14"/>
                      <w:w w:val="116"/>
                    </w:rPr>
                    <w:t>566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 </w:t>
                  </w:r>
                  <w:r>
                    <w:rPr>
                      <w:sz w:val="15"/>
                      <w:szCs w:val="15"/>
                      <w:color w:val="231F20"/>
                      <w:spacing w:val="14"/>
                      <w:w w:val="116"/>
                    </w:rPr>
                    <w:t>·</w:t>
                  </w:r>
                </w:p>
              </w:txbxContent>
            </v:textbox>
          </v:shape>
        </w:pict>
      </w:r>
      <w:r>
        <w:rPr>
          <w:sz w:val="15"/>
          <w:szCs w:val="15"/>
          <w:u w:val="single" w:color="auto"/>
          <w:color w:val="231F20"/>
          <w:spacing w:val="4"/>
        </w:rPr>
        <w:t>中华妇产科杂志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2022 </w:t>
      </w:r>
      <w:r>
        <w:rPr>
          <w:sz w:val="15"/>
          <w:szCs w:val="15"/>
          <w:u w:val="single" w:color="auto"/>
          <w:color w:val="231F20"/>
          <w:spacing w:val="4"/>
        </w:rPr>
        <w:t>年</w:t>
      </w:r>
      <w:r>
        <w:rPr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8 </w:t>
      </w:r>
      <w:r>
        <w:rPr>
          <w:sz w:val="15"/>
          <w:szCs w:val="15"/>
          <w:u w:val="single" w:color="auto"/>
          <w:color w:val="231F20"/>
          <w:spacing w:val="4"/>
        </w:rPr>
        <w:t>月第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4"/>
        </w:rPr>
        <w:t>57 </w:t>
      </w:r>
      <w:r>
        <w:rPr>
          <w:sz w:val="15"/>
          <w:szCs w:val="15"/>
          <w:u w:val="single" w:color="auto"/>
          <w:color w:val="231F20"/>
          <w:spacing w:val="4"/>
        </w:rPr>
        <w:t>卷第</w:t>
      </w:r>
      <w:r>
        <w:rPr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6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期   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Chin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,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August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2022,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Vol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57,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</w:rPr>
        <w:t>No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3"/>
        </w:rPr>
        <w:t>8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spacing w:before="115" w:line="183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33"/>
          <w:w w:val="129"/>
        </w:rPr>
        <w:t>·临床指南</w:t>
      </w:r>
      <w:r>
        <w:rPr>
          <w:sz w:val="27"/>
          <w:szCs w:val="27"/>
          <w:color w:val="231F20"/>
          <w:spacing w:val="-15"/>
        </w:rPr>
        <w:t xml:space="preserve"> </w:t>
      </w:r>
      <w:r>
        <w:rPr>
          <w:sz w:val="27"/>
          <w:szCs w:val="27"/>
          <w:color w:val="231F20"/>
          <w:spacing w:val="33"/>
          <w:w w:val="129"/>
        </w:rPr>
        <w:t>·</w:t>
      </w:r>
    </w:p>
    <w:p>
      <w:pPr>
        <w:pStyle w:val="BodyText"/>
        <w:ind w:left="537"/>
        <w:spacing w:before="330" w:line="179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4"/>
        </w:rPr>
        <w:t>中国子宫内膜增生管理指南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489" w:right="3214" w:firstLine="10"/>
        <w:spacing w:before="86" w:line="224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color w:val="231F20"/>
          <w:spacing w:val="1"/>
        </w:rPr>
        <w:t>李雷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1         </w:t>
      </w:r>
      <w:r>
        <w:rPr>
          <w:color w:val="231F20"/>
          <w:spacing w:val="1"/>
        </w:rPr>
        <w:t>陈晓军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2         </w:t>
      </w:r>
      <w:r>
        <w:rPr>
          <w:color w:val="231F20"/>
          <w:spacing w:val="1"/>
        </w:rPr>
        <w:t>崔满华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3         </w:t>
      </w:r>
      <w:r>
        <w:rPr>
          <w:color w:val="231F20"/>
          <w:spacing w:val="1"/>
        </w:rPr>
        <w:t>冯力民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4         </w:t>
      </w:r>
      <w:r>
        <w:rPr>
          <w:color w:val="231F20"/>
          <w:spacing w:val="1"/>
        </w:rPr>
        <w:t>符淳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5         </w:t>
      </w:r>
      <w:r>
        <w:rPr>
          <w:color w:val="231F20"/>
          <w:spacing w:val="1"/>
        </w:rPr>
        <w:t>古健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6        </w:t>
      </w:r>
      <w:r>
        <w:rPr>
          <w:color w:val="231F20"/>
          <w:spacing w:val="1"/>
        </w:rPr>
        <w:t>哈春</w:t>
      </w:r>
      <w:r>
        <w:rPr>
          <w:color w:val="231F20"/>
        </w:rPr>
        <w:t>芳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7         </w:t>
      </w:r>
      <w:r>
        <w:rPr>
          <w:color w:val="231F20"/>
        </w:rPr>
        <w:t>黄秀峰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8 </w:t>
      </w:r>
      <w:r>
        <w:rPr>
          <w:color w:val="231F20"/>
          <w:spacing w:val="1"/>
          <w:position w:val="-1"/>
        </w:rPr>
        <w:t>鹿群</w:t>
      </w:r>
      <w:r>
        <w:rPr>
          <w:color w:val="231F20"/>
          <w:spacing w:val="-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9        </w:t>
      </w:r>
      <w:r>
        <w:rPr>
          <w:color w:val="231F20"/>
          <w:spacing w:val="1"/>
          <w:position w:val="-1"/>
        </w:rPr>
        <w:t>马晓欣</w:t>
      </w:r>
      <w:r>
        <w:rPr>
          <w:color w:val="231F20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10          </w:t>
      </w:r>
      <w:r>
        <w:rPr>
          <w:color w:val="231F20"/>
          <w:spacing w:val="1"/>
          <w:position w:val="-1"/>
        </w:rPr>
        <w:t>沈丹华</w:t>
      </w:r>
      <w:r>
        <w:rPr>
          <w:color w:val="231F20"/>
          <w:spacing w:val="-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11         </w:t>
      </w:r>
      <w:r>
        <w:rPr>
          <w:color w:val="231F20"/>
          <w:position w:val="-1"/>
        </w:rPr>
        <w:t>田秦杰</w:t>
      </w:r>
      <w:r>
        <w:rPr>
          <w:color w:val="231F20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         </w:t>
      </w:r>
      <w:r>
        <w:rPr>
          <w:color w:val="231F20"/>
          <w:position w:val="-1"/>
        </w:rPr>
        <w:t>王刚</w:t>
      </w:r>
      <w:r>
        <w:rPr>
          <w:color w:val="231F20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12         </w:t>
      </w:r>
      <w:r>
        <w:rPr>
          <w:color w:val="231F20"/>
          <w:position w:val="-1"/>
        </w:rPr>
        <w:t>王世宣</w:t>
      </w:r>
      <w:r>
        <w:rPr>
          <w:color w:val="231F20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13         </w:t>
      </w:r>
      <w:r>
        <w:rPr>
          <w:color w:val="231F20"/>
          <w:position w:val="-1"/>
        </w:rPr>
        <w:t>吴令英</w:t>
      </w:r>
      <w:r>
        <w:rPr>
          <w:color w:val="231F20"/>
          <w:spacing w:val="-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14</w:t>
      </w:r>
    </w:p>
    <w:p>
      <w:pPr>
        <w:pStyle w:val="BodyText"/>
        <w:ind w:left="489"/>
        <w:spacing w:before="1" w:line="201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color w:val="231F20"/>
          <w:spacing w:val="1"/>
          <w:position w:val="-1"/>
        </w:rPr>
        <w:t>谢梅青</w:t>
      </w:r>
      <w:r>
        <w:rPr>
          <w:color w:val="231F20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15        </w:t>
      </w:r>
      <w:r>
        <w:rPr>
          <w:color w:val="231F20"/>
          <w:spacing w:val="1"/>
          <w:position w:val="-1"/>
        </w:rPr>
        <w:t>杨欣</w:t>
      </w:r>
      <w:r>
        <w:rPr>
          <w:color w:val="231F20"/>
          <w:spacing w:val="-2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9         </w:t>
      </w:r>
      <w:r>
        <w:rPr>
          <w:color w:val="231F20"/>
          <w:spacing w:val="1"/>
          <w:position w:val="-1"/>
        </w:rPr>
        <w:t>张淑兰</w:t>
      </w:r>
      <w:r>
        <w:rPr>
          <w:color w:val="231F20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10         </w:t>
      </w:r>
      <w:r>
        <w:rPr>
          <w:color w:val="231F20"/>
          <w:spacing w:val="1"/>
          <w:position w:val="-1"/>
        </w:rPr>
        <w:t>周先荣</w:t>
      </w:r>
      <w:r>
        <w:rPr>
          <w:color w:val="231F20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16         </w:t>
      </w:r>
      <w:r>
        <w:rPr>
          <w:color w:val="231F20"/>
          <w:position w:val="-1"/>
        </w:rPr>
        <w:t>朱兰</w:t>
      </w:r>
      <w:r>
        <w:rPr>
          <w:color w:val="231F20"/>
          <w:spacing w:val="-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</w:t>
      </w:r>
    </w:p>
    <w:p>
      <w:pPr>
        <w:pStyle w:val="BodyText"/>
        <w:ind w:left="488" w:right="1909" w:firstLine="7"/>
        <w:spacing w:before="30" w:line="22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1  </w:t>
      </w:r>
      <w:r>
        <w:rPr>
          <w:color w:val="231F20"/>
          <w:spacing w:val="6"/>
        </w:rPr>
        <w:t>中国医学科学院北京协和医学院北京协和医院妇产科，北京</w:t>
      </w:r>
      <w:r>
        <w:rPr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100730</w:t>
      </w:r>
      <w:r>
        <w:rPr>
          <w:color w:val="231F20"/>
          <w:spacing w:val="6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2 </w:t>
      </w:r>
      <w:r>
        <w:rPr>
          <w:color w:val="231F20"/>
          <w:spacing w:val="6"/>
        </w:rPr>
        <w:t>复旦大学附属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妇产科医院妇科，上海 </w:t>
      </w:r>
      <w:r>
        <w:rPr>
          <w:rFonts w:ascii="Times New Roman" w:hAnsi="Times New Roman" w:eastAsia="Times New Roman" w:cs="Times New Roman"/>
          <w:color w:val="231F20"/>
          <w:spacing w:val="1"/>
        </w:rPr>
        <w:t>200011</w:t>
      </w:r>
      <w:r>
        <w:rPr>
          <w:color w:val="231F20"/>
          <w:spacing w:val="1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8"/>
        </w:rPr>
        <w:t xml:space="preserve"> </w:t>
      </w:r>
      <w:r>
        <w:rPr>
          <w:color w:val="231F20"/>
          <w:spacing w:val="1"/>
        </w:rPr>
        <w:t>吉林大学第二医院妇产科，长春</w:t>
      </w:r>
      <w:r>
        <w:rPr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13004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4 </w:t>
      </w:r>
      <w:r>
        <w:rPr>
          <w:color w:val="231F20"/>
        </w:rPr>
        <w:t>首都医科大  </w:t>
      </w:r>
      <w:r>
        <w:rPr>
          <w:color w:val="231F20"/>
          <w:spacing w:val="4"/>
        </w:rPr>
        <w:t>学附属北京天坛医院妇产科，北京</w:t>
      </w:r>
      <w:r>
        <w:rPr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100070</w:t>
      </w:r>
      <w:r>
        <w:rPr>
          <w:color w:val="231F20"/>
          <w:spacing w:val="4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5  </w:t>
      </w:r>
      <w:r>
        <w:rPr>
          <w:color w:val="231F20"/>
          <w:spacing w:val="4"/>
        </w:rPr>
        <w:t>中</w:t>
      </w:r>
      <w:r>
        <w:rPr>
          <w:color w:val="231F20"/>
          <w:spacing w:val="3"/>
        </w:rPr>
        <w:t>南大学湘雅二医院妇科，长沙 </w:t>
      </w:r>
      <w:r>
        <w:rPr>
          <w:rFonts w:ascii="Times New Roman" w:hAnsi="Times New Roman" w:eastAsia="Times New Roman" w:cs="Times New Roman"/>
          <w:color w:val="231F20"/>
          <w:spacing w:val="3"/>
        </w:rPr>
        <w:t>410011</w:t>
      </w:r>
      <w:r>
        <w:rPr>
          <w:color w:val="231F20"/>
          <w:spacing w:val="3"/>
        </w:rPr>
        <w:t>；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position w:val="8"/>
        </w:rPr>
        <w:t>6  </w:t>
      </w:r>
      <w:r>
        <w:rPr>
          <w:color w:val="231F20"/>
          <w:spacing w:val="15"/>
        </w:rPr>
        <w:t>中山大学附属第三医院妇科，广州</w:t>
      </w:r>
      <w:r>
        <w:rPr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5"/>
        </w:rPr>
        <w:t>510630</w:t>
      </w:r>
      <w:r>
        <w:rPr>
          <w:color w:val="231F20"/>
          <w:spacing w:val="15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position w:val="8"/>
        </w:rPr>
        <w:t>7  </w:t>
      </w:r>
      <w:r>
        <w:rPr>
          <w:color w:val="231F20"/>
          <w:spacing w:val="15"/>
        </w:rPr>
        <w:t>宁夏医科大学总医院妇产科，银川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7"/>
        </w:rPr>
        <w:t>750003</w:t>
      </w:r>
      <w:r>
        <w:rPr>
          <w:color w:val="231F20"/>
          <w:spacing w:val="7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8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w w:val="103"/>
          <w:position w:val="8"/>
        </w:rPr>
        <w:t xml:space="preserve"> </w:t>
      </w:r>
      <w:r>
        <w:rPr>
          <w:color w:val="231F20"/>
          <w:spacing w:val="7"/>
        </w:rPr>
        <w:t>浙江大学医学院附属妇产科医院妇科，杭州 </w:t>
      </w:r>
      <w:r>
        <w:rPr>
          <w:rFonts w:ascii="Times New Roman" w:hAnsi="Times New Roman" w:eastAsia="Times New Roman" w:cs="Times New Roman"/>
          <w:color w:val="231F20"/>
          <w:spacing w:val="7"/>
        </w:rPr>
        <w:t>310006</w:t>
      </w:r>
      <w:r>
        <w:rPr>
          <w:color w:val="231F20"/>
          <w:spacing w:val="7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9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w w:val="102"/>
          <w:position w:val="8"/>
        </w:rPr>
        <w:t xml:space="preserve"> </w:t>
      </w:r>
      <w:r>
        <w:rPr>
          <w:color w:val="231F20"/>
          <w:spacing w:val="7"/>
        </w:rPr>
        <w:t>北京大</w:t>
      </w:r>
      <w:r>
        <w:rPr>
          <w:color w:val="231F20"/>
          <w:spacing w:val="6"/>
        </w:rPr>
        <w:t>学人民医院妇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产科，北京</w:t>
      </w:r>
      <w:r>
        <w:rPr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100044</w:t>
      </w:r>
      <w:r>
        <w:rPr>
          <w:color w:val="231F20"/>
          <w:spacing w:val="2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10  </w:t>
      </w:r>
      <w:r>
        <w:rPr>
          <w:color w:val="231F20"/>
          <w:spacing w:val="2"/>
        </w:rPr>
        <w:t>中国医科大学附属盛京医院妇产科，沈阳</w:t>
      </w:r>
      <w:r>
        <w:rPr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11000</w:t>
      </w:r>
      <w:r>
        <w:rPr>
          <w:rFonts w:ascii="Times New Roman" w:hAnsi="Times New Roman" w:eastAsia="Times New Roman" w:cs="Times New Roman"/>
          <w:color w:val="231F20"/>
          <w:spacing w:val="1"/>
        </w:rPr>
        <w:t>4</w:t>
      </w:r>
      <w:r>
        <w:rPr>
          <w:color w:val="231F20"/>
          <w:spacing w:val="1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11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2"/>
          <w:position w:val="8"/>
        </w:rPr>
        <w:t xml:space="preserve"> </w:t>
      </w:r>
      <w:r>
        <w:rPr>
          <w:color w:val="231F20"/>
          <w:spacing w:val="1"/>
        </w:rPr>
        <w:t>北京大学人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民医院病理科，北京</w:t>
      </w:r>
      <w:r>
        <w:rPr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100044</w:t>
      </w:r>
      <w:r>
        <w:rPr>
          <w:color w:val="231F20"/>
          <w:spacing w:val="3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12 </w:t>
      </w:r>
      <w:r>
        <w:rPr>
          <w:color w:val="231F20"/>
          <w:spacing w:val="3"/>
        </w:rPr>
        <w:t>四川省妇幼保健院妇科，成都 </w:t>
      </w:r>
      <w:r>
        <w:rPr>
          <w:rFonts w:ascii="Times New Roman" w:hAnsi="Times New Roman" w:eastAsia="Times New Roman" w:cs="Times New Roman"/>
          <w:color w:val="231F20"/>
          <w:spacing w:val="3"/>
        </w:rPr>
        <w:t>610045</w:t>
      </w:r>
      <w:r>
        <w:rPr>
          <w:color w:val="231F20"/>
          <w:spacing w:val="3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13 </w:t>
      </w:r>
      <w:r>
        <w:rPr>
          <w:color w:val="231F20"/>
          <w:spacing w:val="3"/>
        </w:rPr>
        <w:t>华中科技大学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同济医学院附属同济医院妇产科，武汉 </w:t>
      </w:r>
      <w:r>
        <w:rPr>
          <w:rFonts w:ascii="Times New Roman" w:hAnsi="Times New Roman" w:eastAsia="Times New Roman" w:cs="Times New Roman"/>
          <w:color w:val="231F20"/>
          <w:spacing w:val="8"/>
        </w:rPr>
        <w:t>430</w:t>
      </w:r>
      <w:r>
        <w:rPr>
          <w:rFonts w:ascii="Times New Roman" w:hAnsi="Times New Roman" w:eastAsia="Times New Roman" w:cs="Times New Roman"/>
          <w:color w:val="231F20"/>
          <w:spacing w:val="7"/>
        </w:rPr>
        <w:t>030</w:t>
      </w:r>
      <w:r>
        <w:rPr>
          <w:color w:val="231F20"/>
          <w:spacing w:val="7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14  </w:t>
      </w:r>
      <w:r>
        <w:rPr>
          <w:color w:val="231F20"/>
          <w:spacing w:val="7"/>
        </w:rPr>
        <w:t>中国医学科学院北京协和医学院肿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瘤医院妇瘤科，北京</w:t>
      </w:r>
      <w:r>
        <w:rPr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100021</w:t>
      </w:r>
      <w:r>
        <w:rPr>
          <w:color w:val="231F20"/>
          <w:spacing w:val="3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15  </w:t>
      </w:r>
      <w:r>
        <w:rPr>
          <w:color w:val="231F20"/>
          <w:spacing w:val="3"/>
        </w:rPr>
        <w:t>中山大学</w:t>
      </w:r>
      <w:r>
        <w:rPr>
          <w:color w:val="231F20"/>
          <w:spacing w:val="2"/>
        </w:rPr>
        <w:t>孙逸仙纪念医院妇科，广州 </w:t>
      </w:r>
      <w:r>
        <w:rPr>
          <w:rFonts w:ascii="Times New Roman" w:hAnsi="Times New Roman" w:eastAsia="Times New Roman" w:cs="Times New Roman"/>
          <w:color w:val="231F20"/>
          <w:spacing w:val="2"/>
        </w:rPr>
        <w:t>510120</w:t>
      </w:r>
      <w:r>
        <w:rPr>
          <w:color w:val="231F20"/>
          <w:spacing w:val="2"/>
        </w:rPr>
        <w:t>；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16 </w:t>
      </w:r>
      <w:r>
        <w:rPr>
          <w:color w:val="231F20"/>
          <w:spacing w:val="2"/>
        </w:rPr>
        <w:t>复旦大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学附属妇产科医院病理科，上海 </w:t>
      </w:r>
      <w:r>
        <w:rPr>
          <w:rFonts w:ascii="Times New Roman" w:hAnsi="Times New Roman" w:eastAsia="Times New Roman" w:cs="Times New Roman"/>
          <w:color w:val="231F20"/>
          <w:spacing w:val="5"/>
        </w:rPr>
        <w:t>200011</w:t>
      </w:r>
    </w:p>
    <w:p>
      <w:pPr>
        <w:pStyle w:val="BodyText"/>
        <w:ind w:left="494"/>
        <w:spacing w:line="191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-5"/>
        </w:rPr>
        <w:t>通信作者：朱兰，</w:t>
      </w:r>
      <w:r>
        <w:rPr>
          <w:rFonts w:ascii="Times New Roman" w:hAnsi="Times New Roman" w:eastAsia="Times New Roman" w:cs="Times New Roman"/>
          <w:color w:val="231F20"/>
          <w:spacing w:val="-5"/>
        </w:rPr>
        <w:t>Email</w:t>
      </w:r>
      <w:r>
        <w:rPr>
          <w:color w:val="231F20"/>
          <w:spacing w:val="-5"/>
        </w:rPr>
        <w:t>：</w:t>
      </w:r>
      <w:r>
        <w:rPr>
          <w:rFonts w:ascii="Times New Roman" w:hAnsi="Times New Roman" w:eastAsia="Times New Roman" w:cs="Times New Roman"/>
          <w:color w:val="231F20"/>
          <w:spacing w:val="-5"/>
        </w:rPr>
        <w:t>zhulan@pu</w:t>
      </w:r>
      <w:r>
        <w:rPr>
          <w:rFonts w:ascii="Times New Roman" w:hAnsi="Times New Roman" w:eastAsia="Times New Roman" w:cs="Times New Roman"/>
          <w:color w:val="231F20"/>
          <w:spacing w:val="-6"/>
        </w:rPr>
        <w:t>mch.cn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88" w:right="1978" w:firstLine="293"/>
        <w:spacing w:before="73" w:line="245" w:lineRule="auto"/>
        <w:jc w:val="both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4"/>
        </w:rPr>
        <w:t>子宫内膜增生多见于育龄期妇女，常见症状为异常子宫出血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4"/>
        </w:rPr>
        <w:t>。本文</w:t>
      </w:r>
      <w:r>
        <w:rPr>
          <w:sz w:val="17"/>
          <w:szCs w:val="17"/>
          <w:color w:val="231F20"/>
          <w:spacing w:val="3"/>
        </w:rPr>
        <w:t>汇总、整理子宫内膜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增生相关研究，总结子宫内膜增生的高危因素、临床表现、评估和诊断、病理分型、治疗、随访以及患者</w:t>
      </w:r>
      <w:r>
        <w:rPr>
          <w:sz w:val="17"/>
          <w:szCs w:val="17"/>
          <w:color w:val="231F20"/>
          <w:spacing w:val="11"/>
        </w:rPr>
        <w:t xml:space="preserve"> </w:t>
      </w:r>
      <w:r>
        <w:rPr>
          <w:sz w:val="17"/>
          <w:szCs w:val="17"/>
          <w:color w:val="231F20"/>
          <w:spacing w:val="2"/>
        </w:rPr>
        <w:t>长期管理、宣教等方面的循证医学证据，建立本指南，旨在为临床医师提供规范方案，促进女性健康和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7"/>
        </w:rPr>
        <w:t>生育功能保护。</w:t>
      </w:r>
    </w:p>
    <w:p>
      <w:pPr>
        <w:spacing w:before="115"/>
        <w:rPr/>
      </w:pPr>
      <w:r/>
    </w:p>
    <w:p>
      <w:pPr>
        <w:sectPr>
          <w:headerReference w:type="default" r:id="rId1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/>
      </w:pPr>
    </w:p>
    <w:p>
      <w:pPr>
        <w:pStyle w:val="BodyText"/>
        <w:ind w:left="490" w:right="395" w:firstLine="421"/>
        <w:spacing w:before="47" w:line="225" w:lineRule="auto"/>
        <w:jc w:val="both"/>
        <w:rPr/>
      </w:pPr>
      <w:r>
        <w:pict>
          <v:shape id="_x0000_s6" style="position:absolute;margin-left:24.3365pt;margin-top:216.01pt;mso-position-vertical-relative:text;mso-position-horizontal-relative:text;width:399.15pt;height:0.3pt;z-index:251662336;" filled="false" strokecolor="#231F20" strokeweight="0.28pt" coordsize="7982,6" coordorigin="0,0" path="m0,2l7982,2e">
            <v:stroke joinstyle="miter" miterlimit="4"/>
          </v:shape>
        </w:pict>
      </w:r>
      <w:r>
        <w:rPr>
          <w:color w:val="231F20"/>
          <w:spacing w:val="16"/>
        </w:rPr>
        <w:t>子宫内膜增生定义为子宫内膜增生程度超出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正常增生范畴，分为子宫内膜增生不伴非典型性和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4"/>
        </w:rPr>
        <w:t>子宫内膜非典型增生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。子宫内膜增生是妇科</w:t>
      </w:r>
      <w:r>
        <w:rPr>
          <w:color w:val="231F20"/>
          <w:spacing w:val="13"/>
        </w:rPr>
        <w:t>常见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病，多见于育龄期妇女，其诊断、治疗和长期管理面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4"/>
        </w:rPr>
        <w:t>临着挑战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。随着更多临床研究和循证医学证据的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现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，美 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科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师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会（</w:t>
      </w:r>
      <w:r>
        <w:rPr>
          <w:rFonts w:ascii="Times New Roman" w:hAnsi="Times New Roman" w:eastAsia="Times New Roman" w:cs="Times New Roman"/>
          <w:color w:val="231F20"/>
          <w:spacing w:val="-6"/>
        </w:rPr>
        <w:t>American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College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"/>
        </w:rPr>
        <w:t>Obstetricians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Gynecologi</w:t>
      </w:r>
      <w:r>
        <w:rPr>
          <w:rFonts w:ascii="Times New Roman" w:hAnsi="Times New Roman" w:eastAsia="Times New Roman" w:cs="Times New Roman"/>
          <w:color w:val="231F20"/>
          <w:spacing w:val="-4"/>
        </w:rPr>
        <w:t>sts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ACOG</w:t>
      </w:r>
      <w:r>
        <w:rPr>
          <w:color w:val="231F20"/>
          <w:spacing w:val="-4"/>
        </w:rPr>
        <w:t>）于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2015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4"/>
        </w:rPr>
        <w:t>年及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2"/>
        </w:rPr>
        <w:t>2018 </w:t>
      </w:r>
      <w:r>
        <w:rPr>
          <w:color w:val="231F20"/>
          <w:spacing w:val="-2"/>
        </w:rPr>
        <w:t>年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1‑2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、英国皇家妇产科学院（</w:t>
      </w:r>
      <w:r>
        <w:rPr>
          <w:rFonts w:ascii="Times New Roman" w:hAnsi="Times New Roman" w:eastAsia="Times New Roman" w:cs="Times New Roman"/>
          <w:color w:val="231F20"/>
          <w:spacing w:val="-2"/>
        </w:rPr>
        <w:t>Royal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College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Obstetricians     and      Gynaec</w:t>
      </w:r>
      <w:r>
        <w:rPr>
          <w:rFonts w:ascii="Times New Roman" w:hAnsi="Times New Roman" w:eastAsia="Times New Roman" w:cs="Times New Roman"/>
          <w:color w:val="231F20"/>
          <w:spacing w:val="-1"/>
        </w:rPr>
        <w:t>ologists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-1"/>
        </w:rPr>
        <w:t>，  </w:t>
      </w:r>
      <w:r>
        <w:rPr>
          <w:rFonts w:ascii="Times New Roman" w:hAnsi="Times New Roman" w:eastAsia="Times New Roman" w:cs="Times New Roman"/>
          <w:color w:val="231F20"/>
          <w:spacing w:val="-1"/>
        </w:rPr>
        <w:t>RCOG</w:t>
      </w:r>
      <w:r>
        <w:rPr>
          <w:color w:val="231F20"/>
          <w:spacing w:val="-1"/>
        </w:rPr>
        <w:t>）  于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4"/>
        </w:rPr>
        <w:t>2016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年</w:t>
      </w:r>
      <w:r>
        <w:rPr>
          <w:sz w:val="10"/>
          <w:szCs w:val="10"/>
          <w:color w:val="231F20"/>
          <w:spacing w:val="-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3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4"/>
        </w:rPr>
        <w:t>、加 拿 大 妇 产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科 医</w:t>
      </w:r>
      <w:r>
        <w:rPr>
          <w:color w:val="231F20"/>
          <w:spacing w:val="-5"/>
        </w:rPr>
        <w:t xml:space="preserve"> 师 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会（</w:t>
      </w:r>
      <w:r>
        <w:rPr>
          <w:rFonts w:ascii="Times New Roman" w:hAnsi="Times New Roman" w:eastAsia="Times New Roman" w:cs="Times New Roman"/>
          <w:color w:val="231F20"/>
          <w:spacing w:val="-5"/>
        </w:rPr>
        <w:t>Society  of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Obstetricians  and  Gynaecologi</w:t>
      </w:r>
      <w:r>
        <w:rPr>
          <w:rFonts w:ascii="Times New Roman" w:hAnsi="Times New Roman" w:eastAsia="Times New Roman" w:cs="Times New Roman"/>
          <w:color w:val="231F20"/>
          <w:spacing w:val="-2"/>
        </w:rPr>
        <w:t>sts  of  Canada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SOGC</w:t>
      </w:r>
      <w:r>
        <w:rPr>
          <w:color w:val="231F20"/>
          <w:spacing w:val="-2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于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2019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7"/>
        </w:rPr>
        <w:t>年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4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等对子宫内膜增生的诊疗发布了相关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指南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Times New Roman" w:hAnsi="Times New Roman" w:eastAsia="Times New Roman" w:cs="Times New Roman"/>
          <w:color w:val="231F20"/>
        </w:rPr>
        <w:t>WHO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在其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2020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年第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版女性生殖系统肿瘤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" w:firstLine="1"/>
        <w:spacing w:before="43" w:line="224" w:lineRule="auto"/>
        <w:jc w:val="both"/>
        <w:rPr/>
      </w:pPr>
      <w:r>
        <w:pict>
          <v:shape id="_x0000_s8" style="position:absolute;margin-left:158.503pt;margin-top:216.122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2012305</wp:posOffset>
            </wp:positionH>
            <wp:positionV relativeFrom="paragraph">
              <wp:posOffset>2744070</wp:posOffset>
            </wp:positionV>
            <wp:extent cx="863993" cy="86489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3"/>
        </w:rPr>
        <w:t>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类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5</w:t>
      </w:r>
      <w:r>
        <w:rPr>
          <w:sz w:val="10"/>
          <w:szCs w:val="10"/>
          <w:color w:val="231F20"/>
          <w:spacing w:val="-3"/>
          <w:position w:val="8"/>
        </w:rPr>
        <w:t>］ </w:t>
      </w:r>
      <w:r>
        <w:rPr>
          <w:color w:val="231F20"/>
          <w:spacing w:val="-3"/>
        </w:rPr>
        <w:t>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次 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确 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宫 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增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生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分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类 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国内学者于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2017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5"/>
        </w:rPr>
        <w:t>年发布的《中国子宫内膜增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生诊疗共识》</w:t>
      </w:r>
      <w:r>
        <w:rPr>
          <w:sz w:val="10"/>
          <w:szCs w:val="10"/>
          <w:color w:val="231F20"/>
          <w:spacing w:val="1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4"/>
          <w:position w:val="8"/>
        </w:rPr>
        <w:t>6</w:t>
      </w:r>
      <w:r>
        <w:rPr>
          <w:sz w:val="10"/>
          <w:szCs w:val="10"/>
          <w:color w:val="231F20"/>
          <w:spacing w:val="14"/>
          <w:position w:val="8"/>
        </w:rPr>
        <w:t>］</w:t>
      </w:r>
      <w:r>
        <w:rPr>
          <w:color w:val="231F20"/>
          <w:spacing w:val="14"/>
        </w:rPr>
        <w:t>中首次提出了国内的诊疗推荐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2019 </w:t>
      </w:r>
      <w:r>
        <w:rPr>
          <w:color w:val="231F20"/>
          <w:spacing w:val="11"/>
        </w:rPr>
        <w:t>年发布的《左炔诺孕酮宫内缓释系统临床应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3"/>
        </w:rPr>
        <w:t>用的中国专家共识》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7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也提出了子宫内膜增生治疗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的部分建议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。在此背景下，有必要针对子宫内膜增</w:t>
      </w:r>
      <w:r>
        <w:rPr>
          <w:color w:val="231F20"/>
        </w:rPr>
        <w:t xml:space="preserve">  </w:t>
      </w:r>
      <w:r>
        <w:rPr>
          <w:color w:val="231F20"/>
        </w:rPr>
        <w:t>生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诊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疗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的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相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关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研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究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进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总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结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整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理 。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2021 </w:t>
      </w:r>
      <w:r>
        <w:rPr>
          <w:color w:val="231F20"/>
        </w:rPr>
        <w:t>年 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color w:val="231F20"/>
          <w:spacing w:val="-1"/>
        </w:rPr>
        <w:t>—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3"/>
        </w:rPr>
        <w:t>5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3"/>
        </w:rPr>
        <w:t>月，国内相关专家基于循证医学证据，进行调查、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调研，多次讨论修订，形成本指南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。鉴于疾病的复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杂性以及治疗方案的多样性，本指南强调推荐建议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的证据等级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3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22"/>
          <w:w w:val="49"/>
        </w:rPr>
        <w:t>（</w:t>
      </w:r>
      <w:r>
        <w:rPr>
          <w:color w:val="231F20"/>
          <w:spacing w:val="4"/>
        </w:rPr>
        <w:t>表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color w:val="231F20"/>
          <w:spacing w:val="-22"/>
          <w:w w:val="49"/>
        </w:rPr>
        <w:t>），</w:t>
      </w:r>
      <w:r>
        <w:rPr>
          <w:color w:val="231F20"/>
          <w:spacing w:val="4"/>
        </w:rPr>
        <w:t>供临床医师选择，因地制宜地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制定管理计划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3"/>
        </w:rPr>
        <w:t>，服务患者健康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，从而实现规范化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诊疗。</w:t>
      </w:r>
    </w:p>
    <w:p>
      <w:pPr>
        <w:spacing w:line="224" w:lineRule="auto"/>
        <w:sectPr>
          <w:type w:val="continuous"/>
          <w:pgSz w:w="12246" w:h="16498"/>
          <w:pgMar w:top="400" w:right="1217" w:bottom="0" w:left="819" w:header="0" w:footer="0" w:gutter="0"/>
          <w:cols w:equalWidth="0" w:num="2">
            <w:col w:w="5491" w:space="100"/>
            <w:col w:w="4618" w:space="0"/>
          </w:cols>
        </w:sectPr>
        <w:rPr/>
      </w:pP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492" w:right="6018" w:hanging="4"/>
        <w:spacing w:before="73" w:line="232" w:lineRule="auto"/>
        <w:rPr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sz w:val="17"/>
          <w:szCs w:val="17"/>
          <w:color w:val="231F20"/>
          <w:spacing w:val="6"/>
        </w:rPr>
        <w:t>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112141-202206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28-00418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 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7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2022-06-28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 xml:space="preserve">            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56"/>
        </w:rPr>
        <w:t xml:space="preserve"> </w:t>
      </w:r>
      <w:r>
        <w:rPr>
          <w:sz w:val="17"/>
          <w:szCs w:val="17"/>
          <w:color w:val="231F20"/>
          <w:spacing w:val="9"/>
        </w:rPr>
        <w:t>姚红萍</w:t>
      </w:r>
    </w:p>
    <w:p>
      <w:pPr>
        <w:pStyle w:val="BodyText"/>
        <w:ind w:left="502"/>
        <w:spacing w:line="19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引用本文：</w:t>
      </w:r>
      <w:r>
        <w:rPr>
          <w:sz w:val="17"/>
          <w:szCs w:val="17"/>
          <w:color w:val="231F20"/>
          <w:spacing w:val="9"/>
        </w:rPr>
        <w:t>李雷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9"/>
          <w:w w:val="102"/>
        </w:rPr>
        <w:t xml:space="preserve"> </w:t>
      </w:r>
      <w:r>
        <w:rPr>
          <w:sz w:val="17"/>
          <w:szCs w:val="17"/>
          <w:color w:val="231F20"/>
          <w:spacing w:val="9"/>
        </w:rPr>
        <w:t>陈晓军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  <w:w w:val="101"/>
        </w:rPr>
        <w:t xml:space="preserve"> </w:t>
      </w:r>
      <w:r>
        <w:rPr>
          <w:sz w:val="17"/>
          <w:szCs w:val="17"/>
          <w:color w:val="231F20"/>
          <w:spacing w:val="9"/>
        </w:rPr>
        <w:t>崔满华</w:t>
      </w:r>
      <w:r>
        <w:rPr>
          <w:sz w:val="17"/>
          <w:szCs w:val="17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sz w:val="17"/>
          <w:szCs w:val="17"/>
          <w:color w:val="231F20"/>
          <w:spacing w:val="9"/>
        </w:rPr>
        <w:t>等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9"/>
        </w:rPr>
        <w:t>中国子宫内膜增生管理指南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8"/>
        </w:rPr>
        <w:t xml:space="preserve"> </w:t>
      </w:r>
      <w:r>
        <w:rPr>
          <w:sz w:val="17"/>
          <w:szCs w:val="17"/>
          <w:color w:val="231F20"/>
          <w:spacing w:val="9"/>
        </w:rPr>
        <w:t>中华妇产科杂志</w:t>
      </w:r>
      <w:r>
        <w:rPr>
          <w:sz w:val="17"/>
          <w:szCs w:val="17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9"/>
        </w:rPr>
        <w:t>2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022,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57(8):</w:t>
      </w:r>
    </w:p>
    <w:p>
      <w:pPr>
        <w:ind w:left="490"/>
        <w:spacing w:before="69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91508</wp:posOffset>
            </wp:positionV>
            <wp:extent cx="2805668" cy="3042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566-574.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DOI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: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10.3760/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.j.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cn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7"/>
        </w:rPr>
        <w:t>112141-20220628-0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0418.</w:t>
      </w:r>
    </w:p>
    <w:p>
      <w:pPr>
        <w:spacing w:line="214" w:lineRule="auto"/>
        <w:sectPr>
          <w:type w:val="continuous"/>
          <w:pgSz w:w="12246" w:h="16498"/>
          <w:pgMar w:top="400" w:right="1217" w:bottom="0" w:left="819" w:header="0" w:footer="0" w:gutter="0"/>
          <w:cols w:equalWidth="0" w:num="1">
            <w:col w:w="10209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269" w:lineRule="auto"/>
        <w:rPr>
          <w:rFonts w:ascii="Arial"/>
          <w:sz w:val="21"/>
        </w:rPr>
      </w:pPr>
      <w:r>
        <w:pict>
          <v:shape id="_x0000_s14" style="position:absolute;margin-left:24.3856pt;margin-top:-1.23065pt;mso-position-vertical-relative:text;mso-position-horizontal-relative:text;width:321.65pt;height:0.4pt;z-index:251664384;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pStyle w:val="BodyText"/>
        <w:ind w:left="3887"/>
        <w:spacing w:before="73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1   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RCOG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"/>
        </w:rPr>
        <w:t>/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BSGE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1"/>
        </w:rPr>
        <w:t>指南的证据分级</w:t>
      </w:r>
      <w:r>
        <w:rPr>
          <w:sz w:val="9"/>
          <w:szCs w:val="9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"/>
          <w:position w:val="7"/>
        </w:rPr>
        <w:t>3</w:t>
      </w:r>
      <w:r>
        <w:rPr>
          <w:sz w:val="9"/>
          <w:szCs w:val="9"/>
          <w:color w:val="231F20"/>
          <w:spacing w:val="1"/>
          <w:position w:val="7"/>
        </w:rPr>
        <w:t>］</w:t>
      </w:r>
    </w:p>
    <w:p>
      <w:pPr>
        <w:spacing w:line="31" w:lineRule="exact"/>
        <w:rPr/>
      </w:pPr>
      <w:r/>
    </w:p>
    <w:tbl>
      <w:tblPr>
        <w:tblStyle w:val="TableNormal"/>
        <w:tblW w:w="9637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6"/>
        <w:gridCol w:w="8461"/>
      </w:tblGrid>
      <w:tr>
        <w:trPr>
          <w:trHeight w:val="268" w:hRule="atLeast"/>
        </w:trPr>
        <w:tc>
          <w:tcPr>
            <w:tcW w:w="11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68"/>
              <w:spacing w:before="56" w:line="185" w:lineRule="auto"/>
              <w:rPr/>
            </w:pPr>
            <w:r>
              <w:rPr>
                <w:color w:val="231F20"/>
                <w:spacing w:val="8"/>
              </w:rPr>
              <w:t>证据级别</w:t>
            </w:r>
          </w:p>
        </w:tc>
        <w:tc>
          <w:tcPr>
            <w:tcW w:w="846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70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说明</w:t>
            </w:r>
          </w:p>
        </w:tc>
      </w:tr>
      <w:tr>
        <w:trPr>
          <w:trHeight w:val="267" w:hRule="atLeast"/>
        </w:trPr>
        <w:tc>
          <w:tcPr>
            <w:tcW w:w="11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6" w:line="18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2"/>
              </w:rPr>
              <w:t>证据等级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1++</w:t>
            </w:r>
          </w:p>
        </w:tc>
        <w:tc>
          <w:tcPr>
            <w:tcW w:w="84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4"/>
              <w:spacing w:before="55" w:line="188" w:lineRule="auto"/>
              <w:rPr/>
            </w:pPr>
            <w:r>
              <w:rPr>
                <w:color w:val="231F20"/>
                <w:spacing w:val="10"/>
              </w:rPr>
              <w:t>基于随机对照试验或偏倚风险极低的随机对照试验的高质量</w:t>
            </w:r>
            <w:r>
              <w:rPr>
                <w:color w:val="231F20"/>
                <w:spacing w:val="9"/>
              </w:rPr>
              <w:t>荟萃分析或系统评价</w:t>
            </w:r>
          </w:p>
        </w:tc>
      </w:tr>
      <w:tr>
        <w:trPr>
          <w:trHeight w:val="272" w:hRule="atLeast"/>
        </w:trPr>
        <w:tc>
          <w:tcPr>
            <w:tcW w:w="1176" w:type="dxa"/>
            <w:vAlign w:val="top"/>
          </w:tcPr>
          <w:p>
            <w:pPr>
              <w:pStyle w:val="TableText"/>
              <w:ind w:left="60"/>
              <w:spacing w:before="62" w:line="18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2"/>
              </w:rPr>
              <w:t>证据等级 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1+</w:t>
            </w:r>
          </w:p>
        </w:tc>
        <w:tc>
          <w:tcPr>
            <w:tcW w:w="8461" w:type="dxa"/>
            <w:vAlign w:val="top"/>
          </w:tcPr>
          <w:p>
            <w:pPr>
              <w:pStyle w:val="TableText"/>
              <w:ind w:left="214"/>
              <w:spacing w:before="62" w:line="186" w:lineRule="auto"/>
              <w:rPr/>
            </w:pPr>
            <w:r>
              <w:rPr>
                <w:color w:val="231F20"/>
                <w:spacing w:val="10"/>
              </w:rPr>
              <w:t>基于随机对照试验或偏倚风险低的随机对照试验的质量良好</w:t>
            </w:r>
            <w:r>
              <w:rPr>
                <w:color w:val="231F20"/>
                <w:spacing w:val="9"/>
              </w:rPr>
              <w:t>荟萃分析或系统评价</w:t>
            </w:r>
          </w:p>
        </w:tc>
      </w:tr>
      <w:tr>
        <w:trPr>
          <w:trHeight w:val="273" w:hRule="atLeast"/>
        </w:trPr>
        <w:tc>
          <w:tcPr>
            <w:tcW w:w="1176" w:type="dxa"/>
            <w:vAlign w:val="top"/>
          </w:tcPr>
          <w:p>
            <w:pPr>
              <w:pStyle w:val="TableText"/>
              <w:ind w:left="60"/>
              <w:spacing w:before="64" w:line="18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9"/>
              </w:rPr>
              <w:t>证据等级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</w:rPr>
              <w:t>1-</w:t>
            </w:r>
          </w:p>
        </w:tc>
        <w:tc>
          <w:tcPr>
            <w:tcW w:w="8461" w:type="dxa"/>
            <w:vAlign w:val="top"/>
          </w:tcPr>
          <w:p>
            <w:pPr>
              <w:pStyle w:val="TableText"/>
              <w:ind w:left="214"/>
              <w:spacing w:before="63" w:line="186" w:lineRule="auto"/>
              <w:rPr/>
            </w:pPr>
            <w:r>
              <w:rPr>
                <w:color w:val="231F20"/>
                <w:spacing w:val="10"/>
              </w:rPr>
              <w:t>基于随机对照试验或偏倚风险高的随机对照试验的</w:t>
            </w:r>
            <w:r>
              <w:rPr>
                <w:color w:val="231F20"/>
                <w:spacing w:val="9"/>
              </w:rPr>
              <w:t>荟萃分析或系统评价</w:t>
            </w:r>
          </w:p>
        </w:tc>
      </w:tr>
      <w:tr>
        <w:trPr>
          <w:trHeight w:val="431" w:hRule="atLeast"/>
        </w:trPr>
        <w:tc>
          <w:tcPr>
            <w:tcW w:w="1176" w:type="dxa"/>
            <w:vAlign w:val="top"/>
          </w:tcPr>
          <w:p>
            <w:pPr>
              <w:pStyle w:val="TableText"/>
              <w:ind w:left="60"/>
              <w:spacing w:before="64" w:line="20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5"/>
              </w:rPr>
              <w:t>证据等级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2++</w:t>
            </w:r>
          </w:p>
        </w:tc>
        <w:tc>
          <w:tcPr>
            <w:tcW w:w="8461" w:type="dxa"/>
            <w:vAlign w:val="top"/>
          </w:tcPr>
          <w:p>
            <w:pPr>
              <w:pStyle w:val="TableText"/>
              <w:ind w:left="388" w:right="333" w:hanging="174"/>
              <w:spacing w:before="64" w:line="166" w:lineRule="auto"/>
              <w:rPr/>
            </w:pPr>
            <w:r>
              <w:rPr>
                <w:color w:val="231F20"/>
                <w:spacing w:val="5"/>
              </w:rPr>
              <w:t>基于病例对照或队列研究的高质量系统评价，或混杂、偏倚风险极低的高质量病例对照和队列研究，暴露与结局存在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7"/>
              </w:rPr>
              <w:t>因果关系的可能性极高</w:t>
            </w:r>
          </w:p>
        </w:tc>
      </w:tr>
      <w:tr>
        <w:trPr>
          <w:trHeight w:val="273" w:hRule="atLeast"/>
        </w:trPr>
        <w:tc>
          <w:tcPr>
            <w:tcW w:w="1176" w:type="dxa"/>
            <w:vAlign w:val="top"/>
          </w:tcPr>
          <w:p>
            <w:pPr>
              <w:pStyle w:val="TableText"/>
              <w:ind w:left="60"/>
              <w:spacing w:before="66" w:line="18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6"/>
              </w:rPr>
              <w:t>证据等级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2+</w:t>
            </w:r>
          </w:p>
        </w:tc>
        <w:tc>
          <w:tcPr>
            <w:tcW w:w="8461" w:type="dxa"/>
            <w:vAlign w:val="top"/>
          </w:tcPr>
          <w:p>
            <w:pPr>
              <w:pStyle w:val="TableText"/>
              <w:ind w:left="212"/>
              <w:spacing w:before="67" w:line="182" w:lineRule="auto"/>
              <w:rPr/>
            </w:pPr>
            <w:r>
              <w:rPr>
                <w:color w:val="231F20"/>
                <w:spacing w:val="4"/>
              </w:rPr>
              <w:t>设计良好的病例对照或队列研究，混杂、偏倚风险低，暴露与结局存在因果关系的可能性中等</w:t>
            </w:r>
          </w:p>
        </w:tc>
      </w:tr>
      <w:tr>
        <w:trPr>
          <w:trHeight w:val="272" w:hRule="atLeast"/>
        </w:trPr>
        <w:tc>
          <w:tcPr>
            <w:tcW w:w="1176" w:type="dxa"/>
            <w:vAlign w:val="top"/>
          </w:tcPr>
          <w:p>
            <w:pPr>
              <w:pStyle w:val="TableText"/>
              <w:ind w:left="60"/>
              <w:spacing w:before="67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1"/>
              </w:rPr>
              <w:t>证据等级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</w:rPr>
              <w:t>2-</w:t>
            </w:r>
          </w:p>
        </w:tc>
        <w:tc>
          <w:tcPr>
            <w:tcW w:w="8461" w:type="dxa"/>
            <w:vAlign w:val="top"/>
          </w:tcPr>
          <w:p>
            <w:pPr>
              <w:pStyle w:val="TableText"/>
              <w:ind w:left="214"/>
              <w:spacing w:before="67" w:line="181" w:lineRule="auto"/>
              <w:rPr/>
            </w:pPr>
            <w:r>
              <w:rPr>
                <w:color w:val="231F20"/>
                <w:spacing w:val="3"/>
              </w:rPr>
              <w:t>病例对照或队列研究，混杂、偏倚风险较高，暴露与结局之间的关联可能并非因果关系</w:t>
            </w:r>
          </w:p>
        </w:tc>
      </w:tr>
      <w:tr>
        <w:trPr>
          <w:trHeight w:val="273" w:hRule="atLeast"/>
        </w:trPr>
        <w:tc>
          <w:tcPr>
            <w:tcW w:w="1176" w:type="dxa"/>
            <w:vAlign w:val="top"/>
          </w:tcPr>
          <w:p>
            <w:pPr>
              <w:pStyle w:val="TableText"/>
              <w:ind w:left="60"/>
              <w:spacing w:before="68"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6"/>
              </w:rPr>
              <w:t>证据等级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>3</w:t>
            </w:r>
          </w:p>
        </w:tc>
        <w:tc>
          <w:tcPr>
            <w:tcW w:w="8461" w:type="dxa"/>
            <w:vAlign w:val="top"/>
          </w:tcPr>
          <w:p>
            <w:pPr>
              <w:pStyle w:val="TableText"/>
              <w:ind w:left="215"/>
              <w:spacing w:before="69" w:line="180" w:lineRule="auto"/>
              <w:rPr/>
            </w:pPr>
            <w:r>
              <w:rPr>
                <w:color w:val="231F20"/>
              </w:rPr>
              <w:t>非分析性研究，如病例报告、病例系列</w:t>
            </w:r>
          </w:p>
        </w:tc>
      </w:tr>
      <w:tr>
        <w:trPr>
          <w:trHeight w:val="277" w:hRule="atLeast"/>
        </w:trPr>
        <w:tc>
          <w:tcPr>
            <w:tcW w:w="117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"/>
              <w:spacing w:before="69" w:line="18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7"/>
              </w:rPr>
              <w:t>证据等级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>4</w:t>
            </w:r>
          </w:p>
        </w:tc>
        <w:tc>
          <w:tcPr>
            <w:tcW w:w="84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14"/>
              <w:spacing w:before="69" w:line="184" w:lineRule="auto"/>
              <w:rPr/>
            </w:pPr>
            <w:r>
              <w:rPr>
                <w:color w:val="231F20"/>
                <w:spacing w:val="8"/>
              </w:rPr>
              <w:t>专家意见</w:t>
            </w:r>
          </w:p>
        </w:tc>
      </w:tr>
    </w:tbl>
    <w:p>
      <w:pPr>
        <w:pStyle w:val="BodyText"/>
        <w:ind w:left="812"/>
        <w:spacing w:before="80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注：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RCOG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/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BSGE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5"/>
        </w:rPr>
        <w:t>表示英国皇家妇产科学院与英国妇科内镜学会</w:t>
      </w:r>
    </w:p>
    <w:p>
      <w:pPr>
        <w:spacing w:before="73"/>
        <w:rPr/>
      </w:pPr>
      <w:r/>
    </w:p>
    <w:p>
      <w:pPr>
        <w:sectPr>
          <w:headerReference w:type="default" r:id="rId4"/>
          <w:pgSz w:w="12246" w:h="16498"/>
          <w:pgMar w:top="1221" w:right="1239" w:bottom="0" w:left="819" w:header="971" w:footer="0" w:gutter="0"/>
          <w:cols w:equalWidth="0" w:num="1">
            <w:col w:w="10187" w:space="0"/>
          </w:cols>
        </w:sectPr>
        <w:rPr/>
      </w:pPr>
    </w:p>
    <w:p>
      <w:pPr>
        <w:pStyle w:val="BodyText"/>
        <w:ind w:left="910"/>
        <w:spacing w:before="40" w:line="183" w:lineRule="auto"/>
        <w:rPr/>
      </w:pPr>
      <w:r>
        <w:rPr>
          <w:color w:val="231F20"/>
          <w:spacing w:val="1"/>
        </w:rPr>
        <w:t>一、子宫内膜增生的高危因素</w:t>
      </w:r>
    </w:p>
    <w:p>
      <w:pPr>
        <w:pStyle w:val="BodyText"/>
        <w:ind w:left="490" w:right="407" w:firstLine="420"/>
        <w:spacing w:before="61" w:line="225" w:lineRule="auto"/>
        <w:jc w:val="both"/>
        <w:rPr/>
      </w:pPr>
      <w:r>
        <w:rPr>
          <w:color w:val="231F20"/>
          <w:spacing w:val="5"/>
        </w:rPr>
        <w:t>子宫内膜增生的高危因素可分为：生殖相关因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素，如排卵功能障碍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、多囊卵巢综合征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、未育或不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孕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、初潮早或绝经晚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、绝经过渡期等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8</w:t>
      </w:r>
      <w:r>
        <w:rPr>
          <w:sz w:val="10"/>
          <w:szCs w:val="10"/>
          <w:color w:val="231F20"/>
          <w:spacing w:val="8"/>
          <w:position w:val="8"/>
        </w:rPr>
        <w:t>］</w:t>
      </w:r>
      <w:r>
        <w:rPr>
          <w:color w:val="231F20"/>
          <w:spacing w:val="-43"/>
          <w:w w:val="72"/>
        </w:rPr>
        <w:t>；</w:t>
      </w:r>
      <w:r>
        <w:rPr>
          <w:color w:val="231F20"/>
          <w:spacing w:val="5"/>
        </w:rPr>
        <w:t>医源性因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素，如长期应用无孕激素拮抗的雌激素或他莫昔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芬；代谢相关疾病，如肥胖、糖尿病、高血压</w:t>
      </w:r>
      <w:r>
        <w:rPr>
          <w:color w:val="231F20"/>
          <w:spacing w:val="-9"/>
        </w:rPr>
        <w:t>等</w:t>
      </w:r>
      <w:r>
        <w:rPr>
          <w:sz w:val="10"/>
          <w:szCs w:val="10"/>
          <w:color w:val="231F20"/>
          <w:spacing w:val="-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9"/>
          <w:position w:val="8"/>
        </w:rPr>
        <w:t>9</w:t>
      </w:r>
      <w:r>
        <w:rPr>
          <w:sz w:val="10"/>
          <w:szCs w:val="10"/>
          <w:color w:val="231F20"/>
          <w:spacing w:val="-6"/>
          <w:position w:val="8"/>
        </w:rPr>
        <w:t>］</w:t>
      </w:r>
      <w:r>
        <w:rPr>
          <w:color w:val="231F20"/>
          <w:spacing w:val="-33"/>
          <w:w w:val="55"/>
        </w:rPr>
        <w:t>；</w:t>
      </w:r>
      <w:r>
        <w:rPr>
          <w:color w:val="231F20"/>
          <w:spacing w:val="-9"/>
        </w:rPr>
        <w:t>分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泌激素的肿瘤，如卵巢性索间质肿瘤等；遗传因素，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7"/>
        </w:rPr>
        <w:t>如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Lynch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7"/>
        </w:rPr>
        <w:t>综合征在内的遗传性子宫内膜癌。</w:t>
      </w:r>
    </w:p>
    <w:p>
      <w:pPr>
        <w:pStyle w:val="BodyText"/>
        <w:ind w:left="911"/>
        <w:spacing w:line="184" w:lineRule="auto"/>
        <w:rPr/>
      </w:pPr>
      <w:r>
        <w:rPr>
          <w:color w:val="231F20"/>
          <w:spacing w:val="1"/>
        </w:rPr>
        <w:t>二、子宫内膜增生的临床表现</w:t>
      </w:r>
    </w:p>
    <w:p>
      <w:pPr>
        <w:pStyle w:val="BodyText"/>
        <w:ind w:left="489" w:right="394" w:firstLine="422"/>
        <w:spacing w:before="59" w:line="225" w:lineRule="auto"/>
        <w:jc w:val="both"/>
        <w:rPr/>
      </w:pPr>
      <w:r>
        <w:rPr>
          <w:color w:val="231F20"/>
          <w:spacing w:val="16"/>
        </w:rPr>
        <w:t>异常子宫出血是子宫内膜增生最常见的临床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表现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10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-34"/>
          <w:w w:val="57"/>
        </w:rPr>
        <w:t>，</w:t>
      </w:r>
      <w:r>
        <w:rPr>
          <w:color w:val="231F20"/>
          <w:spacing w:val="6"/>
        </w:rPr>
        <w:t>绝经前患者主要表现为月经周期频率、规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律性、经量和经期的改变，以及月经间期出</w:t>
      </w:r>
      <w:r>
        <w:rPr>
          <w:color w:val="231F20"/>
          <w:spacing w:val="-4"/>
        </w:rPr>
        <w:t>血；绝经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患者表现为绝经后出血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。临床评估应常规进行包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括妇科检查在内的系统性身体检查以充分评估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身体检查可能无异常发现，也可能发现代谢异常相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关的表现，如体质指数（</w:t>
      </w:r>
      <w:r>
        <w:rPr>
          <w:rFonts w:ascii="Times New Roman" w:hAnsi="Times New Roman" w:eastAsia="Times New Roman" w:cs="Times New Roman"/>
          <w:color w:val="231F20"/>
          <w:spacing w:val="-7"/>
        </w:rPr>
        <w:t>body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mass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in</w:t>
      </w:r>
      <w:r>
        <w:rPr>
          <w:rFonts w:ascii="Times New Roman" w:hAnsi="Times New Roman" w:eastAsia="Times New Roman" w:cs="Times New Roman"/>
          <w:color w:val="231F20"/>
          <w:spacing w:val="-8"/>
        </w:rPr>
        <w:t>dex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color w:val="231F20"/>
          <w:spacing w:val="-8"/>
        </w:rPr>
        <w:t>BMI</w:t>
      </w:r>
      <w:r>
        <w:rPr>
          <w:color w:val="231F20"/>
          <w:spacing w:val="-8"/>
        </w:rPr>
        <w:t>）升高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以及多囊卵巢综合征特征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9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914"/>
        <w:spacing w:line="184" w:lineRule="auto"/>
        <w:rPr/>
      </w:pPr>
      <w:r>
        <w:rPr>
          <w:color w:val="231F20"/>
          <w:spacing w:val="1"/>
        </w:rPr>
        <w:t>三、子宫内膜增生的评估及检查</w:t>
      </w:r>
    </w:p>
    <w:p>
      <w:pPr>
        <w:pStyle w:val="BodyText"/>
        <w:ind w:left="488" w:right="391" w:firstLine="439"/>
        <w:spacing w:before="59" w:line="22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 </w:t>
      </w:r>
      <w:r>
        <w:rPr>
          <w:color w:val="231F20"/>
          <w:spacing w:val="4"/>
        </w:rPr>
        <w:t>影像学检查：经阴道超声检查是评估子宫内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膜增生首选的影像学检查方法（证据等级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2+</w:t>
      </w:r>
      <w:r>
        <w:rPr>
          <w:color w:val="231F20"/>
          <w:spacing w:val="-30"/>
          <w:w w:val="83"/>
        </w:rPr>
        <w:t>）</w:t>
      </w:r>
      <w:r>
        <w:rPr>
          <w:sz w:val="10"/>
          <w:szCs w:val="10"/>
          <w:color w:val="231F20"/>
          <w:spacing w:val="-30"/>
          <w:w w:val="9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11</w:t>
      </w:r>
      <w:r>
        <w:rPr>
          <w:sz w:val="10"/>
          <w:szCs w:val="10"/>
          <w:color w:val="231F20"/>
          <w:spacing w:val="-30"/>
          <w:w w:val="90"/>
          <w:position w:val="8"/>
        </w:rPr>
        <w:t>］</w:t>
      </w:r>
      <w:r>
        <w:rPr>
          <w:color w:val="231F20"/>
          <w:spacing w:val="-30"/>
          <w:w w:val="90"/>
        </w:rPr>
        <w:t>；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对无性生活的女性推荐经直肠超声检查（证据等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级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3</w:t>
      </w:r>
      <w:r>
        <w:rPr>
          <w:color w:val="231F20"/>
          <w:spacing w:val="5"/>
        </w:rPr>
        <w:t>）。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超声检查发现的绝经后子宫内膜增厚与子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宫内膜增生、子宫内膜癌的风险增加有关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12‑14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。对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于绝经后阴道流血的妇女，子宫内膜厚度</w:t>
      </w:r>
      <w:r>
        <w:rPr>
          <w:rFonts w:ascii="Times New Roman" w:hAnsi="Times New Roman" w:eastAsia="Times New Roman" w:cs="Times New Roman"/>
          <w:color w:val="231F20"/>
          <w:spacing w:val="5"/>
        </w:rPr>
        <w:t>&gt;4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需进一步评估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2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35"/>
          <w:w w:val="58"/>
        </w:rPr>
        <w:t>；</w:t>
      </w:r>
      <w:r>
        <w:rPr>
          <w:color w:val="231F20"/>
          <w:spacing w:val="9"/>
        </w:rPr>
        <w:t>对于服用他莫昔芬的女性，</w:t>
      </w:r>
      <w:r>
        <w:rPr>
          <w:color w:val="231F20"/>
          <w:spacing w:val="8"/>
        </w:rPr>
        <w:t>建议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密切关注子宫内膜厚度的变化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15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。超声检查提示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的子宫内膜过度增厚且回声不均匀、药物治疗效果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不显著者，可能存在其他子宫内膜病变的风险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。其</w:t>
      </w:r>
      <w:r>
        <w:rPr>
          <w:color w:val="231F20"/>
        </w:rPr>
        <w:t xml:space="preserve">  </w:t>
      </w:r>
      <w:r>
        <w:rPr>
          <w:color w:val="231F20"/>
          <w:position w:val="-1"/>
        </w:rPr>
        <w:t>他超声检查方法还包括超声造影</w:t>
      </w:r>
      <w:r>
        <w:rPr>
          <w:sz w:val="10"/>
          <w:szCs w:val="10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16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、三维超声</w:t>
      </w:r>
      <w:r>
        <w:rPr>
          <w:sz w:val="10"/>
          <w:szCs w:val="10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17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、</w:t>
      </w:r>
      <w:r>
        <w:rPr>
          <w:color w:val="231F20"/>
          <w:spacing w:val="9"/>
          <w:position w:val="-1"/>
        </w:rPr>
        <w:t xml:space="preserve"> </w:t>
      </w:r>
      <w:r>
        <w:rPr>
          <w:color w:val="231F20"/>
          <w:spacing w:val="1"/>
        </w:rPr>
        <w:t>实时剪切波弹性成像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18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等，但这些方法目前不能替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代经阴道超声或经直肠超声检查。</w:t>
      </w:r>
    </w:p>
    <w:p>
      <w:pPr>
        <w:pStyle w:val="BodyText"/>
        <w:ind w:left="914"/>
        <w:spacing w:line="184" w:lineRule="auto"/>
        <w:rPr/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75703</wp:posOffset>
            </wp:positionV>
            <wp:extent cx="2805668" cy="30421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5"/>
        </w:rPr>
        <w:t>弥散加权磁共振成像检查有助于鉴别浸润性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5" w:firstLine="2"/>
        <w:spacing w:before="41" w:line="224" w:lineRule="auto"/>
        <w:jc w:val="both"/>
        <w:rPr/>
      </w:pPr>
      <w:r>
        <w:rPr>
          <w:color w:val="231F20"/>
          <w:spacing w:val="5"/>
        </w:rPr>
        <w:t>癌，具有评估子宫内膜增生和其他子宫内膜病变的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潜力，可作为子宫内膜非典型增生保守治疗后随访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监测的手段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19‑20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尚无研究评估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5"/>
        </w:rPr>
        <w:t>检查在子宫内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膜增生保守治疗中的应用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21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1" w:right="65" w:firstLine="422"/>
        <w:spacing w:before="1" w:line="220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2. </w:t>
      </w:r>
      <w:r>
        <w:rPr>
          <w:color w:val="231F20"/>
          <w:spacing w:val="4"/>
        </w:rPr>
        <w:t>子宫内膜活检：可疑子宫内膜病变时应进行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子宫内膜组织活检以明确诊断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。诊断性刮宫（证据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等级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2++</w:t>
      </w:r>
      <w:r>
        <w:rPr>
          <w:color w:val="231F20"/>
          <w:spacing w:val="-4"/>
        </w:rPr>
        <w:t>）、宫腔镜下定位活检（证据等级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2+</w:t>
      </w:r>
      <w:r>
        <w:rPr>
          <w:color w:val="231F20"/>
          <w:spacing w:val="-4"/>
        </w:rPr>
        <w:t>）是传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统的活检方法，负压吸取活检（证据等级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2-</w:t>
      </w:r>
      <w:r>
        <w:rPr>
          <w:color w:val="231F20"/>
          <w:spacing w:val="5"/>
        </w:rPr>
        <w:t>）</w:t>
      </w:r>
      <w:r>
        <w:rPr>
          <w:color w:val="231F20"/>
          <w:spacing w:val="4"/>
        </w:rPr>
        <w:t>等子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宫内膜微量组织病理检查方法也具有较高的准确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率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22‑26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1"/>
        </w:rPr>
        <w:t>。子宫内膜细胞学检查具有筛查子宫内膜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5"/>
        </w:rPr>
        <w:t>病变和辅助诊断的作用，但不能代替组织学病理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  <w:position w:val="-3"/>
        </w:rPr>
        <w:t>检查</w:t>
      </w:r>
      <w:r>
        <w:rPr>
          <w:sz w:val="10"/>
          <w:szCs w:val="10"/>
          <w:color w:val="231F20"/>
          <w:spacing w:val="-12"/>
          <w:w w:val="95"/>
          <w:position w:val="5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2"/>
          <w:w w:val="95"/>
          <w:position w:val="5"/>
        </w:rPr>
        <w:t>27</w:t>
      </w:r>
      <w:r>
        <w:rPr>
          <w:sz w:val="10"/>
          <w:szCs w:val="10"/>
          <w:color w:val="231F20"/>
          <w:spacing w:val="-12"/>
          <w:w w:val="95"/>
          <w:position w:val="5"/>
        </w:rPr>
        <w:t>］</w:t>
      </w:r>
      <w:r>
        <w:rPr>
          <w:color w:val="231F20"/>
          <w:spacing w:val="1"/>
          <w:position w:val="-3"/>
        </w:rPr>
        <w:t>。</w:t>
      </w:r>
    </w:p>
    <w:p>
      <w:pPr>
        <w:pStyle w:val="BodyText"/>
        <w:ind w:left="1" w:right="66" w:firstLine="424"/>
        <w:spacing w:before="60" w:line="219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 </w:t>
      </w:r>
      <w:r>
        <w:rPr>
          <w:color w:val="231F20"/>
          <w:spacing w:val="4"/>
        </w:rPr>
        <w:t>宫腔镜检查及宫腔镜下的子宫内膜活检：宫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腔镜检查是一种安全、微创、可提供满意宫腔评估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的内镜技术，可对子宫内膜进行直接观察和定位活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4"/>
        </w:rPr>
        <w:t>检，是评估子宫内膜病变的有效方法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。宫腔镜下子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宫内膜形态学评估需考虑子宫内膜不均匀增厚、血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4"/>
        </w:rPr>
        <w:t>管异常表现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4"/>
        </w:rPr>
        <w:t>、腺体囊性扩张和腺管口结构改变等</w:t>
      </w:r>
      <w:r>
        <w:rPr>
          <w:color w:val="231F20"/>
        </w:rPr>
        <w:t xml:space="preserve"> </w:t>
      </w:r>
      <w:r>
        <w:rPr>
          <w:color w:val="231F20"/>
          <w:spacing w:val="5"/>
          <w:position w:val="-4"/>
        </w:rPr>
        <w:t>方面</w:t>
      </w:r>
      <w:r>
        <w:rPr>
          <w:sz w:val="10"/>
          <w:szCs w:val="10"/>
          <w:color w:val="231F20"/>
          <w:spacing w:val="-7"/>
          <w:position w:val="4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4"/>
        </w:rPr>
        <w:t>28‑32</w:t>
      </w:r>
      <w:r>
        <w:rPr>
          <w:sz w:val="10"/>
          <w:szCs w:val="10"/>
          <w:color w:val="231F20"/>
          <w:spacing w:val="-7"/>
          <w:position w:val="4"/>
        </w:rPr>
        <w:t>］</w:t>
      </w:r>
      <w:r>
        <w:rPr>
          <w:color w:val="231F20"/>
          <w:spacing w:val="-7"/>
          <w:position w:val="-4"/>
        </w:rPr>
        <w:t>。</w:t>
      </w:r>
    </w:p>
    <w:p>
      <w:pPr>
        <w:pStyle w:val="BodyText"/>
        <w:ind w:left="443"/>
        <w:spacing w:before="62" w:line="182" w:lineRule="auto"/>
        <w:rPr/>
      </w:pPr>
      <w:r>
        <w:rPr>
          <w:color w:val="231F20"/>
          <w:spacing w:val="1"/>
        </w:rPr>
        <w:t>四、子宫内膜增生的组织学病理诊断</w:t>
      </w:r>
    </w:p>
    <w:p>
      <w:pPr>
        <w:pStyle w:val="BodyText"/>
        <w:ind w:firstLine="423"/>
        <w:spacing w:before="67" w:line="226" w:lineRule="auto"/>
        <w:rPr/>
      </w:pPr>
      <w:r>
        <w:rPr>
          <w:color w:val="231F20"/>
          <w:spacing w:val="11"/>
        </w:rPr>
        <w:t>子宫内膜增生的分类参考</w:t>
      </w:r>
      <w:r>
        <w:rPr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2020 </w:t>
      </w:r>
      <w:r>
        <w:rPr>
          <w:color w:val="231F20"/>
          <w:spacing w:val="11"/>
        </w:rPr>
        <w:t>年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WHO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11"/>
        </w:rPr>
        <w:t>对子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宫内膜增生的基本生物学特征描述，见表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5</w:t>
      </w:r>
      <w:r>
        <w:rPr>
          <w:sz w:val="10"/>
          <w:szCs w:val="10"/>
          <w:color w:val="231F20"/>
          <w:spacing w:val="-8"/>
          <w:position w:val="8"/>
        </w:rPr>
        <w:t>］</w:t>
      </w:r>
      <w:r>
        <w:rPr>
          <w:color w:val="231F20"/>
          <w:spacing w:val="-33"/>
          <w:w w:val="55"/>
        </w:rPr>
        <w:t>；</w:t>
      </w:r>
      <w:r>
        <w:rPr>
          <w:color w:val="231F20"/>
          <w:spacing w:val="3"/>
        </w:rPr>
        <w:t>子宫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内膜增生的诊断和鉴别诊断见表</w:t>
      </w:r>
      <w:r>
        <w:rPr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3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16"/>
        </w:rPr>
        <w:t>。根据是否伴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有细胞异型性，子宫内膜增生分为子宫内膜增生不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伴非典型性和子宫内膜非典型增生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。此外，子宫内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膜增生在保守治疗过程中对孕激素反应性的组织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学病理评估，需要考虑病变的病理类型、反应性及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临床用药类型、剂量、在月经周期中用药的开始时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间和用药时间；评估内容包括：病变子宫内膜及正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常子宫内膜在孕激素等药物作用后的反应性，病变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消退、持续或进展情况，是否存在新发病灶等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疗后影像学检查对于病理评估和取样能提供指导，</w:t>
      </w:r>
    </w:p>
    <w:p>
      <w:pPr>
        <w:spacing w:line="226" w:lineRule="auto"/>
        <w:sectPr>
          <w:type w:val="continuous"/>
          <w:pgSz w:w="12246" w:h="16498"/>
          <w:pgMar w:top="1221" w:right="1239" w:bottom="0" w:left="819" w:header="971" w:footer="0" w:gutter="0"/>
          <w:cols w:equalWidth="0" w:num="2">
            <w:col w:w="5491" w:space="100"/>
            <w:col w:w="4596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>
        <w:pict>
          <v:shape id="_x0000_s20" style="position:absolute;margin-left:184.639pt;margin-top:-1.25555pt;mso-position-vertical-relative:text;mso-position-horizontal-relative:text;width:321.65pt;height:0.4pt;z-index:251669504;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pStyle w:val="BodyText"/>
        <w:ind w:left="2605"/>
        <w:spacing w:before="73" w:line="208" w:lineRule="auto"/>
        <w:outlineLvl w:val="0"/>
        <w:rPr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6"/>
        </w:rPr>
        <w:t>2    2020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 xml:space="preserve"> </w:t>
      </w:r>
      <w:r>
        <w:rPr>
          <w:sz w:val="17"/>
          <w:szCs w:val="17"/>
          <w:color w:val="231F20"/>
          <w:spacing w:val="6"/>
        </w:rPr>
        <w:t>年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WHO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6"/>
        </w:rPr>
        <w:t>对子宫内膜增生的分类及其基本生物学特征描述</w:t>
      </w:r>
      <w:r>
        <w:rPr>
          <w:sz w:val="9"/>
          <w:szCs w:val="9"/>
          <w:color w:val="231F20"/>
          <w:spacing w:val="6"/>
          <w:position w:val="7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7"/>
        </w:rPr>
        <w:t>5</w:t>
      </w:r>
      <w:r>
        <w:rPr>
          <w:sz w:val="9"/>
          <w:szCs w:val="9"/>
          <w:color w:val="231F20"/>
          <w:spacing w:val="6"/>
          <w:position w:val="7"/>
        </w:rPr>
        <w:t>］</w:t>
      </w:r>
    </w:p>
    <w:p>
      <w:pPr>
        <w:spacing w:line="31" w:lineRule="exact"/>
        <w:rPr/>
      </w:pPr>
      <w:r/>
    </w:p>
    <w:tbl>
      <w:tblPr>
        <w:tblStyle w:val="TableNormal"/>
        <w:tblW w:w="9637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0"/>
        <w:gridCol w:w="2325"/>
        <w:gridCol w:w="2139"/>
        <w:gridCol w:w="1195"/>
        <w:gridCol w:w="2368"/>
      </w:tblGrid>
      <w:tr>
        <w:trPr>
          <w:trHeight w:val="427" w:hRule="atLeast"/>
        </w:trPr>
        <w:tc>
          <w:tcPr>
            <w:tcW w:w="161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79"/>
              <w:spacing w:before="136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23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8"/>
              <w:spacing w:before="136" w:line="185" w:lineRule="auto"/>
              <w:rPr/>
            </w:pPr>
            <w:r>
              <w:rPr>
                <w:color w:val="231F20"/>
                <w:spacing w:val="6"/>
              </w:rPr>
              <w:t>同义语或曾用语</w:t>
            </w:r>
          </w:p>
        </w:tc>
        <w:tc>
          <w:tcPr>
            <w:tcW w:w="213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3"/>
              <w:spacing w:before="134" w:line="188" w:lineRule="auto"/>
              <w:rPr/>
            </w:pPr>
            <w:r>
              <w:rPr>
                <w:color w:val="231F20"/>
                <w:spacing w:val="8"/>
              </w:rPr>
              <w:t>遗传学改变</w:t>
            </w:r>
          </w:p>
        </w:tc>
        <w:tc>
          <w:tcPr>
            <w:tcW w:w="11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0" w:right="77" w:firstLine="63"/>
              <w:spacing w:before="56" w:line="167" w:lineRule="auto"/>
              <w:rPr/>
            </w:pPr>
            <w:r>
              <w:rPr>
                <w:color w:val="231F20"/>
                <w:spacing w:val="8"/>
              </w:rPr>
              <w:t>进展为子宫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内膜癌的风险</w:t>
            </w:r>
          </w:p>
        </w:tc>
        <w:tc>
          <w:tcPr>
            <w:tcW w:w="236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0" w:right="214" w:hanging="81"/>
              <w:spacing w:before="55" w:line="167" w:lineRule="auto"/>
              <w:rPr/>
            </w:pPr>
            <w:r>
              <w:rPr>
                <w:color w:val="231F20"/>
                <w:spacing w:val="9"/>
              </w:rPr>
              <w:t>无拮抗的雌激素长期暴露后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进展为子宫内膜癌的风险</w:t>
            </w:r>
          </w:p>
        </w:tc>
      </w:tr>
      <w:tr>
        <w:trPr>
          <w:trHeight w:val="902" w:hRule="atLeast"/>
        </w:trPr>
        <w:tc>
          <w:tcPr>
            <w:tcW w:w="161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 w:right="275" w:hanging="159"/>
              <w:spacing w:before="58" w:line="167" w:lineRule="auto"/>
              <w:rPr/>
            </w:pPr>
            <w:r>
              <w:rPr>
                <w:color w:val="231F20"/>
                <w:spacing w:val="9"/>
              </w:rPr>
              <w:t>子宫内膜增生不伴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非典型性</w:t>
            </w:r>
          </w:p>
        </w:tc>
        <w:tc>
          <w:tcPr>
            <w:tcW w:w="23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58" w:line="160" w:lineRule="exact"/>
              <w:rPr/>
            </w:pPr>
            <w:r>
              <w:rPr>
                <w:color w:val="231F20"/>
                <w:spacing w:val="8"/>
              </w:rPr>
              <w:t>子宫内膜增生过长；</w:t>
            </w:r>
          </w:p>
          <w:p>
            <w:pPr>
              <w:pStyle w:val="TableText"/>
              <w:ind w:left="284"/>
              <w:spacing w:line="159" w:lineRule="exact"/>
              <w:rPr/>
            </w:pPr>
            <w:r>
              <w:rPr>
                <w:color w:val="231F20"/>
                <w:spacing w:val="7"/>
              </w:rPr>
              <w:t>子宫内膜增殖症；</w:t>
            </w:r>
          </w:p>
          <w:p>
            <w:pPr>
              <w:pStyle w:val="TableText"/>
              <w:ind w:left="305"/>
              <w:spacing w:line="158" w:lineRule="exact"/>
              <w:rPr/>
            </w:pPr>
            <w:r>
              <w:rPr>
                <w:color w:val="231F20"/>
                <w:spacing w:val="5"/>
                <w:position w:val="-1"/>
              </w:rPr>
              <w:t>良性子宫内膜增生；</w:t>
            </w:r>
          </w:p>
          <w:p>
            <w:pPr>
              <w:pStyle w:val="TableText"/>
              <w:ind w:left="284" w:right="476"/>
              <w:spacing w:before="1" w:line="165" w:lineRule="auto"/>
              <w:rPr/>
            </w:pPr>
            <w:r>
              <w:rPr>
                <w:color w:val="231F20"/>
                <w:spacing w:val="6"/>
              </w:rPr>
              <w:t>子宫内膜单纯性增生；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9"/>
              </w:rPr>
              <w:t>子宫内膜复杂性增生</w:t>
            </w:r>
          </w:p>
        </w:tc>
        <w:tc>
          <w:tcPr>
            <w:tcW w:w="21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2"/>
              <w:spacing w:before="56" w:line="187" w:lineRule="auto"/>
              <w:rPr/>
            </w:pPr>
            <w:r>
              <w:rPr>
                <w:color w:val="231F20"/>
                <w:spacing w:val="9"/>
              </w:rPr>
              <w:t>无特异性遗传学改变</w:t>
            </w:r>
          </w:p>
        </w:tc>
        <w:tc>
          <w:tcPr>
            <w:tcW w:w="1195" w:type="dxa"/>
            <w:vAlign w:val="top"/>
            <w:tcBorders>
              <w:top w:val="single" w:color="231F20" w:sz="2" w:space="0"/>
            </w:tcBorders>
          </w:tcPr>
          <w:p>
            <w:pPr>
              <w:ind w:left="401"/>
              <w:spacing w:before="70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1"/>
              </w:rPr>
              <w:t>1%~3%</w:t>
            </w:r>
          </w:p>
        </w:tc>
        <w:tc>
          <w:tcPr>
            <w:tcW w:w="23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3" w:right="123" w:hanging="158"/>
              <w:spacing w:before="58" w:line="175" w:lineRule="auto"/>
              <w:rPr/>
            </w:pPr>
            <w:r>
              <w:rPr>
                <w:color w:val="231F20"/>
              </w:rPr>
              <w:t>风险增加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3~4</w:t>
            </w:r>
            <w:r>
              <w:rPr>
                <w:rFonts w:ascii="Times New Roman" w:hAnsi="Times New Roman" w:eastAsia="Times New Roman" w:cs="Times New Roman"/>
                <w:color w:val="231F20"/>
                <w:spacing w:val="-15"/>
              </w:rPr>
              <w:t xml:space="preserve"> </w:t>
            </w:r>
            <w:r>
              <w:rPr>
                <w:color w:val="231F20"/>
              </w:rPr>
              <w:t>倍，暴露超过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年 </w:t>
            </w:r>
            <w:r>
              <w:rPr>
                <w:color w:val="231F20"/>
                <w:spacing w:val="3"/>
              </w:rPr>
              <w:t>者增加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10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倍以上</w:t>
            </w:r>
          </w:p>
        </w:tc>
      </w:tr>
      <w:tr>
        <w:trPr>
          <w:trHeight w:val="757" w:hRule="atLeast"/>
        </w:trPr>
        <w:tc>
          <w:tcPr>
            <w:tcW w:w="161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69" w:line="185" w:lineRule="auto"/>
              <w:rPr/>
            </w:pPr>
            <w:r>
              <w:rPr>
                <w:color w:val="231F20"/>
                <w:spacing w:val="9"/>
              </w:rPr>
              <w:t>子宫内膜非典型增生</w:t>
            </w:r>
          </w:p>
        </w:tc>
        <w:tc>
          <w:tcPr>
            <w:tcW w:w="23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4"/>
              <w:spacing w:before="68" w:line="161" w:lineRule="exact"/>
              <w:rPr/>
            </w:pPr>
            <w:r>
              <w:rPr>
                <w:color w:val="231F20"/>
                <w:spacing w:val="8"/>
              </w:rPr>
              <w:t>子宫内膜单纯性非典型增生；</w:t>
            </w:r>
          </w:p>
          <w:p>
            <w:pPr>
              <w:pStyle w:val="TableText"/>
              <w:ind w:left="284"/>
              <w:spacing w:before="2" w:line="176" w:lineRule="auto"/>
              <w:rPr/>
            </w:pPr>
            <w:r>
              <w:rPr>
                <w:color w:val="231F20"/>
                <w:spacing w:val="6"/>
              </w:rPr>
              <w:t>子宫内膜复杂性非典型增生；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子宫内膜上皮内瘤变（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EIN</w:t>
            </w:r>
            <w:r>
              <w:rPr>
                <w:color w:val="231F20"/>
                <w:spacing w:val="1"/>
              </w:rPr>
              <w:t>）</w:t>
            </w:r>
          </w:p>
        </w:tc>
        <w:tc>
          <w:tcPr>
            <w:tcW w:w="213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32" w:right="103" w:hanging="155"/>
              <w:spacing w:before="65" w:line="162" w:lineRule="exact"/>
              <w:rPr/>
            </w:pPr>
            <w:r>
              <w:rPr>
                <w:color w:val="231F20"/>
                <w:position w:val="-1"/>
              </w:rPr>
              <w:t>与子宫内膜样癌相同，包括：</w:t>
            </w:r>
            <w:r>
              <w:rPr>
                <w:color w:val="231F20"/>
                <w:spacing w:val="6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微卫星不稳定性，</w:t>
            </w:r>
            <w:r>
              <w:rPr>
                <w:rFonts w:ascii="Times New Roman" w:hAnsi="Times New Roman" w:eastAsia="Times New Roman" w:cs="Times New Roman"/>
                <w:color w:val="231F20"/>
                <w:position w:val="-1"/>
              </w:rPr>
              <w:t>PAX2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  <w:position w:val="-1"/>
              </w:rPr>
              <w:t xml:space="preserve"> </w:t>
            </w:r>
            <w:r>
              <w:rPr>
                <w:color w:val="231F20"/>
                <w:position w:val="-1"/>
              </w:rPr>
              <w:t>、 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PTEN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3"/>
              </w:rPr>
              <w:t>基因失活，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KRAS</w:t>
            </w:r>
            <w:r>
              <w:rPr>
                <w:color w:val="231F20"/>
                <w:spacing w:val="-3"/>
              </w:rPr>
              <w:t>、</w:t>
            </w:r>
          </w:p>
          <w:p>
            <w:pPr>
              <w:pStyle w:val="TableText"/>
              <w:ind w:left="237"/>
              <w:spacing w:line="182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CTNNB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3"/>
              </w:rPr>
              <w:t>基因突变</w:t>
            </w:r>
          </w:p>
        </w:tc>
        <w:tc>
          <w:tcPr>
            <w:tcW w:w="1195" w:type="dxa"/>
            <w:vAlign w:val="top"/>
            <w:tcBorders>
              <w:bottom w:val="single" w:color="231F20" w:sz="4" w:space="0"/>
            </w:tcBorders>
          </w:tcPr>
          <w:p>
            <w:pPr>
              <w:ind w:left="308"/>
              <w:spacing w:before="81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5"/>
                <w:position w:val="1"/>
              </w:rPr>
              <w:t>25%~33%</w:t>
            </w:r>
          </w:p>
        </w:tc>
        <w:tc>
          <w:tcPr>
            <w:tcW w:w="236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5"/>
              <w:spacing w:before="68" w:line="201" w:lineRule="auto"/>
              <w:rPr/>
            </w:pPr>
            <w:r>
              <w:rPr>
                <w:color w:val="231F20"/>
                <w:spacing w:val="4"/>
              </w:rPr>
              <w:t>长期风险增加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14~45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倍</w:t>
            </w:r>
          </w:p>
        </w:tc>
      </w:tr>
    </w:tbl>
    <w:p>
      <w:pPr>
        <w:pStyle w:val="BodyText"/>
        <w:ind w:left="3814"/>
        <w:spacing w:before="216" w:line="208" w:lineRule="auto"/>
        <w:outlineLvl w:val="0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8"/>
        </w:rPr>
        <w:t>3    </w:t>
      </w:r>
      <w:r>
        <w:rPr>
          <w:sz w:val="17"/>
          <w:szCs w:val="17"/>
          <w:color w:val="231F20"/>
          <w:spacing w:val="8"/>
        </w:rPr>
        <w:t>子宫内膜增生的诊断与鉴别诊断</w:t>
      </w:r>
    </w:p>
    <w:p>
      <w:pPr>
        <w:spacing w:line="31" w:lineRule="exact"/>
        <w:rPr/>
      </w:pPr>
      <w:r/>
    </w:p>
    <w:tbl>
      <w:tblPr>
        <w:tblStyle w:val="TableNormal"/>
        <w:tblW w:w="9637" w:type="dxa"/>
        <w:tblInd w:w="48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33"/>
        <w:gridCol w:w="2120"/>
        <w:gridCol w:w="2671"/>
        <w:gridCol w:w="2813"/>
      </w:tblGrid>
      <w:tr>
        <w:trPr>
          <w:trHeight w:val="268" w:hRule="atLeast"/>
        </w:trPr>
        <w:tc>
          <w:tcPr>
            <w:tcW w:w="20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61"/>
              <w:spacing w:before="56" w:line="184" w:lineRule="auto"/>
              <w:rPr/>
            </w:pPr>
            <w:r>
              <w:rPr>
                <w:color w:val="231F20"/>
                <w:spacing w:val="7"/>
              </w:rPr>
              <w:t>类别</w:t>
            </w:r>
          </w:p>
        </w:tc>
        <w:tc>
          <w:tcPr>
            <w:tcW w:w="212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08"/>
              <w:spacing w:before="57" w:line="184" w:lineRule="auto"/>
              <w:rPr/>
            </w:pPr>
            <w:r>
              <w:rPr>
                <w:color w:val="231F20"/>
                <w:spacing w:val="7"/>
              </w:rPr>
              <w:t>定义</w:t>
            </w:r>
          </w:p>
        </w:tc>
        <w:tc>
          <w:tcPr>
            <w:tcW w:w="26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60"/>
              <w:spacing w:before="56" w:line="184" w:lineRule="auto"/>
              <w:rPr/>
            </w:pPr>
            <w:r>
              <w:rPr>
                <w:color w:val="231F20"/>
                <w:spacing w:val="8"/>
              </w:rPr>
              <w:t>病理诊断</w:t>
            </w:r>
          </w:p>
        </w:tc>
        <w:tc>
          <w:tcPr>
            <w:tcW w:w="281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129"/>
              <w:spacing w:before="55" w:line="184" w:lineRule="auto"/>
              <w:rPr/>
            </w:pPr>
            <w:r>
              <w:rPr>
                <w:color w:val="231F20"/>
                <w:spacing w:val="8"/>
              </w:rPr>
              <w:t>鉴别诊断</w:t>
            </w:r>
          </w:p>
        </w:tc>
      </w:tr>
      <w:tr>
        <w:trPr>
          <w:trHeight w:val="1221" w:hRule="atLeast"/>
        </w:trPr>
        <w:tc>
          <w:tcPr>
            <w:tcW w:w="20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2"/>
              <w:spacing w:before="56" w:line="187" w:lineRule="auto"/>
              <w:rPr/>
            </w:pPr>
            <w:r>
              <w:rPr>
                <w:color w:val="231F20"/>
                <w:spacing w:val="9"/>
              </w:rPr>
              <w:t>子宫内膜增生不伴非典型性</w:t>
            </w:r>
          </w:p>
        </w:tc>
        <w:tc>
          <w:tcPr>
            <w:tcW w:w="212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4" w:right="28" w:hanging="159"/>
              <w:spacing w:before="55" w:line="158" w:lineRule="auto"/>
              <w:rPr/>
            </w:pPr>
            <w:r>
              <w:rPr>
                <w:color w:val="231F20"/>
                <w:spacing w:val="3"/>
              </w:rPr>
              <w:t>子宫内膜过度增生，超出正常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7"/>
              </w:rPr>
              <w:t>子宫内膜增殖期晚期的范畴。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"/>
              </w:rPr>
              <w:t>通常为弥漫性增生，也可以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为局限性</w:t>
            </w:r>
          </w:p>
        </w:tc>
        <w:tc>
          <w:tcPr>
            <w:tcW w:w="26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7" w:right="239" w:hanging="158"/>
              <w:spacing w:before="54" w:line="161" w:lineRule="exact"/>
              <w:rPr/>
            </w:pPr>
            <w:r>
              <w:rPr>
                <w:color w:val="231F20"/>
                <w:spacing w:val="7"/>
              </w:rPr>
              <w:t>子宫内膜腺体与间质的比例增加，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腺体类似增殖期腺体，但形态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</w:rPr>
              <w:t>不规则，细胞核一致，</w:t>
            </w:r>
          </w:p>
          <w:p>
            <w:pPr>
              <w:pStyle w:val="TableText"/>
              <w:ind w:left="229"/>
              <w:spacing w:line="183" w:lineRule="auto"/>
              <w:rPr/>
            </w:pPr>
            <w:r>
              <w:rPr>
                <w:color w:val="231F20"/>
                <w:spacing w:val="8"/>
              </w:rPr>
              <w:t>缺乏异型性</w:t>
            </w:r>
          </w:p>
        </w:tc>
        <w:tc>
          <w:tcPr>
            <w:tcW w:w="28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12" w:right="203" w:hanging="175"/>
              <w:spacing w:before="56" w:line="159" w:lineRule="exact"/>
              <w:rPr/>
            </w:pPr>
            <w:r>
              <w:rPr>
                <w:color w:val="231F20"/>
                <w:spacing w:val="4"/>
              </w:rPr>
              <w:t>正常子宫内膜增殖期晚期；子宫下段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内膜改变；底层子宫内膜；子宫</w:t>
            </w:r>
          </w:p>
          <w:p>
            <w:pPr>
              <w:pStyle w:val="TableText"/>
              <w:ind w:left="295" w:right="363" w:firstLine="17"/>
              <w:spacing w:line="159" w:lineRule="exact"/>
              <w:rPr/>
            </w:pPr>
            <w:r>
              <w:rPr>
                <w:color w:val="231F20"/>
                <w:spacing w:val="2"/>
                <w:position w:val="-1"/>
              </w:rPr>
              <w:t>内膜增生紊乱；子宫内膜适应性</w:t>
            </w:r>
            <w:r>
              <w:rPr>
                <w:color w:val="231F20"/>
                <w:spacing w:val="7"/>
                <w:position w:val="-1"/>
              </w:rPr>
              <w:t xml:space="preserve"> </w:t>
            </w:r>
            <w:r>
              <w:rPr>
                <w:color w:val="231F20"/>
                <w:spacing w:val="3"/>
                <w:position w:val="-1"/>
              </w:rPr>
              <w:t>增生（指妊娠终止后短期内卵巢</w:t>
            </w:r>
            <w:r>
              <w:rPr>
                <w:color w:val="231F20"/>
                <w:spacing w:val="10"/>
                <w:position w:val="-1"/>
              </w:rPr>
              <w:t xml:space="preserve"> </w:t>
            </w:r>
            <w:r>
              <w:rPr>
                <w:color w:val="231F20"/>
                <w:spacing w:val="9"/>
              </w:rPr>
              <w:t>暂时性无排卵导致的子宫内膜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5"/>
                <w:position w:val="-1"/>
              </w:rPr>
              <w:t>过度增生</w:t>
            </w:r>
            <w:r>
              <w:rPr>
                <w:color w:val="231F20"/>
                <w:spacing w:val="-21"/>
                <w:w w:val="60"/>
                <w:position w:val="-1"/>
              </w:rPr>
              <w:t>）；</w:t>
            </w:r>
            <w:r>
              <w:rPr>
                <w:color w:val="231F20"/>
                <w:spacing w:val="5"/>
                <w:position w:val="-1"/>
              </w:rPr>
              <w:t>子宫内膜息肉；子宫</w:t>
            </w:r>
            <w:r>
              <w:rPr>
                <w:color w:val="231F20"/>
                <w:position w:val="-1"/>
              </w:rPr>
              <w:t xml:space="preserve"> </w:t>
            </w:r>
            <w:r>
              <w:rPr>
                <w:color w:val="231F20"/>
                <w:spacing w:val="9"/>
              </w:rPr>
              <w:t>内膜非典型增生等</w:t>
            </w:r>
          </w:p>
        </w:tc>
      </w:tr>
      <w:tr>
        <w:trPr>
          <w:trHeight w:val="1237" w:hRule="atLeast"/>
        </w:trPr>
        <w:tc>
          <w:tcPr>
            <w:tcW w:w="20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"/>
              <w:spacing w:before="69" w:line="185" w:lineRule="auto"/>
              <w:rPr/>
            </w:pPr>
            <w:r>
              <w:rPr>
                <w:color w:val="231F20"/>
                <w:spacing w:val="9"/>
              </w:rPr>
              <w:t>子宫内膜非典型增生</w:t>
            </w:r>
          </w:p>
        </w:tc>
        <w:tc>
          <w:tcPr>
            <w:tcW w:w="212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23" w:right="83" w:hanging="158"/>
              <w:spacing w:before="67" w:line="160" w:lineRule="exact"/>
              <w:rPr/>
            </w:pPr>
            <w:r>
              <w:rPr>
                <w:color w:val="231F20"/>
                <w:spacing w:val="9"/>
              </w:rPr>
              <w:t>子宫内膜腺体的增生明显超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"/>
              </w:rPr>
              <w:t>过间质，局限性或弥漫性。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具有相同或相似于高分化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9"/>
              </w:rPr>
              <w:t>子宫内膜样癌的细胞学</w:t>
            </w:r>
          </w:p>
          <w:p>
            <w:pPr>
              <w:pStyle w:val="TableText"/>
              <w:ind w:left="225"/>
              <w:spacing w:line="163" w:lineRule="exact"/>
              <w:rPr/>
            </w:pPr>
            <w:r>
              <w:rPr>
                <w:color w:val="231F20"/>
              </w:rPr>
              <w:t>特征，但缺乏明确的</w:t>
            </w:r>
          </w:p>
          <w:p>
            <w:pPr>
              <w:pStyle w:val="TableText"/>
              <w:ind w:left="234"/>
              <w:spacing w:line="181" w:lineRule="auto"/>
              <w:rPr/>
            </w:pPr>
            <w:r>
              <w:rPr>
                <w:color w:val="231F20"/>
                <w:spacing w:val="5"/>
              </w:rPr>
              <w:t>间质浸润</w:t>
            </w:r>
          </w:p>
        </w:tc>
        <w:tc>
          <w:tcPr>
            <w:tcW w:w="26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4" w:right="129" w:hanging="175"/>
              <w:spacing w:before="66" w:line="160" w:lineRule="exact"/>
              <w:rPr/>
            </w:pPr>
            <w:r>
              <w:rPr>
                <w:color w:val="231F20"/>
                <w:spacing w:val="4"/>
              </w:rPr>
              <w:t>子宫内膜腺体增生出现背靠背、腺腔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内乳头状结构等，细胞形态不同于</w:t>
            </w:r>
          </w:p>
          <w:p>
            <w:pPr>
              <w:pStyle w:val="TableText"/>
              <w:ind w:left="227" w:right="428"/>
              <w:spacing w:line="160" w:lineRule="exact"/>
              <w:rPr/>
            </w:pPr>
            <w:r>
              <w:rPr>
                <w:color w:val="231F20"/>
                <w:spacing w:val="3"/>
              </w:rPr>
              <w:t>周围残留的正常腺体，表现为 </w:t>
            </w:r>
            <w:r>
              <w:rPr>
                <w:color w:val="231F20"/>
                <w:spacing w:val="3"/>
              </w:rPr>
              <w:t>细胞增生呈复层改变，核圆形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或卵圆形，核染色质呈空泡状，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8"/>
              </w:rPr>
              <w:t>胞质嗜双色或伊红染色，</w:t>
            </w:r>
          </w:p>
          <w:p>
            <w:pPr>
              <w:pStyle w:val="TableText"/>
              <w:ind w:left="229"/>
              <w:spacing w:before="1" w:line="184" w:lineRule="auto"/>
              <w:rPr/>
            </w:pPr>
            <w:r>
              <w:rPr>
                <w:color w:val="231F20"/>
                <w:spacing w:val="9"/>
              </w:rPr>
              <w:t>缺乏明显的浸润形态</w:t>
            </w:r>
          </w:p>
        </w:tc>
        <w:tc>
          <w:tcPr>
            <w:tcW w:w="28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00" w:right="604" w:hanging="164"/>
              <w:spacing w:before="67" w:line="161" w:lineRule="auto"/>
              <w:rPr/>
            </w:pPr>
            <w:r>
              <w:rPr>
                <w:color w:val="231F20"/>
                <w:spacing w:val="9"/>
              </w:rPr>
              <w:t>不伴有非典型改变的各型增生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"/>
              </w:rPr>
              <w:t>和伴随性改变；高分化子宫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6"/>
              </w:rPr>
              <w:t>内膜样癌</w:t>
            </w:r>
          </w:p>
        </w:tc>
      </w:tr>
    </w:tbl>
    <w:p>
      <w:pPr>
        <w:spacing w:line="189" w:lineRule="exact"/>
        <w:rPr>
          <w:rFonts w:ascii="Arial"/>
          <w:sz w:val="16"/>
        </w:rPr>
      </w:pPr>
      <w:r/>
    </w:p>
    <w:p>
      <w:pPr>
        <w:spacing w:line="189" w:lineRule="exact"/>
        <w:sectPr>
          <w:headerReference w:type="default" r:id="rId5"/>
          <w:pgSz w:w="12246" w:h="16498"/>
          <w:pgMar w:top="1221" w:right="1227" w:bottom="0" w:left="819" w:header="971" w:footer="0" w:gutter="0"/>
          <w:cols w:equalWidth="0" w:num="1">
            <w:col w:w="10199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493"/>
        <w:spacing w:before="53" w:line="181" w:lineRule="auto"/>
        <w:rPr/>
      </w:pPr>
      <w:r>
        <w:rPr>
          <w:color w:val="231F20"/>
          <w:spacing w:val="8"/>
        </w:rPr>
        <w:t>可避免取样不足或漏诊子宫内膜癌。</w:t>
      </w:r>
    </w:p>
    <w:p>
      <w:pPr>
        <w:pStyle w:val="BodyText"/>
        <w:ind w:left="915"/>
        <w:spacing w:before="59" w:line="185" w:lineRule="auto"/>
        <w:rPr/>
      </w:pPr>
      <w:r>
        <w:rPr>
          <w:color w:val="231F20"/>
          <w:spacing w:val="2"/>
        </w:rPr>
        <w:t>五、子宫内膜增生不伴非典型性的管理</w:t>
      </w:r>
    </w:p>
    <w:p>
      <w:pPr>
        <w:pStyle w:val="BodyText"/>
        <w:ind w:left="827"/>
        <w:spacing w:before="52" w:line="205" w:lineRule="auto"/>
        <w:rPr/>
      </w:pPr>
      <w:r>
        <w:rPr>
          <w:color w:val="231F20"/>
          <w:spacing w:val="-6"/>
        </w:rPr>
        <w:t>（一）去除高危因素</w:t>
      </w:r>
    </w:p>
    <w:p>
      <w:pPr>
        <w:pStyle w:val="BodyText"/>
        <w:ind w:left="490" w:right="392" w:firstLine="432"/>
        <w:spacing w:before="28" w:line="223" w:lineRule="auto"/>
        <w:jc w:val="both"/>
        <w:rPr/>
      </w:pPr>
      <w:r>
        <w:rPr>
          <w:color w:val="231F20"/>
          <w:spacing w:val="15"/>
        </w:rPr>
        <w:t>临床医师应该通过多种途径为患者提供充分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5"/>
        </w:rPr>
        <w:t>的咨询、教育和可能的治疗选择，如切除分泌性激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素的卵巢肿瘤、体重管理、治疗和控制代谢性疾病、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遗传性肿瘤咨询等。</w:t>
      </w:r>
    </w:p>
    <w:p>
      <w:pPr>
        <w:pStyle w:val="BodyText"/>
        <w:ind w:left="826"/>
        <w:spacing w:before="1" w:line="205" w:lineRule="auto"/>
        <w:rPr/>
      </w:pPr>
      <w:r>
        <w:rPr>
          <w:color w:val="231F20"/>
          <w:spacing w:val="-10"/>
        </w:rPr>
        <w:t>（二）期待观察</w:t>
      </w:r>
    </w:p>
    <w:p>
      <w:pPr>
        <w:pStyle w:val="BodyText"/>
        <w:ind w:left="488" w:right="395" w:firstLine="420"/>
        <w:spacing w:before="29" w:line="223" w:lineRule="auto"/>
        <w:jc w:val="both"/>
        <w:rPr/>
      </w:pPr>
      <w:r>
        <w:rPr>
          <w:color w:val="231F20"/>
          <w:spacing w:val="16"/>
        </w:rPr>
        <w:t>对于存在明确高危因素的患者（如医源性因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素、代谢性疾病等</w:t>
      </w:r>
      <w:r>
        <w:rPr>
          <w:color w:val="231F20"/>
          <w:spacing w:val="-28"/>
          <w:w w:val="59"/>
        </w:rPr>
        <w:t>），</w:t>
      </w:r>
      <w:r>
        <w:rPr>
          <w:color w:val="231F20"/>
          <w:spacing w:val="7"/>
        </w:rPr>
        <w:t>如果没有明确症状并能够去除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这些高危因素，可考虑期待观察并严密随访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33‑34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。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但期待观察期间存在病变持续甚至进展的风险，故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并不作为首选方案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。期待观察的时间没有明确推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4"/>
        </w:rPr>
        <w:t>。若观察期间病变未能缓解或出现异常子宫出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血、绝经后出血的情况，应考虑其他治疗方案。</w:t>
      </w:r>
    </w:p>
    <w:p>
      <w:pPr>
        <w:pStyle w:val="BodyText"/>
        <w:ind w:left="826"/>
        <w:spacing w:before="1" w:line="205" w:lineRule="auto"/>
        <w:rPr/>
      </w:pPr>
      <w:r>
        <w:rPr>
          <w:color w:val="231F20"/>
          <w:spacing w:val="-10"/>
        </w:rPr>
        <w:t>（三）药物治疗</w:t>
      </w:r>
    </w:p>
    <w:p>
      <w:pPr>
        <w:pStyle w:val="BodyText"/>
        <w:ind w:left="488" w:right="474" w:firstLine="422"/>
        <w:spacing w:before="30" w:line="222" w:lineRule="auto"/>
        <w:jc w:val="both"/>
        <w:rPr/>
      </w:pPr>
      <w:r>
        <w:rPr>
          <w:color w:val="231F20"/>
          <w:spacing w:val="16"/>
        </w:rPr>
        <w:t>孕激素是子宫内膜增生不伴非典型性药物治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疗的首选药物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。与期待观察相比，孕激素治疗有更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高的缓解率，能够降低病变进展为恶性肿瘤的风险</w:t>
      </w:r>
    </w:p>
    <w:p>
      <w:pPr>
        <w:pStyle w:val="BodyText"/>
        <w:ind w:left="488"/>
        <w:spacing w:before="2" w:line="186" w:lineRule="auto"/>
        <w:rPr/>
      </w:pPr>
      <w:r>
        <w:rPr>
          <w:color w:val="231F20"/>
          <w:spacing w:val="1"/>
          <w:position w:val="-1"/>
        </w:rPr>
        <w:t>及切除子宫的风险</w:t>
      </w:r>
      <w:r>
        <w:rPr>
          <w:sz w:val="10"/>
          <w:szCs w:val="10"/>
          <w:color w:val="231F20"/>
          <w:spacing w:val="1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7"/>
        </w:rPr>
        <w:t>33‑35</w:t>
      </w:r>
      <w:r>
        <w:rPr>
          <w:sz w:val="10"/>
          <w:szCs w:val="10"/>
          <w:color w:val="231F20"/>
          <w:spacing w:val="1"/>
          <w:position w:val="7"/>
        </w:rPr>
        <w:t>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left="407" w:right="407" w:firstLine="521"/>
        <w:spacing w:before="52" w:line="228" w:lineRule="auto"/>
        <w:jc w:val="both"/>
        <w:rPr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922849</wp:posOffset>
            </wp:positionV>
            <wp:extent cx="2805668" cy="304216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4"/>
        </w:rPr>
        <w:t>1. </w:t>
      </w:r>
      <w:r>
        <w:rPr>
          <w:color w:val="231F20"/>
          <w:spacing w:val="4"/>
        </w:rPr>
        <w:t>左炔诺孕酮宫内缓释系统：与口服孕激素相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比   ， 左   炔</w:t>
      </w:r>
      <w:r>
        <w:rPr>
          <w:color w:val="231F20"/>
          <w:spacing w:val="23"/>
        </w:rPr>
        <w:t xml:space="preserve">  </w:t>
      </w:r>
      <w:r>
        <w:rPr>
          <w:color w:val="231F20"/>
          <w:spacing w:val="2"/>
        </w:rPr>
        <w:t>诺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2"/>
        </w:rPr>
        <w:t>孕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2"/>
        </w:rPr>
        <w:t>酮</w:t>
      </w:r>
      <w:r>
        <w:rPr>
          <w:color w:val="231F20"/>
          <w:spacing w:val="25"/>
          <w:w w:val="101"/>
        </w:rPr>
        <w:t xml:space="preserve">  </w:t>
      </w:r>
      <w:r>
        <w:rPr>
          <w:color w:val="231F20"/>
          <w:spacing w:val="2"/>
        </w:rPr>
        <w:t>宫   内  </w:t>
      </w:r>
      <w:r>
        <w:rPr>
          <w:color w:val="231F20"/>
          <w:spacing w:val="1"/>
        </w:rPr>
        <w:t xml:space="preserve"> 缓</w:t>
      </w:r>
      <w:r>
        <w:rPr>
          <w:color w:val="231F20"/>
          <w:spacing w:val="27"/>
        </w:rPr>
        <w:t xml:space="preserve">  </w:t>
      </w:r>
      <w:r>
        <w:rPr>
          <w:color w:val="231F20"/>
          <w:spacing w:val="1"/>
        </w:rPr>
        <w:t>释   系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1"/>
        </w:rPr>
        <w:t>统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color w:val="231F20"/>
        </w:rPr>
        <w:t>levonorgestrel</w:t>
      </w:r>
      <w:r>
        <w:rPr>
          <w:rFonts w:ascii="Times New Roman" w:hAnsi="Times New Roman" w:eastAsia="Times New Roman" w:cs="Times New Roman"/>
          <w:color w:val="231F20"/>
          <w:spacing w:val="3"/>
        </w:rPr>
        <w:t>‑</w:t>
      </w:r>
      <w:r>
        <w:rPr>
          <w:rFonts w:ascii="Times New Roman" w:hAnsi="Times New Roman" w:eastAsia="Times New Roman" w:cs="Times New Roman"/>
          <w:color w:val="231F20"/>
        </w:rPr>
        <w:t>releasing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color w:val="231F20"/>
        </w:rPr>
        <w:t>intrauterine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color w:val="231F20"/>
        </w:rPr>
        <w:t>system</w:t>
      </w:r>
      <w:r>
        <w:rPr>
          <w:color w:val="231F20"/>
          <w:spacing w:val="3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11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color w:val="231F20"/>
          <w:spacing w:val="11"/>
        </w:rPr>
        <w:t>）对子宫内膜增生不伴非典型性的缓解率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更高（分别为 </w:t>
      </w:r>
      <w:r>
        <w:rPr>
          <w:rFonts w:ascii="Times New Roman" w:hAnsi="Times New Roman" w:eastAsia="Times New Roman" w:cs="Times New Roman"/>
          <w:color w:val="231F20"/>
          <w:spacing w:val="-2"/>
        </w:rPr>
        <w:t>85%~92%</w:t>
      </w:r>
      <w:r>
        <w:rPr>
          <w:color w:val="231F20"/>
          <w:spacing w:val="-2"/>
        </w:rPr>
        <w:t>、</w:t>
      </w:r>
      <w:r>
        <w:rPr>
          <w:rFonts w:ascii="Times New Roman" w:hAnsi="Times New Roman" w:eastAsia="Times New Roman" w:cs="Times New Roman"/>
          <w:color w:val="231F20"/>
          <w:spacing w:val="-2"/>
        </w:rPr>
        <w:t>72%</w:t>
      </w:r>
      <w:r>
        <w:rPr>
          <w:color w:val="231F20"/>
          <w:spacing w:val="-2"/>
        </w:rPr>
        <w:t>）、复发率更低</w:t>
      </w:r>
      <w:r>
        <w:rPr>
          <w:color w:val="231F20"/>
          <w:spacing w:val="-3"/>
        </w:rPr>
        <w:t>（分别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 w:firstLine="6"/>
        <w:spacing w:before="50" w:line="223" w:lineRule="auto"/>
        <w:jc w:val="both"/>
        <w:rPr/>
      </w:pPr>
      <w:r>
        <w:rPr>
          <w:color w:val="231F20"/>
          <w:spacing w:val="-4"/>
          <w:position w:val="-1"/>
        </w:rPr>
        <w:t>为 </w:t>
      </w:r>
      <w:r>
        <w:rPr>
          <w:rFonts w:ascii="Times New Roman" w:hAnsi="Times New Roman" w:eastAsia="Times New Roman" w:cs="Times New Roman"/>
          <w:color w:val="231F20"/>
          <w:spacing w:val="-4"/>
          <w:position w:val="-1"/>
        </w:rPr>
        <w:t>12.7%</w:t>
      </w:r>
      <w:r>
        <w:rPr>
          <w:color w:val="231F20"/>
          <w:spacing w:val="-4"/>
          <w:position w:val="-1"/>
        </w:rPr>
        <w:t>、</w:t>
      </w:r>
      <w:r>
        <w:rPr>
          <w:rFonts w:ascii="Times New Roman" w:hAnsi="Times New Roman" w:eastAsia="Times New Roman" w:cs="Times New Roman"/>
          <w:color w:val="231F20"/>
          <w:spacing w:val="-4"/>
          <w:position w:val="-1"/>
        </w:rPr>
        <w:t>28.3%</w:t>
      </w:r>
      <w:r>
        <w:rPr>
          <w:color w:val="231F20"/>
          <w:spacing w:val="-4"/>
          <w:position w:val="-1"/>
        </w:rPr>
        <w:t>）、不良事件更少</w:t>
      </w:r>
      <w:r>
        <w:rPr>
          <w:sz w:val="10"/>
          <w:szCs w:val="10"/>
          <w:color w:val="231F20"/>
          <w:spacing w:val="-4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>3‑4</w:t>
      </w:r>
      <w:r>
        <w:rPr>
          <w:sz w:val="10"/>
          <w:szCs w:val="10"/>
          <w:color w:val="231F20"/>
          <w:spacing w:val="-4"/>
          <w:position w:val="7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>36‑37</w:t>
      </w:r>
      <w:r>
        <w:rPr>
          <w:sz w:val="10"/>
          <w:szCs w:val="10"/>
          <w:color w:val="231F20"/>
          <w:spacing w:val="17"/>
          <w:position w:val="7"/>
        </w:rPr>
        <w:t>］</w:t>
      </w:r>
      <w:r>
        <w:rPr>
          <w:color w:val="231F20"/>
          <w:spacing w:val="-36"/>
          <w:w w:val="60"/>
          <w:position w:val="-1"/>
        </w:rPr>
        <w:t>，</w:t>
      </w:r>
      <w:r>
        <w:rPr>
          <w:color w:val="231F20"/>
          <w:spacing w:val="-4"/>
          <w:position w:val="-1"/>
        </w:rPr>
        <w:t>是孕激素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4"/>
        </w:rPr>
        <w:t>治疗的一线方案［荟萃分析证据等级 </w:t>
      </w:r>
      <w:r>
        <w:rPr>
          <w:rFonts w:ascii="Times New Roman" w:hAnsi="Times New Roman" w:eastAsia="Times New Roman" w:cs="Times New Roman"/>
          <w:color w:val="231F20"/>
          <w:spacing w:val="4"/>
        </w:rPr>
        <w:t>1-</w:t>
      </w:r>
      <w:r>
        <w:rPr>
          <w:color w:val="231F20"/>
          <w:spacing w:val="4"/>
        </w:rPr>
        <w:t>，随机对照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临床试验（</w:t>
      </w:r>
      <w:r>
        <w:rPr>
          <w:rFonts w:ascii="Times New Roman" w:hAnsi="Times New Roman" w:eastAsia="Times New Roman" w:cs="Times New Roman"/>
          <w:color w:val="231F20"/>
          <w:spacing w:val="-2"/>
        </w:rPr>
        <w:t>randomized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controlled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tri</w:t>
      </w:r>
      <w:r>
        <w:rPr>
          <w:rFonts w:ascii="Times New Roman" w:hAnsi="Times New Roman" w:eastAsia="Times New Roman" w:cs="Times New Roman"/>
          <w:color w:val="231F20"/>
          <w:spacing w:val="-3"/>
        </w:rPr>
        <w:t>al</w:t>
      </w:r>
      <w:r>
        <w:rPr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</w:rPr>
        <w:t>RCT</w:t>
      </w:r>
      <w:r>
        <w:rPr>
          <w:color w:val="231F20"/>
          <w:spacing w:val="-3"/>
        </w:rPr>
        <w:t>）证据等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级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2+</w:t>
      </w:r>
      <w:r>
        <w:rPr>
          <w:color w:val="231F20"/>
          <w:spacing w:val="5"/>
        </w:rPr>
        <w:t>］。 不接受或不适合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5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的患者可考虑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其他孕激素治疗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。放置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11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1"/>
        </w:rPr>
        <w:t>后子宫内膜病理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评估可采用诊刮、子宫内膜吸取活检或宫腔镜下定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位活检</w:t>
      </w:r>
      <w:r>
        <w:rPr>
          <w:sz w:val="10"/>
          <w:szCs w:val="10"/>
          <w:color w:val="231F20"/>
          <w:spacing w:val="-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7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4"/>
        </w:rPr>
        <w:t>等，后两种操作中无需取出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LNG‑IUS</w:t>
      </w:r>
      <w:r>
        <w:rPr>
          <w:color w:val="231F20"/>
          <w:spacing w:val="-4"/>
        </w:rPr>
        <w:t>。</w:t>
      </w:r>
    </w:p>
    <w:p>
      <w:pPr>
        <w:pStyle w:val="BodyText"/>
        <w:ind w:firstLine="423"/>
        <w:spacing w:before="9" w:line="223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2.</w:t>
      </w:r>
      <w:r>
        <w:rPr>
          <w:rFonts w:ascii="Times New Roman" w:hAnsi="Times New Roman" w:eastAsia="Times New Roman" w:cs="Times New Roman"/>
          <w:color w:val="231F20"/>
          <w:spacing w:val="42"/>
        </w:rPr>
        <w:t xml:space="preserve"> </w:t>
      </w:r>
      <w:r>
        <w:rPr>
          <w:color w:val="231F20"/>
          <w:spacing w:val="3"/>
        </w:rPr>
        <w:t>口服孕激素：口服孕激素包括连续治疗和后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半周期治疗两种方案，其治疗后子宫内膜增生的完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全缓解率相似，为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70%~80%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38‑39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。连续治疗为每天  </w:t>
      </w:r>
      <w:r>
        <w:rPr>
          <w:color w:val="231F20"/>
          <w:spacing w:val="4"/>
        </w:rPr>
        <w:t>服用药物；后半周期治疗从月经周期第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color w:val="231F20"/>
          <w:spacing w:val="3"/>
        </w:rPr>
        <w:t>1~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16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3"/>
        </w:rPr>
        <w:t>天开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始，每个周期用药时间为 </w:t>
      </w:r>
      <w:r>
        <w:rPr>
          <w:rFonts w:ascii="Times New Roman" w:hAnsi="Times New Roman" w:eastAsia="Times New Roman" w:cs="Times New Roman"/>
          <w:color w:val="231F20"/>
          <w:spacing w:val="5"/>
        </w:rPr>
        <w:t>12~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14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color w:val="231F20"/>
          <w:spacing w:val="-25"/>
        </w:rPr>
        <w:t xml:space="preserve"> </w:t>
      </w:r>
      <w:r>
        <w:rPr>
          <w:color w:val="231F20"/>
          <w:spacing w:val="5"/>
        </w:rPr>
        <w:t>。连续治疗和后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半周期治疗的每天药物剂量及治疗周期数相同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具体方案包括：醋酸甲羟孕酮 </w:t>
      </w:r>
      <w:r>
        <w:rPr>
          <w:rFonts w:ascii="Times New Roman" w:hAnsi="Times New Roman" w:eastAsia="Times New Roman" w:cs="Times New Roman"/>
          <w:color w:val="231F20"/>
          <w:spacing w:val="4"/>
        </w:rPr>
        <w:t>10~20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4"/>
        </w:rPr>
        <w:t>/d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40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-37"/>
          <w:w w:val="61"/>
        </w:rPr>
        <w:t>，</w:t>
      </w:r>
      <w:r>
        <w:rPr>
          <w:color w:val="231F20"/>
          <w:spacing w:val="4"/>
        </w:rPr>
        <w:t>醋酸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甲地孕酮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40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4"/>
        </w:rPr>
        <w:t>/d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41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-38"/>
          <w:w w:val="63"/>
        </w:rPr>
        <w:t>，</w:t>
      </w:r>
      <w:r>
        <w:rPr>
          <w:color w:val="231F20"/>
          <w:spacing w:val="4"/>
        </w:rPr>
        <w:t>地屈孕酮 </w:t>
      </w:r>
      <w:r>
        <w:rPr>
          <w:rFonts w:ascii="Times New Roman" w:hAnsi="Times New Roman" w:eastAsia="Times New Roman" w:cs="Times New Roman"/>
          <w:color w:val="231F20"/>
          <w:spacing w:val="4"/>
        </w:rPr>
        <w:t>20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4"/>
        </w:rPr>
        <w:t>/d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42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-38"/>
          <w:w w:val="63"/>
        </w:rPr>
        <w:t>，</w:t>
      </w:r>
      <w:r>
        <w:rPr>
          <w:color w:val="231F20"/>
          <w:spacing w:val="4"/>
        </w:rPr>
        <w:t>炔</w:t>
      </w:r>
      <w:r>
        <w:rPr>
          <w:color w:val="231F20"/>
          <w:spacing w:val="3"/>
        </w:rPr>
        <w:t>诺酮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5"/>
          <w:position w:val="-2"/>
        </w:rPr>
        <w:t>15</w:t>
      </w:r>
      <w:r>
        <w:rPr>
          <w:rFonts w:ascii="Times New Roman" w:hAnsi="Times New Roman" w:eastAsia="Times New Roman" w:cs="Times New Roman"/>
          <w:color w:val="231F20"/>
          <w:spacing w:val="15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-2"/>
        </w:rPr>
        <w:t>mg/d</w:t>
      </w:r>
      <w:r>
        <w:rPr>
          <w:sz w:val="10"/>
          <w:szCs w:val="10"/>
          <w:color w:val="231F20"/>
          <w:spacing w:val="-5"/>
          <w:position w:val="6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6"/>
        </w:rPr>
        <w:t>43‑44</w:t>
      </w:r>
      <w:r>
        <w:rPr>
          <w:sz w:val="10"/>
          <w:szCs w:val="10"/>
          <w:color w:val="231F20"/>
          <w:spacing w:val="-5"/>
          <w:position w:val="6"/>
        </w:rPr>
        <w:t>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left="2" w:firstLine="418"/>
        <w:spacing w:before="6" w:line="222" w:lineRule="auto"/>
        <w:jc w:val="both"/>
        <w:rPr/>
      </w:pPr>
      <w:r>
        <w:rPr>
          <w:color w:val="231F20"/>
          <w:spacing w:val="5"/>
        </w:rPr>
        <w:t>对口服孕激素治疗无效的患者，应进一步评估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子宫内膜、排除更严重病变，并在知情讨论的基础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上考虑手术治疗，或使用大剂量高效孕激素治疗。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5"/>
        </w:rPr>
        <w:t>孕激素治疗方案参考后述的子宫内膜非典型增生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的治疗。</w:t>
      </w:r>
    </w:p>
    <w:p>
      <w:pPr>
        <w:pStyle w:val="BodyText"/>
        <w:ind w:left="4" w:right="12" w:firstLine="421"/>
        <w:spacing w:before="3" w:line="22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 </w:t>
      </w:r>
      <w:r>
        <w:rPr>
          <w:color w:val="231F20"/>
          <w:spacing w:val="4"/>
        </w:rPr>
        <w:t>其他药物：其他可供选择的药物包括复方口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3"/>
          <w:position w:val="-1"/>
        </w:rPr>
        <w:t>服避孕药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7"/>
        </w:rPr>
        <w:t>45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、芳香酶抑制剂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7"/>
        </w:rPr>
        <w:t>46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、促性腺激素释放激</w:t>
      </w:r>
      <w:r>
        <w:rPr>
          <w:color w:val="231F20"/>
          <w:spacing w:val="3"/>
          <w:position w:val="-1"/>
        </w:rPr>
        <w:t xml:space="preserve">  </w:t>
      </w:r>
      <w:r>
        <w:rPr>
          <w:color w:val="231F20"/>
          <w:spacing w:val="-2"/>
        </w:rPr>
        <w:t>素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激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剂（</w:t>
      </w:r>
      <w:r>
        <w:rPr>
          <w:rFonts w:ascii="Times New Roman" w:hAnsi="Times New Roman" w:eastAsia="Times New Roman" w:cs="Times New Roman"/>
          <w:color w:val="231F20"/>
          <w:spacing w:val="-2"/>
        </w:rPr>
        <w:t>gonadotropin‑releasing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hormone</w:t>
      </w:r>
      <w:r>
        <w:rPr>
          <w:rFonts w:ascii="Times New Roman" w:hAnsi="Times New Roman" w:eastAsia="Times New Roman" w:cs="Times New Roman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agonist</w:t>
      </w:r>
      <w:r>
        <w:rPr>
          <w:color w:val="231F20"/>
          <w:spacing w:val="-2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GnRH</w:t>
      </w:r>
      <w:r>
        <w:rPr>
          <w:rFonts w:ascii="Times New Roman" w:hAnsi="Times New Roman" w:eastAsia="Times New Roman" w:cs="Times New Roman"/>
          <w:color w:val="231F20"/>
          <w:spacing w:val="12"/>
        </w:rPr>
        <w:t>‑a</w:t>
      </w:r>
      <w:r>
        <w:rPr>
          <w:color w:val="231F20"/>
          <w:spacing w:val="-28"/>
          <w:w w:val="79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position w:val="8"/>
        </w:rPr>
        <w:t>47</w:t>
      </w:r>
      <w:r>
        <w:rPr>
          <w:sz w:val="10"/>
          <w:szCs w:val="10"/>
          <w:color w:val="231F20"/>
          <w:spacing w:val="12"/>
          <w:position w:val="8"/>
        </w:rPr>
        <w:t>］</w:t>
      </w:r>
      <w:r>
        <w:rPr>
          <w:color w:val="231F20"/>
          <w:spacing w:val="12"/>
        </w:rPr>
        <w:t>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。但目前缺少高质量证据证实上述</w:t>
      </w:r>
    </w:p>
    <w:p>
      <w:pPr>
        <w:spacing w:line="229" w:lineRule="auto"/>
        <w:sectPr>
          <w:type w:val="continuous"/>
          <w:pgSz w:w="12246" w:h="16498"/>
          <w:pgMar w:top="1221" w:right="1227" w:bottom="0" w:left="819" w:header="971" w:footer="0" w:gutter="0"/>
          <w:cols w:equalWidth="0" w:num="2">
            <w:col w:w="5491" w:space="100"/>
            <w:col w:w="4608" w:space="0"/>
          </w:cols>
        </w:sectPr>
        <w:rPr/>
      </w:pPr>
    </w:p>
    <w:p>
      <w:pPr>
        <w:spacing w:before="72"/>
        <w:rPr/>
      </w:pPr>
      <w:r>
        <w:pict>
          <v:shape id="_x0000_s26" style="position:absolute;margin-left:65.1968pt;margin-top:59.6178pt;mso-position-vertical-relative:page;mso-position-horizontal-relative:page;width:321.65pt;height:0.4pt;z-index:251674624;" o:allowincell="f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sectPr>
          <w:headerReference w:type="default" r:id="rId6"/>
          <w:pgSz w:w="12246" w:h="16498"/>
          <w:pgMar w:top="1221" w:right="1224" w:bottom="0" w:left="819" w:header="971" w:footer="0" w:gutter="0"/>
          <w:cols w:equalWidth="0" w:num="1">
            <w:col w:w="10202" w:space="0"/>
          </w:cols>
        </w:sectPr>
        <w:rPr/>
      </w:pPr>
    </w:p>
    <w:p>
      <w:pPr>
        <w:pStyle w:val="BodyText"/>
        <w:ind w:left="489" w:right="473" w:firstLine="1"/>
        <w:spacing w:before="39" w:line="219" w:lineRule="auto"/>
        <w:rPr/>
      </w:pPr>
      <w:r>
        <w:rPr>
          <w:color w:val="231F20"/>
          <w:spacing w:val="5"/>
        </w:rPr>
        <w:t>药物的有效性，应该向患者说明这些药物均为试验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8"/>
        </w:rPr>
        <w:t>性或超适应证的用法。</w:t>
      </w:r>
    </w:p>
    <w:p>
      <w:pPr>
        <w:pStyle w:val="BodyText"/>
        <w:ind w:left="488" w:right="394" w:firstLine="420"/>
        <w:spacing w:before="3" w:line="220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 </w:t>
      </w:r>
      <w:r>
        <w:rPr>
          <w:color w:val="231F20"/>
          <w:spacing w:val="5"/>
        </w:rPr>
        <w:t>药物治疗时间和随访：口服孕激素应至</w:t>
      </w:r>
      <w:r>
        <w:rPr>
          <w:color w:val="231F20"/>
          <w:spacing w:val="4"/>
        </w:rPr>
        <w:t>少使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用 </w:t>
      </w:r>
      <w:r>
        <w:rPr>
          <w:rFonts w:ascii="Times New Roman" w:hAnsi="Times New Roman" w:eastAsia="Times New Roman" w:cs="Times New Roman"/>
          <w:color w:val="231F20"/>
          <w:spacing w:val="2"/>
        </w:rPr>
        <w:t>3~6 </w:t>
      </w:r>
      <w:r>
        <w:rPr>
          <w:color w:val="231F20"/>
          <w:spacing w:val="2"/>
        </w:rPr>
        <w:t>个月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2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则可长期使用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、定期更换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治疗期间建议每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6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6"/>
        </w:rPr>
        <w:t>个月行超声检查和子宫内膜病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理检查以评估疗效</w:t>
      </w:r>
      <w:r>
        <w:rPr>
          <w:sz w:val="10"/>
          <w:szCs w:val="10"/>
          <w:color w:val="231F20"/>
          <w:spacing w:val="-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1</w:t>
      </w:r>
      <w:r>
        <w:rPr>
          <w:sz w:val="10"/>
          <w:szCs w:val="10"/>
          <w:color w:val="231F20"/>
          <w:spacing w:val="-3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>48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3"/>
        </w:rPr>
        <w:t>。连续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3"/>
        </w:rPr>
        <w:t>次、间隔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6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-3"/>
        </w:rPr>
        <w:t>个月的组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织学病理检查均无异常发现时，可考虑终止子宫内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4"/>
        </w:rPr>
        <w:t>膜病理评估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4"/>
        </w:rPr>
        <w:t>。如药物治疗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6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4"/>
        </w:rPr>
        <w:t>个月仍未获得完全缓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解，可在充分知情的基础上决定是否继续当前治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疗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49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。如药物治疗 </w:t>
      </w:r>
      <w:r>
        <w:rPr>
          <w:rFonts w:ascii="Times New Roman" w:hAnsi="Times New Roman" w:eastAsia="Times New Roman" w:cs="Times New Roman"/>
          <w:color w:val="231F20"/>
          <w:spacing w:val="5"/>
        </w:rPr>
        <w:t>12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5"/>
        </w:rPr>
        <w:t>个月仍未获得完全缓解，应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考虑改用其他治疗方案</w:t>
      </w:r>
      <w:r>
        <w:rPr>
          <w:sz w:val="10"/>
          <w:szCs w:val="10"/>
          <w:color w:val="231F20"/>
          <w:spacing w:val="2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7"/>
        </w:rPr>
        <w:t>48</w:t>
      </w:r>
      <w:r>
        <w:rPr>
          <w:sz w:val="10"/>
          <w:szCs w:val="10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10"/>
        </w:rPr>
        <w:t>（四）手术治疗</w:t>
      </w:r>
    </w:p>
    <w:p>
      <w:pPr>
        <w:pStyle w:val="BodyText"/>
        <w:ind w:left="490" w:right="472" w:firstLine="420"/>
        <w:spacing w:before="28" w:line="220" w:lineRule="auto"/>
        <w:rPr/>
      </w:pPr>
      <w:r>
        <w:rPr>
          <w:color w:val="231F20"/>
          <w:spacing w:val="16"/>
        </w:rPr>
        <w:t>子宫全切除术是子宫内膜增生不伴非典型性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最常用的手术方案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3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。手术指征包括：随访中进展 </w:t>
      </w:r>
      <w:r>
        <w:rPr>
          <w:color w:val="231F20"/>
          <w:spacing w:val="15"/>
        </w:rPr>
        <w:t>为子宫内膜非典型增生或子宫内膜癌；药物治疗</w:t>
      </w:r>
      <w:r>
        <w:rPr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12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3"/>
        </w:rPr>
        <w:t>个月后仍未获得完全缓解；药物规范治疗</w:t>
      </w:r>
      <w:r>
        <w:rPr>
          <w:color w:val="231F20"/>
          <w:spacing w:val="12"/>
        </w:rPr>
        <w:t>后复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发、不愿再接受药物治疗；治疗后仍有持续异常子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宫出血；拒绝随访或药物治疗等</w:t>
      </w:r>
      <w:r>
        <w:rPr>
          <w:sz w:val="10"/>
          <w:szCs w:val="10"/>
          <w:color w:val="231F20"/>
          <w:spacing w:val="-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9</w:t>
      </w:r>
      <w:r>
        <w:rPr>
          <w:sz w:val="10"/>
          <w:szCs w:val="10"/>
          <w:color w:val="231F20"/>
          <w:spacing w:val="-4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>49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4"/>
        </w:rPr>
        <w:t>。</w:t>
      </w:r>
    </w:p>
    <w:p>
      <w:pPr>
        <w:pStyle w:val="BodyText"/>
        <w:ind w:left="488" w:right="406" w:firstLine="422"/>
        <w:spacing w:before="9" w:line="219" w:lineRule="auto"/>
        <w:jc w:val="both"/>
        <w:rPr/>
      </w:pPr>
      <w:r>
        <w:rPr>
          <w:color w:val="231F20"/>
          <w:spacing w:val="16"/>
        </w:rPr>
        <w:t>原则上不推荐子宫内膜去除术治疗子宫内膜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增生，因子宫内膜去除术可能造成宫腔广泛粘连，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4"/>
        </w:rPr>
        <w:t>导致无法及时发现子宫内膜病变进展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、延误治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疗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50‑52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。如患者无法耐受药物治疗及手术治疗，并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有条件接受严密随访，在多学科团队全面评估后，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可谨慎选择子宫内膜去除术，术前应向患者交代手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术风险及利弊，术后密切随访。</w:t>
      </w:r>
    </w:p>
    <w:p>
      <w:pPr>
        <w:pStyle w:val="BodyText"/>
        <w:ind w:left="826"/>
        <w:spacing w:before="1" w:line="205" w:lineRule="auto"/>
        <w:rPr/>
      </w:pPr>
      <w:r>
        <w:rPr>
          <w:color w:val="231F20"/>
          <w:spacing w:val="-7"/>
        </w:rPr>
        <w:t>（五）随访及预防</w:t>
      </w:r>
    </w:p>
    <w:p>
      <w:pPr>
        <w:pStyle w:val="BodyText"/>
        <w:ind w:left="488" w:right="472" w:firstLine="422"/>
        <w:spacing w:before="28" w:line="220" w:lineRule="auto"/>
        <w:jc w:val="both"/>
        <w:rPr/>
      </w:pPr>
      <w:r>
        <w:rPr>
          <w:color w:val="231F20"/>
          <w:spacing w:val="16"/>
        </w:rPr>
        <w:t>子宫内膜增生不伴非典型性获得完全缓解后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应长期随访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。建议每年至少随访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4"/>
        </w:rPr>
        <w:t>次，随访内容包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括临床症状和体征评估、身体检查、超声检</w:t>
      </w:r>
      <w:r>
        <w:rPr>
          <w:color w:val="231F20"/>
          <w:spacing w:val="-4"/>
        </w:rPr>
        <w:t>查等，必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要时进行子宫内膜组织病理评估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。对于子宫内膜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增生潜在病因未能完全去除的患者，应警惕疾病复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发甚至进展的风险。</w:t>
      </w:r>
    </w:p>
    <w:p>
      <w:pPr>
        <w:pStyle w:val="BodyText"/>
        <w:ind w:left="490" w:right="472" w:firstLine="421"/>
        <w:spacing w:before="3" w:line="220" w:lineRule="auto"/>
        <w:jc w:val="both"/>
        <w:rPr/>
      </w:pPr>
      <w:r>
        <w:rPr>
          <w:color w:val="231F20"/>
          <w:spacing w:val="16"/>
        </w:rPr>
        <w:t>子宫内膜增生不伴非典型性在保守治疗后应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提供预防复发的指导和措施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37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。应指导患者调整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生活方式以去除导致子宫内膜增生的潜在病因，如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控制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BMI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2"/>
        </w:rPr>
        <w:t>至合理范围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。对无生育要求的妇女，可考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虑长期放置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1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"/>
        </w:rPr>
        <w:t>保护子宫内膜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37</w:t>
      </w:r>
      <w:r>
        <w:rPr>
          <w:sz w:val="10"/>
          <w:szCs w:val="10"/>
          <w:color w:val="231F20"/>
          <w:spacing w:val="1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8"/>
        </w:rPr>
        <w:t>53</w:t>
      </w:r>
      <w:r>
        <w:rPr>
          <w:sz w:val="10"/>
          <w:szCs w:val="10"/>
          <w:color w:val="231F20"/>
          <w:spacing w:val="12"/>
          <w:position w:val="8"/>
        </w:rPr>
        <w:t>］</w:t>
      </w:r>
      <w:r>
        <w:rPr>
          <w:color w:val="231F20"/>
          <w:spacing w:val="-48"/>
          <w:w w:val="80"/>
        </w:rPr>
        <w:t>；</w:t>
      </w:r>
      <w:r>
        <w:rPr>
          <w:color w:val="231F20"/>
          <w:spacing w:val="1"/>
        </w:rPr>
        <w:t>口服孕激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素和复方口服避孕药也是可选择的预防手段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54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910"/>
        <w:spacing w:before="1" w:line="182" w:lineRule="auto"/>
        <w:rPr/>
      </w:pPr>
      <w:r>
        <w:rPr>
          <w:color w:val="231F20"/>
          <w:spacing w:val="1"/>
        </w:rPr>
        <w:t>六、子宫内膜非典型增生的管理</w:t>
      </w:r>
    </w:p>
    <w:p>
      <w:pPr>
        <w:pStyle w:val="BodyText"/>
        <w:ind w:left="490" w:right="473" w:firstLine="421"/>
        <w:spacing w:before="55" w:line="219" w:lineRule="auto"/>
        <w:jc w:val="both"/>
        <w:rPr/>
      </w:pPr>
      <w:r>
        <w:rPr>
          <w:color w:val="231F20"/>
          <w:spacing w:val="16"/>
        </w:rPr>
        <w:t>子宫内膜非典型增生的治疗包括手术治疗和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药物治疗，治疗选择主要依据年龄、是否有生育要</w:t>
      </w:r>
      <w:r>
        <w:rPr>
          <w:color w:val="231F20"/>
          <w:spacing w:val="15"/>
        </w:rPr>
        <w:t xml:space="preserve"> </w:t>
      </w:r>
      <w:r>
        <w:rPr>
          <w:color w:val="231F20"/>
          <w:position w:val="-1"/>
        </w:rPr>
        <w:t>求以及疗效等因素</w:t>
      </w:r>
      <w:r>
        <w:rPr>
          <w:sz w:val="10"/>
          <w:szCs w:val="10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55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。</w:t>
      </w:r>
    </w:p>
    <w:p>
      <w:pPr>
        <w:pStyle w:val="BodyText"/>
        <w:ind w:left="827"/>
        <w:spacing w:line="205" w:lineRule="auto"/>
        <w:rPr/>
      </w:pPr>
      <w:r>
        <w:rPr>
          <w:color w:val="231F20"/>
          <w:spacing w:val="-10"/>
        </w:rPr>
        <w:t>（一）手术治疗</w:t>
      </w:r>
    </w:p>
    <w:p>
      <w:pPr>
        <w:pStyle w:val="BodyText"/>
        <w:ind w:left="928"/>
        <w:spacing w:before="22" w:line="209" w:lineRule="auto"/>
        <w:rPr/>
      </w:pP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91800</wp:posOffset>
            </wp:positionV>
            <wp:extent cx="2805668" cy="30421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color w:val="231F20"/>
          <w:spacing w:val="8"/>
        </w:rPr>
        <w:t>1. </w:t>
      </w:r>
      <w:r>
        <w:rPr>
          <w:color w:val="231F20"/>
          <w:spacing w:val="8"/>
        </w:rPr>
        <w:t>手术指征：子宫全切除</w:t>
      </w:r>
      <w:r>
        <w:rPr>
          <w:rFonts w:ascii="Times New Roman" w:hAnsi="Times New Roman" w:eastAsia="Times New Roman" w:cs="Times New Roman"/>
          <w:color w:val="231F20"/>
          <w:spacing w:val="8"/>
        </w:rPr>
        <w:t>+</w:t>
      </w:r>
      <w:r>
        <w:rPr>
          <w:color w:val="231F20"/>
          <w:spacing w:val="8"/>
        </w:rPr>
        <w:t>双侧输卵管切</w:t>
      </w:r>
      <w:r>
        <w:rPr>
          <w:color w:val="231F20"/>
          <w:spacing w:val="7"/>
        </w:rPr>
        <w:t>除术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1"/>
        <w:spacing w:before="36" w:line="220" w:lineRule="auto"/>
        <w:jc w:val="both"/>
        <w:rPr/>
      </w:pPr>
      <w:r>
        <w:rPr>
          <w:color w:val="231F20"/>
          <w:spacing w:val="15"/>
        </w:rPr>
        <w:t>是子宫内膜非典型增生且无生育要求患者的首选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4"/>
        </w:rPr>
        <w:t>方案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。对保留生育功能、接受保守治疗的患者，在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出现下述情况时仍然建议行子宫全切除术：子宫内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0"/>
        </w:rPr>
        <w:t>膜非典型增生规范治疗 </w:t>
      </w:r>
      <w:r>
        <w:rPr>
          <w:rFonts w:ascii="Times New Roman" w:hAnsi="Times New Roman" w:eastAsia="Times New Roman" w:cs="Times New Roman"/>
          <w:color w:val="231F20"/>
          <w:spacing w:val="10"/>
        </w:rPr>
        <w:t>12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0"/>
        </w:rPr>
        <w:t>个月后病灶持续存在或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进展；完成孕激素规范治疗后复发、且没有生育意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5"/>
        </w:rPr>
        <w:t>愿；异常子宫出血症状持续存在；不能进行随访或</w:t>
      </w:r>
    </w:p>
    <w:p>
      <w:pPr>
        <w:pStyle w:val="BodyText"/>
        <w:ind w:left="3"/>
        <w:spacing w:line="187" w:lineRule="auto"/>
        <w:rPr/>
      </w:pPr>
      <w:r>
        <w:rPr>
          <w:color w:val="231F20"/>
          <w:spacing w:val="-3"/>
          <w:position w:val="-1"/>
        </w:rPr>
        <w:t>不能坚持药物治疗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7"/>
        </w:rPr>
        <w:t>35</w:t>
      </w:r>
      <w:r>
        <w:rPr>
          <w:sz w:val="10"/>
          <w:szCs w:val="10"/>
          <w:color w:val="231F20"/>
          <w:spacing w:val="-3"/>
          <w:position w:val="7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7"/>
        </w:rPr>
        <w:t>37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3" w:right="80" w:firstLine="421"/>
        <w:spacing w:before="44" w:line="221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2. </w:t>
      </w:r>
      <w:r>
        <w:rPr>
          <w:color w:val="231F20"/>
          <w:spacing w:val="4"/>
        </w:rPr>
        <w:t>手术方式：子宫内膜非典型增生的手术治疗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首先考虑经阴道或腹腔镜的子宫全切除术（证据等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9"/>
        </w:rPr>
        <w:t>级 </w:t>
      </w:r>
      <w:r>
        <w:rPr>
          <w:rFonts w:ascii="Times New Roman" w:hAnsi="Times New Roman" w:eastAsia="Times New Roman" w:cs="Times New Roman"/>
          <w:color w:val="231F20"/>
          <w:spacing w:val="9"/>
        </w:rPr>
        <w:t>1+</w:t>
      </w:r>
      <w:r>
        <w:rPr>
          <w:color w:val="231F20"/>
          <w:spacing w:val="-30"/>
          <w:w w:val="85"/>
        </w:rPr>
        <w:t>）</w:t>
      </w:r>
      <w:r>
        <w:rPr>
          <w:sz w:val="10"/>
          <w:szCs w:val="10"/>
          <w:color w:val="231F20"/>
          <w:spacing w:val="-16"/>
          <w:w w:val="78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56</w:t>
      </w:r>
      <w:r>
        <w:rPr>
          <w:sz w:val="10"/>
          <w:szCs w:val="10"/>
          <w:color w:val="231F20"/>
          <w:spacing w:val="-16"/>
          <w:w w:val="78"/>
          <w:position w:val="8"/>
        </w:rPr>
        <w:t>］</w:t>
      </w:r>
      <w:r>
        <w:rPr>
          <w:color w:val="231F20"/>
          <w:spacing w:val="-35"/>
          <w:w w:val="58"/>
        </w:rPr>
        <w:t>，</w:t>
      </w:r>
      <w:r>
        <w:rPr>
          <w:color w:val="231F20"/>
          <w:spacing w:val="9"/>
        </w:rPr>
        <w:t>并推荐同时行双侧输卵管切除术（证据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等级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2+</w:t>
      </w:r>
      <w:r>
        <w:rPr>
          <w:color w:val="231F20"/>
          <w:spacing w:val="-28"/>
          <w:w w:val="78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57‑58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。对于绝经前妇女，手术方案还应充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分讨论卵巢切除的利弊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2"/>
        </w:rPr>
        <w:t>由于子宫内膜非典型增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生合并子宫内膜癌的风险较高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59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-34"/>
          <w:w w:val="56"/>
        </w:rPr>
        <w:t>，</w:t>
      </w:r>
      <w:r>
        <w:rPr>
          <w:color w:val="231F20"/>
          <w:spacing w:val="6"/>
        </w:rPr>
        <w:t>为避免恶性肿瘤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可能及病灶扩散，应避免行子宫次全切除术及子宫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  <w:position w:val="-2"/>
        </w:rPr>
        <w:t>粉碎术</w:t>
      </w:r>
      <w:r>
        <w:rPr>
          <w:sz w:val="10"/>
          <w:szCs w:val="10"/>
          <w:color w:val="231F20"/>
          <w:spacing w:val="-7"/>
          <w:position w:val="6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6"/>
        </w:rPr>
        <w:t>3</w:t>
      </w:r>
      <w:r>
        <w:rPr>
          <w:sz w:val="10"/>
          <w:szCs w:val="10"/>
          <w:color w:val="231F20"/>
          <w:spacing w:val="-7"/>
          <w:position w:val="6"/>
        </w:rPr>
        <w:t>］</w:t>
      </w:r>
      <w:r>
        <w:rPr>
          <w:color w:val="231F20"/>
          <w:spacing w:val="-7"/>
          <w:position w:val="-2"/>
        </w:rPr>
        <w:t>。</w:t>
      </w:r>
    </w:p>
    <w:p>
      <w:pPr>
        <w:pStyle w:val="BodyText"/>
        <w:ind w:right="81" w:firstLine="420"/>
        <w:spacing w:before="6" w:line="219" w:lineRule="auto"/>
        <w:jc w:val="both"/>
        <w:rPr/>
      </w:pPr>
      <w:r>
        <w:rPr>
          <w:color w:val="231F20"/>
          <w:spacing w:val="16"/>
        </w:rPr>
        <w:t>对于术前已经诊断为子宫内膜非典型增生的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患者，目前无充分证据支持在术中常规行冰冻病理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检查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60</w:t>
      </w:r>
      <w:r>
        <w:rPr>
          <w:sz w:val="10"/>
          <w:szCs w:val="10"/>
          <w:color w:val="231F20"/>
          <w:spacing w:val="-8"/>
          <w:position w:val="8"/>
        </w:rPr>
        <w:t>］</w:t>
      </w:r>
      <w:r>
        <w:rPr>
          <w:color w:val="231F20"/>
          <w:spacing w:val="-32"/>
          <w:w w:val="53"/>
        </w:rPr>
        <w:t>，</w:t>
      </w:r>
      <w:r>
        <w:rPr>
          <w:color w:val="231F20"/>
          <w:spacing w:val="7"/>
        </w:rPr>
        <w:t>不推荐常规行包括盆腔淋巴清扫在内</w:t>
      </w:r>
      <w:r>
        <w:rPr>
          <w:color w:val="231F20"/>
          <w:spacing w:val="6"/>
        </w:rPr>
        <w:t>的分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期手术</w:t>
      </w:r>
      <w:r>
        <w:rPr>
          <w:sz w:val="10"/>
          <w:szCs w:val="10"/>
          <w:color w:val="231F20"/>
          <w:spacing w:val="7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>61</w:t>
      </w:r>
      <w:r>
        <w:rPr>
          <w:sz w:val="10"/>
          <w:szCs w:val="10"/>
          <w:color w:val="231F20"/>
          <w:spacing w:val="-9"/>
          <w:position w:val="8"/>
        </w:rPr>
        <w:t>］</w:t>
      </w:r>
      <w:r>
        <w:rPr>
          <w:color w:val="231F20"/>
          <w:spacing w:val="-31"/>
          <w:w w:val="52"/>
        </w:rPr>
        <w:t>，</w:t>
      </w:r>
      <w:r>
        <w:rPr>
          <w:color w:val="231F20"/>
          <w:spacing w:val="7"/>
        </w:rPr>
        <w:t>也不推荐术中对子宫进行肉眼检查作为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评估子宫肌层浸润深度和术中是否需要行盆腔淋</w:t>
      </w:r>
      <w:r>
        <w:rPr>
          <w:color w:val="231F20"/>
          <w:spacing w:val="13"/>
        </w:rPr>
        <w:t xml:space="preserve"> </w:t>
      </w:r>
      <w:r>
        <w:rPr>
          <w:color w:val="231F20"/>
          <w:position w:val="-1"/>
        </w:rPr>
        <w:t>巴清扫术的标准</w:t>
      </w:r>
      <w:r>
        <w:rPr>
          <w:sz w:val="10"/>
          <w:szCs w:val="10"/>
          <w:color w:val="231F20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7"/>
        </w:rPr>
        <w:t>62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。</w:t>
      </w:r>
    </w:p>
    <w:p>
      <w:pPr>
        <w:pStyle w:val="BodyText"/>
        <w:ind w:right="3" w:firstLine="426"/>
        <w:spacing w:before="2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 </w:t>
      </w:r>
      <w:r>
        <w:rPr>
          <w:color w:val="231F20"/>
          <w:spacing w:val="4"/>
        </w:rPr>
        <w:t>术后随访：子宫内膜非典型增生行子宫全切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4"/>
        </w:rPr>
        <w:t>除术后建议每年行妇科检查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。对于保留卵巢的患</w:t>
      </w:r>
      <w:r>
        <w:rPr>
          <w:color w:val="231F20"/>
        </w:rPr>
        <w:t xml:space="preserve">  </w:t>
      </w:r>
      <w:r>
        <w:rPr>
          <w:color w:val="231F20"/>
          <w:spacing w:val="24"/>
        </w:rPr>
        <w:t>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24"/>
        </w:rPr>
        <w:t>，建议每年行经阴道超声检查和血清癌抗原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7"/>
        </w:rPr>
        <w:t>125</w:t>
      </w:r>
      <w:r>
        <w:rPr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color w:val="231F20"/>
          <w:spacing w:val="-7"/>
        </w:rPr>
        <w:t>cancer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antigen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125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color w:val="231F20"/>
          <w:spacing w:val="-8"/>
        </w:rPr>
        <w:t>CA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-4"/>
        </w:rPr>
        <w:t>125</w:t>
      </w:r>
      <w:r>
        <w:rPr>
          <w:color w:val="231F20"/>
          <w:spacing w:val="-2"/>
        </w:rPr>
        <w:t>）水平检测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。对于既往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无子宫颈病变史患者，术后无需行细胞学检查和高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危型人乳头状瘤病毒（</w:t>
      </w:r>
      <w:r>
        <w:rPr>
          <w:rFonts w:ascii="Times New Roman" w:hAnsi="Times New Roman" w:eastAsia="Times New Roman" w:cs="Times New Roman"/>
          <w:color w:val="231F20"/>
        </w:rPr>
        <w:t>human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papillomaviru</w:t>
      </w:r>
      <w:r>
        <w:rPr>
          <w:rFonts w:ascii="Times New Roman" w:hAnsi="Times New Roman" w:eastAsia="Times New Roman" w:cs="Times New Roman"/>
          <w:color w:val="231F20"/>
          <w:spacing w:val="-1"/>
        </w:rPr>
        <w:t>s</w:t>
      </w:r>
      <w:r>
        <w:rPr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</w:rPr>
        <w:t>HPV</w:t>
      </w:r>
      <w:r>
        <w:rPr>
          <w:color w:val="231F20"/>
          <w:spacing w:val="-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4"/>
        </w:rPr>
        <w:t>检测</w:t>
      </w:r>
      <w:r>
        <w:rPr>
          <w:sz w:val="10"/>
          <w:szCs w:val="10"/>
          <w:color w:val="231F20"/>
          <w:spacing w:val="-7"/>
          <w:position w:val="4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7"/>
          <w:position w:val="4"/>
        </w:rPr>
        <w:t>63‑64</w:t>
      </w:r>
      <w:r>
        <w:rPr>
          <w:sz w:val="10"/>
          <w:szCs w:val="10"/>
          <w:color w:val="231F20"/>
          <w:spacing w:val="-7"/>
          <w:position w:val="4"/>
        </w:rPr>
        <w:t>］</w:t>
      </w:r>
      <w:r>
        <w:rPr>
          <w:color w:val="231F20"/>
          <w:spacing w:val="-7"/>
          <w:position w:val="-4"/>
        </w:rPr>
        <w:t>。</w:t>
      </w:r>
    </w:p>
    <w:p>
      <w:pPr>
        <w:pStyle w:val="BodyText"/>
        <w:ind w:left="339"/>
        <w:spacing w:before="52" w:line="205" w:lineRule="auto"/>
        <w:rPr/>
      </w:pPr>
      <w:r>
        <w:rPr>
          <w:color w:val="231F20"/>
          <w:spacing w:val="-10"/>
        </w:rPr>
        <w:t>（二）药物治疗</w:t>
      </w:r>
    </w:p>
    <w:p>
      <w:pPr>
        <w:pStyle w:val="BodyText"/>
        <w:ind w:right="80" w:firstLine="440"/>
        <w:spacing w:before="18" w:line="221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 </w:t>
      </w:r>
      <w:r>
        <w:rPr>
          <w:color w:val="231F20"/>
          <w:spacing w:val="4"/>
        </w:rPr>
        <w:t>药物治疗指征：药物治疗适用于有强烈生育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要求、年龄小于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45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2"/>
        </w:rPr>
        <w:t>岁的患者，以及不能耐受手术的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患者（证据等级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）。 患者应有良好的依从</w:t>
      </w:r>
      <w:r>
        <w:rPr>
          <w:color w:val="231F20"/>
          <w:spacing w:val="-4"/>
        </w:rPr>
        <w:t>性，能按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时随访并定期进行子宫内膜病理检查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3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-33"/>
          <w:w w:val="55"/>
        </w:rPr>
        <w:t>，</w:t>
      </w:r>
      <w:r>
        <w:rPr>
          <w:color w:val="231F20"/>
          <w:spacing w:val="9"/>
        </w:rPr>
        <w:t>接受药物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治疗前尚需排除药物应用禁忌证或妊娠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。药物治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疗前应对患者充分知情，告知子宫内膜非典型增生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合并子宫内膜癌的比例高达 </w:t>
      </w:r>
      <w:r>
        <w:rPr>
          <w:rFonts w:ascii="Times New Roman" w:hAnsi="Times New Roman" w:eastAsia="Times New Roman" w:cs="Times New Roman"/>
          <w:color w:val="231F20"/>
          <w:spacing w:val="4"/>
        </w:rPr>
        <w:t>19%~45%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65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‑67</w:t>
      </w:r>
      <w:r>
        <w:rPr>
          <w:sz w:val="10"/>
          <w:szCs w:val="10"/>
          <w:color w:val="231F20"/>
          <w:spacing w:val="-8"/>
          <w:position w:val="8"/>
        </w:rPr>
        <w:t>］</w:t>
      </w:r>
      <w:r>
        <w:rPr>
          <w:color w:val="231F20"/>
          <w:spacing w:val="-39"/>
          <w:w w:val="65"/>
        </w:rPr>
        <w:t>，</w:t>
      </w:r>
      <w:r>
        <w:rPr>
          <w:color w:val="231F20"/>
          <w:spacing w:val="3"/>
        </w:rPr>
        <w:t>以及治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疗失败、进展为子宫内膜癌等风险。</w:t>
      </w:r>
    </w:p>
    <w:p>
      <w:pPr>
        <w:pStyle w:val="BodyText"/>
        <w:ind w:firstLine="421"/>
        <w:spacing w:before="6" w:line="222" w:lineRule="auto"/>
        <w:jc w:val="both"/>
        <w:rPr/>
      </w:pPr>
      <w:r>
        <w:rPr>
          <w:color w:val="231F20"/>
          <w:spacing w:val="5"/>
        </w:rPr>
        <w:t>对于希望保留生育功能的女性，应充分告知生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育治疗方案以及可能的获益及风险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68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。保留生育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功能治疗的目标包括：病变完全缓解、子宫内膜恢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2"/>
        </w:rPr>
        <w:t>复正常功能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、预防恶性肿瘤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、尽快实现妊娠等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55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在进行保守治疗之前，应进行充分知情同意，包括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生育功能在内的全面评估，除外子宫内膜癌等合并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存在的恶性肿瘤；治疗后应结合组织学病理检查、</w:t>
      </w:r>
    </w:p>
    <w:p>
      <w:pPr>
        <w:spacing w:line="222" w:lineRule="auto"/>
        <w:sectPr>
          <w:type w:val="continuous"/>
          <w:pgSz w:w="12246" w:h="16498"/>
          <w:pgMar w:top="1221" w:right="1224" w:bottom="0" w:left="819" w:header="971" w:footer="0" w:gutter="0"/>
          <w:cols w:equalWidth="0" w:num="2">
            <w:col w:w="5491" w:space="100"/>
            <w:col w:w="4612" w:space="0"/>
          </w:cols>
        </w:sectPr>
        <w:rPr/>
      </w:pPr>
    </w:p>
    <w:p>
      <w:pPr>
        <w:spacing w:before="61"/>
        <w:rPr/>
      </w:pPr>
      <w:r>
        <w:pict>
          <v:shape id="_x0000_s32" style="position:absolute;margin-left:225.45pt;margin-top:59.6178pt;mso-position-vertical-relative:page;mso-position-horizontal-relative:page;width:321.65pt;height:0.4pt;z-index:251679744;" o:allowincell="f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sectPr>
          <w:headerReference w:type="default" r:id="rId7"/>
          <w:pgSz w:w="12246" w:h="16498"/>
          <w:pgMar w:top="1221" w:right="1222" w:bottom="0" w:left="819" w:header="971" w:footer="0" w:gutter="0"/>
          <w:cols w:equalWidth="0" w:num="1">
            <w:col w:w="10204" w:space="0"/>
          </w:cols>
        </w:sectPr>
        <w:rPr/>
      </w:pPr>
    </w:p>
    <w:p>
      <w:pPr>
        <w:pStyle w:val="BodyText"/>
        <w:ind w:left="491" w:right="475" w:hanging="1"/>
        <w:spacing w:before="48" w:line="220" w:lineRule="auto"/>
        <w:rPr/>
      </w:pPr>
      <w:r>
        <w:rPr>
          <w:color w:val="231F20"/>
          <w:spacing w:val="5"/>
        </w:rPr>
        <w:t>影像学检查和肿瘤标志物检测结果，制定个体化管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  <w:position w:val="-1"/>
        </w:rPr>
        <w:t>理和随访方案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7"/>
        </w:rPr>
        <w:t>69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492" w:right="393" w:firstLine="420"/>
        <w:spacing w:before="4" w:line="220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2. </w:t>
      </w:r>
      <w:r>
        <w:rPr>
          <w:color w:val="231F20"/>
        </w:rPr>
        <w:t>药物治疗方案</w:t>
      </w:r>
      <w:r>
        <w:rPr>
          <w:color w:val="231F20"/>
          <w:spacing w:val="-38"/>
          <w:w w:val="70"/>
        </w:rPr>
        <w:t>：（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color w:val="231F20"/>
        </w:rPr>
        <w:t>）治疗方案：药物治疗包括  </w:t>
      </w:r>
      <w:r>
        <w:rPr>
          <w:rFonts w:ascii="Times New Roman" w:hAnsi="Times New Roman" w:eastAsia="Times New Roman" w:cs="Times New Roman"/>
          <w:color w:val="231F20"/>
          <w:spacing w:val="-8"/>
        </w:rPr>
        <w:t>LNG‑IUS</w:t>
      </w:r>
      <w:r>
        <w:rPr>
          <w:color w:val="231F20"/>
          <w:spacing w:val="-8"/>
        </w:rPr>
        <w:t>、口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服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醋 酸 甲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孕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8"/>
        </w:rPr>
        <w:t>酮（</w:t>
      </w:r>
      <w:r>
        <w:rPr>
          <w:rFonts w:ascii="Times New Roman" w:hAnsi="Times New Roman" w:eastAsia="Times New Roman" w:cs="Times New Roman"/>
          <w:color w:val="231F20"/>
          <w:spacing w:val="-8"/>
        </w:rPr>
        <w:t>160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mg</w:t>
      </w:r>
      <w:r>
        <w:rPr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color w:val="231F20"/>
          <w:spacing w:val="-8"/>
        </w:rPr>
        <w:t>1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color w:val="231F20"/>
          <w:spacing w:val="-8"/>
        </w:rPr>
        <w:t>次</w:t>
      </w:r>
      <w:r>
        <w:rPr>
          <w:rFonts w:ascii="Times New Roman" w:hAnsi="Times New Roman" w:eastAsia="Times New Roman" w:cs="Times New Roman"/>
          <w:color w:val="231F20"/>
          <w:spacing w:val="-8"/>
        </w:rPr>
        <w:t>/d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或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9"/>
        </w:rPr>
        <w:t>2 </w:t>
      </w:r>
      <w:r>
        <w:rPr>
          <w:color w:val="231F20"/>
          <w:spacing w:val="-9"/>
        </w:rPr>
        <w:t>次</w:t>
      </w:r>
      <w:r>
        <w:rPr>
          <w:rFonts w:ascii="Times New Roman" w:hAnsi="Times New Roman" w:eastAsia="Times New Roman" w:cs="Times New Roman"/>
          <w:color w:val="231F20"/>
          <w:spacing w:val="-9"/>
        </w:rPr>
        <w:t>/d</w:t>
      </w:r>
      <w:r>
        <w:rPr>
          <w:color w:val="231F20"/>
          <w:spacing w:val="-9"/>
        </w:rPr>
        <w:t>）、口服醋酸甲羟孕酮（</w:t>
      </w:r>
      <w:r>
        <w:rPr>
          <w:rFonts w:ascii="Times New Roman" w:hAnsi="Times New Roman" w:eastAsia="Times New Roman" w:cs="Times New Roman"/>
          <w:color w:val="231F20"/>
          <w:spacing w:val="-9"/>
        </w:rPr>
        <w:t>500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mg</w:t>
      </w:r>
      <w:r>
        <w:rPr>
          <w:color w:val="231F20"/>
          <w:spacing w:val="-9"/>
        </w:rPr>
        <w:t>，</w:t>
      </w:r>
      <w:r>
        <w:rPr>
          <w:rFonts w:ascii="Times New Roman" w:hAnsi="Times New Roman" w:eastAsia="Times New Roman" w:cs="Times New Roman"/>
          <w:color w:val="231F20"/>
          <w:spacing w:val="-10"/>
        </w:rPr>
        <w:t>1 </w:t>
      </w:r>
      <w:r>
        <w:rPr>
          <w:color w:val="231F20"/>
          <w:spacing w:val="-10"/>
        </w:rPr>
        <w:t>次</w:t>
      </w:r>
      <w:r>
        <w:rPr>
          <w:rFonts w:ascii="Times New Roman" w:hAnsi="Times New Roman" w:eastAsia="Times New Roman" w:cs="Times New Roman"/>
          <w:color w:val="231F20"/>
          <w:spacing w:val="-10"/>
        </w:rPr>
        <w:t>/d</w:t>
      </w:r>
      <w:r>
        <w:rPr>
          <w:color w:val="231F20"/>
          <w:spacing w:val="-26"/>
          <w:w w:val="73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>69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。与  </w:t>
      </w:r>
      <w:r>
        <w:rPr>
          <w:color w:val="231F20"/>
          <w:spacing w:val="4"/>
        </w:rPr>
        <w:t>口服孕激素相比，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4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4"/>
        </w:rPr>
        <w:t>治疗后的完全缓解率更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高（为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78.7%~90.6%</w:t>
      </w:r>
      <w:r>
        <w:rPr>
          <w:color w:val="231F20"/>
          <w:spacing w:val="-3"/>
        </w:rPr>
        <w:t>）、复发率更低（分别为</w:t>
      </w:r>
      <w:r>
        <w:rPr>
          <w:rFonts w:ascii="Times New Roman" w:hAnsi="Times New Roman" w:eastAsia="Times New Roman" w:cs="Times New Roman"/>
          <w:color w:val="231F20"/>
          <w:spacing w:val="-3"/>
        </w:rPr>
        <w:t>27.3</w:t>
      </w:r>
      <w:r>
        <w:rPr>
          <w:rFonts w:ascii="Times New Roman" w:hAnsi="Times New Roman" w:eastAsia="Times New Roman" w:cs="Times New Roman"/>
          <w:color w:val="231F20"/>
          <w:spacing w:val="-4"/>
        </w:rPr>
        <w:t>%</w:t>
      </w:r>
      <w:r>
        <w:rPr>
          <w:color w:val="231F20"/>
          <w:spacing w:val="-4"/>
        </w:rPr>
        <w:t>、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position w:val="-1"/>
        </w:rPr>
        <w:t>50.0%</w:t>
      </w:r>
      <w:r>
        <w:rPr>
          <w:color w:val="231F20"/>
          <w:spacing w:val="-4"/>
          <w:position w:val="-1"/>
        </w:rPr>
        <w:t>；证据等级</w:t>
      </w:r>
      <w:r>
        <w:rPr>
          <w:color w:val="231F20"/>
          <w:spacing w:val="-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position w:val="-1"/>
        </w:rPr>
        <w:t>2+</w:t>
      </w:r>
      <w:r>
        <w:rPr>
          <w:color w:val="231F20"/>
          <w:spacing w:val="-28"/>
          <w:w w:val="77"/>
          <w:position w:val="-1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>37</w:t>
      </w:r>
      <w:r>
        <w:rPr>
          <w:sz w:val="10"/>
          <w:szCs w:val="10"/>
          <w:color w:val="231F20"/>
          <w:spacing w:val="-4"/>
          <w:position w:val="7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7"/>
        </w:rPr>
        <w:t>70‑72</w:t>
      </w:r>
      <w:r>
        <w:rPr>
          <w:sz w:val="10"/>
          <w:szCs w:val="10"/>
          <w:color w:val="231F20"/>
          <w:spacing w:val="-4"/>
          <w:position w:val="7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488" w:right="405" w:firstLine="422"/>
        <w:spacing w:before="2" w:line="219" w:lineRule="auto"/>
        <w:jc w:val="both"/>
        <w:rPr/>
      </w:pPr>
      <w:r>
        <w:rPr>
          <w:color w:val="231F20"/>
          <w:spacing w:val="5"/>
        </w:rPr>
        <w:t>药物治疗过程中需要定期随访，进行身体检查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并监测影像学和生化指标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。长期口服孕激素可能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导致体重增加、水肿、头痛、不规则阴道流</w:t>
      </w:r>
      <w:r>
        <w:rPr>
          <w:color w:val="231F20"/>
          <w:spacing w:val="-4"/>
        </w:rPr>
        <w:t>血、肝肾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功能受损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、皮肤改变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、卵巢囊肿及血栓形成</w:t>
      </w:r>
      <w:r>
        <w:rPr>
          <w:color w:val="231F20"/>
          <w:spacing w:val="13"/>
        </w:rPr>
        <w:t>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；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4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4"/>
        </w:rPr>
        <w:t>放置后可能发生不规则阴道流血、闭经或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3"/>
          <w:position w:val="-1"/>
        </w:rPr>
        <w:t>LNG‑IUS</w:t>
      </w:r>
      <w:r>
        <w:rPr>
          <w:rFonts w:ascii="Times New Roman" w:hAnsi="Times New Roman" w:eastAsia="Times New Roman" w:cs="Times New Roman"/>
          <w:color w:val="231F20"/>
          <w:spacing w:val="-12"/>
          <w:position w:val="-1"/>
        </w:rPr>
        <w:t xml:space="preserve"> </w:t>
      </w:r>
      <w:r>
        <w:rPr>
          <w:color w:val="231F20"/>
          <w:spacing w:val="-3"/>
          <w:position w:val="-1"/>
        </w:rPr>
        <w:t>脱落等问题</w:t>
      </w:r>
      <w:r>
        <w:rPr>
          <w:sz w:val="10"/>
          <w:szCs w:val="10"/>
          <w:color w:val="231F20"/>
          <w:spacing w:val="-3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7"/>
        </w:rPr>
        <w:t>73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color w:val="231F20"/>
          <w:spacing w:val="-3"/>
        </w:rPr>
        <w:t>。</w:t>
      </w:r>
    </w:p>
    <w:p>
      <w:pPr>
        <w:pStyle w:val="BodyText"/>
        <w:ind w:left="490" w:right="475" w:firstLine="425"/>
        <w:spacing w:before="3" w:line="219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GnRH</w:t>
      </w:r>
      <w:r>
        <w:rPr>
          <w:rFonts w:ascii="Times New Roman" w:hAnsi="Times New Roman" w:eastAsia="Times New Roman" w:cs="Times New Roman"/>
          <w:color w:val="231F20"/>
          <w:spacing w:val="9"/>
        </w:rPr>
        <w:t>‑a </w:t>
      </w:r>
      <w:r>
        <w:rPr>
          <w:color w:val="231F20"/>
          <w:spacing w:val="9"/>
        </w:rPr>
        <w:t>可用于子宫内膜非典型增生，单独应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6"/>
        </w:rPr>
        <w:t>用或联合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6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或芳香酶抑制剂使用</w:t>
      </w:r>
      <w:r>
        <w:rPr>
          <w:sz w:val="10"/>
          <w:szCs w:val="10"/>
          <w:color w:val="231F20"/>
          <w:spacing w:val="6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8"/>
        </w:rPr>
        <w:t>74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5"/>
        </w:rPr>
        <w:t>。一般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GnRH</w:t>
      </w:r>
      <w:r>
        <w:rPr>
          <w:rFonts w:ascii="Times New Roman" w:hAnsi="Times New Roman" w:eastAsia="Times New Roman" w:cs="Times New Roman"/>
          <w:color w:val="231F20"/>
          <w:spacing w:val="5"/>
        </w:rPr>
        <w:t>‑a </w:t>
      </w:r>
      <w:r>
        <w:rPr>
          <w:color w:val="231F20"/>
          <w:spacing w:val="5"/>
        </w:rPr>
        <w:t>连续使用不超过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6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个月</w:t>
      </w:r>
      <w:r>
        <w:rPr>
          <w:sz w:val="10"/>
          <w:szCs w:val="10"/>
          <w:color w:val="231F20"/>
          <w:spacing w:val="5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8"/>
        </w:rPr>
        <w:t>75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。应注意目前缺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少高质量证据支持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GnRH</w:t>
      </w:r>
      <w:r>
        <w:rPr>
          <w:rFonts w:ascii="Times New Roman" w:hAnsi="Times New Roman" w:eastAsia="Times New Roman" w:cs="Times New Roman"/>
          <w:color w:val="231F20"/>
          <w:spacing w:val="5"/>
        </w:rPr>
        <w:t>‑a </w:t>
      </w:r>
      <w:r>
        <w:rPr>
          <w:color w:val="231F20"/>
          <w:spacing w:val="5"/>
        </w:rPr>
        <w:t>的有效性。</w:t>
      </w:r>
    </w:p>
    <w:p>
      <w:pPr>
        <w:pStyle w:val="BodyText"/>
        <w:ind w:left="489" w:right="474" w:firstLine="338"/>
        <w:spacing w:before="12" w:line="216" w:lineRule="auto"/>
        <w:rPr/>
      </w:pP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）治疗时间和疗效评估：子宫内膜非典型增 </w:t>
      </w:r>
      <w:r>
        <w:rPr>
          <w:color w:val="231F20"/>
          <w:spacing w:val="2"/>
        </w:rPr>
        <w:t>生获得完全缓解的中位时间为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6~7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2"/>
        </w:rPr>
        <w:t>个月，治疗 </w:t>
      </w:r>
      <w:r>
        <w:rPr>
          <w:rFonts w:ascii="Times New Roman" w:hAnsi="Times New Roman" w:eastAsia="Times New Roman" w:cs="Times New Roman"/>
          <w:color w:val="231F20"/>
          <w:spacing w:val="2"/>
        </w:rPr>
        <w:t>12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2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月时大多数患者可获得完全缓解</w:t>
      </w:r>
      <w:r>
        <w:rPr>
          <w:sz w:val="10"/>
          <w:szCs w:val="10"/>
          <w:color w:val="231F20"/>
          <w:spacing w:val="11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8"/>
        </w:rPr>
        <w:t>76‑77</w:t>
      </w:r>
      <w:r>
        <w:rPr>
          <w:sz w:val="10"/>
          <w:szCs w:val="10"/>
          <w:color w:val="231F20"/>
          <w:spacing w:val="11"/>
          <w:position w:val="8"/>
        </w:rPr>
        <w:t>］</w:t>
      </w:r>
      <w:r>
        <w:rPr>
          <w:color w:val="231F20"/>
          <w:spacing w:val="11"/>
        </w:rPr>
        <w:t>。治疗期间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每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3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个月进行 </w:t>
      </w:r>
      <w:r>
        <w:rPr>
          <w:rFonts w:ascii="Times New Roman" w:hAnsi="Times New Roman" w:eastAsia="Times New Roman" w:cs="Times New Roman"/>
          <w:color w:val="231F20"/>
          <w:spacing w:val="6"/>
        </w:rPr>
        <w:t>1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6"/>
        </w:rPr>
        <w:t>次子宫内膜病理评估，根据子宫内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膜对药物的反应情况调整治疗剂量或治疗方案，直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4"/>
        </w:rPr>
        <w:t>到连续</w:t>
      </w:r>
      <w:r>
        <w:rPr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2 </w:t>
      </w:r>
      <w:r>
        <w:rPr>
          <w:color w:val="231F20"/>
          <w:spacing w:val="14"/>
        </w:rPr>
        <w:t>次子宫内膜活检病理未见病变（证据等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级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2++</w:t>
      </w:r>
      <w:r>
        <w:rPr>
          <w:color w:val="231F20"/>
          <w:spacing w:val="-26"/>
          <w:w w:val="74"/>
        </w:rPr>
        <w:t>）</w:t>
      </w:r>
      <w:r>
        <w:rPr>
          <w:sz w:val="10"/>
          <w:szCs w:val="10"/>
          <w:color w:val="231F20"/>
          <w:spacing w:val="-15"/>
          <w:w w:val="72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76</w:t>
      </w:r>
      <w:r>
        <w:rPr>
          <w:sz w:val="10"/>
          <w:szCs w:val="10"/>
          <w:color w:val="231F20"/>
          <w:spacing w:val="-2"/>
          <w:position w:val="8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78</w:t>
      </w:r>
      <w:r>
        <w:rPr>
          <w:sz w:val="10"/>
          <w:szCs w:val="10"/>
          <w:color w:val="231F20"/>
          <w:spacing w:val="-15"/>
          <w:w w:val="72"/>
          <w:position w:val="8"/>
        </w:rPr>
        <w:t>］</w:t>
      </w:r>
      <w:r>
        <w:rPr>
          <w:color w:val="231F20"/>
          <w:spacing w:val="-32"/>
          <w:w w:val="53"/>
        </w:rPr>
        <w:t>；</w:t>
      </w:r>
      <w:r>
        <w:rPr>
          <w:color w:val="231F20"/>
          <w:spacing w:val="-2"/>
        </w:rPr>
        <w:t>对保留子宫、没有症状、子宫内膜活检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已经连续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2"/>
        </w:rPr>
        <w:t>次未见病变的患者，建议每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6~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12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color w:val="231F20"/>
          <w:spacing w:val="2"/>
        </w:rPr>
        <w:t>个月进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行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5"/>
        </w:rPr>
        <w:t>次子宫内膜病理评估，直至去除危险因素或行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2"/>
        </w:rPr>
        <w:t>子宫全切除术</w:t>
      </w:r>
      <w:r>
        <w:rPr>
          <w:sz w:val="10"/>
          <w:szCs w:val="10"/>
          <w:color w:val="231F20"/>
          <w:spacing w:val="-4"/>
          <w:position w:val="6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6"/>
        </w:rPr>
        <w:t>53</w:t>
      </w:r>
      <w:r>
        <w:rPr>
          <w:sz w:val="10"/>
          <w:szCs w:val="10"/>
          <w:color w:val="231F20"/>
          <w:spacing w:val="-4"/>
          <w:position w:val="6"/>
        </w:rPr>
        <w:t>，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6"/>
        </w:rPr>
        <w:t>79</w:t>
      </w:r>
      <w:r>
        <w:rPr>
          <w:sz w:val="10"/>
          <w:szCs w:val="10"/>
          <w:color w:val="231F20"/>
          <w:spacing w:val="-4"/>
          <w:position w:val="6"/>
        </w:rPr>
        <w:t>］</w:t>
      </w:r>
      <w:r>
        <w:rPr>
          <w:color w:val="231F20"/>
          <w:spacing w:val="-4"/>
          <w:position w:val="-2"/>
        </w:rPr>
        <w:t>。</w:t>
      </w:r>
    </w:p>
    <w:p>
      <w:pPr>
        <w:pStyle w:val="BodyText"/>
        <w:ind w:left="492" w:right="475" w:firstLine="334"/>
        <w:spacing w:before="49" w:line="212" w:lineRule="auto"/>
        <w:rPr/>
      </w:pP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）辅助治疗：药物治疗期间推荐生活方式干 </w:t>
      </w:r>
      <w:r>
        <w:rPr>
          <w:color w:val="231F20"/>
          <w:spacing w:val="5"/>
        </w:rPr>
        <w:t>预、积极去除导致子宫内膜病变的危险因素，如指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导减重、治疗排卵功能障碍等，肥胖可能会降低药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  <w:position w:val="-1"/>
        </w:rPr>
        <w:t>物治疗的缓解率</w:t>
      </w:r>
      <w:r>
        <w:rPr>
          <w:sz w:val="10"/>
          <w:szCs w:val="10"/>
          <w:color w:val="231F20"/>
          <w:spacing w:val="-1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7"/>
        </w:rPr>
        <w:t>80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488" w:right="475" w:firstLine="426"/>
        <w:spacing w:before="50" w:line="220" w:lineRule="auto"/>
        <w:jc w:val="both"/>
        <w:rPr/>
      </w:pPr>
      <w:r>
        <w:rPr>
          <w:color w:val="231F20"/>
          <w:spacing w:val="15"/>
        </w:rPr>
        <w:t>患者教育对于提高药物使用依从性和治疗缓 </w:t>
      </w:r>
      <w:r>
        <w:rPr>
          <w:color w:val="231F20"/>
          <w:spacing w:val="-3"/>
        </w:rPr>
        <w:t>解率、降低复发率均非常重要（证据等级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color w:val="231F20"/>
          <w:spacing w:val="-3"/>
        </w:rPr>
        <w:t>）。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个体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化治疗和方案调整、长期的生活方式干预、风险因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素管理、细致的临床随访等均为患者教育的内容。</w:t>
      </w:r>
    </w:p>
    <w:p>
      <w:pPr>
        <w:pStyle w:val="BodyText"/>
        <w:ind w:left="487" w:right="474" w:firstLine="427"/>
        <w:spacing w:before="2" w:line="220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 </w:t>
      </w:r>
      <w:r>
        <w:rPr>
          <w:color w:val="231F20"/>
          <w:spacing w:val="4"/>
        </w:rPr>
        <w:t>药物治疗后的随访：子宫内膜非典型增生同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4"/>
        </w:rPr>
        <w:t>样需要长期管理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。对于近期无生育要求的患者，建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议放置</w:t>
      </w:r>
      <w:r>
        <w:rPr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LNG</w:t>
      </w:r>
      <w:r>
        <w:rPr>
          <w:rFonts w:ascii="Times New Roman" w:hAnsi="Times New Roman" w:eastAsia="Times New Roman" w:cs="Times New Roman"/>
          <w:color w:val="231F20"/>
          <w:spacing w:val="2"/>
        </w:rPr>
        <w:t>‑</w:t>
      </w:r>
      <w:r>
        <w:rPr>
          <w:rFonts w:ascii="Times New Roman" w:hAnsi="Times New Roman" w:eastAsia="Times New Roman" w:cs="Times New Roman"/>
          <w:color w:val="231F20"/>
        </w:rPr>
        <w:t>IUS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2"/>
        </w:rPr>
        <w:t>或应用口服孕激素、复方口服避孕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药保护子宫内膜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、预防复发（证据等级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2+</w:t>
      </w:r>
      <w:r>
        <w:rPr>
          <w:color w:val="231F20"/>
          <w:spacing w:val="-28"/>
          <w:w w:val="79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37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3"/>
        </w:rPr>
        <w:t>。对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于完成生育的患者推荐行子宫全切除术。</w:t>
      </w:r>
    </w:p>
    <w:p>
      <w:pPr>
        <w:pStyle w:val="BodyText"/>
        <w:ind w:left="827"/>
        <w:spacing w:before="1" w:line="205" w:lineRule="auto"/>
        <w:rPr/>
      </w:pPr>
      <w:r>
        <w:rPr>
          <w:color w:val="231F20"/>
          <w:spacing w:val="-6"/>
        </w:rPr>
        <w:t>（三）复发后的治疗</w:t>
      </w:r>
    </w:p>
    <w:p>
      <w:pPr>
        <w:pStyle w:val="BodyText"/>
        <w:ind w:left="489" w:right="474" w:firstLine="421"/>
        <w:spacing w:before="25" w:line="229" w:lineRule="auto"/>
        <w:rPr/>
      </w:pPr>
      <w:r>
        <w:drawing>
          <wp:anchor distT="0" distB="0" distL="0" distR="0" simplePos="0" relativeHeight="2516787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291026</wp:posOffset>
            </wp:positionV>
            <wp:extent cx="2805668" cy="30421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5668" cy="3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5"/>
        </w:rPr>
        <w:t>原则上，子宫内膜非典型增生复发后可再次进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行药物保守治疗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81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。对于没有生育要求或已经完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4" w:hanging="2"/>
        <w:spacing w:before="46" w:line="220" w:lineRule="auto"/>
        <w:rPr/>
      </w:pPr>
      <w:r>
        <w:rPr>
          <w:color w:val="231F20"/>
          <w:spacing w:val="-6"/>
        </w:rPr>
        <w:t>成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育 的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复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患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，手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选（证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据</w:t>
      </w:r>
      <w:r>
        <w:rPr>
          <w:color w:val="231F20"/>
        </w:rPr>
        <w:t xml:space="preserve"> </w:t>
      </w:r>
      <w:r>
        <w:rPr>
          <w:color w:val="231F20"/>
          <w:spacing w:val="-1"/>
          <w:position w:val="-1"/>
        </w:rPr>
        <w:t>等级</w:t>
      </w:r>
      <w:r>
        <w:rPr>
          <w:color w:val="231F20"/>
          <w:spacing w:val="-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-1"/>
        </w:rPr>
        <w:t>3</w:t>
      </w:r>
      <w:r>
        <w:rPr>
          <w:color w:val="231F20"/>
          <w:spacing w:val="-26"/>
          <w:w w:val="74"/>
          <w:position w:val="-1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7"/>
        </w:rPr>
        <w:t>4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337"/>
        <w:spacing w:line="205" w:lineRule="auto"/>
        <w:rPr/>
      </w:pPr>
      <w:r>
        <w:rPr>
          <w:color w:val="231F20"/>
          <w:spacing w:val="-10"/>
        </w:rPr>
        <w:t>（四）促进生育</w:t>
      </w:r>
    </w:p>
    <w:p>
      <w:pPr>
        <w:pStyle w:val="BodyText"/>
        <w:ind w:left="2" w:right="83" w:firstLine="416"/>
        <w:spacing w:before="23" w:line="221" w:lineRule="auto"/>
        <w:jc w:val="both"/>
        <w:rPr/>
      </w:pPr>
      <w:r>
        <w:rPr>
          <w:color w:val="231F20"/>
          <w:spacing w:val="5"/>
        </w:rPr>
        <w:t>对于有生育要求的患者，子宫内膜非典型增生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获得完全缓解后建议积极妊娠，妊娠方式推荐辅助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  <w:position w:val="-1"/>
        </w:rPr>
        <w:t>生殖技术（证据等级</w:t>
      </w:r>
      <w:r>
        <w:rPr>
          <w:color w:val="231F20"/>
          <w:spacing w:val="-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position w:val="-1"/>
        </w:rPr>
        <w:t>3</w:t>
      </w:r>
      <w:r>
        <w:rPr>
          <w:color w:val="231F20"/>
          <w:spacing w:val="-27"/>
          <w:w w:val="75"/>
          <w:position w:val="-1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7"/>
        </w:rPr>
        <w:t>82‑83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421"/>
        <w:spacing w:line="198" w:lineRule="auto"/>
        <w:rPr/>
      </w:pPr>
      <w:r>
        <w:rPr>
          <w:color w:val="231F20"/>
          <w:spacing w:val="10"/>
        </w:rPr>
        <w:t>子宫内膜增生的管理流程见图</w:t>
      </w:r>
      <w:r>
        <w:rPr>
          <w:rFonts w:ascii="Times New Roman" w:hAnsi="Times New Roman" w:eastAsia="Times New Roman" w:cs="Times New Roman"/>
          <w:color w:val="231F20"/>
          <w:spacing w:val="10"/>
        </w:rPr>
        <w:t>1</w:t>
      </w:r>
      <w:r>
        <w:rPr>
          <w:color w:val="231F20"/>
          <w:spacing w:val="10"/>
        </w:rPr>
        <w:t>。</w:t>
      </w:r>
    </w:p>
    <w:p>
      <w:pPr>
        <w:ind w:left="423"/>
        <w:spacing w:before="19" w:line="270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指南总结</w:t>
      </w:r>
    </w:p>
    <w:p>
      <w:pPr>
        <w:ind w:left="111" w:right="84" w:hanging="90"/>
        <w:spacing w:before="45" w:line="269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•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子宫内膜增生包括子宫内膜增生不伴非典型性和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子宫内膜非典型增生。</w:t>
      </w:r>
    </w:p>
    <w:p>
      <w:pPr>
        <w:ind w:left="107" w:right="84" w:hanging="86"/>
        <w:spacing w:before="47" w:line="28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0"/>
        </w:rPr>
        <w:t>•</w:t>
      </w:r>
      <w:r>
        <w:rPr>
          <w:rFonts w:ascii="SimHei" w:hAnsi="SimHei" w:eastAsia="SimHei" w:cs="SimHei"/>
          <w:sz w:val="20"/>
          <w:szCs w:val="20"/>
          <w:color w:val="231F20"/>
          <w:spacing w:val="20"/>
        </w:rPr>
        <w:t>异常子宫出血是子宫内膜增生最常见的临床表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现。经阴道超声检查是评估子宫内膜增生的首选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影像学检查方法（证据等级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2+</w:t>
      </w:r>
      <w:r>
        <w:rPr>
          <w:rFonts w:ascii="SimHei" w:hAnsi="SimHei" w:eastAsia="SimHei" w:cs="SimHei"/>
          <w:sz w:val="20"/>
          <w:szCs w:val="20"/>
          <w:color w:val="231F20"/>
          <w:spacing w:val="-32"/>
          <w:w w:val="64"/>
        </w:rPr>
        <w:t>），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对无性生活的女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性推荐经直肠超声检查（证据等级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）。</w:t>
      </w:r>
    </w:p>
    <w:p>
      <w:pPr>
        <w:ind w:left="107" w:right="84" w:hanging="86"/>
        <w:spacing w:before="47" w:line="280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•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怀疑子宫内膜病变的患者均应进行子宫内膜活检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以明确诊断。有效的组织学确诊方案包括诊断性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刮宫（证据等级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2++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）、宫腔镜下定位活检（证据等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2+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）以及负压吸取子宫内膜微量组织病理检查</w:t>
      </w:r>
    </w:p>
    <w:p>
      <w:pPr>
        <w:ind w:left="30"/>
        <w:spacing w:before="47" w:line="268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（证据等级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2"/>
          <w:position w:val="1"/>
        </w:rPr>
        <w:t>2-</w:t>
      </w: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）。</w:t>
      </w:r>
    </w:p>
    <w:p>
      <w:pPr>
        <w:ind w:left="102" w:right="17" w:hanging="81"/>
        <w:spacing w:before="47" w:line="286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•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孕激素是子宫内膜增生不伴非典型性药物治疗的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首选方案。与口服孕激素相比，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对子宫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内膜增生不伴非典型性的缓解率更高、复发率更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低、不良事件更少，可作为一线治疗方案（荟萃分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析证据等级</w:t>
      </w:r>
      <w:r>
        <w:rPr>
          <w:rFonts w:ascii="SimHei" w:hAnsi="SimHei" w:eastAsia="SimHei" w:cs="SimHei"/>
          <w:sz w:val="20"/>
          <w:szCs w:val="20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1-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RCT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证据等级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2+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治疗期间每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>6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>个月行超声检查和子宫内膜活检以评估疗效，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>直到连续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>次子宫内膜活检病理未见病变。子宫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全切除术并非子宫内膜增生不伴非典型性的首选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治疗。</w:t>
      </w:r>
    </w:p>
    <w:p>
      <w:pPr>
        <w:ind w:left="104" w:hanging="82"/>
        <w:spacing w:before="51" w:line="286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•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子宫内膜非典型增生的手术治疗选择微创方式的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子宫全切除术（证据等级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1+</w:t>
      </w:r>
      <w:r>
        <w:rPr>
          <w:rFonts w:ascii="SimHei" w:hAnsi="SimHei" w:eastAsia="SimHei" w:cs="SimHei"/>
          <w:sz w:val="20"/>
          <w:szCs w:val="20"/>
          <w:color w:val="231F20"/>
          <w:spacing w:val="-31"/>
          <w:w w:val="63"/>
        </w:rPr>
        <w:t>），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建议同时切除双侧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输卵管（证据等级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2+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子宫内膜非典型增生的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药物保守治疗适用于不能耐受手术，或有强烈生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</w:rPr>
        <w:t>育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要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求、年龄小</w:t>
      </w:r>
      <w:r>
        <w:rPr>
          <w:rFonts w:ascii="SimHei" w:hAnsi="SimHei" w:eastAsia="SimHei" w:cs="SimHei"/>
          <w:sz w:val="20"/>
          <w:szCs w:val="20"/>
          <w:color w:val="231F20"/>
          <w:spacing w:val="-5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于</w:t>
      </w:r>
      <w:r>
        <w:rPr>
          <w:rFonts w:ascii="SimHei" w:hAnsi="SimHei" w:eastAsia="SimHei" w:cs="SimHei"/>
          <w:sz w:val="20"/>
          <w:szCs w:val="20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45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岁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的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患者（证据等级</w:t>
      </w:r>
      <w:r>
        <w:rPr>
          <w:rFonts w:ascii="SimHei" w:hAnsi="SimHei" w:eastAsia="SimHei" w:cs="SimHei"/>
          <w:sz w:val="20"/>
          <w:szCs w:val="20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</w:t>
      </w:r>
      <w:r>
        <w:rPr>
          <w:rFonts w:ascii="SimHei" w:hAnsi="SimHei" w:eastAsia="SimHei" w:cs="SimHei"/>
          <w:sz w:val="20"/>
          <w:szCs w:val="20"/>
          <w:color w:val="231F20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LNG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IUS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是药物治疗的一线方案（证据等级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2+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）。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保守治疗期间每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个月行子宫内膜病理评估，根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据子宫内膜对药物的反应情况调整口服治疗剂量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或治疗方案，直到连续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次活检病理未见病变（证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2++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）。</w:t>
      </w:r>
    </w:p>
    <w:p>
      <w:pPr>
        <w:ind w:left="107" w:right="83" w:hanging="85"/>
        <w:spacing w:before="46" w:line="277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•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子宫全切除术应为子宫内膜非典型增生复发患者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的首选方案（证据等级</w:t>
      </w:r>
      <w:r>
        <w:rPr>
          <w:rFonts w:ascii="SimHei" w:hAnsi="SimHei" w:eastAsia="SimHei" w:cs="SimHei"/>
          <w:sz w:val="20"/>
          <w:szCs w:val="20"/>
          <w:color w:val="231F2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4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-32"/>
          <w:w w:val="64"/>
        </w:rPr>
        <w:t>），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对于有强烈生育要求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者也可再次进行药物保守治疗。</w:t>
      </w:r>
    </w:p>
    <w:p>
      <w:pPr>
        <w:ind w:left="106" w:right="83" w:hanging="84"/>
        <w:spacing w:before="48" w:line="276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•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>对于有生育要求的患者，子宫内膜增生完全缓解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后建议积极妊娠，妊娠方式推荐辅助生殖技</w:t>
      </w:r>
      <w:r>
        <w:rPr>
          <w:rFonts w:ascii="SimHei" w:hAnsi="SimHei" w:eastAsia="SimHei" w:cs="SimHei"/>
          <w:sz w:val="20"/>
          <w:szCs w:val="20"/>
          <w:color w:val="231F20"/>
        </w:rPr>
        <w:t>术（证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据等级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0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）。</w:t>
      </w:r>
    </w:p>
    <w:p>
      <w:pPr>
        <w:spacing w:line="276" w:lineRule="auto"/>
        <w:sectPr>
          <w:type w:val="continuous"/>
          <w:pgSz w:w="12246" w:h="16498"/>
          <w:pgMar w:top="1221" w:right="1222" w:bottom="0" w:left="819" w:header="971" w:footer="0" w:gutter="0"/>
          <w:cols w:equalWidth="0" w:num="2">
            <w:col w:w="5493" w:space="100"/>
            <w:col w:w="4612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360" w:lineRule="auto"/>
        <w:rPr>
          <w:rFonts w:ascii="Arial"/>
          <w:sz w:val="21"/>
        </w:rPr>
      </w:pPr>
      <w:r>
        <w:pict>
          <v:shape id="_x0000_s38" style="position:absolute;margin-left:65.1968pt;margin-top:59.6178pt;mso-position-vertical-relative:page;mso-position-horizontal-relative:page;width:321.65pt;height:0.4pt;z-index:251685888;" o:allowincell="f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pStyle w:val="BodyText"/>
        <w:ind w:left="4399"/>
        <w:spacing w:before="60" w:line="1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可疑子宫内膜增生的临床评估</w:t>
      </w:r>
    </w:p>
    <w:p>
      <w:pPr>
        <w:pStyle w:val="BodyText"/>
        <w:ind w:left="3562"/>
        <w:spacing w:line="167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39"/>
          <w:w w:val="101"/>
        </w:rPr>
        <w:t xml:space="preserve"> </w:t>
      </w:r>
      <w:r>
        <w:rPr>
          <w:sz w:val="14"/>
          <w:szCs w:val="14"/>
          <w:color w:val="231F20"/>
        </w:rPr>
        <w:t>症状和体征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,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</w:rPr>
        <w:t>身体检查</w:t>
      </w:r>
    </w:p>
    <w:p>
      <w:pPr>
        <w:pStyle w:val="BodyText"/>
        <w:ind w:left="3698" w:right="3268" w:hanging="136"/>
        <w:spacing w:line="174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42"/>
          <w:w w:val="101"/>
        </w:rPr>
        <w:t xml:space="preserve"> </w:t>
      </w:r>
      <w:r>
        <w:rPr>
          <w:sz w:val="14"/>
          <w:szCs w:val="14"/>
          <w:color w:val="231F20"/>
        </w:rPr>
        <w:t>影像学检查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:</w:t>
      </w:r>
      <w:r>
        <w:rPr>
          <w:sz w:val="14"/>
          <w:szCs w:val="14"/>
          <w:color w:val="231F20"/>
          <w:spacing w:val="35"/>
          <w:w w:val="102"/>
        </w:rPr>
        <w:t xml:space="preserve"> </w:t>
      </w:r>
      <w:r>
        <w:rPr>
          <w:sz w:val="14"/>
          <w:szCs w:val="14"/>
          <w:color w:val="231F20"/>
        </w:rPr>
        <w:t>经阴道超声或经直肠超声检查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,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</w:rPr>
        <w:t>磁共振 </w:t>
      </w:r>
      <w:r>
        <w:rPr>
          <w:sz w:val="14"/>
          <w:szCs w:val="14"/>
          <w:color w:val="231F20"/>
          <w:spacing w:val="-2"/>
        </w:rPr>
        <w:t>成像检查</w:t>
      </w:r>
    </w:p>
    <w:p>
      <w:pPr>
        <w:ind w:left="5285"/>
        <w:spacing w:before="11" w:line="213" w:lineRule="exact"/>
        <w:rPr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433667</wp:posOffset>
            </wp:positionH>
            <wp:positionV relativeFrom="paragraph">
              <wp:posOffset>-481865</wp:posOffset>
            </wp:positionV>
            <wp:extent cx="5867580" cy="346874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580" cy="346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6343" cy="13524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" cy="13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42"/>
        <w:spacing w:before="144" w:line="1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组织学病理检查</w:t>
      </w:r>
    </w:p>
    <w:p>
      <w:pPr>
        <w:pStyle w:val="BodyText"/>
        <w:ind w:left="4255"/>
        <w:spacing w:before="1" w:line="167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</w:rPr>
        <w:t>诊断性刮宫</w:t>
      </w:r>
    </w:p>
    <w:p>
      <w:pPr>
        <w:pStyle w:val="BodyText"/>
        <w:ind w:left="4255"/>
        <w:spacing w:before="1" w:line="1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43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宫腔镜下定位活检</w:t>
      </w:r>
    </w:p>
    <w:p>
      <w:pPr>
        <w:pStyle w:val="BodyText"/>
        <w:ind w:left="4255"/>
        <w:spacing w:before="1" w:line="179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</w:rPr>
        <w:t>子宫内膜微量组织病理检查</w:t>
      </w:r>
    </w:p>
    <w:p>
      <w:pPr>
        <w:ind w:left="5285"/>
        <w:spacing w:before="18" w:line="201" w:lineRule="exact"/>
        <w:rPr/>
      </w:pPr>
      <w:r>
        <w:rPr>
          <w:position w:val="-4"/>
        </w:rPr>
        <w:drawing>
          <wp:inline distT="0" distB="0" distL="0" distR="0">
            <wp:extent cx="6343" cy="12785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" cy="12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15"/>
        <w:spacing w:line="183" w:lineRule="exact"/>
        <w:rPr/>
      </w:pPr>
      <w:r>
        <w:pict>
          <v:shape id="_x0000_s40" style="position:absolute;margin-left:385.793pt;margin-top:0.249939pt;mso-position-vertical-relative:text;mso-position-horizontal-relative:text;width:0.5pt;height:9.15pt;z-index:251688960;" filled="false" strokecolor="#231F20" strokeweight="0.50pt" coordsize="10,182" coordorigin="0,0" path="m4,0l4,182e">
            <v:stroke joinstyle="miter" miterlimit="10"/>
          </v:shape>
        </w:pict>
      </w:r>
      <w:r>
        <w:rPr>
          <w:position w:val="-4"/>
        </w:rPr>
        <w:drawing>
          <wp:inline distT="0" distB="0" distL="0" distR="0">
            <wp:extent cx="6343" cy="11602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3" cy="11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27"/>
        <w:spacing w:before="153" w:line="183" w:lineRule="auto"/>
        <w:rPr>
          <w:sz w:val="14"/>
          <w:szCs w:val="14"/>
        </w:rPr>
      </w:pPr>
      <w:r>
        <w:pict>
          <v:shape id="_x0000_s42" style="position:absolute;margin-left:350.794pt;margin-top:6.62761pt;mso-position-vertical-relative:text;mso-position-horizontal-relative:text;width:64.75pt;height:11.1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子宫内膜非典型增生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1"/>
        </w:rPr>
        <w:t>子宫内膜增生不伴非典型性</w:t>
      </w:r>
    </w:p>
    <w:p>
      <w:pPr>
        <w:spacing w:line="250" w:lineRule="auto"/>
        <w:rPr>
          <w:rFonts w:ascii="Arial"/>
          <w:sz w:val="21"/>
        </w:rPr>
      </w:pPr>
      <w:r>
        <w:pict>
          <v:shape id="_x0000_s44" style="position:absolute;margin-left:105.825pt;margin-top:0.336792pt;mso-position-vertical-relative:text;mso-position-horizontal-relative:text;width:0.5pt;height:9.15pt;z-index:251686912;" filled="false" strokecolor="#231F20" strokeweight="0.50pt" coordsize="10,182" coordorigin="0,0" path="m4,0l4,182e">
            <v:stroke joinstyle="miter" miterlimit="10"/>
          </v:shape>
        </w:pict>
      </w:r>
      <w:r>
        <w:pict>
          <v:shape id="_x0000_s46" style="position:absolute;margin-left:425.003pt;margin-top:0.336792pt;mso-position-vertical-relative:text;mso-position-horizontal-relative:text;width:0.5pt;height:9.15pt;z-index:251689984;" filled="false" strokecolor="#231F20" strokeweight="0.50pt" coordsize="10,182" coordorigin="0,0" path="m4,0l4,182e">
            <v:stroke joinstyle="miter" miterlimit="10"/>
          </v:shape>
        </w:pict>
      </w:r>
      <w:r/>
    </w:p>
    <w:p>
      <w:pPr>
        <w:pStyle w:val="BodyText"/>
        <w:ind w:left="1740"/>
        <w:spacing w:before="60" w:line="166" w:lineRule="auto"/>
        <w:rPr>
          <w:sz w:val="14"/>
          <w:szCs w:val="14"/>
        </w:rPr>
      </w:pPr>
      <w:r>
        <w:pict>
          <v:shape id="_x0000_s48" style="position:absolute;margin-left:368.611pt;margin-top:2.01364pt;mso-position-vertical-relative:text;mso-position-horizontal-relative:text;width:123.6pt;height:44.7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960"/>
                    <w:spacing w:before="20"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保守治疗</w:t>
                  </w:r>
                </w:p>
                <w:p>
                  <w:pPr>
                    <w:pStyle w:val="BodyText"/>
                    <w:ind w:left="20"/>
                    <w:spacing w:line="17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提供患者咨询和教育</w:t>
                  </w:r>
                  <w:r>
                    <w:rPr>
                      <w:sz w:val="14"/>
                      <w:szCs w:val="14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,</w:t>
                  </w:r>
                  <w:r>
                    <w:rPr>
                      <w:sz w:val="14"/>
                      <w:szCs w:val="14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去除高危因素</w:t>
                  </w:r>
                </w:p>
                <w:p>
                  <w:pPr>
                    <w:pStyle w:val="BodyText"/>
                    <w:ind w:left="159" w:right="20" w:hanging="139"/>
                    <w:spacing w:before="1"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5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适用于不能耐受手术的患者</w:t>
                  </w:r>
                  <w:r>
                    <w:rPr>
                      <w:sz w:val="14"/>
                      <w:szCs w:val="14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,  以及有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  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强烈生育要求、年龄小于 45 岁的患者</w:t>
                  </w:r>
                </w:p>
                <w:p>
                  <w:pPr>
                    <w:pStyle w:val="BodyText"/>
                    <w:ind w:left="20"/>
                    <w:spacing w:line="18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LNG-,US 优于大剂量高效孕激素</w:t>
                  </w:r>
                </w:p>
              </w:txbxContent>
            </v:textbox>
          </v:shape>
        </w:pict>
      </w:r>
      <w:r>
        <w:pict>
          <v:shape id="_x0000_s50" style="position:absolute;margin-left:221.093pt;margin-top:4.3768pt;mso-position-vertical-relative:text;mso-position-horizontal-relative:text;width:89.85pt;height:95.05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9"/>
                    <w:spacing w:before="20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手术治疗</w:t>
                  </w:r>
                </w:p>
                <w:p>
                  <w:pPr>
                    <w:pStyle w:val="BodyText"/>
                    <w:ind w:left="156" w:right="20" w:hanging="136"/>
                    <w:spacing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18"/>
                      <w:w w:val="10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适应证</w:t>
                  </w:r>
                  <w:r>
                    <w:rPr>
                      <w:sz w:val="14"/>
                      <w:szCs w:val="14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:</w:t>
                  </w:r>
                  <w:r>
                    <w:rPr>
                      <w:sz w:val="14"/>
                      <w:szCs w:val="14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随访中病情进展;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4"/>
                    </w:rPr>
                    <w:t>药物治疗 12 个月后仍未</w:t>
                  </w:r>
                </w:p>
                <w:p>
                  <w:pPr>
                    <w:pStyle w:val="BodyText"/>
                    <w:ind w:left="153" w:right="106" w:firstLine="6"/>
                    <w:spacing w:before="4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完全缓解</w:t>
                  </w:r>
                  <w:r>
                    <w:rPr>
                      <w:sz w:val="14"/>
                      <w:szCs w:val="14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;</w:t>
                  </w:r>
                  <w:r>
                    <w:rPr>
                      <w:sz w:val="14"/>
                      <w:szCs w:val="14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药物规范治疗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后复发、不愿再接受药物</w:t>
                  </w:r>
                  <w:r>
                    <w:rPr>
                      <w:sz w:val="14"/>
                      <w:szCs w:val="14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治疗</w:t>
                  </w:r>
                  <w:r>
                    <w:rPr>
                      <w:sz w:val="14"/>
                      <w:szCs w:val="14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;</w:t>
                  </w:r>
                  <w:r>
                    <w:rPr>
                      <w:sz w:val="14"/>
                      <w:szCs w:val="14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治疗后仍有持续异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常子宫出血;</w:t>
                  </w:r>
                  <w:r>
                    <w:rPr>
                      <w:sz w:val="14"/>
                      <w:szCs w:val="14"/>
                      <w:color w:val="231F20"/>
                      <w:spacing w:val="38"/>
                      <w:w w:val="101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不能进行随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访或不能坚持药物治疗等</w:t>
                  </w:r>
                </w:p>
                <w:p>
                  <w:pPr>
                    <w:pStyle w:val="BodyText"/>
                    <w:ind w:left="153" w:right="91" w:hanging="134"/>
                    <w:spacing w:before="2" w:line="17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</w:rPr>
                    <w:t>手术方式</w:t>
                  </w:r>
                  <w:r>
                    <w:rPr>
                      <w:sz w:val="14"/>
                      <w:szCs w:val="14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:</w:t>
                  </w:r>
                  <w:r>
                    <w:rPr>
                      <w:sz w:val="14"/>
                      <w:szCs w:val="14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选择腹腔镜或 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经阴道子宫全切除±双侧</w:t>
                  </w:r>
                  <w:r>
                    <w:rPr>
                      <w:sz w:val="14"/>
                      <w:szCs w:val="14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输卵管切除术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2"/>
        </w:rPr>
        <w:t>保守治疗</w:t>
      </w:r>
    </w:p>
    <w:p>
      <w:pPr>
        <w:pStyle w:val="BodyText"/>
        <w:ind w:left="800"/>
        <w:spacing w:before="1" w:line="168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41"/>
          <w:w w:val="101"/>
        </w:rPr>
        <w:t xml:space="preserve"> </w:t>
      </w:r>
      <w:r>
        <w:rPr>
          <w:sz w:val="14"/>
          <w:szCs w:val="14"/>
          <w:color w:val="231F20"/>
        </w:rPr>
        <w:t>提供患者咨询和教育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,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</w:rPr>
        <w:t>去除高危因素</w:t>
      </w:r>
    </w:p>
    <w:p>
      <w:pPr>
        <w:pStyle w:val="BodyText"/>
        <w:ind w:left="800"/>
        <w:spacing w:line="1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  <w:spacing w:val="2"/>
        </w:rPr>
        <w:t>期待观察  (并非首选)</w:t>
      </w:r>
    </w:p>
    <w:p>
      <w:pPr>
        <w:pStyle w:val="BodyText"/>
        <w:ind w:left="923" w:right="6699" w:hanging="123"/>
        <w:spacing w:before="2" w:line="1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50"/>
        </w:rPr>
        <w:t xml:space="preserve"> </w:t>
      </w:r>
      <w:r>
        <w:rPr>
          <w:sz w:val="14"/>
          <w:szCs w:val="14"/>
          <w:color w:val="231F20"/>
          <w:spacing w:val="-1"/>
        </w:rPr>
        <w:t>药物治疗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"/>
        </w:rPr>
        <w:t>: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-1"/>
        </w:rPr>
        <w:t>孕激素为首选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"/>
        </w:rPr>
        <w:t>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-1"/>
        </w:rPr>
        <w:t>LNG-,US 优于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6"/>
        </w:rPr>
        <w:t>口服孕激素</w:t>
      </w:r>
    </w:p>
    <w:p>
      <w:pPr>
        <w:pStyle w:val="BodyText"/>
        <w:ind w:left="936" w:right="6870" w:hanging="136"/>
        <w:spacing w:line="175" w:lineRule="auto"/>
        <w:rPr>
          <w:sz w:val="14"/>
          <w:szCs w:val="14"/>
        </w:rPr>
      </w:pPr>
      <w:r>
        <w:pict>
          <v:shape id="_x0000_s52" style="position:absolute;margin-left:425.003pt;margin-top:2.31517pt;mso-position-vertical-relative:text;mso-position-horizontal-relative:text;width:0.5pt;height:9.15pt;z-index:251691008;" filled="false" strokecolor="#231F20" strokeweight="0.50pt" coordsize="10,182" coordorigin="0,0" path="m4,0l4,182e">
            <v:stroke joinstyle="miter" miterlimit="10"/>
          </v:shape>
        </w:pict>
      </w:r>
      <w:r>
        <w:pict>
          <v:shape id="_x0000_s54" style="position:absolute;margin-left:105.825pt;margin-top:18.5524pt;mso-position-vertical-relative:text;mso-position-horizontal-relative:text;width:0.5pt;height:9.15pt;z-index:251687936;" filled="false" strokecolor="#231F20" strokeweight="0.50pt" coordsize="10,182" coordorigin="0,0" path="m4,0l4,182e">
            <v:stroke joinstyle="miter" miterlimit="10"/>
          </v:shape>
        </w:pict>
      </w:r>
      <w:r>
        <w:rPr>
          <w:sz w:val="14"/>
          <w:szCs w:val="14"/>
          <w:color w:val="231F20"/>
          <w:spacing w:val="-1"/>
        </w:rPr>
        <w:t>.</w:t>
      </w:r>
      <w:r>
        <w:rPr>
          <w:sz w:val="14"/>
          <w:szCs w:val="14"/>
          <w:color w:val="231F20"/>
          <w:spacing w:val="51"/>
        </w:rPr>
        <w:t xml:space="preserve"> </w:t>
      </w:r>
      <w:r>
        <w:rPr>
          <w:sz w:val="14"/>
          <w:szCs w:val="14"/>
          <w:color w:val="231F20"/>
          <w:spacing w:val="-1"/>
        </w:rPr>
        <w:t>孕激素治疗失败后应进一步评估子宫内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膜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,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</w:rPr>
        <w:t>可选择手术或高效孕激素治疗</w:t>
      </w:r>
    </w:p>
    <w:p>
      <w:pPr>
        <w:pStyle w:val="BodyText"/>
        <w:ind w:left="8311"/>
        <w:spacing w:before="31" w:line="1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3"/>
        </w:rPr>
        <w:t>随访与妊娠</w:t>
      </w:r>
    </w:p>
    <w:p>
      <w:pPr>
        <w:pStyle w:val="BodyText"/>
        <w:ind w:left="1823"/>
        <w:spacing w:before="125" w:line="168" w:lineRule="auto"/>
        <w:rPr>
          <w:sz w:val="14"/>
          <w:szCs w:val="14"/>
        </w:rPr>
      </w:pPr>
      <w:r>
        <w:pict>
          <v:shape id="_x0000_s56" style="position:absolute;margin-left:368.943pt;margin-top:-0.975028pt;mso-position-vertical-relative:text;mso-position-horizontal-relative:text;width:120.5pt;height:61.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5" w:right="24" w:hanging="135"/>
                    <w:spacing w:before="19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.  治疗期间每 3 个月进行 1 次子宫内膜</w:t>
                  </w:r>
                  <w:r>
                    <w:rPr>
                      <w:sz w:val="14"/>
                      <w:szCs w:val="14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病理评估</w:t>
                  </w:r>
                  <w:r>
                    <w:rPr>
                      <w:sz w:val="14"/>
                      <w:szCs w:val="14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,</w:t>
                  </w:r>
                  <w:r>
                    <w:rPr>
                      <w:sz w:val="14"/>
                      <w:szCs w:val="14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直至连续 2 次组织学病理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检查均未发现子宫内膜病变</w:t>
                  </w:r>
                </w:p>
                <w:p>
                  <w:pPr>
                    <w:pStyle w:val="BodyText"/>
                    <w:ind w:left="155" w:right="20" w:hanging="135"/>
                    <w:spacing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  <w:spacing w:val="-3"/>
                    </w:rPr>
                    <w:t>治疗后 6~12 个月进行 1 次子宫内膜</w:t>
                  </w:r>
                  <w:r>
                    <w:rPr>
                      <w:sz w:val="14"/>
                      <w:szCs w:val="14"/>
                      <w:color w:val="231F20"/>
                    </w:rPr>
                    <w:t xml:space="preserve">  </w:t>
                  </w:r>
                  <w:r>
                    <w:rPr>
                      <w:sz w:val="14"/>
                      <w:szCs w:val="14"/>
                      <w:color w:val="231F20"/>
                    </w:rPr>
                    <w:t>评估</w:t>
                  </w:r>
                  <w:r>
                    <w:rPr>
                      <w:sz w:val="14"/>
                      <w:szCs w:val="14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,</w:t>
                  </w:r>
                  <w:r>
                    <w:rPr>
                      <w:sz w:val="14"/>
                      <w:szCs w:val="14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直至去除危险因素或行子宫全 </w:t>
                  </w: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切除术</w:t>
                  </w:r>
                </w:p>
                <w:p>
                  <w:pPr>
                    <w:pStyle w:val="BodyText"/>
                    <w:ind w:left="20"/>
                    <w:spacing w:line="18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.</w:t>
                  </w:r>
                  <w:r>
                    <w:rPr>
                      <w:sz w:val="14"/>
                      <w:szCs w:val="14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妊娠推荐辅助生殖技术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3"/>
        </w:rPr>
        <w:t>随访与妊娠</w:t>
      </w:r>
    </w:p>
    <w:p>
      <w:pPr>
        <w:pStyle w:val="BodyText"/>
        <w:ind w:left="942" w:right="6713" w:hanging="137"/>
        <w:spacing w:before="2" w:line="167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45"/>
          <w:w w:val="101"/>
        </w:rPr>
        <w:t xml:space="preserve"> </w:t>
      </w:r>
      <w:r>
        <w:rPr>
          <w:sz w:val="14"/>
          <w:szCs w:val="14"/>
          <w:color w:val="231F20"/>
          <w:spacing w:val="-2"/>
        </w:rPr>
        <w:t>治疗期间每 6 个月行超声检查和子宫内膜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活检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3"/>
        </w:rPr>
        <w:t>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-3"/>
        </w:rPr>
        <w:t>直至连续 2 次、间隔 6 个月的组织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"/>
        </w:rPr>
        <w:t>学病理检查均未发现子宫内膜病变</w:t>
      </w:r>
    </w:p>
    <w:p>
      <w:pPr>
        <w:pStyle w:val="BodyText"/>
        <w:ind w:left="805"/>
        <w:spacing w:before="1" w:line="16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2"/>
        </w:rPr>
        <w:t>.</w:t>
      </w:r>
      <w:r>
        <w:rPr>
          <w:sz w:val="14"/>
          <w:szCs w:val="14"/>
          <w:color w:val="231F20"/>
          <w:spacing w:val="42"/>
        </w:rPr>
        <w:t xml:space="preserve"> </w:t>
      </w:r>
      <w:r>
        <w:rPr>
          <w:sz w:val="14"/>
          <w:szCs w:val="14"/>
          <w:color w:val="231F20"/>
          <w:spacing w:val="-2"/>
        </w:rPr>
        <w:t>治疗后每年至少随访 1 次</w:t>
      </w:r>
    </w:p>
    <w:p>
      <w:pPr>
        <w:pStyle w:val="BodyText"/>
        <w:ind w:left="805"/>
        <w:spacing w:before="1" w:line="180" w:lineRule="auto"/>
        <w:rPr>
          <w:sz w:val="14"/>
          <w:szCs w:val="14"/>
        </w:rPr>
      </w:pPr>
      <w:r>
        <w:rPr>
          <w:sz w:val="14"/>
          <w:szCs w:val="14"/>
          <w:color w:val="231F20"/>
        </w:rPr>
        <w:t>.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</w:rPr>
        <w:t>妊娠推荐辅助生殖技术</w:t>
      </w:r>
    </w:p>
    <w:p>
      <w:pPr>
        <w:pStyle w:val="BodyText"/>
        <w:ind w:left="3843"/>
        <w:spacing w:before="188" w:line="213" w:lineRule="auto"/>
        <w:rPr>
          <w:sz w:val="15"/>
          <w:szCs w:val="15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-1111051</wp:posOffset>
            </wp:positionV>
            <wp:extent cx="3390900" cy="388620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2"/>
        </w:rPr>
        <w:t>注：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‑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2"/>
        </w:rPr>
        <w:t>表示左炔诺孕酮宫内缓释系统</w:t>
      </w:r>
    </w:p>
    <w:p>
      <w:pPr>
        <w:pStyle w:val="BodyText"/>
        <w:ind w:left="4230"/>
        <w:spacing w:before="41" w:line="184" w:lineRule="auto"/>
        <w:outlineLvl w:val="0"/>
        <w:rPr>
          <w:sz w:val="15"/>
          <w:szCs w:val="15"/>
        </w:rPr>
      </w:pPr>
      <w:r>
        <w:pict>
          <v:shape id="_x0000_s58" style="position:absolute;margin-left:23.6499pt;margin-top:22.9811pt;mso-position-vertical-relative:text;mso-position-horizontal-relative:text;width:232.45pt;height:377.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2" w:right="20" w:hanging="83"/>
                    <w:spacing w:before="18" w:line="292" w:lineRule="auto"/>
                    <w:jc w:val="both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4"/>
                    </w:rPr>
                    <w:t>•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4"/>
                    </w:rPr>
                    <w:t>子宫内膜增生治疗后需长期随访（证据等级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4"/>
                    </w:rPr>
                    <w:t>2+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4"/>
                    </w:rPr>
                    <w:t>）。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10"/>
                    </w:rPr>
                    <w:t>患者教育对于提高药物使用依从性、提高缓解率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2"/>
                    </w:rPr>
                    <w:t>及降低复发率均非常重要（证据等级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color w:val="231F20"/>
                      <w:spacing w:val="-2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31F20"/>
                      <w:spacing w:val="-2"/>
                    </w:rPr>
                    <w:t>）。</w:t>
                  </w:r>
                </w:p>
                <w:p>
                  <w:pPr>
                    <w:pStyle w:val="BodyText"/>
                    <w:ind w:left="20"/>
                    <w:spacing w:before="3" w:line="209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8"/>
                    </w:rPr>
                    <w:t>利益冲突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5"/>
                      <w:szCs w:val="15"/>
                      <w:color w:val="231F20"/>
                      <w:spacing w:val="8"/>
                    </w:rPr>
                    <w:t>所有作者声明无利益冲突</w:t>
                  </w:r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657"/>
                    <w:spacing w:before="56" w:line="229" w:lineRule="exact"/>
                    <w:outlineLvl w:val="0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2"/>
                      <w:position w:val="1"/>
                    </w:rPr>
                    <w:t>参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2"/>
                      <w:position w:val="1"/>
                    </w:rPr>
                    <w:t>考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2"/>
                      <w:position w:val="1"/>
                    </w:rPr>
                    <w:t>文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1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231F20"/>
                      <w:spacing w:val="-2"/>
                      <w:position w:val="1"/>
                    </w:rPr>
                    <w:t>献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88" w:right="96" w:hanging="419"/>
                    <w:spacing w:before="44" w:line="288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[1]       Parkash  V,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1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Fadare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O,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Tornos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C,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al.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Committee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Opinion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2"/>
                    </w:rPr>
                    <w:t>No.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631: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endometrial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intraepithelial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neoplasia[J].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Obstet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Gynecol,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2015,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126(4):897. DOI: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10.1097/AOG.00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00000000001071.</w:t>
                  </w:r>
                </w:p>
                <w:p>
                  <w:pPr>
                    <w:ind w:left="581" w:right="91" w:hanging="412"/>
                    <w:spacing w:before="38" w:line="296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[2]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ACOG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Committee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Opinion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.     734: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The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role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transvaginal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 xml:space="preserve"> 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ultrasonography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 xml:space="preserve"> 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in       evaluating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 xml:space="preserve"> 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the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endometrium  of  women  with  po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stmenopausal  bleeding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[J].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Obstet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Gynecol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,    2018,    131(5):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e124‑e129.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DOI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10.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1097/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AOG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.0000000000002631.</w:t>
                  </w:r>
                </w:p>
                <w:p>
                  <w:pPr>
                    <w:ind w:left="585" w:right="101" w:hanging="415"/>
                    <w:spacing w:before="40" w:line="295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[3]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Management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endometrial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hyperplasia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.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Green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‑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top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Guideline  No.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67.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RCOG/BSGE  J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oint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Guideline,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February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2016[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EB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/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].    [2019‑09‑04].     </w:t>
                  </w:r>
                  <w:hyperlink w:history="true" r:id="rId14"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</w:rPr>
                      <w:t>https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  <w:spacing w:val="5"/>
                      </w:rPr>
                      <w:t>://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</w:rPr>
                      <w:t>www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  <w:spacing w:val="5"/>
                      </w:rPr>
                      <w:t>.   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</w:rPr>
                      <w:t>rcog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  <w:spacing w:val="5"/>
                      </w:rPr>
                      <w:t>.   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</w:rPr>
                      <w:t>org</w:t>
                    </w:r>
                  </w:hyperlink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uk/globalassets/documents/guidelines/green‑top‑guidel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ines/gtg_67_endometrial_hyperplasia.pdf.</w:t>
                  </w:r>
                </w:p>
                <w:p>
                  <w:pPr>
                    <w:ind w:left="583" w:right="101" w:hanging="414"/>
                    <w:spacing w:before="39" w:line="293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[4]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Auclair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MH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Yong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PJ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,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Salvador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,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.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Guideline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No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.  390: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classification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and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management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endometrial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hyperplasia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[J].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J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Obstet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Gynaecol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Can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,    2019,   41(12):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1789‑1800.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DOI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10.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1016/j.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jogc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.2019.03.025.</w:t>
                  </w:r>
                </w:p>
                <w:p>
                  <w:pPr>
                    <w:ind w:left="585" w:right="103" w:hanging="417"/>
                    <w:spacing w:before="41" w:line="288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>[5]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WHO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Classification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Tumours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Editorial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Board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3"/>
                      <w:w w:val="102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WHO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classification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of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tumours: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femal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genital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tumours[M].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5th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Lyon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IARC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Publications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2020:248‑251.</w:t>
                  </w:r>
                </w:p>
                <w:p>
                  <w:pPr>
                    <w:pStyle w:val="BodyText"/>
                    <w:ind w:left="581" w:right="96" w:hanging="413"/>
                    <w:spacing w:before="39" w:line="220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"/>
                    </w:rPr>
                    <w:t>[6]      </w:t>
                  </w:r>
                  <w:r>
                    <w:rPr>
                      <w:sz w:val="15"/>
                      <w:szCs w:val="15"/>
                      <w:color w:val="231F20"/>
                      <w:spacing w:val="2"/>
                    </w:rPr>
                    <w:t>全国卫生产业企业管理协会妇幼健康产业分会生殖内分泌学</w:t>
                  </w:r>
                  <w:r>
                    <w:rPr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组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中国子宫内膜增生诊疗共识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[J].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10"/>
                    </w:rPr>
                    <w:t>生殖医学杂志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2017,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26(10):957‑960. DOI: 10.3969/j.issn.1004‑3845.2017.10.001.</w:t>
                  </w:r>
                </w:p>
                <w:p>
                  <w:pPr>
                    <w:pStyle w:val="BodyText"/>
                    <w:ind w:left="169"/>
                    <w:spacing w:before="40" w:line="206" w:lineRule="auto"/>
                    <w:rPr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[7]     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郎景和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冷金花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邓姗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,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等</w:t>
                  </w:r>
                  <w:r>
                    <w:rPr>
                      <w:sz w:val="15"/>
                      <w:szCs w:val="15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. </w:t>
                  </w:r>
                  <w:r>
                    <w:rPr>
                      <w:sz w:val="15"/>
                      <w:szCs w:val="15"/>
                      <w:color w:val="231F20"/>
                      <w:spacing w:val="6"/>
                    </w:rPr>
                    <w:t>左炔诺孕酮宫内缓释系统临床应</w:t>
                  </w:r>
                </w:p>
              </w:txbxContent>
            </v:textbox>
          </v:shape>
        </w:pict>
      </w:r>
      <w:r>
        <w:pict>
          <v:shape id="_x0000_s60" style="position:absolute;margin-left:281.814pt;margin-top:19.6243pt;mso-position-vertical-relative:text;mso-position-horizontal-relative:text;width:225.8pt;height:378.9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7" w:right="28" w:hanging="5"/>
                    <w:spacing w:before="20" w:line="238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用 的 中 国</w:t>
                  </w:r>
                  <w:r>
                    <w:rPr>
                      <w:sz w:val="15"/>
                      <w:szCs w:val="15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专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家</w:t>
                  </w:r>
                  <w:r>
                    <w:rPr>
                      <w:sz w:val="15"/>
                      <w:szCs w:val="15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共</w:t>
                  </w:r>
                  <w:r>
                    <w:rPr>
                      <w:sz w:val="15"/>
                      <w:szCs w:val="15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识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[J]. 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中</w:t>
                  </w:r>
                  <w:r>
                    <w:rPr>
                      <w:sz w:val="15"/>
                      <w:szCs w:val="15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华</w:t>
                  </w:r>
                  <w:r>
                    <w:rPr>
                      <w:sz w:val="15"/>
                      <w:szCs w:val="15"/>
                      <w:color w:val="231F20"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妇</w:t>
                  </w:r>
                  <w:r>
                    <w:rPr>
                      <w:sz w:val="15"/>
                      <w:szCs w:val="15"/>
                      <w:color w:val="231F20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产</w:t>
                  </w:r>
                  <w:r>
                    <w:rPr>
                      <w:sz w:val="15"/>
                      <w:szCs w:val="15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科</w:t>
                  </w:r>
                  <w:r>
                    <w:rPr>
                      <w:sz w:val="15"/>
                      <w:szCs w:val="15"/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杂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"/>
                    </w:rPr>
                    <w:t>志</w:t>
                  </w:r>
                  <w:r>
                    <w:rPr>
                      <w:sz w:val="15"/>
                      <w:szCs w:val="15"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,  2019,  54(12):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815‑825. DOI: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10.3760/cma.j.issn.0529-567x.20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19.12.005.</w:t>
                  </w:r>
                </w:p>
                <w:p>
                  <w:pPr>
                    <w:ind w:left="521" w:right="27" w:hanging="412"/>
                    <w:spacing w:before="29" w:line="301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[8]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Iram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Musonda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P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Ewies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Premenopausal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bleeding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when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should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the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endometrium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investigated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?    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retrospective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non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>‑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comparative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study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3006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women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>[J].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Eur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J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Obstet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Gynecol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Reprod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  <w:w w:val="10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Biol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2010,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148(1):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86‑89.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DOI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10.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1016/j.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ejogrb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.2009.09.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023.</w:t>
                  </w:r>
                </w:p>
                <w:p>
                  <w:pPr>
                    <w:ind w:left="525" w:right="23" w:hanging="416"/>
                    <w:spacing w:before="46" w:line="292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[9]       Chandra  V,  Kim  JJ,  Benbrook  DM,  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al.  Therapeutic  options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for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management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  <w:w w:val="102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endometrial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4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hyperplasia[J].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J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Gynecol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Oncol,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2016,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27(1):e8. DOI: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10.3802/jgo.2016.27.e8.</w:t>
                  </w:r>
                </w:p>
                <w:p>
                  <w:pPr>
                    <w:ind w:left="525" w:right="23" w:hanging="504"/>
                    <w:spacing w:before="44" w:line="299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[10]       Fraser    IS,     Critchley     HO,    Broder     M,    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al.     The    FIGO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recommendations    on    terminologie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s    and    definitions    for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normal   and   abnormal   uterine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ble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"/>
                    </w:rPr>
                    <w:t>eding[J].   Semin   Reprod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Med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>, 2011, 29(5):383‑390.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DOI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>10.1055/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s‑0031‑1287662.</w:t>
                  </w:r>
                </w:p>
                <w:p>
                  <w:pPr>
                    <w:ind w:left="521" w:right="20" w:hanging="501"/>
                    <w:spacing w:before="42" w:line="302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[11]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Jacobs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,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Gentry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‑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Maharaj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Burnell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.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Sensitivity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transvaginal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ultraso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und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screening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for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1"/>
                      <w:w w:val="103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endometrial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cancer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in  postmenopausal  women:  a  case‑control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study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within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the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UKCTOCS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cohort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[J].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Lancet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Oncol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2011,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12(1):38‑48.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DOI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10.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1016/S1470‑2045(10)70268‑0.</w:t>
                  </w:r>
                </w:p>
                <w:p>
                  <w:pPr>
                    <w:ind w:left="523" w:right="28" w:hanging="503"/>
                    <w:spacing w:before="46" w:line="301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>[12]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Scottish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Intercollegiate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Guidelines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Network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 (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SIGN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>).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Investigation   of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post‑me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nopausal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bleeding: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a   National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Clinical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Guideline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[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EB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/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].   [2020‑08‑14].   </w:t>
                  </w:r>
                  <w:hyperlink w:history="true" r:id="rId15"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</w:rPr>
                      <w:t>https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  <w:spacing w:val="7"/>
                      </w:rPr>
                      <w:t>://</w:t>
                    </w:r>
                    <w:r>
                      <w:rPr>
                        <w:rFonts w:ascii="Cambria" w:hAnsi="Cambria" w:eastAsia="Cambria" w:cs="Cambria"/>
                        <w:sz w:val="15"/>
                        <w:szCs w:val="15"/>
                        <w:color w:val="231F20"/>
                      </w:rPr>
                      <w:t>www</w:t>
                    </w:r>
                  </w:hyperlink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guidelinesinpractice.co.uk/cancer/sign‑guideline‑focuses‑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>‑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post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>‑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menopausal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>‑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bleeding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>/300592.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article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>.</w:t>
                  </w:r>
                </w:p>
                <w:p>
                  <w:pPr>
                    <w:ind w:left="518" w:right="28" w:hanging="498"/>
                    <w:spacing w:before="47" w:line="303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[13]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Van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Den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Bosch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,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Verbakel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JY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5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Valentin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,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6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Typical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ultrasound  features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of  various   endometri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al  pathologies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described     using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  International      Endometrial     Tumor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Analysis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(IETA)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termi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nology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in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women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  <w:w w:val="103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with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>abnormal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uterine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bleeding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>[J].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Ultrasound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Obstet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Gynecol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0"/>
                    </w:rPr>
                    <w:t xml:space="preserve">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9"/>
                    </w:rPr>
                    <w:t>2021,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57(1):164‑172.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DOI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: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10.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-19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1002/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uog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.22109.</w:t>
                  </w:r>
                </w:p>
                <w:p>
                  <w:pPr>
                    <w:ind w:left="524" w:right="20" w:hanging="504"/>
                    <w:spacing w:before="45" w:line="293" w:lineRule="auto"/>
                    <w:rPr>
                      <w:rFonts w:ascii="Cambria" w:hAnsi="Cambria" w:eastAsia="Cambria" w:cs="Cambria"/>
                      <w:sz w:val="15"/>
                      <w:szCs w:val="15"/>
                    </w:rPr>
                  </w:pP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>[14] 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Clarke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Long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BJ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Sherman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ME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>,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et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1"/>
                    </w:rPr>
                    <w:t>.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Risk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assessment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of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endometrial    cancer     and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7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4"/>
                    </w:rPr>
                    <w:t>endometrial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3"/>
                    </w:rPr>
                    <w:t xml:space="preserve">    intraepithelial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neoplasia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in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women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with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abnormal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bleeding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  <w:spacing w:val="8"/>
                    </w:rPr>
                    <w:t xml:space="preserve">    </w:t>
                  </w:r>
                  <w:r>
                    <w:rPr>
                      <w:rFonts w:ascii="Cambria" w:hAnsi="Cambria" w:eastAsia="Cambria" w:cs="Cambria"/>
                      <w:sz w:val="15"/>
                      <w:szCs w:val="15"/>
                      <w:color w:val="231F20"/>
                    </w:rPr>
                    <w:t>and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color w:val="231F20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1    </w:t>
      </w:r>
      <w:r>
        <w:rPr>
          <w:sz w:val="15"/>
          <w:szCs w:val="15"/>
          <w:color w:val="231F20"/>
          <w:spacing w:val="5"/>
        </w:rPr>
        <w:t>子宫内膜增生的管理流程</w:t>
      </w:r>
    </w:p>
    <w:p>
      <w:pPr>
        <w:spacing w:line="184" w:lineRule="auto"/>
        <w:sectPr>
          <w:headerReference w:type="default" r:id="rId8"/>
          <w:pgSz w:w="12246" w:h="16498"/>
          <w:pgMar w:top="1221" w:right="1265" w:bottom="0" w:left="819" w:header="971" w:footer="0" w:gutter="0"/>
        </w:sectPr>
        <w:rPr>
          <w:sz w:val="15"/>
          <w:szCs w:val="15"/>
        </w:rPr>
      </w:pPr>
    </w:p>
    <w:p>
      <w:pPr>
        <w:spacing w:before="57"/>
        <w:rPr/>
      </w:pPr>
      <w:r>
        <w:pict>
          <v:shape id="_x0000_s68" style="position:absolute;margin-left:225.45pt;margin-top:59.6178pt;mso-position-vertical-relative:page;mso-position-horizontal-relative:page;width:321.65pt;height:0.4pt;z-index:251698176;" o:allowincell="f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sectPr>
          <w:headerReference w:type="default" r:id="rId16"/>
          <w:pgSz w:w="12246" w:h="16498"/>
          <w:pgMar w:top="1221" w:right="1294" w:bottom="0" w:left="819" w:header="971" w:footer="0" w:gutter="0"/>
          <w:cols w:equalWidth="0" w:num="1">
            <w:col w:w="10132" w:space="0"/>
          </w:cols>
        </w:sectPr>
        <w:rPr/>
      </w:pPr>
    </w:p>
    <w:p>
      <w:pPr>
        <w:ind w:left="1060" w:right="533" w:hanging="2"/>
        <w:spacing w:before="35" w:line="296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implications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ent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algorithms[J].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2020,    223(4):  549.  e1‑549.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e13.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.2020.03.032.</w:t>
      </w:r>
    </w:p>
    <w:p>
      <w:pPr>
        <w:ind w:left="1060" w:right="533" w:hanging="506"/>
        <w:spacing w:before="30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[15]      </w:t>
      </w:r>
      <w:r>
        <w:rPr>
          <w:rFonts w:ascii="Cambria" w:hAnsi="Cambria" w:eastAsia="Cambria" w:cs="Cambria"/>
          <w:sz w:val="15"/>
          <w:szCs w:val="15"/>
          <w:color w:val="231F20"/>
        </w:rPr>
        <w:t>Wolfman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Leyland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Heywood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Asymptomatic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thickening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2010,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32(10):990‑999.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1016/s1701‑2163(16)34690‑4.</w:t>
      </w:r>
    </w:p>
    <w:p>
      <w:pPr>
        <w:ind w:left="1061" w:right="533" w:hanging="507"/>
        <w:spacing w:before="41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[16]      </w:t>
      </w:r>
      <w:r>
        <w:rPr>
          <w:rFonts w:ascii="Cambria" w:hAnsi="Cambria" w:eastAsia="Cambria" w:cs="Cambria"/>
          <w:sz w:val="15"/>
          <w:szCs w:val="15"/>
          <w:color w:val="231F20"/>
        </w:rPr>
        <w:t>Khafaga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Goldstein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Abnormal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bleeding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North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46(4):595‑605.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ogc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.2019.07.001.</w:t>
      </w:r>
    </w:p>
    <w:p>
      <w:pPr>
        <w:ind w:left="1058" w:right="533" w:hanging="504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[17]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Ni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Han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Liang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Three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dimensional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3D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ultrasound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combined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power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Doppler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differential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    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   endometrial    lesions    among </w:t>
      </w:r>
      <w:r>
        <w:rPr>
          <w:rFonts w:ascii="Cambria" w:hAnsi="Cambria" w:eastAsia="Cambria" w:cs="Cambria"/>
          <w:sz w:val="15"/>
          <w:szCs w:val="15"/>
          <w:color w:val="231F20"/>
        </w:rPr>
        <w:t>infertile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Int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145(2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212‑218.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ijgo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.12787.</w:t>
      </w:r>
    </w:p>
    <w:p>
      <w:pPr>
        <w:ind w:left="1058" w:right="535" w:hanging="50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[18]     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Yang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Z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value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shear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wave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elastography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predicting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   atypical   endometrial   hyperpl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asia[J].   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Ultrasound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2021, 40(11):2441‑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2448.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jum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.15630.</w:t>
      </w:r>
    </w:p>
    <w:p>
      <w:pPr>
        <w:ind w:left="1057" w:right="528" w:hanging="503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[19]       Bakir  B,  S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anli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Bakir  VL,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Role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of  diffusion  weighted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MRI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differential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of endometrial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cancer,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polyp,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hyperplasia,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physiological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thickening[J].   Clin   Imaging,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2017, 41:86‑94.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10.1016/j.clinimag.2016.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10.016.</w:t>
      </w:r>
    </w:p>
    <w:p>
      <w:pPr>
        <w:ind w:left="1059" w:right="533" w:hanging="504"/>
        <w:spacing w:before="41" w:line="307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[20]      </w:t>
      </w:r>
      <w:r>
        <w:rPr>
          <w:rFonts w:ascii="Cambria" w:hAnsi="Cambria" w:eastAsia="Cambria" w:cs="Cambria"/>
          <w:sz w:val="15"/>
          <w:szCs w:val="15"/>
          <w:color w:val="231F20"/>
        </w:rPr>
        <w:t>Takeuchi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Matsuzaki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Nishitani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Diffusion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weighted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magnetic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resonance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imaging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 endometrial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cancer: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differentiation   from    benign    endometrial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lesions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preoperative  assess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ment  of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myometrial  invasion[J].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Acta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Radiol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 2009,       5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0(8):      947‑953.  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1080/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02841850903099981.</w:t>
      </w:r>
    </w:p>
    <w:p>
      <w:pPr>
        <w:ind w:left="1054" w:right="533" w:hanging="500"/>
        <w:spacing w:before="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[21]      </w:t>
      </w:r>
      <w:r>
        <w:rPr>
          <w:rFonts w:ascii="Cambria" w:hAnsi="Cambria" w:eastAsia="Cambria" w:cs="Cambria"/>
          <w:sz w:val="15"/>
          <w:szCs w:val="15"/>
          <w:color w:val="231F20"/>
        </w:rPr>
        <w:t>Bansal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Herzog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Brunner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Brown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utility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cost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effectiveness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preoperative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computed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tomography   for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uterine   malignancies[J].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111(2):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208‑212.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ygyno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.2008.08.001.</w:t>
      </w:r>
    </w:p>
    <w:p>
      <w:pPr>
        <w:ind w:left="1057" w:right="532" w:hanging="503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[22]      </w:t>
      </w:r>
      <w:r>
        <w:rPr>
          <w:rFonts w:ascii="Cambria" w:hAnsi="Cambria" w:eastAsia="Cambria" w:cs="Cambria"/>
          <w:sz w:val="15"/>
          <w:szCs w:val="15"/>
          <w:color w:val="231F20"/>
        </w:rPr>
        <w:t>Clark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Mann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Shah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Accuracy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outpatient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biopsy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Acta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2001,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80(9):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784‑793.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1034/j.1600‑0412.2001.080009784.x.</w:t>
      </w:r>
    </w:p>
    <w:p>
      <w:pPr>
        <w:ind w:left="1058" w:right="533" w:hanging="504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[23]      </w:t>
      </w:r>
      <w:r>
        <w:rPr>
          <w:rFonts w:ascii="Cambria" w:hAnsi="Cambria" w:eastAsia="Cambria" w:cs="Cambria"/>
          <w:sz w:val="15"/>
          <w:szCs w:val="15"/>
          <w:color w:val="231F20"/>
        </w:rPr>
        <w:t>van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Hanegem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Prins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Bongers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accuracy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sampling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postmenopausal    bl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eeding:    a    systematic    review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meta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analysis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Biol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197:147‑155.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ejogrb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.2015.12.008.</w:t>
      </w:r>
    </w:p>
    <w:p>
      <w:pPr>
        <w:ind w:left="1057" w:right="534" w:hanging="504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[24]      </w:t>
      </w:r>
      <w:r>
        <w:rPr>
          <w:rFonts w:ascii="Cambria" w:hAnsi="Cambria" w:eastAsia="Cambria" w:cs="Cambria"/>
          <w:sz w:val="15"/>
          <w:szCs w:val="15"/>
          <w:color w:val="231F20"/>
        </w:rPr>
        <w:t>Zhang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Liang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XD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Microscale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sampling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biopsy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   detecting   endometrial   cancer   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1551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comparative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steroscopic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biopsy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Chin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(</w:t>
      </w:r>
      <w:r>
        <w:rPr>
          <w:rFonts w:ascii="Cambria" w:hAnsi="Cambria" w:eastAsia="Cambria" w:cs="Cambria"/>
          <w:sz w:val="15"/>
          <w:szCs w:val="15"/>
          <w:color w:val="231F20"/>
        </w:rPr>
        <w:t>Engl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),   2020,    134(2):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193‑199.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>CM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9.00000000000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01109.</w:t>
      </w:r>
    </w:p>
    <w:p>
      <w:pPr>
        <w:ind w:left="1053" w:right="534" w:hanging="500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[25]       </w:t>
      </w:r>
      <w:r>
        <w:rPr>
          <w:rFonts w:ascii="Cambria" w:hAnsi="Cambria" w:eastAsia="Cambria" w:cs="Cambria"/>
          <w:sz w:val="15"/>
          <w:szCs w:val="15"/>
          <w:color w:val="231F20"/>
        </w:rPr>
        <w:t>Demirkiran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Yavuz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Erenel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Which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best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technique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sam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pling?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Aspiration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(pipelle)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dilatation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curettage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(D&amp;C)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Arch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2012,     286(5):     1277‑1282. 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s00404‑012‑2438‑8.</w:t>
      </w:r>
    </w:p>
    <w:p>
      <w:pPr>
        <w:ind w:left="1057" w:right="534" w:hanging="504"/>
        <w:spacing w:before="1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[26]      </w:t>
      </w:r>
      <w:r>
        <w:rPr>
          <w:rFonts w:ascii="Cambria" w:hAnsi="Cambria" w:eastAsia="Cambria" w:cs="Cambria"/>
          <w:sz w:val="15"/>
          <w:szCs w:val="15"/>
          <w:color w:val="231F20"/>
        </w:rPr>
        <w:t>Narice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Delaney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Dickson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sampling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  low‑risk  patients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abnormal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uterin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bleeding: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meta‑synthesis[J].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BMC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Fam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Pract,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19(1):135.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1186/s12875‑018‑08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17‑3.</w:t>
      </w:r>
    </w:p>
    <w:p>
      <w:pPr>
        <w:pStyle w:val="BodyText"/>
        <w:ind w:left="1053" w:right="534" w:hanging="500"/>
        <w:spacing w:before="40" w:line="233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[27]      </w:t>
      </w:r>
      <w:r>
        <w:rPr>
          <w:sz w:val="15"/>
          <w:szCs w:val="15"/>
          <w:color w:val="231F20"/>
          <w:spacing w:val="7"/>
        </w:rPr>
        <w:t>俞梅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向阳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7"/>
        </w:rPr>
        <w:t>马晓欣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子宫内膜癌筛查规范建议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6"/>
        </w:rPr>
        <w:t>中华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妇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4"/>
        </w:rPr>
        <w:t>产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4"/>
        </w:rPr>
        <w:t>科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杂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志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55(5):307‑311.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112141‑20200201‑00070.</w:t>
      </w:r>
    </w:p>
    <w:p>
      <w:pPr>
        <w:ind w:left="553"/>
        <w:spacing w:before="10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[28]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Caserta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MP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Bolan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Clingan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MJ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Through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thick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thin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6" w:right="10" w:hanging="1"/>
        <w:spacing w:before="35" w:line="309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pictorial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the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endometrium[J].  Abdom   Radiol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</w:t>
      </w:r>
      <w:r>
        <w:rPr>
          <w:rFonts w:ascii="Cambria" w:hAnsi="Cambria" w:eastAsia="Cambria" w:cs="Cambria"/>
          <w:sz w:val="15"/>
          <w:szCs w:val="15"/>
          <w:color w:val="231F20"/>
        </w:rPr>
        <w:t>NY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),      2016,      41(12):     2312‑2329.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s00261‑016‑0930‑5.</w:t>
      </w:r>
    </w:p>
    <w:p>
      <w:pPr>
        <w:ind w:left="504" w:hanging="504"/>
        <w:spacing w:before="2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[29]      </w:t>
      </w:r>
      <w:r>
        <w:rPr>
          <w:rFonts w:ascii="Cambria" w:hAnsi="Cambria" w:eastAsia="Cambria" w:cs="Cambria"/>
          <w:sz w:val="15"/>
          <w:szCs w:val="15"/>
          <w:color w:val="231F20"/>
        </w:rPr>
        <w:t>Turner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Cramer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SF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Heller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pathogenesis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abnormal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uterine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bleed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ing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myopathic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uteri[J].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Diagn     Pathol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52:    151726.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 10.</w:t>
      </w:r>
      <w:r>
        <w:rPr>
          <w:rFonts w:ascii="Cambria" w:hAnsi="Cambria" w:eastAsia="Cambria" w:cs="Cambria"/>
          <w:sz w:val="15"/>
          <w:szCs w:val="15"/>
          <w:color w:val="231F20"/>
          <w:spacing w:val="-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anndiagpath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.2021.151726.</w:t>
      </w:r>
    </w:p>
    <w:p>
      <w:pPr>
        <w:ind w:left="504" w:right="10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[30]      </w:t>
      </w:r>
      <w:r>
        <w:rPr>
          <w:rFonts w:ascii="Cambria" w:hAnsi="Cambria" w:eastAsia="Cambria" w:cs="Cambria"/>
          <w:sz w:val="15"/>
          <w:szCs w:val="15"/>
          <w:color w:val="231F20"/>
        </w:rPr>
        <w:t>Clark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Voit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Gupta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JK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Accuracy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hysteroscopy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hyperplasia: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quantitative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2002,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288(13):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1610‑1621.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1001/</w:t>
      </w:r>
      <w:r>
        <w:rPr>
          <w:rFonts w:ascii="Cambria" w:hAnsi="Cambria" w:eastAsia="Cambria" w:cs="Cambria"/>
          <w:sz w:val="15"/>
          <w:szCs w:val="15"/>
          <w:color w:val="231F20"/>
        </w:rPr>
        <w:t>jama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.288.13.1610.</w:t>
      </w:r>
    </w:p>
    <w:p>
      <w:pPr>
        <w:ind w:left="506" w:right="1" w:hanging="506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De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Franciscis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Riemma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Schiattarella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Concordance   between   the    hysterosco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pic   diagnosis 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histopathological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examination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Diagnostics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(</w:t>
      </w:r>
      <w:r>
        <w:rPr>
          <w:rFonts w:ascii="Cambria" w:hAnsi="Cambria" w:eastAsia="Cambria" w:cs="Cambria"/>
          <w:sz w:val="15"/>
          <w:szCs w:val="15"/>
          <w:color w:val="231F20"/>
        </w:rPr>
        <w:t>Basel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),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9(4): 142.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10.3390/</w:t>
      </w:r>
      <w:r>
        <w:rPr>
          <w:rFonts w:ascii="Cambria" w:hAnsi="Cambria" w:eastAsia="Cambria" w:cs="Cambria"/>
          <w:sz w:val="15"/>
          <w:szCs w:val="15"/>
          <w:color w:val="231F20"/>
        </w:rPr>
        <w:t>diagnostics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9040142.</w:t>
      </w:r>
    </w:p>
    <w:p>
      <w:pPr>
        <w:ind w:left="504" w:right="10" w:hanging="504"/>
        <w:spacing w:before="41" w:line="29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[32]      </w:t>
      </w:r>
      <w:r>
        <w:rPr>
          <w:rFonts w:ascii="Cambria" w:hAnsi="Cambria" w:eastAsia="Cambria" w:cs="Cambria"/>
          <w:sz w:val="15"/>
          <w:szCs w:val="15"/>
          <w:color w:val="231F20"/>
        </w:rPr>
        <w:t>Nappi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Sardo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ADS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State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art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hysteroscopic </w:t>
      </w:r>
      <w:r>
        <w:rPr>
          <w:rFonts w:ascii="Cambria" w:hAnsi="Cambria" w:eastAsia="Cambria" w:cs="Cambria"/>
          <w:sz w:val="15"/>
          <w:szCs w:val="15"/>
          <w:color w:val="231F20"/>
        </w:rPr>
        <w:t>approaches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pathologies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genital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tract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Press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Dublin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Ireland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2014: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53‑55.</w:t>
      </w:r>
    </w:p>
    <w:p>
      <w:pPr>
        <w:pStyle w:val="BodyText"/>
        <w:ind w:left="422" w:right="1" w:hanging="423"/>
        <w:spacing w:before="28" w:line="273" w:lineRule="auto"/>
        <w:tabs>
          <w:tab w:val="left" w:pos="505"/>
          <w:tab w:val="left" w:pos="510"/>
        </w:tabs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Kurman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Kaminski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PF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Norris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behavior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ab/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“</w:t>
      </w:r>
      <w:r>
        <w:rPr>
          <w:rFonts w:ascii="Cambria" w:hAnsi="Cambria" w:eastAsia="Cambria" w:cs="Cambria"/>
          <w:sz w:val="15"/>
          <w:szCs w:val="15"/>
          <w:color w:val="231F20"/>
        </w:rPr>
        <w:t>untreated</w:t>
      </w:r>
      <w:r>
        <w:rPr>
          <w:sz w:val="15"/>
          <w:szCs w:val="15"/>
          <w:color w:val="231F20"/>
          <w:spacing w:val="8"/>
        </w:rPr>
        <w:t>”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170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1985,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ab/>
      </w:r>
      <w:r>
        <w:rPr>
          <w:rFonts w:ascii="Cambria" w:hAnsi="Cambria" w:eastAsia="Cambria" w:cs="Cambria"/>
          <w:sz w:val="15"/>
          <w:szCs w:val="15"/>
          <w:color w:val="231F20"/>
        </w:rPr>
        <w:tab/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56(2): 403‑412.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  10.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1002/1097‑0142(19850715)56: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ab/>
      </w:r>
      <w:r>
        <w:rPr>
          <w:rFonts w:ascii="Cambria" w:hAnsi="Cambria" w:eastAsia="Cambria" w:cs="Cambria"/>
          <w:sz w:val="15"/>
          <w:szCs w:val="15"/>
          <w:color w:val="231F20"/>
        </w:rPr>
        <w:tab/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2&amp;</w:t>
      </w:r>
      <w:r>
        <w:rPr>
          <w:rFonts w:ascii="Cambria" w:hAnsi="Cambria" w:eastAsia="Cambria" w:cs="Cambria"/>
          <w:sz w:val="15"/>
          <w:szCs w:val="15"/>
          <w:color w:val="231F20"/>
        </w:rPr>
        <w:t>lt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;403::</w:t>
      </w:r>
      <w:r>
        <w:rPr>
          <w:rFonts w:ascii="Cambria" w:hAnsi="Cambria" w:eastAsia="Cambria" w:cs="Cambria"/>
          <w:sz w:val="15"/>
          <w:szCs w:val="15"/>
          <w:color w:val="231F20"/>
        </w:rPr>
        <w:t>aid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cncr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2820560233&amp;</w:t>
      </w:r>
      <w:r>
        <w:rPr>
          <w:rFonts w:ascii="Cambria" w:hAnsi="Cambria" w:eastAsia="Cambria" w:cs="Cambria"/>
          <w:sz w:val="15"/>
          <w:szCs w:val="15"/>
          <w:color w:val="231F20"/>
        </w:rPr>
        <w:t>gt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;3.0.</w:t>
      </w:r>
      <w:r>
        <w:rPr>
          <w:rFonts w:ascii="Cambria" w:hAnsi="Cambria" w:eastAsia="Cambria" w:cs="Cambria"/>
          <w:sz w:val="15"/>
          <w:szCs w:val="15"/>
          <w:color w:val="231F20"/>
        </w:rPr>
        <w:t>co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;2‑x.</w:t>
      </w:r>
    </w:p>
    <w:p>
      <w:pPr>
        <w:ind w:left="499" w:hanging="498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[34]      </w:t>
      </w:r>
      <w:r>
        <w:rPr>
          <w:rFonts w:ascii="Cambria" w:hAnsi="Cambria" w:eastAsia="Cambria" w:cs="Cambria"/>
          <w:sz w:val="15"/>
          <w:szCs w:val="15"/>
          <w:color w:val="231F20"/>
        </w:rPr>
        <w:t>Terakawa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Kigawa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Taketani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behavior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   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Hyperplasi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Group[J].    J     Obstet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1997,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23(3):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223‑230.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111/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j.1447‑0756.1997.</w:t>
      </w:r>
      <w:r>
        <w:rPr>
          <w:rFonts w:ascii="Cambria" w:hAnsi="Cambria" w:eastAsia="Cambria" w:cs="Cambria"/>
          <w:sz w:val="15"/>
          <w:szCs w:val="15"/>
          <w:color w:val="231F20"/>
        </w:rPr>
        <w:t>tb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008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36.x.</w:t>
      </w:r>
    </w:p>
    <w:p>
      <w:pPr>
        <w:ind w:left="504" w:right="9" w:hanging="503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[35]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Gallos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Shehmar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Thangaratinam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progestogens    vs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levonorgestrel‑releasing    intrauterine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hyperplasia: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metaanalysis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2010,  203(6):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547.e1‑10.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.2010.07.037.</w:t>
      </w:r>
    </w:p>
    <w:p>
      <w:pPr>
        <w:ind w:left="505" w:right="5" w:hanging="50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[36]       Mittermeier  T,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Farrant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Wise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MR.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Levonorgestrel‑relea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hyperplasia[J].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Cochrane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Syst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Rev,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9(9):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CD01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2658.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DOI: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10.1002/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14651858.CD012658.pub2.</w:t>
      </w:r>
    </w:p>
    <w:p>
      <w:pPr>
        <w:ind w:left="506" w:hanging="506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[37]       </w:t>
      </w:r>
      <w:r>
        <w:rPr>
          <w:rFonts w:ascii="Cambria" w:hAnsi="Cambria" w:eastAsia="Cambria" w:cs="Cambria"/>
          <w:sz w:val="15"/>
          <w:szCs w:val="15"/>
          <w:color w:val="231F20"/>
        </w:rPr>
        <w:t>Gallos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Krishan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Shehmar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Relapse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  hyperplasia  af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ter  conservative  treatment:  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cohort  study  with  long‑term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follow‑up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Hum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Reprod,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28(5):1231‑1236.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humrep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det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049.</w:t>
      </w:r>
    </w:p>
    <w:p>
      <w:pPr>
        <w:ind w:left="504" w:right="10" w:hanging="504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[38]      Emarh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Cyclic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ver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sus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continuous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medroxyprogesterone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acetate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erplasia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atypia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:   a   2‑</w:t>
      </w:r>
      <w:r>
        <w:rPr>
          <w:rFonts w:ascii="Cambria" w:hAnsi="Cambria" w:eastAsia="Cambria" w:cs="Cambria"/>
          <w:sz w:val="15"/>
          <w:szCs w:val="15"/>
          <w:color w:val="231F20"/>
        </w:rPr>
        <w:t>year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observational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Arch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2015,     292(6):     1339‑1343.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1007/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s00404‑015‑3749‑3.</w:t>
      </w:r>
    </w:p>
    <w:p>
      <w:pPr>
        <w:ind w:left="504" w:right="9" w:hanging="504"/>
        <w:spacing w:before="9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[39]      </w:t>
      </w:r>
      <w:r>
        <w:rPr>
          <w:rFonts w:ascii="Cambria" w:hAnsi="Cambria" w:eastAsia="Cambria" w:cs="Cambria"/>
          <w:sz w:val="15"/>
          <w:szCs w:val="15"/>
          <w:color w:val="231F20"/>
        </w:rPr>
        <w:t>Abu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Hashim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Ghayaty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Rakhawy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Levonorgestrel‑releasing    intrauterine    system    vs    oral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progestins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non‑atyp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ical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hyperplasia: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taanalysis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trials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213(4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):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469‑478.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.2015.03.037.</w:t>
      </w:r>
    </w:p>
    <w:p>
      <w:pPr>
        <w:ind w:left="504" w:hanging="504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[40]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Kim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Seong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Park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diagnostic  accuracy  between  endometrial  c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urettage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aspiration  biopsy  in  patients  treated  with  progestin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hyperplas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ia: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Korean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Gynecologic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Oncology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Group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2020,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31(4):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e51.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10.3802/</w:t>
      </w:r>
      <w:r>
        <w:rPr>
          <w:rFonts w:ascii="Cambria" w:hAnsi="Cambria" w:eastAsia="Cambria" w:cs="Cambria"/>
          <w:sz w:val="15"/>
          <w:szCs w:val="15"/>
          <w:color w:val="231F20"/>
        </w:rPr>
        <w:t>jgo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.2020.31.e51.</w:t>
      </w:r>
    </w:p>
    <w:p>
      <w:pPr>
        <w:ind w:left="506" w:right="11" w:hanging="506"/>
        <w:spacing w:before="42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[41]      </w:t>
      </w:r>
      <w:r>
        <w:rPr>
          <w:rFonts w:ascii="Cambria" w:hAnsi="Cambria" w:eastAsia="Cambria" w:cs="Cambria"/>
          <w:sz w:val="15"/>
          <w:szCs w:val="15"/>
          <w:color w:val="231F20"/>
        </w:rPr>
        <w:t>Sharifzadeh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Aminimoghaddam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Kashanian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comparison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between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    effects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of   metformin    and</w:t>
      </w:r>
    </w:p>
    <w:p>
      <w:pPr>
        <w:spacing w:line="280" w:lineRule="auto"/>
        <w:sectPr>
          <w:type w:val="continuous"/>
          <w:pgSz w:w="12246" w:h="16498"/>
          <w:pgMar w:top="1221" w:right="1294" w:bottom="0" w:left="819" w:header="971" w:footer="0" w:gutter="0"/>
          <w:cols w:equalWidth="0" w:num="2">
            <w:col w:w="5555" w:space="100"/>
            <w:col w:w="4477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7"/>
        <w:rPr/>
      </w:pPr>
      <w:r>
        <w:pict>
          <v:shape id="_x0000_s76" style="position:absolute;margin-left:65.1968pt;margin-top:59.6178pt;mso-position-vertical-relative:page;mso-position-horizontal-relative:page;width:321.65pt;height:0.4pt;z-index:251712512;" o:allowincell="f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sectPr>
          <w:headerReference w:type="default" r:id="rId17"/>
          <w:pgSz w:w="12246" w:h="16498"/>
          <w:pgMar w:top="1221" w:right="1265" w:bottom="0" w:left="819" w:header="971" w:footer="0" w:gutter="0"/>
          <w:cols w:equalWidth="0" w:num="1">
            <w:col w:w="10161" w:space="0"/>
          </w:cols>
        </w:sectPr>
        <w:rPr/>
      </w:pPr>
    </w:p>
    <w:p>
      <w:pPr>
        <w:ind w:left="1060" w:right="535" w:hanging="2"/>
        <w:spacing w:before="37" w:line="309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megestrol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simple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metrial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hyperplasia[J].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Endocrinol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2017,     33(2):    152‑155.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  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1080/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09513590.2016.1223285.</w:t>
      </w:r>
    </w:p>
    <w:p>
      <w:pPr>
        <w:ind w:left="1056" w:right="535" w:hanging="503"/>
        <w:spacing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[42]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El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Behery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Saleh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HS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Ibrahiem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Levonorgestrel‑releasing     intrauterine      device     versus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dydrogesterone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atypia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Sci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22(3):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329‑334.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1177/1933719114542014.</w:t>
      </w:r>
    </w:p>
    <w:p>
      <w:pPr>
        <w:ind w:left="1057" w:right="535" w:hanging="504"/>
        <w:spacing w:before="42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[43]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Nooh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Abdeldayem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HM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Girbash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EF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Depo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Provera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Norethisterone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acetate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  of  endometrial  hyperplasia  without  aty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pia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Sci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2016,   23(4):  448‑45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4.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1177/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1933719115623643.</w:t>
      </w:r>
    </w:p>
    <w:p>
      <w:pPr>
        <w:ind w:left="1052" w:right="535" w:hanging="499"/>
        <w:spacing w:before="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[44]      </w:t>
      </w:r>
      <w:r>
        <w:rPr>
          <w:rFonts w:ascii="Cambria" w:hAnsi="Cambria" w:eastAsia="Cambria" w:cs="Cambria"/>
          <w:sz w:val="15"/>
          <w:szCs w:val="15"/>
          <w:color w:val="231F20"/>
        </w:rPr>
        <w:t>Abu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Hashim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Zayed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Ghayaty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LNG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IUS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   of   non‑atypical   endometrial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hyperplasia   in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perimenopausal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women: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controlled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rial[J].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24(2):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128‑134.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10.3802/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jgo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.2013.24.2.128.</w:t>
      </w:r>
    </w:p>
    <w:p>
      <w:pPr>
        <w:ind w:left="1058" w:right="535" w:hanging="505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[45]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Wang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Nisenblat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Tao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Combined </w:t>
      </w:r>
      <w:r>
        <w:rPr>
          <w:rFonts w:ascii="Cambria" w:hAnsi="Cambria" w:eastAsia="Cambria" w:cs="Cambria"/>
          <w:sz w:val="15"/>
          <w:szCs w:val="15"/>
          <w:color w:val="231F20"/>
        </w:rPr>
        <w:t>estrogen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progestin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pill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is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safe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effective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option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for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   hyperplasia   without   atypi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a:   a   three‑year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single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center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experience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2019,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30(3):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e49.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10.3802/</w:t>
      </w:r>
      <w:r>
        <w:rPr>
          <w:rFonts w:ascii="Cambria" w:hAnsi="Cambria" w:eastAsia="Cambria" w:cs="Cambria"/>
          <w:sz w:val="15"/>
          <w:szCs w:val="15"/>
          <w:color w:val="231F20"/>
        </w:rPr>
        <w:t>jgo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.2019.30.e49.</w:t>
      </w:r>
    </w:p>
    <w:p>
      <w:pPr>
        <w:ind w:left="1057" w:right="535" w:hanging="504"/>
        <w:spacing w:before="41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[46]      </w:t>
      </w:r>
      <w:r>
        <w:rPr>
          <w:rFonts w:ascii="Cambria" w:hAnsi="Cambria" w:eastAsia="Cambria" w:cs="Cambria"/>
          <w:sz w:val="15"/>
          <w:szCs w:val="15"/>
          <w:color w:val="231F20"/>
        </w:rPr>
        <w:t>Moradan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Nikkhah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 </w:t>
      </w:r>
      <w:r>
        <w:rPr>
          <w:rFonts w:ascii="Cambria" w:hAnsi="Cambria" w:eastAsia="Cambria" w:cs="Cambria"/>
          <w:sz w:val="15"/>
          <w:szCs w:val="15"/>
          <w:color w:val="231F20"/>
        </w:rPr>
        <w:t>Mirmohammadkhanai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Comparing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administration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letr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ozole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megestrol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acetate    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    women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  simple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without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atypia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randomized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clinical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Adv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34(5):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1211‑1220.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1007/s12325‑017‑0509‑8.</w:t>
      </w:r>
    </w:p>
    <w:p>
      <w:pPr>
        <w:ind w:left="1056" w:right="526" w:hanging="503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[47]       </w:t>
      </w:r>
      <w:r>
        <w:rPr>
          <w:rFonts w:ascii="Cambria" w:hAnsi="Cambria" w:eastAsia="Cambria" w:cs="Cambria"/>
          <w:sz w:val="15"/>
          <w:szCs w:val="15"/>
          <w:color w:val="231F20"/>
        </w:rPr>
        <w:t>Grimbizis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Tsalikis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Tzioufa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Regression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gonadotrophin‑releasing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hormone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analogue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ptorelin: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Hum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1999,  14(2):</w:t>
      </w:r>
      <w:r>
        <w:rPr>
          <w:rFonts w:ascii="Cambria" w:hAnsi="Cambria" w:eastAsia="Cambria" w:cs="Cambria"/>
          <w:sz w:val="15"/>
          <w:szCs w:val="15"/>
          <w:color w:val="231F20"/>
          <w:spacing w:val="-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479‑484.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humrep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/14.2.479.</w:t>
      </w:r>
    </w:p>
    <w:p>
      <w:pPr>
        <w:ind w:left="1060" w:right="535" w:hanging="507"/>
        <w:spacing w:before="41" w:line="28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[48]      </w:t>
      </w:r>
      <w:r>
        <w:rPr>
          <w:rFonts w:ascii="Cambria" w:hAnsi="Cambria" w:eastAsia="Cambria" w:cs="Cambria"/>
          <w:sz w:val="15"/>
          <w:szCs w:val="15"/>
          <w:color w:val="231F20"/>
        </w:rPr>
        <w:t>Moore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Shafi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23(3):88‑93.</w:t>
      </w:r>
    </w:p>
    <w:p>
      <w:pPr>
        <w:ind w:left="1051" w:right="536" w:hanging="498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[49]      </w:t>
      </w:r>
      <w:r>
        <w:rPr>
          <w:rFonts w:ascii="Cambria" w:hAnsi="Cambria" w:eastAsia="Cambria" w:cs="Cambria"/>
          <w:sz w:val="15"/>
          <w:szCs w:val="15"/>
          <w:color w:val="231F20"/>
        </w:rPr>
        <w:t>Armstrong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Hurd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WW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Elguero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  endometrial    hyper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plasia[J].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    Minim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2012,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19(5):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562‑571.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.2012.05.009.</w:t>
      </w:r>
    </w:p>
    <w:p>
      <w:pPr>
        <w:ind w:left="1058" w:right="536" w:hanging="506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[50]      Ahonkallio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SJ,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Liakka AK,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Martikainen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HK,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Feasibil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ity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 endometrial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assessment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rmal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Eur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Biol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2009,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147(1):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69‑71.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ejogrb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.2009.06.014.</w:t>
      </w:r>
    </w:p>
    <w:p>
      <w:pPr>
        <w:ind w:left="1059" w:right="526" w:hanging="507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[51]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Luo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X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Lim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Hysteroscopic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appearance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cavity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microwave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ablation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2010,   17(1):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30‑36.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.2009.09.012.</w:t>
      </w:r>
    </w:p>
    <w:p>
      <w:pPr>
        <w:ind w:left="1058" w:right="526" w:hanging="504"/>
        <w:spacing w:before="41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[52]      </w:t>
      </w:r>
      <w:r>
        <w:rPr>
          <w:rFonts w:ascii="Cambria" w:hAnsi="Cambria" w:eastAsia="Cambria" w:cs="Cambria"/>
          <w:sz w:val="15"/>
          <w:szCs w:val="15"/>
          <w:color w:val="231F20"/>
        </w:rPr>
        <w:t>AlHilli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Hopkins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MR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Famuyide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cancer  after  endometrial  ablatio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n: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medical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literature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Minim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Invasive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 2011,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18(3):393‑400.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jmig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.2011.02.004.</w:t>
      </w:r>
    </w:p>
    <w:p>
      <w:pPr>
        <w:ind w:left="1057" w:right="535" w:hanging="504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[53]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Gallos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Krishan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Shehmar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IUS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progestogen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hyperplasia: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  long‑term   comparative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cohort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study[J].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Hum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eprod,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28(11):2966‑2971.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humrep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det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320.</w:t>
      </w:r>
    </w:p>
    <w:p>
      <w:pPr>
        <w:ind w:left="1057" w:right="535" w:hanging="504"/>
        <w:spacing w:before="42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[54]      </w:t>
      </w:r>
      <w:r>
        <w:rPr>
          <w:rFonts w:ascii="Cambria" w:hAnsi="Cambria" w:eastAsia="Cambria" w:cs="Cambria"/>
          <w:sz w:val="15"/>
          <w:szCs w:val="15"/>
          <w:color w:val="231F20"/>
        </w:rPr>
        <w:t>Bahamondes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Valeria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Bahamondes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Shulman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Non‑contraceptive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benefits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rmonal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reversible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contraceptive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methods[J].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Hum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Reprod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Update,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2015,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21(5):640‑651.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1093/</w:t>
      </w:r>
      <w:r>
        <w:rPr>
          <w:rFonts w:ascii="Cambria" w:hAnsi="Cambria" w:eastAsia="Cambria" w:cs="Cambria"/>
          <w:sz w:val="15"/>
          <w:szCs w:val="15"/>
          <w:color w:val="231F20"/>
        </w:rPr>
        <w:t>humupd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dmv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023.</w:t>
      </w:r>
    </w:p>
    <w:p>
      <w:pPr>
        <w:ind w:left="553"/>
        <w:spacing w:before="41" w:line="184" w:lineRule="exact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  <w:position w:val="2"/>
        </w:rPr>
        <w:t>[55]    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Trimble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CL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Method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Leitao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position w:val="2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  <w:position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position w:val="2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  <w:position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position w:val="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11" w:right="38" w:hanging="5"/>
        <w:spacing w:before="34" w:line="289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3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precancers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120(5):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1160‑1175.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>aog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.0b013e31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826</w:t>
      </w:r>
      <w:r>
        <w:rPr>
          <w:rFonts w:ascii="Cambria" w:hAnsi="Cambria" w:eastAsia="Cambria" w:cs="Cambria"/>
          <w:sz w:val="15"/>
          <w:szCs w:val="15"/>
          <w:color w:val="231F20"/>
        </w:rPr>
        <w:t>bb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121.</w:t>
      </w:r>
    </w:p>
    <w:p>
      <w:pPr>
        <w:ind w:left="503" w:right="38" w:hanging="503"/>
        <w:spacing w:before="3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[56]      </w:t>
      </w:r>
      <w:r>
        <w:rPr>
          <w:rFonts w:ascii="Cambria" w:hAnsi="Cambria" w:eastAsia="Cambria" w:cs="Cambria"/>
          <w:sz w:val="15"/>
          <w:szCs w:val="15"/>
          <w:color w:val="231F20"/>
        </w:rPr>
        <w:t>Galaal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Donkers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H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Bryant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Laparoscopy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versus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laparotomy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management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early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stage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Cochrane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>2018,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10(10):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006655.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1002/14651858.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006655.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pub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>3.</w:t>
      </w:r>
    </w:p>
    <w:p>
      <w:pPr>
        <w:ind w:left="504" w:right="38" w:hanging="504"/>
        <w:spacing w:before="39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[57]      </w:t>
      </w:r>
      <w:r>
        <w:rPr>
          <w:rFonts w:ascii="Cambria" w:hAnsi="Cambria" w:eastAsia="Cambria" w:cs="Cambria"/>
          <w:sz w:val="15"/>
          <w:szCs w:val="15"/>
          <w:color w:val="231F20"/>
        </w:rPr>
        <w:t>Salvador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Scott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Francis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No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344‑</w:t>
      </w:r>
      <w:r>
        <w:rPr>
          <w:rFonts w:ascii="Cambria" w:hAnsi="Cambria" w:eastAsia="Cambria" w:cs="Cambria"/>
          <w:sz w:val="15"/>
          <w:szCs w:val="15"/>
          <w:color w:val="231F20"/>
        </w:rPr>
        <w:t>opportunistic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salpingectomy  and  other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methods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risk  reduction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ovarian/fallopian  tube/peritoneal  cancer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general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population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2017,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39(6):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480‑493.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jogc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.2016.12.005.</w:t>
      </w:r>
    </w:p>
    <w:p>
      <w:pPr>
        <w:ind w:left="499" w:right="38" w:hanging="499"/>
        <w:spacing w:before="43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[58]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Parker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Feskanich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Broder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Long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term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mortality  associated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with  oophor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ectomy  compared  with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ovarian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conservation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nurses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′   </w:t>
      </w:r>
      <w:r>
        <w:rPr>
          <w:rFonts w:ascii="Cambria" w:hAnsi="Cambria" w:eastAsia="Cambria" w:cs="Cambria"/>
          <w:sz w:val="15"/>
          <w:szCs w:val="15"/>
          <w:color w:val="231F20"/>
        </w:rPr>
        <w:t>health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2013,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121(4):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709‑716.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AOG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.0b013e3182864350.</w:t>
      </w:r>
    </w:p>
    <w:p>
      <w:pPr>
        <w:ind w:left="505" w:right="39" w:hanging="505"/>
        <w:spacing w:before="10" w:line="30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[59]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Emons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Beckmann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MW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Schmidt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New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WHO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classification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erplasias[J].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Geburtshilfe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Frauenheilkd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  2015,    75(2):    135‑136.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1055/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s‑0034‑1396256.</w:t>
      </w:r>
    </w:p>
    <w:p>
      <w:pPr>
        <w:ind w:left="498" w:right="29" w:hanging="498"/>
        <w:spacing w:before="1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[60]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Indermaur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Shoup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Tebes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accuracy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frozen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pathology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time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 hysterectomy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complex  atypical  hyperplasia  on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preopera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tive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biopsy[J].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2007,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196(5):e40‑42.</w:t>
      </w:r>
      <w:r>
        <w:rPr>
          <w:rFonts w:ascii="Cambria" w:hAnsi="Cambria" w:eastAsia="Cambria" w:cs="Cambria"/>
          <w:sz w:val="15"/>
          <w:szCs w:val="15"/>
          <w:color w:val="231F20"/>
          <w:spacing w:val="1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.2006.10.886.</w:t>
      </w:r>
    </w:p>
    <w:p>
      <w:pPr>
        <w:ind w:left="504" w:right="37" w:hanging="504"/>
        <w:spacing w:before="43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[61]      </w:t>
      </w:r>
      <w:r>
        <w:rPr>
          <w:rFonts w:ascii="Cambria" w:hAnsi="Cambria" w:eastAsia="Cambria" w:cs="Cambria"/>
          <w:sz w:val="15"/>
          <w:szCs w:val="15"/>
          <w:color w:val="231F20"/>
        </w:rPr>
        <w:t>Frost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Webster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KE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Bryant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Lymphadenectomy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for  the  management  of  endometri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al  cancer[J].  Cochrane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Database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Syst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Rev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2017,     10(10):   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007585.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1002/14651858.</w:t>
      </w:r>
      <w:r>
        <w:rPr>
          <w:rFonts w:ascii="Cambria" w:hAnsi="Cambria" w:eastAsia="Cambria" w:cs="Cambria"/>
          <w:sz w:val="15"/>
          <w:szCs w:val="15"/>
          <w:color w:val="231F20"/>
        </w:rPr>
        <w:t>CD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007585.</w:t>
      </w:r>
      <w:r>
        <w:rPr>
          <w:rFonts w:ascii="Cambria" w:hAnsi="Cambria" w:eastAsia="Cambria" w:cs="Cambria"/>
          <w:sz w:val="15"/>
          <w:szCs w:val="15"/>
          <w:color w:val="231F20"/>
        </w:rPr>
        <w:t>pub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4.</w:t>
      </w:r>
    </w:p>
    <w:p>
      <w:pPr>
        <w:ind w:left="501" w:right="29" w:hanging="501"/>
        <w:spacing w:before="41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[62]      </w:t>
      </w:r>
      <w:r>
        <w:rPr>
          <w:rFonts w:ascii="Cambria" w:hAnsi="Cambria" w:eastAsia="Cambria" w:cs="Cambria"/>
          <w:sz w:val="15"/>
          <w:szCs w:val="15"/>
          <w:color w:val="231F20"/>
        </w:rPr>
        <w:t>Traen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K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Hø</w:t>
      </w:r>
      <w:r>
        <w:rPr>
          <w:rFonts w:ascii="Cambria" w:hAnsi="Cambria" w:eastAsia="Cambria" w:cs="Cambria"/>
          <w:sz w:val="15"/>
          <w:szCs w:val="15"/>
          <w:color w:val="231F20"/>
        </w:rPr>
        <w:t>lund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B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Mogensen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Accuracy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preoperative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tumor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grade   and   intraoperative   gross   examination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myometrial</w:t>
      </w:r>
      <w:r>
        <w:rPr>
          <w:rFonts w:ascii="Cambria" w:hAnsi="Cambria" w:eastAsia="Cambria" w:cs="Cambria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invasion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2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Acta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Scand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2007,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86(6):739‑741.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1080/000163407013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22077.</w:t>
      </w:r>
    </w:p>
    <w:p>
      <w:pPr>
        <w:ind w:left="500" w:right="28" w:hanging="500"/>
        <w:spacing w:before="39" w:line="30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[63]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Salani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Khanna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Frimer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update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post‑treatment  surveilla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nce  and  diagnosis  of  recurrence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   women   with   gynecologic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mal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ignancies:    Society   of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Gynecologic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</w:t>
      </w:r>
      <w:r>
        <w:rPr>
          <w:rFonts w:ascii="Cambria" w:hAnsi="Cambria" w:eastAsia="Cambria" w:cs="Cambria"/>
          <w:sz w:val="15"/>
          <w:szCs w:val="15"/>
          <w:color w:val="231F20"/>
        </w:rPr>
        <w:t>Oncology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(</w:t>
      </w:r>
      <w:r>
        <w:rPr>
          <w:rFonts w:ascii="Cambria" w:hAnsi="Cambria" w:eastAsia="Cambria" w:cs="Cambria"/>
          <w:sz w:val="15"/>
          <w:szCs w:val="15"/>
          <w:color w:val="231F20"/>
        </w:rPr>
        <w:t>SGO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)       </w:t>
      </w:r>
      <w:r>
        <w:rPr>
          <w:rFonts w:ascii="Cambria" w:hAnsi="Cambria" w:eastAsia="Cambria" w:cs="Cambria"/>
          <w:sz w:val="15"/>
          <w:szCs w:val="15"/>
          <w:color w:val="231F20"/>
        </w:rPr>
        <w:t>recommendations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2017,    146(1):   3‑10.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 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ygyno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.2017.03.022.</w:t>
      </w:r>
    </w:p>
    <w:p>
      <w:pPr>
        <w:ind w:left="506" w:right="37" w:hanging="506"/>
        <w:spacing w:before="42" w:line="29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[64]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NCCN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 </w:t>
      </w:r>
      <w:r>
        <w:rPr>
          <w:rFonts w:ascii="Cambria" w:hAnsi="Cambria" w:eastAsia="Cambria" w:cs="Cambria"/>
          <w:sz w:val="15"/>
          <w:szCs w:val="15"/>
          <w:color w:val="231F20"/>
        </w:rPr>
        <w:t>NCCN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Guidelines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Version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1.     2020.    </w:t>
      </w:r>
      <w:r>
        <w:rPr>
          <w:rFonts w:ascii="Cambria" w:hAnsi="Cambria" w:eastAsia="Cambria" w:cs="Cambria"/>
          <w:sz w:val="15"/>
          <w:szCs w:val="15"/>
          <w:color w:val="231F20"/>
        </w:rPr>
        <w:t>Uterine </w:t>
      </w:r>
      <w:r>
        <w:rPr>
          <w:rFonts w:ascii="Cambria" w:hAnsi="Cambria" w:eastAsia="Cambria" w:cs="Cambria"/>
          <w:sz w:val="15"/>
          <w:szCs w:val="15"/>
          <w:color w:val="231F20"/>
        </w:rPr>
        <w:t>Neoplasms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</w:t>
      </w:r>
      <w:r>
        <w:rPr>
          <w:rFonts w:ascii="Cambria" w:hAnsi="Cambria" w:eastAsia="Cambria" w:cs="Cambria"/>
          <w:sz w:val="15"/>
          <w:szCs w:val="15"/>
          <w:color w:val="231F20"/>
        </w:rPr>
        <w:t>EB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</w:t>
      </w:r>
      <w:r>
        <w:rPr>
          <w:rFonts w:ascii="Cambria" w:hAnsi="Cambria" w:eastAsia="Cambria" w:cs="Cambria"/>
          <w:sz w:val="15"/>
          <w:szCs w:val="15"/>
          <w:color w:val="231F20"/>
        </w:rPr>
        <w:t>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].    [2020‑03‑06].    </w:t>
      </w:r>
      <w:hyperlink w:history="true" r:id="rId18">
        <w:r>
          <w:rPr>
            <w:rFonts w:ascii="Cambria" w:hAnsi="Cambria" w:eastAsia="Cambria" w:cs="Cambria"/>
            <w:sz w:val="15"/>
            <w:szCs w:val="15"/>
            <w:color w:val="231F20"/>
          </w:rPr>
          <w:t>https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://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www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6"/>
          </w:rPr>
          <w:t>. </w:t>
        </w:r>
        <w:r>
          <w:rPr>
            <w:rFonts w:ascii="Cambria" w:hAnsi="Cambria" w:eastAsia="Cambria" w:cs="Cambria"/>
            <w:sz w:val="15"/>
            <w:szCs w:val="15"/>
            <w:color w:val="231F20"/>
            <w:spacing w:val="5"/>
          </w:rPr>
          <w:t xml:space="preserve">  </w:t>
        </w:r>
        <w:r>
          <w:rPr>
            <w:rFonts w:ascii="Cambria" w:hAnsi="Cambria" w:eastAsia="Cambria" w:cs="Cambria"/>
            <w:sz w:val="15"/>
            <w:szCs w:val="15"/>
            <w:color w:val="231F20"/>
          </w:rPr>
          <w:t>nccn</w:t>
        </w:r>
      </w:hyperlink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org/professionals/physician_gls/pdf/uterine.pdf.</w:t>
      </w:r>
    </w:p>
    <w:p>
      <w:pPr>
        <w:ind w:left="506" w:right="37" w:hanging="506"/>
        <w:spacing w:before="43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[65]      </w:t>
      </w:r>
      <w:r>
        <w:rPr>
          <w:rFonts w:ascii="Cambria" w:hAnsi="Cambria" w:eastAsia="Cambria" w:cs="Cambria"/>
          <w:sz w:val="15"/>
          <w:szCs w:val="15"/>
          <w:color w:val="231F20"/>
        </w:rPr>
        <w:t>Trimble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Kauderer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Zaino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Concurrent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carcinoma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wom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biopsy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:  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Gynecologic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Oncology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Group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  </w:t>
      </w:r>
      <w:r>
        <w:rPr>
          <w:rFonts w:ascii="Cambria" w:hAnsi="Cambria" w:eastAsia="Cambria" w:cs="Cambria"/>
          <w:sz w:val="15"/>
          <w:szCs w:val="15"/>
          <w:color w:val="231F20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2006,  106(4): 812‑819.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cncr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.21650.</w:t>
      </w:r>
    </w:p>
    <w:p>
      <w:pPr>
        <w:ind w:left="498" w:right="39" w:hanging="498"/>
        <w:spacing w:before="40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[66]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Mutter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GL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Kauderer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Baak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JP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,  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.      </w:t>
      </w:r>
      <w:r>
        <w:rPr>
          <w:rFonts w:ascii="Cambria" w:hAnsi="Cambria" w:eastAsia="Cambria" w:cs="Cambria"/>
          <w:sz w:val="15"/>
          <w:szCs w:val="15"/>
          <w:color w:val="231F20"/>
        </w:rPr>
        <w:t>Biopsy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histomorphometry    predicts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uterine     myoinvasion    by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carcinoma: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Gyne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cologic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Oncology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Group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study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Hum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Pathol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2008,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39(6):866‑874.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>humpath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.2007.09.023.</w:t>
      </w:r>
    </w:p>
    <w:p>
      <w:pPr>
        <w:ind w:left="500" w:right="29" w:hanging="500"/>
        <w:spacing w:before="42" w:line="29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[67]      </w:t>
      </w:r>
      <w:r>
        <w:rPr>
          <w:rFonts w:ascii="Cambria" w:hAnsi="Cambria" w:eastAsia="Cambria" w:cs="Cambria"/>
          <w:sz w:val="15"/>
          <w:szCs w:val="15"/>
          <w:color w:val="231F20"/>
        </w:rPr>
        <w:t>Kadirogullari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Atalay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Ozdemir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Prevalence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</w:rPr>
        <w:t>co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existing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carcinoma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patients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preoperative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diagnosis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endometrial   hyperplasia[J].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Clin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Diagn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2015,   9(10):  </w:t>
      </w:r>
      <w:r>
        <w:rPr>
          <w:rFonts w:ascii="Cambria" w:hAnsi="Cambria" w:eastAsia="Cambria" w:cs="Cambria"/>
          <w:sz w:val="15"/>
          <w:szCs w:val="15"/>
          <w:color w:val="231F20"/>
        </w:rPr>
        <w:t>QC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‑14.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10.7860/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JCDR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/2015/12484.6618.</w:t>
      </w:r>
    </w:p>
    <w:p>
      <w:pPr>
        <w:ind w:left="504" w:right="39" w:hanging="504"/>
        <w:spacing w:before="41" w:line="280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[68]       </w:t>
      </w:r>
      <w:r>
        <w:rPr>
          <w:rFonts w:ascii="Cambria" w:hAnsi="Cambria" w:eastAsia="Cambria" w:cs="Cambria"/>
          <w:sz w:val="15"/>
          <w:szCs w:val="15"/>
          <w:color w:val="231F20"/>
        </w:rPr>
        <w:t>Harrison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He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Fu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National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patterns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care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fertility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reproductive‑aged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</w:t>
      </w:r>
    </w:p>
    <w:p>
      <w:pPr>
        <w:spacing w:line="280" w:lineRule="auto"/>
        <w:sectPr>
          <w:type w:val="continuous"/>
          <w:pgSz w:w="12246" w:h="16498"/>
          <w:pgMar w:top="1221" w:right="1265" w:bottom="0" w:left="819" w:header="971" w:footer="0" w:gutter="0"/>
          <w:cols w:equalWidth="0" w:num="2">
            <w:col w:w="5556" w:space="100"/>
            <w:col w:w="4505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before="56"/>
        <w:rPr/>
      </w:pPr>
      <w:r/>
    </w:p>
    <w:p>
      <w:pPr>
        <w:sectPr>
          <w:headerReference w:type="default" r:id="rId19"/>
          <w:pgSz w:w="12246" w:h="16498"/>
          <w:pgMar w:top="1221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ind w:left="1061" w:right="535" w:hanging="1"/>
        <w:spacing w:before="37" w:line="291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J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2019,    221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(5):  474.  e1‑474.  e11.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.2019.05.029.</w:t>
      </w:r>
    </w:p>
    <w:p>
      <w:pPr>
        <w:pStyle w:val="BodyText"/>
        <w:ind w:left="1055" w:right="535" w:hanging="501"/>
        <w:spacing w:before="30" w:line="22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[69]      </w:t>
      </w:r>
      <w:r>
        <w:rPr>
          <w:sz w:val="15"/>
          <w:szCs w:val="15"/>
          <w:color w:val="231F20"/>
          <w:spacing w:val="10"/>
        </w:rPr>
        <w:t>陈晓军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杨佳欣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10"/>
        </w:rPr>
        <w:t>王华英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9"/>
        </w:rPr>
        <w:t>子宫内膜非典型增生和早期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子宫内膜样癌的保留生育功能治疗及评估的建议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10"/>
        </w:rPr>
        <w:t>中华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妇 产 科 杂 志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2019,  54(2):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80‑86.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issn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.0529‑567x.2019.02.003.</w:t>
      </w:r>
    </w:p>
    <w:p>
      <w:pPr>
        <w:ind w:left="1058" w:right="531" w:hanging="504"/>
        <w:spacing w:before="6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[70]       Westin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SN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Fellman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B,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Sun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CC,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Prospective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phase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Ⅱ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3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levonorgestrel  intrauterine  device:  non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surgical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approach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complex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early‑stage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cancer[J]. Am J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224(2):191.e1‑191.e15.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DOI: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10.1016/j.ajog.2020.08.032.</w:t>
      </w:r>
    </w:p>
    <w:p>
      <w:pPr>
        <w:ind w:left="1055" w:right="531" w:hanging="501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drawing>
          <wp:anchor distT="0" distB="0" distL="0" distR="0" simplePos="0" relativeHeight="251727872" behindDoc="1" locked="0" layoutInCell="1" allowOverlap="1">
            <wp:simplePos x="0" y="0"/>
            <wp:positionH relativeFrom="column">
              <wp:posOffset>1701860</wp:posOffset>
            </wp:positionH>
            <wp:positionV relativeFrom="paragraph">
              <wp:posOffset>649508</wp:posOffset>
            </wp:positionV>
            <wp:extent cx="3390900" cy="388620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 w:eastAsia="Cambria" w:cs="Cambria"/>
          <w:sz w:val="15"/>
          <w:szCs w:val="15"/>
          <w:color w:val="231F20"/>
        </w:rPr>
        <w:t>[71]       Mandelbaum  RS,  Ciccone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Nusbaum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DJ,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Progestin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obese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complex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hyperplasia: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levonorgestrel‑releasing    intrauterine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 xml:space="preserve">    device    vs    systemic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therapy[J].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  Obstet  Gynecol,  2020,  223(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1): 103. e1‑103.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e13.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10.1016/j.a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jog.2019.12.273.</w:t>
      </w:r>
    </w:p>
    <w:p>
      <w:pPr>
        <w:ind w:left="1057" w:right="526" w:hanging="503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[72]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Pal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Broaddus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Urbauer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low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complex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hyperplasia         with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levonorgestrel‑releasing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device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 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2018,    1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31(1):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109‑116.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1097/</w:t>
      </w:r>
      <w:r>
        <w:rPr>
          <w:rFonts w:ascii="Cambria" w:hAnsi="Cambria" w:eastAsia="Cambria" w:cs="Cambria"/>
          <w:sz w:val="15"/>
          <w:szCs w:val="15"/>
          <w:color w:val="231F20"/>
        </w:rPr>
        <w:t>AOG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.000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0000000002390.</w:t>
      </w:r>
    </w:p>
    <w:p>
      <w:pPr>
        <w:ind w:left="1058" w:right="535" w:hanging="504"/>
        <w:spacing w:before="38" w:line="291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[73]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Leng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Jia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S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symptomatic </w:t>
      </w:r>
      <w:r>
        <w:rPr>
          <w:rFonts w:ascii="Cambria" w:hAnsi="Cambria" w:eastAsia="Cambria" w:cs="Cambria"/>
          <w:sz w:val="15"/>
          <w:szCs w:val="15"/>
          <w:color w:val="231F20"/>
        </w:rPr>
        <w:t>adenomyosis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      </w:t>
      </w:r>
      <w:r>
        <w:rPr>
          <w:rFonts w:ascii="Cambria" w:hAnsi="Cambria" w:eastAsia="Cambria" w:cs="Cambria"/>
          <w:sz w:val="15"/>
          <w:szCs w:val="15"/>
          <w:color w:val="231F20"/>
        </w:rPr>
        <w:t>levonorgestrel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releasing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Int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Gynaecol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 2019,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146(3):357‑363.</w:t>
      </w:r>
      <w:r>
        <w:rPr>
          <w:rFonts w:ascii="Cambria" w:hAnsi="Cambria" w:eastAsia="Cambria" w:cs="Cambria"/>
          <w:sz w:val="15"/>
          <w:szCs w:val="15"/>
          <w:color w:val="231F20"/>
          <w:spacing w:val="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1002/</w:t>
      </w:r>
      <w:r>
        <w:rPr>
          <w:rFonts w:ascii="Cambria" w:hAnsi="Cambria" w:eastAsia="Cambria" w:cs="Cambria"/>
          <w:sz w:val="15"/>
          <w:szCs w:val="15"/>
          <w:color w:val="231F20"/>
        </w:rPr>
        <w:t>ijgo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.12887.</w:t>
      </w:r>
    </w:p>
    <w:p>
      <w:pPr>
        <w:ind w:left="1055" w:right="531" w:hanging="501"/>
        <w:spacing w:before="37" w:line="296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[74]       Zhou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H,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Cao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D, Y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ang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J,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Gonadotropin‑releasing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hormone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agonist       combined       with       a       levonorgestrel‑releasing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intrauterine    syst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em    or    letrozole    for    fertility‑preserving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treatment  of  endometrial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carcinoma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   complex  atypic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4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young</w:t>
      </w:r>
      <w:r>
        <w:rPr>
          <w:rFonts w:ascii="Cambria" w:hAnsi="Cambria" w:eastAsia="Cambria" w:cs="Cambria"/>
          <w:sz w:val="15"/>
          <w:szCs w:val="15"/>
          <w:color w:val="231F20"/>
          <w:spacing w:val="2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women[J].  Int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J  Gynecol  Cancer,  2017,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27(6):1178‑1182. DOI: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10.1097/IGC.0000000000001008.</w:t>
      </w:r>
    </w:p>
    <w:p>
      <w:pPr>
        <w:ind w:left="1057" w:right="526" w:hanging="503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[75]      </w:t>
      </w:r>
      <w:r>
        <w:rPr>
          <w:rFonts w:ascii="Cambria" w:hAnsi="Cambria" w:eastAsia="Cambria" w:cs="Cambria"/>
          <w:sz w:val="15"/>
          <w:szCs w:val="15"/>
          <w:color w:val="231F20"/>
        </w:rPr>
        <w:t>Agorastos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Bontis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Vakiani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   hyperplasias   with    gonad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otropin‑releasing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hormone  agonists: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pathological,   clinical,  morp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hometric,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and  DNA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cytometric</w:t>
      </w:r>
      <w:r>
        <w:rPr>
          <w:rFonts w:ascii="Cambria" w:hAnsi="Cambria" w:eastAsia="Cambria" w:cs="Cambria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data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  1997,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65(1):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102‑114.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1006/</w:t>
      </w:r>
      <w:r>
        <w:rPr>
          <w:rFonts w:ascii="Cambria" w:hAnsi="Cambria" w:eastAsia="Cambria" w:cs="Cambria"/>
          <w:sz w:val="15"/>
          <w:szCs w:val="15"/>
          <w:color w:val="231F20"/>
        </w:rPr>
        <w:t>gyno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.1997.4639.</w:t>
      </w:r>
    </w:p>
    <w:p>
      <w:pPr>
        <w:ind w:left="1058" w:right="535" w:hanging="504"/>
        <w:spacing w:before="38" w:line="278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[76]      </w:t>
      </w:r>
      <w:r>
        <w:rPr>
          <w:rFonts w:ascii="Cambria" w:hAnsi="Cambria" w:eastAsia="Cambria" w:cs="Cambria"/>
          <w:sz w:val="15"/>
          <w:szCs w:val="15"/>
          <w:color w:val="231F20"/>
        </w:rPr>
        <w:t>Gallos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ID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Yap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Rajkhowa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Regression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relapse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live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birth   rates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with   ferti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lity‑sparing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>therapy   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1" w:right="66" w:firstLine="5"/>
        <w:spacing w:before="36" w:line="294" w:lineRule="auto"/>
        <w:jc w:val="both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atypi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complex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hyperplasia:</w:t>
      </w:r>
      <w:r>
        <w:rPr>
          <w:rFonts w:ascii="Cambria" w:hAnsi="Cambria" w:eastAsia="Cambria" w:cs="Cambria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review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2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metaanalysis[J].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Am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</w:t>
      </w:r>
      <w:r>
        <w:rPr>
          <w:rFonts w:ascii="Cambria" w:hAnsi="Cambria" w:eastAsia="Cambria" w:cs="Cambria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Obstet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2012,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207(4):266.e1‑12.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ajog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.2012.08.011.</w:t>
      </w:r>
    </w:p>
    <w:p>
      <w:pPr>
        <w:ind w:left="500" w:right="65" w:hanging="500"/>
        <w:spacing w:before="29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[77]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Simpson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AN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Feigenberg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Clarke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BA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   </w:t>
      </w:r>
      <w:r>
        <w:rPr>
          <w:rFonts w:ascii="Cambria" w:hAnsi="Cambria" w:eastAsia="Cambria" w:cs="Cambria"/>
          <w:sz w:val="15"/>
          <w:szCs w:val="15"/>
          <w:color w:val="231F20"/>
        </w:rPr>
        <w:t>Fertility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sparing  treatment  of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complex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atypical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low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grade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cancer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using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progestin[J].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2014,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133(2):</w:t>
      </w:r>
      <w:r>
        <w:rPr>
          <w:rFonts w:ascii="Cambria" w:hAnsi="Cambria" w:eastAsia="Cambria" w:cs="Cambria"/>
          <w:sz w:val="15"/>
          <w:szCs w:val="15"/>
          <w:color w:val="231F20"/>
          <w:spacing w:val="2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229‑233.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ygyno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.2014.02.020.</w:t>
      </w:r>
    </w:p>
    <w:p>
      <w:pPr>
        <w:ind w:left="500" w:right="61" w:hanging="500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</w:rPr>
        <w:t>[78]       Gunderson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CC,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Fader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AN,   Carson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KA,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Oncologic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reproductive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outcomes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wi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progestin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therapy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in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women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 hyperplasia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grade</w:t>
      </w:r>
      <w:r>
        <w:rPr>
          <w:rFonts w:ascii="Cambria" w:hAnsi="Cambria" w:eastAsia="Cambria" w:cs="Cambria"/>
          <w:sz w:val="15"/>
          <w:szCs w:val="15"/>
          <w:color w:val="231F20"/>
          <w:spacing w:val="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adenocarcinoma: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systematic</w:t>
      </w:r>
      <w:r>
        <w:rPr>
          <w:rFonts w:ascii="Cambria" w:hAnsi="Cambria" w:eastAsia="Cambria" w:cs="Cambria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review[J].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Gynecol  Oncol,  2012,  125(2): 477‑482.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DOI: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10.1016/j.ygyno.2012.01.003.</w:t>
      </w:r>
    </w:p>
    <w:p>
      <w:pPr>
        <w:ind w:left="503" w:right="57" w:hanging="503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[79]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Ø</w:t>
      </w:r>
      <w:r>
        <w:rPr>
          <w:rFonts w:ascii="Cambria" w:hAnsi="Cambria" w:eastAsia="Cambria" w:cs="Cambria"/>
          <w:sz w:val="15"/>
          <w:szCs w:val="15"/>
          <w:color w:val="231F20"/>
        </w:rPr>
        <w:t>rbo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Arnes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M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Vereide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AB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, 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Relapse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risk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hyperplasia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   </w:t>
      </w:r>
      <w:r>
        <w:rPr>
          <w:rFonts w:ascii="Cambria" w:hAnsi="Cambria" w:eastAsia="Cambria" w:cs="Cambria"/>
          <w:sz w:val="15"/>
          <w:szCs w:val="15"/>
          <w:color w:val="231F20"/>
        </w:rPr>
        <w:t>the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levonorgestrel‑impregnated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intrauterine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system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oral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progestogens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BJOG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2016,   123(9):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1512‑1519.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1111/1471‑0528.13763.</w:t>
      </w:r>
    </w:p>
    <w:p>
      <w:pPr>
        <w:ind w:left="500" w:right="62" w:hanging="500"/>
        <w:spacing w:before="37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[80]       Chen</w:t>
      </w:r>
      <w:r>
        <w:rPr>
          <w:rFonts w:ascii="Cambria" w:hAnsi="Cambria" w:eastAsia="Cambria" w:cs="Cambria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M, Jin Y,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Li Y,</w:t>
      </w:r>
      <w:r>
        <w:rPr>
          <w:rFonts w:ascii="Cambria" w:hAnsi="Cambria" w:eastAsia="Cambria" w:cs="Cambria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al.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Oncologic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reproductive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ou</w:t>
      </w:r>
      <w:r>
        <w:rPr>
          <w:rFonts w:ascii="Cambria" w:hAnsi="Cambria" w:eastAsia="Cambria" w:cs="Cambria"/>
          <w:sz w:val="15"/>
          <w:szCs w:val="15"/>
          <w:color w:val="231F20"/>
          <w:spacing w:val="-2"/>
        </w:rPr>
        <w:t>tcomes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after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fertility‑sparin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g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management  with   oral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progestin</w:t>
      </w:r>
      <w:r>
        <w:rPr>
          <w:rFonts w:ascii="Cambria" w:hAnsi="Cambria" w:eastAsia="Cambria" w:cs="Cambria"/>
          <w:sz w:val="15"/>
          <w:szCs w:val="15"/>
          <w:color w:val="231F20"/>
          <w:spacing w:val="9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for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women     with     complex      endometrial     hyperp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lasia      and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endometrial  cancer[J].  Int  J  Gynaeco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l  Obstet,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2016,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132(1):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34‑38. DOI: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10.1016/j.ijgo.2015</w:t>
      </w:r>
      <w:r>
        <w:rPr>
          <w:rFonts w:ascii="Cambria" w:hAnsi="Cambria" w:eastAsia="Cambria" w:cs="Cambria"/>
          <w:sz w:val="15"/>
          <w:szCs w:val="15"/>
          <w:color w:val="231F20"/>
          <w:spacing w:val="-1"/>
        </w:rPr>
        <w:t>.06.046.</w:t>
      </w:r>
    </w:p>
    <w:p>
      <w:pPr>
        <w:ind w:left="504" w:right="66" w:hanging="504"/>
        <w:spacing w:before="38" w:line="29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[81]      </w:t>
      </w:r>
      <w:r>
        <w:rPr>
          <w:rFonts w:ascii="Cambria" w:hAnsi="Cambria" w:eastAsia="Cambria" w:cs="Cambria"/>
          <w:sz w:val="15"/>
          <w:szCs w:val="15"/>
          <w:color w:val="231F20"/>
        </w:rPr>
        <w:t>Park</w:t>
      </w:r>
      <w:r>
        <w:rPr>
          <w:rFonts w:ascii="Cambria" w:hAnsi="Cambria" w:eastAsia="Cambria" w:cs="Cambria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JY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Lee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SH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Seong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SJ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Progestin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re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‑</w:t>
      </w:r>
      <w:r>
        <w:rPr>
          <w:rFonts w:ascii="Cambria" w:hAnsi="Cambria" w:eastAsia="Cambria" w:cs="Cambria"/>
          <w:sz w:val="15"/>
          <w:szCs w:val="15"/>
          <w:color w:val="231F20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in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patients   with    recurrent   endomet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rial    adenocarcinoma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after    successful     fertility‑sparing    management     using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progestin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[J].  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>,    2013,   129(1):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 xml:space="preserve">  7‑11.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1016/j.</w:t>
      </w:r>
      <w:r>
        <w:rPr>
          <w:rFonts w:ascii="Cambria" w:hAnsi="Cambria" w:eastAsia="Cambria" w:cs="Cambria"/>
          <w:sz w:val="15"/>
          <w:szCs w:val="15"/>
          <w:color w:val="231F20"/>
        </w:rPr>
        <w:t>ygyno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.2012.12.037.</w:t>
      </w:r>
    </w:p>
    <w:p>
      <w:pPr>
        <w:pStyle w:val="BodyText"/>
        <w:ind w:left="503" w:right="66" w:hanging="503"/>
        <w:spacing w:before="38" w:line="224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[82]       </w:t>
      </w:r>
      <w:r>
        <w:rPr>
          <w:sz w:val="15"/>
          <w:szCs w:val="15"/>
          <w:color w:val="231F20"/>
          <w:spacing w:val="8"/>
        </w:rPr>
        <w:t>肖泽睿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鹿群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周蓉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8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子宫内膜非典型增生及子宫内膜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癌患者保留生育功能治疗的妊娠结局分析</w:t>
      </w:r>
      <w:r>
        <w:rPr>
          <w:rFonts w:ascii="Cambria" w:hAnsi="Cambria" w:eastAsia="Cambria" w:cs="Cambria"/>
          <w:sz w:val="15"/>
          <w:szCs w:val="15"/>
          <w:color w:val="231F20"/>
          <w:spacing w:val="10"/>
        </w:rPr>
        <w:t>[J].</w:t>
      </w:r>
      <w:r>
        <w:rPr>
          <w:rFonts w:ascii="Cambria" w:hAnsi="Cambria" w:eastAsia="Cambria" w:cs="Cambria"/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10"/>
        </w:rPr>
        <w:t>中华妇产科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杂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4"/>
        </w:rPr>
        <w:t>志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   2020,    55(12):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857‑864.  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:   10.3760/</w:t>
      </w:r>
      <w:r>
        <w:rPr>
          <w:rFonts w:ascii="Cambria" w:hAnsi="Cambria" w:eastAsia="Cambria" w:cs="Cambria"/>
          <w:sz w:val="15"/>
          <w:szCs w:val="15"/>
          <w:color w:val="231F20"/>
        </w:rPr>
        <w:t>cma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  <w:spacing w:val="1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cn</w:t>
      </w:r>
      <w:r>
        <w:rPr>
          <w:rFonts w:ascii="Cambria" w:hAnsi="Cambria" w:eastAsia="Cambria" w:cs="Cambria"/>
          <w:sz w:val="15"/>
          <w:szCs w:val="15"/>
          <w:color w:val="231F20"/>
          <w:spacing w:val="-4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112141‑20200613‑00501.</w:t>
      </w:r>
    </w:p>
    <w:p>
      <w:pPr>
        <w:ind w:left="500" w:right="61" w:hanging="500"/>
        <w:spacing w:before="9" w:line="295" w:lineRule="auto"/>
        <w:rPr>
          <w:rFonts w:ascii="Cambria" w:hAnsi="Cambria" w:eastAsia="Cambria" w:cs="Cambria"/>
          <w:sz w:val="15"/>
          <w:szCs w:val="15"/>
        </w:rPr>
      </w:pP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[83]       </w:t>
      </w:r>
      <w:r>
        <w:rPr>
          <w:rFonts w:ascii="Cambria" w:hAnsi="Cambria" w:eastAsia="Cambria" w:cs="Cambria"/>
          <w:sz w:val="15"/>
          <w:szCs w:val="15"/>
          <w:color w:val="231F20"/>
        </w:rPr>
        <w:t>Novikova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Nosov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VB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Panov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VA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,  </w:t>
      </w:r>
      <w:r>
        <w:rPr>
          <w:rFonts w:ascii="Cambria" w:hAnsi="Cambria" w:eastAsia="Cambria" w:cs="Cambria"/>
          <w:sz w:val="15"/>
          <w:szCs w:val="15"/>
          <w:color w:val="231F20"/>
        </w:rPr>
        <w:t>et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al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.  </w:t>
      </w:r>
      <w:r>
        <w:rPr>
          <w:rFonts w:ascii="Cambria" w:hAnsi="Cambria" w:eastAsia="Cambria" w:cs="Cambria"/>
          <w:sz w:val="15"/>
          <w:szCs w:val="15"/>
          <w:color w:val="231F20"/>
        </w:rPr>
        <w:t>Live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births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and</w:t>
      </w:r>
      <w:r>
        <w:rPr>
          <w:rFonts w:ascii="Cambria" w:hAnsi="Cambria" w:eastAsia="Cambria" w:cs="Cambria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maintenance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with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levonorgestrel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IUD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     </w:t>
      </w:r>
      <w:r>
        <w:rPr>
          <w:rFonts w:ascii="Cambria" w:hAnsi="Cambria" w:eastAsia="Cambria" w:cs="Cambria"/>
          <w:sz w:val="15"/>
          <w:szCs w:val="15"/>
          <w:color w:val="231F20"/>
        </w:rPr>
        <w:t>improve</w:t>
      </w:r>
      <w:r>
        <w:rPr>
          <w:rFonts w:ascii="Cambria" w:hAnsi="Cambria" w:eastAsia="Cambria" w:cs="Cambria"/>
          <w:sz w:val="15"/>
          <w:szCs w:val="15"/>
          <w:color w:val="231F20"/>
          <w:spacing w:val="5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disease‑free  survival  after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fertility‑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sparing</w:t>
      </w:r>
      <w:r>
        <w:rPr>
          <w:rFonts w:ascii="Cambria" w:hAnsi="Cambria" w:eastAsia="Cambria" w:cs="Cambria"/>
          <w:sz w:val="15"/>
          <w:szCs w:val="15"/>
          <w:color w:val="231F20"/>
          <w:spacing w:val="7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treatment</w:t>
      </w:r>
      <w:r>
        <w:rPr>
          <w:rFonts w:ascii="Cambria" w:hAnsi="Cambria" w:eastAsia="Cambria" w:cs="Cambria"/>
          <w:sz w:val="15"/>
          <w:szCs w:val="15"/>
          <w:color w:val="231F20"/>
          <w:spacing w:val="8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of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atypical   hyperplasia   and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 xml:space="preserve">    early   endometrial   cancer[J].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Gynecol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Oncol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,</w:t>
      </w:r>
      <w:r>
        <w:rPr>
          <w:rFonts w:ascii="Cambria" w:hAnsi="Cambria" w:eastAsia="Cambria" w:cs="Cambria"/>
          <w:sz w:val="15"/>
          <w:szCs w:val="15"/>
          <w:color w:val="231F20"/>
          <w:spacing w:val="13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2021,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161(1):</w:t>
      </w:r>
      <w:r>
        <w:rPr>
          <w:rFonts w:ascii="Cambria" w:hAnsi="Cambria" w:eastAsia="Cambria" w:cs="Cambria"/>
          <w:sz w:val="15"/>
          <w:szCs w:val="15"/>
          <w:color w:val="231F20"/>
          <w:spacing w:val="28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152‑159.</w:t>
      </w:r>
      <w:r>
        <w:rPr>
          <w:rFonts w:ascii="Cambria" w:hAnsi="Cambria" w:eastAsia="Cambria" w:cs="Cambria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</w:rPr>
        <w:t>DOI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:</w:t>
      </w:r>
      <w:r>
        <w:rPr>
          <w:rFonts w:ascii="Cambria" w:hAnsi="Cambria" w:eastAsia="Cambria" w:cs="Cambria"/>
          <w:sz w:val="15"/>
          <w:szCs w:val="15"/>
          <w:color w:val="231F20"/>
          <w:spacing w:val="15"/>
        </w:rPr>
        <w:t xml:space="preserve"> 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10.</w:t>
      </w:r>
      <w:r>
        <w:rPr>
          <w:rFonts w:ascii="Cambria" w:hAnsi="Cambria" w:eastAsia="Cambria" w:cs="Cambria"/>
          <w:sz w:val="15"/>
          <w:szCs w:val="15"/>
          <w:color w:val="231F20"/>
          <w:spacing w:val="-19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  <w:spacing w:val="4"/>
        </w:rPr>
        <w:t>1016/</w:t>
      </w:r>
      <w:r>
        <w:rPr>
          <w:rFonts w:ascii="Cambria" w:hAnsi="Cambria" w:eastAsia="Cambria" w:cs="Cambria"/>
          <w:sz w:val="15"/>
          <w:szCs w:val="15"/>
          <w:color w:val="231F20"/>
          <w:spacing w:val="3"/>
        </w:rPr>
        <w:t>j.</w:t>
      </w:r>
      <w:r>
        <w:rPr>
          <w:rFonts w:ascii="Cambria" w:hAnsi="Cambria" w:eastAsia="Cambria" w:cs="Cambria"/>
          <w:sz w:val="15"/>
          <w:szCs w:val="15"/>
          <w:color w:val="231F20"/>
        </w:rPr>
        <w:t xml:space="preserve"> </w:t>
      </w:r>
      <w:r>
        <w:rPr>
          <w:rFonts w:ascii="Cambria" w:hAnsi="Cambria" w:eastAsia="Cambria" w:cs="Cambria"/>
          <w:sz w:val="15"/>
          <w:szCs w:val="15"/>
          <w:color w:val="231F20"/>
        </w:rPr>
        <w:t>ygyno</w:t>
      </w:r>
      <w:r>
        <w:rPr>
          <w:rFonts w:ascii="Cambria" w:hAnsi="Cambria" w:eastAsia="Cambria" w:cs="Cambria"/>
          <w:sz w:val="15"/>
          <w:szCs w:val="15"/>
          <w:color w:val="231F20"/>
          <w:spacing w:val="6"/>
        </w:rPr>
        <w:t>.2021.01.001.</w:t>
      </w:r>
    </w:p>
    <w:p>
      <w:pPr>
        <w:spacing w:line="295" w:lineRule="auto"/>
        <w:sectPr>
          <w:type w:val="continuous"/>
          <w:pgSz w:w="12246" w:h="16498"/>
          <w:pgMar w:top="1221" w:right="1236" w:bottom="0" w:left="819" w:header="971" w:footer="0" w:gutter="0"/>
          <w:cols w:equalWidth="0" w:num="2">
            <w:col w:w="5557" w:space="100"/>
            <w:col w:w="4533" w:space="0"/>
          </w:cols>
        </w:sectPr>
        <w:rPr>
          <w:rFonts w:ascii="Cambria" w:hAnsi="Cambria" w:eastAsia="Cambria" w:cs="Cambria"/>
          <w:sz w:val="15"/>
          <w:szCs w:val="15"/>
        </w:rPr>
      </w:pPr>
    </w:p>
    <w:p>
      <w:pPr>
        <w:spacing w:line="276" w:lineRule="auto"/>
        <w:rPr>
          <w:rFonts w:ascii="Arial"/>
          <w:sz w:val="21"/>
        </w:rPr>
      </w:pPr>
      <w:r>
        <w:pict>
          <v:shape id="_x0000_s82" style="position:absolute;margin-left:184.639pt;margin-top:-450.83pt;mso-position-vertical-relative:text;mso-position-horizontal-relative:text;width:321.65pt;height:0.4pt;z-index:251728896;" filled="false" strokecolor="#231F20" strokeweight="0.37pt" coordsize="6432,8" coordorigin="0,0" path="m0,3l6432,3e">
            <v:stroke joinstyle="miter" miterlimit="4"/>
          </v:shape>
        </w:pict>
      </w:r>
      <w:r/>
    </w:p>
    <w:p>
      <w:pPr>
        <w:spacing w:line="276" w:lineRule="auto"/>
        <w:rPr>
          <w:rFonts w:ascii="Arial"/>
          <w:sz w:val="21"/>
        </w:rPr>
      </w:pPr>
      <w:r>
        <w:pict>
          <v:shape id="_x0000_s84" style="position:absolute;margin-left:24.4142pt;margin-top:13.7699pt;mso-position-vertical-relative:text;mso-position-horizontal-relative:text;width:481.9pt;height:0.45pt;z-index:-251589632;" filled="false" strokecolor="#231F20" strokeweight="0.43pt" coordsize="9637,8" coordorigin="0,0" path="m0,4l9637,4e">
            <v:stroke joinstyle="miter" miterlimit="4"/>
          </v:shape>
        </w:pict>
      </w: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116" w:line="180" w:lineRule="auto"/>
        <w:jc w:val="right"/>
        <w:rPr>
          <w:sz w:val="27"/>
          <w:szCs w:val="27"/>
        </w:rPr>
      </w:pPr>
      <w:r>
        <w:rPr>
          <w:sz w:val="27"/>
          <w:szCs w:val="27"/>
          <w:color w:val="231F20"/>
          <w:spacing w:val="32"/>
          <w:w w:val="125"/>
        </w:rPr>
        <w:t>·启事</w:t>
      </w:r>
      <w:r>
        <w:rPr>
          <w:sz w:val="27"/>
          <w:szCs w:val="27"/>
          <w:color w:val="231F20"/>
          <w:spacing w:val="-27"/>
        </w:rPr>
        <w:t xml:space="preserve"> </w:t>
      </w:r>
      <w:r>
        <w:rPr>
          <w:sz w:val="27"/>
          <w:szCs w:val="27"/>
          <w:color w:val="231F20"/>
          <w:spacing w:val="32"/>
          <w:w w:val="125"/>
        </w:rPr>
        <w:t>·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57"/>
        <w:spacing w:before="88" w:line="358" w:lineRule="exact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color w:val="231F20"/>
          <w:spacing w:val="4"/>
          <w:position w:val="1"/>
        </w:rPr>
        <w:t>《中华妇产科杂志》编辑部人员变动及通信地址变</w:t>
      </w:r>
      <w:r>
        <w:rPr>
          <w:rFonts w:ascii="SimHei" w:hAnsi="SimHei" w:eastAsia="SimHei" w:cs="SimHei"/>
          <w:sz w:val="27"/>
          <w:szCs w:val="27"/>
          <w:color w:val="231F20"/>
          <w:spacing w:val="3"/>
          <w:position w:val="1"/>
        </w:rPr>
        <w:t>更的启事</w:t>
      </w:r>
    </w:p>
    <w:p>
      <w:pPr>
        <w:rPr/>
      </w:pPr>
      <w:r/>
    </w:p>
    <w:p>
      <w:pPr>
        <w:sectPr>
          <w:type w:val="continuous"/>
          <w:pgSz w:w="12246" w:h="16498"/>
          <w:pgMar w:top="1221" w:right="1236" w:bottom="0" w:left="819" w:header="971" w:footer="0" w:gutter="0"/>
          <w:cols w:equalWidth="0" w:num="1">
            <w:col w:w="10189" w:space="0"/>
          </w:cols>
        </w:sectPr>
        <w:rPr/>
      </w:pPr>
    </w:p>
    <w:p>
      <w:pPr>
        <w:pStyle w:val="BodyText"/>
        <w:ind w:left="487" w:right="473" w:firstLine="366"/>
        <w:spacing w:before="42" w:line="217" w:lineRule="auto"/>
        <w:jc w:val="both"/>
        <w:rPr>
          <w:sz w:val="17"/>
          <w:szCs w:val="17"/>
        </w:rPr>
      </w:pPr>
      <w:r>
        <w:rPr>
          <w:sz w:val="17"/>
          <w:szCs w:val="17"/>
          <w:color w:val="231F20"/>
          <w:spacing w:val="11"/>
        </w:rPr>
        <w:t>为了工作需要以及未来发展，在中华医学会及中华医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12"/>
        </w:rPr>
        <w:t>学会杂志社的部署下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12"/>
        </w:rPr>
        <w:t>，中华妇产科杂志编辑部于</w:t>
      </w:r>
      <w:r>
        <w:rPr>
          <w:sz w:val="17"/>
          <w:szCs w:val="17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2"/>
        </w:rPr>
        <w:t>2020 </w:t>
      </w:r>
      <w:r>
        <w:rPr>
          <w:sz w:val="17"/>
          <w:szCs w:val="17"/>
          <w:color w:val="231F20"/>
          <w:spacing w:val="12"/>
        </w:rPr>
        <w:t>年</w:t>
      </w:r>
      <w:r>
        <w:rPr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1"/>
        </w:rPr>
        <w:t>5 </w:t>
      </w:r>
      <w:r>
        <w:rPr>
          <w:sz w:val="17"/>
          <w:szCs w:val="17"/>
          <w:color w:val="231F20"/>
          <w:spacing w:val="11"/>
        </w:rPr>
        <w:t>月进行了编辑人员的调动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1"/>
        </w:rPr>
        <w:t>，新进编辑张楠（分管产科专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业）。 另，于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2019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5"/>
        </w:rPr>
        <w:t>年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5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1"/>
        </w:rPr>
        <w:t xml:space="preserve"> </w:t>
      </w:r>
      <w:r>
        <w:rPr>
          <w:sz w:val="17"/>
          <w:szCs w:val="17"/>
          <w:color w:val="231F20"/>
          <w:spacing w:val="-5"/>
        </w:rPr>
        <w:t>月更换了办公地点，邮寄地</w:t>
      </w:r>
      <w:r>
        <w:rPr>
          <w:sz w:val="17"/>
          <w:szCs w:val="17"/>
          <w:color w:val="231F20"/>
          <w:spacing w:val="-6"/>
        </w:rPr>
        <w:t>址（包括邮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3"/>
        </w:rPr>
        <w:t>政编码）以及办公电话、电子邮箱因此有相应变更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3"/>
        </w:rPr>
        <w:t>。具体启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5"/>
        </w:rPr>
        <w:t>事如下：</w:t>
      </w:r>
    </w:p>
    <w:p>
      <w:pPr>
        <w:pStyle w:val="BodyText"/>
        <w:ind w:left="861"/>
        <w:spacing w:line="21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邮寄地址：</w:t>
      </w:r>
    </w:p>
    <w:p>
      <w:pPr>
        <w:pStyle w:val="BodyText"/>
        <w:ind w:left="418" w:right="474" w:firstLine="430"/>
        <w:spacing w:before="12" w:line="21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3"/>
        </w:rPr>
        <w:t>北京市西城区宣武门东河沿街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3"/>
        </w:rPr>
        <w:t>69 </w:t>
      </w:r>
      <w:r>
        <w:rPr>
          <w:sz w:val="17"/>
          <w:szCs w:val="17"/>
          <w:color w:val="231F20"/>
          <w:spacing w:val="13"/>
        </w:rPr>
        <w:t>号正弘大厦</w:t>
      </w:r>
      <w:r>
        <w:rPr>
          <w:sz w:val="17"/>
          <w:szCs w:val="17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13"/>
        </w:rPr>
        <w:t>315 </w:t>
      </w:r>
      <w:r>
        <w:rPr>
          <w:sz w:val="17"/>
          <w:szCs w:val="17"/>
          <w:color w:val="231F20"/>
          <w:spacing w:val="13"/>
        </w:rPr>
        <w:t>室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（邮政编码：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100052</w:t>
      </w:r>
      <w:r>
        <w:rPr>
          <w:sz w:val="17"/>
          <w:szCs w:val="17"/>
          <w:color w:val="231F20"/>
          <w:spacing w:val="-2"/>
        </w:rPr>
        <w:t>）</w:t>
      </w:r>
    </w:p>
    <w:p>
      <w:pPr>
        <w:pStyle w:val="BodyText"/>
        <w:ind w:left="854"/>
        <w:spacing w:before="1" w:line="16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编辑部电子信箱：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cjog@cmaph.org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1"/>
        <w:spacing w:before="40" w:line="212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6"/>
        </w:rPr>
        <w:t>办公电话：</w:t>
      </w:r>
    </w:p>
    <w:p>
      <w:pPr>
        <w:pStyle w:val="BodyText"/>
        <w:spacing w:before="6" w:line="211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编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4"/>
        </w:rPr>
        <w:t>辑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部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4"/>
        </w:rPr>
        <w:t>副</w:t>
      </w:r>
      <w:r>
        <w:rPr>
          <w:sz w:val="17"/>
          <w:szCs w:val="17"/>
          <w:color w:val="231F20"/>
          <w:spacing w:val="-9"/>
        </w:rPr>
        <w:t xml:space="preserve"> </w:t>
      </w:r>
      <w:r>
        <w:rPr>
          <w:sz w:val="17"/>
          <w:szCs w:val="17"/>
          <w:color w:val="231F20"/>
          <w:spacing w:val="-4"/>
        </w:rPr>
        <w:t>主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4"/>
        </w:rPr>
        <w:t>任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4"/>
        </w:rPr>
        <w:t>：沈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4"/>
        </w:rPr>
        <w:t>平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sz w:val="17"/>
          <w:szCs w:val="17"/>
          <w:color w:val="231F20"/>
          <w:spacing w:val="-4"/>
        </w:rPr>
        <w:t>虎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010-51322425</w:t>
      </w:r>
      <w:r>
        <w:rPr>
          <w:sz w:val="17"/>
          <w:szCs w:val="17"/>
          <w:color w:val="231F20"/>
          <w:spacing w:val="-4"/>
        </w:rPr>
        <w:t>，电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4"/>
        </w:rPr>
        <w:t>子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-4"/>
        </w:rPr>
        <w:t>信</w:t>
      </w:r>
      <w:r>
        <w:rPr>
          <w:sz w:val="17"/>
          <w:szCs w:val="17"/>
          <w:color w:val="231F20"/>
          <w:spacing w:val="-17"/>
        </w:rPr>
        <w:t xml:space="preserve"> </w:t>
      </w:r>
      <w:r>
        <w:rPr>
          <w:sz w:val="17"/>
          <w:szCs w:val="17"/>
          <w:color w:val="231F20"/>
          <w:spacing w:val="-4"/>
        </w:rPr>
        <w:t>箱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color w:val="231F20"/>
          <w:spacing w:val="-4"/>
        </w:rPr>
        <w:t>：</w:t>
      </w:r>
    </w:p>
    <w:p>
      <w:pPr>
        <w:pStyle w:val="BodyText"/>
        <w:ind w:left="3"/>
        <w:spacing w:before="25" w:line="17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shenpinghu@cmaph.org</w:t>
      </w:r>
      <w:r>
        <w:rPr>
          <w:sz w:val="17"/>
          <w:szCs w:val="17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shenpinghu@cma.org.cn</w:t>
      </w:r>
    </w:p>
    <w:p>
      <w:pPr>
        <w:pStyle w:val="BodyText"/>
        <w:ind w:left="364"/>
        <w:spacing w:before="29" w:line="21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编辑：</w:t>
      </w:r>
    </w:p>
    <w:p>
      <w:pPr>
        <w:pStyle w:val="BodyText"/>
        <w:ind w:left="1" w:right="66" w:firstLine="357"/>
        <w:spacing w:before="6" w:line="21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姚红萍，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010-51322426</w:t>
      </w:r>
      <w:r>
        <w:rPr>
          <w:sz w:val="17"/>
          <w:szCs w:val="17"/>
          <w:color w:val="231F20"/>
          <w:spacing w:val="-1"/>
        </w:rPr>
        <w:t>，电子</w:t>
      </w:r>
      <w:r>
        <w:rPr>
          <w:sz w:val="17"/>
          <w:szCs w:val="17"/>
          <w:color w:val="231F20"/>
          <w:spacing w:val="-2"/>
        </w:rPr>
        <w:t>信箱：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2"/>
        </w:rPr>
        <w:t>yaohongping@cmaph.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org</w:t>
      </w:r>
      <w:r>
        <w:rPr>
          <w:sz w:val="17"/>
          <w:szCs w:val="17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yaohp@cma.org.cn</w:t>
      </w:r>
    </w:p>
    <w:p>
      <w:pPr>
        <w:pStyle w:val="BodyText"/>
        <w:ind w:left="364"/>
        <w:spacing w:before="1" w:line="20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sz w:val="17"/>
          <w:szCs w:val="17"/>
          <w:color w:val="231F20"/>
          <w:spacing w:val="-3"/>
        </w:rPr>
        <w:t>张楠，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010-51322421</w:t>
      </w:r>
      <w:r>
        <w:rPr>
          <w:sz w:val="17"/>
          <w:szCs w:val="17"/>
          <w:color w:val="231F20"/>
          <w:spacing w:val="-3"/>
        </w:rPr>
        <w:t>，电子信箱：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zhangnan@cmaph.org</w:t>
      </w:r>
    </w:p>
    <w:p>
      <w:pPr>
        <w:pStyle w:val="BodyText"/>
        <w:ind w:right="3"/>
        <w:spacing w:before="20" w:line="211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编辑干事：胡静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</w:rPr>
        <w:t>010-51322427/51322407</w:t>
      </w:r>
      <w:r>
        <w:rPr>
          <w:sz w:val="17"/>
          <w:szCs w:val="17"/>
          <w:color w:val="231F20"/>
          <w:spacing w:val="3"/>
        </w:rPr>
        <w:t>，电子信箱：</w:t>
      </w:r>
    </w:p>
    <w:p>
      <w:pPr>
        <w:spacing w:before="26" w:line="21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hujing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@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cmaph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org</w:t>
      </w:r>
    </w:p>
    <w:sectPr>
      <w:type w:val="continuous"/>
      <w:pgSz w:w="12246" w:h="16498"/>
      <w:pgMar w:top="1221" w:right="1236" w:bottom="0" w:left="819" w:header="971" w:footer="0" w:gutter="0"/>
      <w:cols w:equalWidth="0" w:num="2">
        <w:col w:w="5493" w:space="100"/>
        <w:col w:w="45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75pt;margin-top:260.882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0" style="position:absolute;margin-left:175pt;margin-top:260.882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2" style="position:absolute;margin-left:475.111pt;margin-top:1.91334pt;mso-position-vertical-relative:text;mso-position-horizontal-relative:text;width:33.95pt;height:13.1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4"/>
                    <w:w w:val="116"/>
                  </w:rPr>
                  <w:t>567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09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16" style="position:absolute;margin-left:175pt;margin-top:260.882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8" style="position:absolute;margin-left:24.5598pt;margin-top:1.91334pt;mso-position-vertical-relative:text;mso-position-horizontal-relative:text;width:33.95pt;height:13.1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5"/>
                    <w:w w:val="114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8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5"/>
                    <w:w w:val="114"/>
                  </w:rPr>
                  <w:t>568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5"/>
                    <w:w w:val="114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2" style="position:absolute;margin-left:175pt;margin-top:260.882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4" style="position:absolute;margin-left:475.111pt;margin-top:1.91334pt;mso-position-vertical-relative:text;mso-position-horizontal-relative:text;width:33.95pt;height:13.1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4"/>
                    <w:w w:val="116"/>
                  </w:rPr>
                  <w:t>569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09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28" style="position:absolute;margin-left:175pt;margin-top:260.882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30" style="position:absolute;margin-left:24.5598pt;margin-top:1.91334pt;mso-position-vertical-relative:text;mso-position-horizontal-relative:text;width:33.95pt;height:13.1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4"/>
                    <w:w w:val="116"/>
                  </w:rPr>
                  <w:t>570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34" style="position:absolute;margin-left:40.9952pt;margin-top:761.949pt;mso-position-vertical-relative:page;mso-position-horizontal-relative:page;width:220.95pt;height:24pt;z-index:-251649024;" o:allowincell="f" filled="false" stroked="false" type="#_x0000_t75">
          <v:imagedata o:title="" r:id="rId1"/>
        </v:shape>
      </w:pict>
    </w:r>
    <w:r>
      <w:pict>
        <v:shape id="_x0000_s36" style="position:absolute;margin-left:475.111pt;margin-top:1.91334pt;mso-position-vertical-relative:text;mso-position-horizontal-relative:text;width:33.95pt;height:13.1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9"/>
                    <w:w w:val="107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8"/>
                    <w:w w:val="10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9"/>
                    <w:w w:val="107"/>
                  </w:rPr>
                  <w:t>571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9"/>
                    <w:w w:val="107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36"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62" style="position:absolute;margin-left:175pt;margin-top:260.882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pict>
        <v:shape id="WordPictureWatermark64" style="position:absolute;margin-left:40.9952pt;margin-top:761.949pt;mso-position-vertical-relative:page;mso-position-horizontal-relative:page;width:220.95pt;height:24pt;z-index:-251645952;" o:allowincell="f" filled="false" stroked="false" type="#_x0000_t75">
          <v:imagedata o:title="" r:id="rId2"/>
        </v:shape>
      </w:pict>
    </w:r>
    <w:r>
      <w:pict>
        <v:shape id="_x0000_s66" style="position:absolute;margin-left:24.5598pt;margin-top:1.91334pt;mso-position-vertical-relative:text;mso-position-horizontal-relative:text;width:33.95pt;height:13.1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3"/>
                    <w:w w:val="118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6"/>
                    <w:w w:val="102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3"/>
                    <w:w w:val="118"/>
                  </w:rPr>
                  <w:t>572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3"/>
                    <w:w w:val="118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4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70" style="position:absolute;margin-left:175pt;margin-top:260.882pt;mso-position-vertical-relative:page;mso-position-horizontal-relative:page;width:267pt;height:306pt;z-index:-251642880;" o:allowincell="f" filled="false" stroked="false" type="#_x0000_t75">
          <v:imagedata o:title="" r:id="rId1"/>
        </v:shape>
      </w:pict>
    </w:r>
    <w:r>
      <w:pict>
        <v:shape id="WordPictureWatermark72" style="position:absolute;margin-left:40.9952pt;margin-top:761.949pt;mso-position-vertical-relative:page;mso-position-horizontal-relative:page;width:220.95pt;height:24pt;z-index:-251643904;" o:allowincell="f" filled="false" stroked="false" type="#_x0000_t75">
          <v:imagedata o:title="" r:id="rId2"/>
        </v:shape>
      </w:pict>
    </w:r>
    <w:r>
      <w:pict>
        <v:shape id="_x0000_s74" style="position:absolute;margin-left:475.111pt;margin-top:1.91334pt;mso-position-vertical-relative:text;mso-position-horizontal-relative:text;width:33.95pt;height:13.1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4"/>
                    <w:w w:val="116"/>
                  </w:rPr>
                  <w:t>573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4"/>
                    <w:w w:val="11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09"/>
      <w:spacing w:before="36" w:line="189" w:lineRule="auto"/>
      <w:rPr>
        <w:rFonts w:ascii="Times New Roman" w:hAnsi="Times New Roman" w:eastAsia="Times New Roman" w:cs="Times New Roman"/>
        <w:sz w:val="15"/>
        <w:szCs w:val="15"/>
      </w:rPr>
    </w:pPr>
    <w:r>
      <w:pict>
        <v:shape id="WordPictureWatermark78" style="position:absolute;margin-left:40.9952pt;margin-top:761.949pt;mso-position-vertical-relative:page;mso-position-horizontal-relative:page;width:220.95pt;height:24pt;z-index:-251640832;" o:allowincell="f" filled="false" stroked="false" type="#_x0000_t75">
          <v:imagedata o:title="" r:id="rId1"/>
        </v:shape>
      </w:pict>
    </w:r>
    <w:r>
      <w:pict>
        <v:shape id="_x0000_s80" style="position:absolute;margin-left:24.5598pt;margin-top:1.91334pt;mso-position-vertical-relative:text;mso-position-horizontal-relative:text;width:33.95pt;height:13.1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7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color w:val="231F20"/>
                    <w:spacing w:val="12"/>
                    <w:w w:val="119"/>
                  </w:rPr>
                  <w:t>·</w:t>
                </w:r>
                <w:r>
                  <w:rPr>
                    <w:sz w:val="15"/>
                    <w:szCs w:val="15"/>
                    <w:color w:val="231F20"/>
                    <w:spacing w:val="38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12"/>
                    <w:w w:val="119"/>
                  </w:rPr>
                  <w:t>574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color w:val="231F20"/>
                    <w:spacing w:val="9"/>
                    <w:w w:val="101"/>
                  </w:rPr>
                  <w:t xml:space="preserve">   </w:t>
                </w:r>
                <w:r>
                  <w:rPr>
                    <w:sz w:val="15"/>
                    <w:szCs w:val="15"/>
                    <w:color w:val="231F20"/>
                    <w:spacing w:val="12"/>
                    <w:w w:val="119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sz w:val="15"/>
        <w:szCs w:val="15"/>
        <w:color w:val="231F20"/>
        <w:spacing w:val="4"/>
      </w:rPr>
      <w:t>中华妇产科杂志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2022 </w:t>
    </w:r>
    <w:r>
      <w:rPr>
        <w:shd w:val="clear" w:fill="FFFFFE"/>
        <w:sz w:val="15"/>
        <w:szCs w:val="15"/>
        <w:color w:val="231F20"/>
        <w:spacing w:val="4"/>
      </w:rPr>
      <w:t>年</w:t>
    </w:r>
    <w:r>
      <w:rPr>
        <w:shd w:val="clear" w:fill="FFFFFE"/>
        <w:sz w:val="15"/>
        <w:szCs w:val="15"/>
        <w:color w:val="231F20"/>
        <w:spacing w:val="-1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8 </w:t>
    </w:r>
    <w:r>
      <w:rPr>
        <w:shd w:val="clear" w:fill="FFFFFE"/>
        <w:sz w:val="15"/>
        <w:szCs w:val="15"/>
        <w:color w:val="231F20"/>
        <w:spacing w:val="4"/>
      </w:rPr>
      <w:t>月第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4"/>
      </w:rPr>
      <w:t>57 </w:t>
    </w:r>
    <w:r>
      <w:rPr>
        <w:shd w:val="clear" w:fill="FFFFFE"/>
        <w:sz w:val="15"/>
        <w:szCs w:val="15"/>
        <w:color w:val="231F20"/>
        <w:spacing w:val="4"/>
      </w:rPr>
      <w:t>卷第</w:t>
    </w:r>
    <w:r>
      <w:rPr>
        <w:shd w:val="clear" w:fill="FFFFFE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6"/>
      </w:rPr>
      <w:t xml:space="preserve"> </w:t>
    </w:r>
    <w:r>
      <w:rPr>
        <w:shd w:val="clear" w:fill="FFFFFE"/>
        <w:sz w:val="15"/>
        <w:szCs w:val="15"/>
        <w:color w:val="231F20"/>
        <w:spacing w:val="3"/>
      </w:rPr>
      <w:t>期   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Chin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J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1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Obstet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0"/>
        <w:w w:val="102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Gynecol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,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August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8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2022,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7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Vol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57,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9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</w:rPr>
      <w:t>No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.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12"/>
        <w:w w:val="101"/>
      </w:rPr>
      <w:t xml:space="preserve"> </w:t>
    </w:r>
    <w:r>
      <w:rPr>
        <w:shd w:val="clear" w:fill="FFFFFE"/>
        <w:rFonts w:ascii="Times New Roman" w:hAnsi="Times New Roman" w:eastAsia="Times New Roman" w:cs="Times New Roman"/>
        <w:sz w:val="15"/>
        <w:szCs w:val="15"/>
        <w:color w:val="231F20"/>
        <w:spacing w:val="3"/>
      </w:rPr>
      <w:t>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image" Target="media/image3.png"/><Relationship Id="rId22" Type="http://schemas.openxmlformats.org/officeDocument/2006/relationships/fontTable" Target="fontTable.xml"/><Relationship Id="rId21" Type="http://schemas.openxmlformats.org/officeDocument/2006/relationships/styles" Target="styles.xml"/><Relationship Id="rId20" Type="http://schemas.openxmlformats.org/officeDocument/2006/relationships/settings" Target="settings.xml"/><Relationship Id="rId2" Type="http://schemas.openxmlformats.org/officeDocument/2006/relationships/image" Target="media/image2.png"/><Relationship Id="rId19" Type="http://schemas.openxmlformats.org/officeDocument/2006/relationships/header" Target="header9.xml"/><Relationship Id="rId18" Type="http://schemas.openxmlformats.org/officeDocument/2006/relationships/hyperlink" Target="https://www.nccn" TargetMode="External"/><Relationship Id="rId17" Type="http://schemas.openxmlformats.org/officeDocument/2006/relationships/header" Target="header8.xml"/><Relationship Id="rId16" Type="http://schemas.openxmlformats.org/officeDocument/2006/relationships/header" Target="header7.xml"/><Relationship Id="rId15" Type="http://schemas.openxmlformats.org/officeDocument/2006/relationships/hyperlink" Target="https://www" TargetMode="External"/><Relationship Id="rId14" Type="http://schemas.openxmlformats.org/officeDocument/2006/relationships/hyperlink" Target="https://www.rcog.org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8.2.0.1726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中国子宫内膜增生管理指南</dc:title>
  <dc:subject>中华妇产科杂志2022年08期</dc:subject>
  <dc:creator>李雷</dc:creator>
  <dcterms:created xsi:type="dcterms:W3CDTF">2022-08-25T18:54:54Z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2025-10-28T22:20:19</vt:filetime>
  </property>
</Properties>
</file>