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727"/>
        <w:spacing w:before="284" w:line="19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28"/>
        </w:rPr>
        <w:t>·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28"/>
        </w:rPr>
        <w:t>专家共识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28"/>
        </w:rPr>
        <w:t>·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020"/>
        <w:spacing w:before="101" w:line="218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5"/>
        </w:rPr>
        <w:t>子宫颈低级别鳞状上皮内病变管理的中国专家共识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2977"/>
        <w:spacing w:before="90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毕蕙       李明珠       赵超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 xml:space="preserve">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赵昀       尤志学       耿力</w:t>
      </w:r>
    </w:p>
    <w:p>
      <w:pPr>
        <w:ind w:left="3401"/>
        <w:spacing w:before="20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李静然       丛青       李双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隋龙       魏丽惠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1066" w:right="470" w:firstLine="348"/>
        <w:spacing w:before="58" w:line="296" w:lineRule="auto"/>
        <w:jc w:val="both"/>
        <w:rPr/>
      </w:pPr>
      <w:r>
        <w:rPr>
          <w:color w:val="231F20"/>
          <w:spacing w:val="1"/>
        </w:rPr>
        <w:t>【</w:t>
      </w:r>
      <w:r>
        <w:rPr>
          <w:rFonts w:ascii="SimHei" w:hAnsi="SimHei" w:eastAsia="SimHei" w:cs="SimHei"/>
          <w:color w:val="231F20"/>
          <w:spacing w:val="1"/>
        </w:rPr>
        <w:t>摘要</w:t>
      </w:r>
      <w:r>
        <w:rPr>
          <w:color w:val="231F20"/>
          <w:spacing w:val="1"/>
        </w:rPr>
        <w:t>】 子宫颈低级别鳞状上皮内病变（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"/>
        </w:rPr>
        <w:t>）多为人乳头瘤病毒（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1"/>
        </w:rPr>
        <w:t>）一过性感染引起临床及病理形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态学改变的一种鳞状上皮内病变，有较高的逆</w:t>
      </w:r>
      <w:r>
        <w:rPr>
          <w:color w:val="231F20"/>
        </w:rPr>
        <w:t>转率，合并或进展到浸润癌的风险极低。中国优生科学协会阴道镜 </w:t>
      </w:r>
      <w:r>
        <w:rPr>
          <w:color w:val="231F20"/>
        </w:rPr>
        <w:t>和宫颈病理学分会（</w:t>
      </w:r>
      <w:r>
        <w:rPr>
          <w:rFonts w:ascii="Times New Roman" w:hAnsi="Times New Roman" w:eastAsia="Times New Roman" w:cs="Times New Roman"/>
          <w:color w:val="231F20"/>
        </w:rPr>
        <w:t>CSCCP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</w:rPr>
        <w:t>）专家组结合国内外最新进展和</w:t>
      </w:r>
      <w:r>
        <w:rPr>
          <w:color w:val="231F20"/>
          <w:spacing w:val="-1"/>
        </w:rPr>
        <w:t>中国国情，制定了本共识。共识中阐释了子宫颈低级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别鳞状上皮内病变的概念、转归、阴道镜评估</w:t>
      </w:r>
      <w:r>
        <w:rPr>
          <w:color w:val="231F20"/>
        </w:rPr>
        <w:t>的意义、管理流程等相关问题。规范子宫颈低级别鳞状上皮内病变 </w:t>
      </w:r>
      <w:r>
        <w:rPr>
          <w:color w:val="231F20"/>
        </w:rPr>
        <w:t>的管理，以指导临床实践，并避免对其过度干预及诊断中高级别上皮内病变</w:t>
      </w:r>
      <w:r>
        <w:rPr>
          <w:color w:val="231F20"/>
          <w:spacing w:val="-1"/>
        </w:rPr>
        <w:t>的漏诊。</w:t>
      </w:r>
    </w:p>
    <w:p>
      <w:pPr>
        <w:pStyle w:val="BodyText"/>
        <w:ind w:left="1413"/>
        <w:spacing w:before="8" w:line="240" w:lineRule="exact"/>
        <w:rPr/>
      </w:pPr>
      <w:r>
        <w:rPr>
          <w:color w:val="231F20"/>
          <w:position w:val="1"/>
        </w:rPr>
        <w:t>【</w:t>
      </w:r>
      <w:r>
        <w:rPr>
          <w:rFonts w:ascii="SimHei" w:hAnsi="SimHei" w:eastAsia="SimHei" w:cs="SimHei"/>
          <w:color w:val="231F20"/>
          <w:position w:val="1"/>
        </w:rPr>
        <w:t>关键词</w:t>
      </w:r>
      <w:r>
        <w:rPr>
          <w:color w:val="231F20"/>
          <w:position w:val="1"/>
        </w:rPr>
        <w:t>】 低级别鳞状上皮内病变；子宫颈；管理</w:t>
      </w:r>
    </w:p>
    <w:p>
      <w:pPr>
        <w:spacing w:before="150"/>
        <w:rPr/>
      </w:pPr>
      <w:r/>
    </w:p>
    <w:p>
      <w:pPr>
        <w:sectPr>
          <w:headerReference w:type="default" r:id="rId1"/>
          <w:pgSz w:w="11623" w:h="15875"/>
          <w:pgMar w:top="1188" w:right="834" w:bottom="0" w:left="407" w:header="941" w:footer="0" w:gutter="0"/>
          <w:cols w:equalWidth="0" w:num="1">
            <w:col w:w="10380" w:space="0"/>
          </w:cols>
        </w:sectPr>
        <w:rPr/>
      </w:pPr>
    </w:p>
    <w:p>
      <w:pPr>
        <w:pStyle w:val="BodyText"/>
        <w:ind w:left="671" w:right="148" w:firstLine="399"/>
        <w:spacing w:before="42" w:line="286" w:lineRule="auto"/>
        <w:jc w:val="both"/>
        <w:rPr/>
      </w:pPr>
      <w:r>
        <w:rPr>
          <w:color w:val="231F20"/>
          <w:spacing w:val="4"/>
        </w:rPr>
        <w:t>子宫颈上皮内病变分类依据《第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5 </w:t>
      </w:r>
      <w:r>
        <w:rPr>
          <w:color w:val="231F20"/>
          <w:spacing w:val="4"/>
        </w:rPr>
        <w:t>版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WHO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女性生殖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器官肿瘤分类》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[1]</w:t>
      </w:r>
      <w:r>
        <w:rPr>
          <w:color w:val="231F20"/>
          <w:spacing w:val="-2"/>
        </w:rPr>
        <w:t>，继续沿用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2014 </w:t>
      </w:r>
      <w:r>
        <w:rPr>
          <w:color w:val="231F20"/>
          <w:spacing w:val="-2"/>
        </w:rPr>
        <w:t>年第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4 </w:t>
      </w:r>
      <w:r>
        <w:rPr>
          <w:color w:val="231F20"/>
          <w:spacing w:val="-2"/>
        </w:rPr>
        <w:t>版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WH</w:t>
      </w:r>
      <w:r>
        <w:rPr>
          <w:rFonts w:ascii="Times New Roman" w:hAnsi="Times New Roman" w:eastAsia="Times New Roman" w:cs="Times New Roman"/>
          <w:color w:val="231F20"/>
          <w:spacing w:val="-3"/>
        </w:rPr>
        <w:t>O </w:t>
      </w:r>
      <w:r>
        <w:rPr>
          <w:color w:val="231F20"/>
          <w:spacing w:val="-3"/>
        </w:rPr>
        <w:t>分类中鳞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状上皮内病变的两级分类，即低级别鳞状上皮内病变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low-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-1"/>
        </w:rPr>
        <w:t>grade squamous intraepit</w:t>
      </w:r>
      <w:r>
        <w:rPr>
          <w:rFonts w:ascii="Times New Roman" w:hAnsi="Times New Roman" w:eastAsia="Times New Roman" w:cs="Times New Roman"/>
          <w:color w:val="231F20"/>
          <w:spacing w:val="-2"/>
        </w:rPr>
        <w:t>helial lesion, LSIL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-47"/>
          <w:w w:val="97"/>
        </w:rPr>
        <w:t>），</w:t>
      </w:r>
      <w:r>
        <w:rPr>
          <w:color w:val="231F20"/>
          <w:spacing w:val="-2"/>
        </w:rPr>
        <w:t>包括子宫颈上皮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内瘤变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 </w:t>
      </w:r>
      <w:r>
        <w:rPr>
          <w:color w:val="231F20"/>
          <w:spacing w:val="-2"/>
        </w:rPr>
        <w:t>级（</w:t>
      </w:r>
      <w:r>
        <w:rPr>
          <w:rFonts w:ascii="Times New Roman" w:hAnsi="Times New Roman" w:eastAsia="Times New Roman" w:cs="Times New Roman"/>
          <w:color w:val="231F20"/>
          <w:spacing w:val="-2"/>
        </w:rPr>
        <w:t>cervical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intraepithelial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neoplasia,</w:t>
      </w:r>
      <w:r>
        <w:rPr>
          <w:rFonts w:ascii="Times New Roman" w:hAnsi="Times New Roman" w:eastAsia="Times New Roman" w:cs="Times New Roman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CIN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40"/>
        </w:rPr>
        <w:t>）；</w:t>
      </w:r>
      <w:r>
        <w:rPr>
          <w:color w:val="231F20"/>
          <w:spacing w:val="-2"/>
        </w:rPr>
        <w:t>高级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别鳞状上皮内病变（</w:t>
      </w:r>
      <w:r>
        <w:rPr>
          <w:rFonts w:ascii="Times New Roman" w:hAnsi="Times New Roman" w:eastAsia="Times New Roman" w:cs="Times New Roman"/>
          <w:color w:val="231F20"/>
          <w:spacing w:val="-2"/>
        </w:rPr>
        <w:t>high grade squamous intraepithelial lesion,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5"/>
        </w:rPr>
        <w:t>HSIL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-47"/>
          <w:w w:val="98"/>
        </w:rPr>
        <w:t>），</w:t>
      </w:r>
      <w:r>
        <w:rPr>
          <w:color w:val="231F20"/>
          <w:spacing w:val="-5"/>
        </w:rPr>
        <w:t>包括子宫颈上皮内瘤变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2 </w:t>
      </w:r>
      <w:r>
        <w:rPr>
          <w:color w:val="231F20"/>
          <w:spacing w:val="-5"/>
        </w:rPr>
        <w:t>级或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3 </w:t>
      </w:r>
      <w:r>
        <w:rPr>
          <w:color w:val="231F20"/>
          <w:spacing w:val="-5"/>
        </w:rPr>
        <w:t>级（</w:t>
      </w:r>
      <w:r>
        <w:rPr>
          <w:rFonts w:ascii="Times New Roman" w:hAnsi="Times New Roman" w:eastAsia="Times New Roman" w:cs="Times New Roman"/>
          <w:color w:val="231F20"/>
          <w:spacing w:val="-5"/>
        </w:rPr>
        <w:t>CIN2,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CIN</w:t>
      </w:r>
      <w:r>
        <w:rPr>
          <w:rFonts w:ascii="Times New Roman" w:hAnsi="Times New Roman" w:eastAsia="Times New Roman" w:cs="Times New Roman"/>
          <w:color w:val="231F20"/>
          <w:spacing w:val="-6"/>
        </w:rPr>
        <w:t>3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6"/>
        </w:rPr>
        <w:t>）。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目前，临床中对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HSIL</w:t>
      </w: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CIN2,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CIN3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3"/>
        </w:rPr>
        <w:t>）的管理已达成共识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[2]</w:t>
      </w:r>
      <w:r>
        <w:rPr>
          <w:color w:val="231F20"/>
          <w:spacing w:val="-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但对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LSIL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的管理和规范还存在不足，一方面对于子宫颈癌</w:t>
      </w:r>
      <w:r>
        <w:rPr>
          <w:color w:val="231F20"/>
        </w:rPr>
        <w:t xml:space="preserve">  </w:t>
      </w:r>
      <w:r>
        <w:rPr>
          <w:color w:val="231F20"/>
        </w:rPr>
        <w:t>筛查异常并经过阴道镜活检病理学诊断为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LSIL </w:t>
      </w:r>
      <w:r>
        <w:rPr>
          <w:color w:val="231F20"/>
        </w:rPr>
        <w:t>者，如何避  </w:t>
      </w:r>
      <w:r>
        <w:rPr>
          <w:color w:val="231F20"/>
          <w:spacing w:val="4"/>
        </w:rPr>
        <w:t>免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漏诊；另一方面如何评估其进展到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的风险，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避免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LSIL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color w:val="231F20"/>
          <w:spacing w:val="-1"/>
        </w:rPr>
        <w:t>的过度干预，需要进一步明确。本共识主要针对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组织病理学诊断的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1"/>
        </w:rPr>
        <w:t>，子宫颈细胞学结果为低级别鳞状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上皮内病变的管理不在此共识讨论范围内。</w:t>
      </w:r>
    </w:p>
    <w:p>
      <w:pPr>
        <w:pStyle w:val="BodyText"/>
        <w:ind w:left="1070"/>
        <w:spacing w:before="20" w:line="211" w:lineRule="auto"/>
        <w:rPr/>
      </w:pPr>
      <w:r>
        <w:rPr>
          <w:color w:val="231F20"/>
          <w:spacing w:val="-1"/>
        </w:rPr>
        <w:t>一、子宫颈低级别鳞状上皮内病变的概念和转归</w:t>
      </w:r>
    </w:p>
    <w:p>
      <w:pPr>
        <w:pStyle w:val="BodyText"/>
        <w:ind w:left="665" w:right="219" w:firstLine="409"/>
        <w:spacing w:before="71" w:line="285" w:lineRule="auto"/>
        <w:rPr/>
      </w:pPr>
      <w:r>
        <w:rPr>
          <w:color w:val="231F20"/>
          <w:spacing w:val="-4"/>
        </w:rPr>
        <w:t>约超过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80%</w:t>
      </w:r>
      <w:r>
        <w:rPr>
          <w:rFonts w:ascii="Times New Roman" w:hAnsi="Times New Roman" w:eastAsia="Times New Roman" w:cs="Times New Roman"/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的组织病理学诊断的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LSIL </w:t>
      </w:r>
      <w:r>
        <w:rPr>
          <w:color w:val="231F20"/>
          <w:spacing w:val="-4"/>
        </w:rPr>
        <w:t>是由高危型人乳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头瘤病毒（</w:t>
      </w:r>
      <w:r>
        <w:rPr>
          <w:rFonts w:ascii="Times New Roman" w:hAnsi="Times New Roman" w:eastAsia="Times New Roman" w:cs="Times New Roman"/>
          <w:color w:val="231F20"/>
          <w:spacing w:val="-7"/>
        </w:rPr>
        <w:t>HR-HPV</w:t>
      </w:r>
      <w:r>
        <w:rPr>
          <w:color w:val="231F20"/>
          <w:spacing w:val="-7"/>
        </w:rPr>
        <w:t>）感染所致，但多为一过性感染，而外生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性的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LSIL</w:t>
      </w:r>
      <w:r>
        <w:rPr>
          <w:color w:val="231F20"/>
          <w:spacing w:val="-7"/>
        </w:rPr>
        <w:t>（生殖器疣）主要由低危型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HPV </w:t>
      </w:r>
      <w:r>
        <w:rPr>
          <w:color w:val="231F20"/>
          <w:spacing w:val="-7"/>
        </w:rPr>
        <w:t>感染所致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7"/>
          <w:position w:val="8"/>
        </w:rPr>
        <w:t>[1]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8"/>
          <w:position w:val="8"/>
        </w:rPr>
        <w:t xml:space="preserve"> </w:t>
      </w:r>
      <w:r>
        <w:rPr>
          <w:color w:val="231F20"/>
          <w:spacing w:val="-7"/>
        </w:rPr>
        <w:t>。</w:t>
      </w:r>
      <w:r>
        <w:rPr>
          <w:rFonts w:ascii="Times New Roman" w:hAnsi="Times New Roman" w:eastAsia="Times New Roman" w:cs="Times New Roman"/>
          <w:color w:val="231F20"/>
          <w:spacing w:val="-7"/>
        </w:rPr>
        <w:t>LSIL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-1"/>
        </w:rPr>
        <w:t>组织学表现为病变区域上皮的上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2/3 </w:t>
      </w:r>
      <w:r>
        <w:rPr>
          <w:color w:val="231F20"/>
          <w:spacing w:val="-1"/>
        </w:rPr>
        <w:t>层为分化成熟的上皮成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分，其间常可见由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HPV </w:t>
      </w:r>
      <w:r>
        <w:rPr>
          <w:color w:val="231F20"/>
          <w:spacing w:val="-5"/>
        </w:rPr>
        <w:t>感染所导致的挖空细胞</w:t>
      </w:r>
      <w:r>
        <w:rPr>
          <w:color w:val="231F20"/>
          <w:spacing w:val="-6"/>
        </w:rPr>
        <w:t>，表现为细胞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核增大，核周出现空晕。大部分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LSIL/CIN1 </w:t>
      </w:r>
      <w:r>
        <w:rPr>
          <w:color w:val="231F20"/>
          <w:spacing w:val="-2"/>
        </w:rPr>
        <w:t>对</w:t>
      </w:r>
      <w:r>
        <w:rPr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p16 </w:t>
      </w:r>
      <w:r>
        <w:rPr>
          <w:color w:val="231F20"/>
          <w:spacing w:val="-2"/>
        </w:rPr>
        <w:t>呈</w:t>
      </w:r>
      <w:r>
        <w:rPr>
          <w:color w:val="231F20"/>
          <w:spacing w:val="-3"/>
        </w:rPr>
        <w:t>现阴性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或是点状及小灶状阳性表达，约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1/3</w:t>
      </w:r>
      <w:r>
        <w:rPr>
          <w:rFonts w:ascii="Times New Roman" w:hAnsi="Times New Roman" w:eastAsia="Times New Roman" w:cs="Times New Roman"/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LSIL/CIN1 </w:t>
      </w:r>
      <w:r>
        <w:rPr>
          <w:color w:val="231F20"/>
          <w:spacing w:val="-2"/>
        </w:rPr>
        <w:t>可以呈现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p16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-7"/>
        </w:rPr>
        <w:t>的阳性，但这并不代表其为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HSIL</w:t>
      </w:r>
      <w:r>
        <w:rPr>
          <w:color w:val="231F20"/>
          <w:spacing w:val="-7"/>
        </w:rPr>
        <w:t>，其意义尚待研究。</w:t>
      </w:r>
    </w:p>
    <w:p>
      <w:pPr>
        <w:pStyle w:val="BodyText"/>
        <w:ind w:left="668" w:right="223" w:firstLine="399"/>
        <w:spacing w:before="19" w:line="280" w:lineRule="auto"/>
        <w:jc w:val="both"/>
        <w:rPr>
          <w:rFonts w:ascii="Times New Roman" w:hAnsi="Times New Roman" w:eastAsia="Times New Roman" w:cs="Times New Roman"/>
        </w:rPr>
      </w:pPr>
      <w:r>
        <w:pict>
          <v:shape id="_x0000_s4" style="position:absolute;margin-left:32.4583pt;margin-top:47.2978pt;mso-position-vertical-relative:text;mso-position-horizontal-relative:text;width:102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2018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rPr>
          <w:color w:val="231F20"/>
          <w:spacing w:val="-2"/>
        </w:rPr>
        <w:t>我国一项针对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487 </w:t>
      </w:r>
      <w:r>
        <w:rPr>
          <w:color w:val="231F20"/>
          <w:spacing w:val="-2"/>
        </w:rPr>
        <w:t>例女性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LSIL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的前瞻性研究显示，应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用细胞学和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联合筛查，定期随访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4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~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6 </w:t>
      </w:r>
      <w:r>
        <w:rPr>
          <w:color w:val="231F20"/>
          <w:spacing w:val="2"/>
        </w:rPr>
        <w:t>年。在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color w:val="231F20"/>
          <w:spacing w:val="1"/>
        </w:rPr>
        <w:t>、</w:t>
      </w:r>
      <w:r>
        <w:rPr>
          <w:rFonts w:ascii="Times New Roman" w:hAnsi="Times New Roman" w:eastAsia="Times New Roman" w:cs="Times New Roman"/>
          <w:color w:val="231F20"/>
          <w:spacing w:val="1"/>
        </w:rPr>
        <w:t>3 </w:t>
      </w:r>
      <w:r>
        <w:rPr>
          <w:color w:val="231F20"/>
          <w:spacing w:val="1"/>
        </w:rPr>
        <w:t>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4 </w:t>
      </w:r>
      <w:r>
        <w:rPr>
          <w:color w:val="231F20"/>
          <w:spacing w:val="-2"/>
        </w:rPr>
        <w:t>年时逆转为正常者分别为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52.57%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84.41% </w:t>
      </w:r>
      <w:r>
        <w:rPr>
          <w:color w:val="231F20"/>
          <w:spacing w:val="-2"/>
        </w:rPr>
        <w:t>和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88.71%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2"/>
        </w:rPr>
        <w:t>，进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展为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HSIL </w:t>
      </w:r>
      <w:r>
        <w:rPr>
          <w:color w:val="231F20"/>
          <w:spacing w:val="-4"/>
        </w:rPr>
        <w:t>者分别为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1.65%</w:t>
      </w:r>
      <w:r>
        <w:rPr>
          <w:color w:val="231F20"/>
          <w:spacing w:val="-4"/>
        </w:rPr>
        <w:t>、</w:t>
      </w:r>
      <w:r>
        <w:rPr>
          <w:rFonts w:ascii="Times New Roman" w:hAnsi="Times New Roman" w:eastAsia="Times New Roman" w:cs="Times New Roman"/>
          <w:color w:val="231F20"/>
          <w:spacing w:val="-4"/>
        </w:rPr>
        <w:t>4.05% </w:t>
      </w:r>
      <w:r>
        <w:rPr>
          <w:color w:val="231F20"/>
          <w:spacing w:val="-4"/>
        </w:rPr>
        <w:t>和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4.11%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4"/>
        </w:rPr>
        <w:t>，其中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HR-HPV</w:t>
      </w:r>
    </w:p>
    <w:p>
      <w:pPr>
        <w:spacing w:line="17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8" w:right="14"/>
        <w:spacing w:before="43" w:line="259" w:lineRule="auto"/>
        <w:jc w:val="both"/>
        <w:rPr/>
      </w:pPr>
      <w:r>
        <w:rPr>
          <w:color w:val="231F20"/>
          <w:spacing w:val="-1"/>
        </w:rPr>
        <w:t>持续阳性者第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4 </w:t>
      </w:r>
      <w:r>
        <w:rPr>
          <w:color w:val="231F20"/>
          <w:spacing w:val="-1"/>
        </w:rPr>
        <w:t>年进展到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HSIL </w:t>
      </w:r>
      <w:r>
        <w:rPr>
          <w:color w:val="231F20"/>
          <w:spacing w:val="-1"/>
        </w:rPr>
        <w:t>高达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18</w:t>
      </w:r>
      <w:r>
        <w:rPr>
          <w:rFonts w:ascii="Times New Roman" w:hAnsi="Times New Roman" w:eastAsia="Times New Roman" w:cs="Times New Roman"/>
          <w:color w:val="231F20"/>
          <w:spacing w:val="-2"/>
        </w:rPr>
        <w:t>.9%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HPV </w:t>
      </w:r>
      <w:r>
        <w:rPr>
          <w:color w:val="231F20"/>
          <w:spacing w:val="-2"/>
        </w:rPr>
        <w:t>持续阴性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者仅为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2.5%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>[3]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6"/>
          <w:position w:val="8"/>
        </w:rPr>
        <w:t xml:space="preserve"> </w:t>
      </w:r>
      <w:r>
        <w:rPr>
          <w:color w:val="231F20"/>
          <w:spacing w:val="-4"/>
        </w:rPr>
        <w:t>。另一项对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818 </w:t>
      </w:r>
      <w:r>
        <w:rPr>
          <w:color w:val="231F20"/>
          <w:spacing w:val="-4"/>
        </w:rPr>
        <w:t>名病理诊断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CIN1 </w:t>
      </w:r>
      <w:r>
        <w:rPr>
          <w:color w:val="231F20"/>
          <w:spacing w:val="-4"/>
        </w:rPr>
        <w:t>长达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11 </w:t>
      </w:r>
      <w:r>
        <w:rPr>
          <w:color w:val="231F20"/>
          <w:spacing w:val="-4"/>
        </w:rPr>
        <w:t>年的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队列研究显示，随访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1</w:t>
      </w:r>
      <w:r>
        <w:rPr>
          <w:color w:val="231F20"/>
          <w:spacing w:val="-9"/>
        </w:rPr>
        <w:t>、</w:t>
      </w:r>
      <w:r>
        <w:rPr>
          <w:rFonts w:ascii="Times New Roman" w:hAnsi="Times New Roman" w:eastAsia="Times New Roman" w:cs="Times New Roman"/>
          <w:color w:val="231F20"/>
          <w:spacing w:val="-9"/>
        </w:rPr>
        <w:t>2</w:t>
      </w:r>
      <w:r>
        <w:rPr>
          <w:color w:val="231F20"/>
          <w:spacing w:val="-9"/>
        </w:rPr>
        <w:t>、</w:t>
      </w:r>
      <w:r>
        <w:rPr>
          <w:rFonts w:ascii="Times New Roman" w:hAnsi="Times New Roman" w:eastAsia="Times New Roman" w:cs="Times New Roman"/>
          <w:color w:val="231F20"/>
          <w:spacing w:val="-9"/>
        </w:rPr>
        <w:t>6 </w:t>
      </w:r>
      <w:r>
        <w:rPr>
          <w:color w:val="231F20"/>
          <w:spacing w:val="-9"/>
        </w:rPr>
        <w:t>年，约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80%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-9"/>
        </w:rPr>
        <w:t>的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CIN1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color w:val="231F20"/>
          <w:spacing w:val="-9"/>
        </w:rPr>
        <w:t>自然逆转，</w:t>
      </w:r>
      <w:r>
        <w:rPr>
          <w:color w:val="231F20"/>
        </w:rPr>
        <w:t xml:space="preserve"> </w:t>
      </w:r>
      <w:r>
        <w:rPr>
          <w:color w:val="231F20"/>
        </w:rPr>
        <w:t>进展为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CIN2 </w:t>
      </w:r>
      <w:r>
        <w:rPr>
          <w:color w:val="231F20"/>
        </w:rPr>
        <w:t>及以上病变（</w:t>
      </w:r>
      <w:r>
        <w:rPr>
          <w:rFonts w:ascii="Times New Roman" w:hAnsi="Times New Roman" w:eastAsia="Times New Roman" w:cs="Times New Roman"/>
          <w:color w:val="231F20"/>
        </w:rPr>
        <w:t>CIN2</w:t>
      </w:r>
      <w:r>
        <w:rPr>
          <w:rFonts w:ascii="Microsoft YaHei" w:hAnsi="Microsoft YaHei" w:eastAsia="Microsoft YaHei" w:cs="Microsoft YaHei"/>
          <w:color w:val="231F20"/>
        </w:rPr>
        <w:t>+ ）</w:t>
      </w:r>
      <w:r>
        <w:rPr>
          <w:color w:val="231F20"/>
        </w:rPr>
        <w:t>分别是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3.7%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  <w:spacing w:val="-1"/>
        </w:rPr>
        <w:t>8.5% </w:t>
      </w:r>
      <w:r>
        <w:rPr>
          <w:color w:val="231F20"/>
          <w:spacing w:val="-1"/>
        </w:rPr>
        <w:t>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12.2%</w:t>
      </w:r>
      <w:r>
        <w:rPr>
          <w:color w:val="231F20"/>
          <w:spacing w:val="2"/>
        </w:rPr>
        <w:t>；其中基线为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HR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color w:val="231F20"/>
          <w:spacing w:val="2"/>
        </w:rPr>
        <w:t>阳性者随访期间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rFonts w:ascii="Microsoft YaHei" w:hAnsi="Microsoft YaHei" w:eastAsia="Microsoft YaHei" w:cs="Microsoft YaHei"/>
          <w:color w:val="231F20"/>
          <w:spacing w:val="2"/>
        </w:rPr>
        <w:t>+</w:t>
      </w:r>
      <w:r>
        <w:rPr>
          <w:rFonts w:ascii="Microsoft YaHei" w:hAnsi="Microsoft YaHei" w:eastAsia="Microsoft YaHei" w:cs="Microsoft YaHei"/>
          <w:color w:val="231F20"/>
          <w:spacing w:val="29"/>
        </w:rPr>
        <w:t xml:space="preserve"> </w:t>
      </w:r>
      <w:r>
        <w:rPr>
          <w:color w:val="231F20"/>
          <w:spacing w:val="2"/>
        </w:rPr>
        <w:t>的发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生率分别为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4.8%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10.7%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16.9%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2"/>
        </w:rPr>
        <w:t>，分别是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HR-HPV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-2"/>
        </w:rPr>
        <w:t>阴性者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2.7 </w:t>
      </w:r>
      <w:r>
        <w:rPr>
          <w:color w:val="231F20"/>
          <w:spacing w:val="-1"/>
        </w:rPr>
        <w:t>倍、</w:t>
      </w:r>
      <w:r>
        <w:rPr>
          <w:rFonts w:ascii="Times New Roman" w:hAnsi="Times New Roman" w:eastAsia="Times New Roman" w:cs="Times New Roman"/>
          <w:color w:val="231F20"/>
          <w:spacing w:val="-1"/>
        </w:rPr>
        <w:t>2.9 </w:t>
      </w:r>
      <w:r>
        <w:rPr>
          <w:color w:val="231F20"/>
          <w:spacing w:val="-1"/>
        </w:rPr>
        <w:t>倍、</w:t>
      </w:r>
      <w:r>
        <w:rPr>
          <w:rFonts w:ascii="Times New Roman" w:hAnsi="Times New Roman" w:eastAsia="Times New Roman" w:cs="Times New Roman"/>
          <w:color w:val="231F20"/>
          <w:spacing w:val="-1"/>
        </w:rPr>
        <w:t>12.0 </w:t>
      </w:r>
      <w:r>
        <w:rPr>
          <w:color w:val="231F20"/>
          <w:spacing w:val="-1"/>
        </w:rPr>
        <w:t>倍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[4]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6"/>
          <w:position w:val="8"/>
        </w:rPr>
        <w:t xml:space="preserve"> </w:t>
      </w:r>
      <w:r>
        <w:rPr>
          <w:color w:val="231F20"/>
          <w:spacing w:val="-1"/>
        </w:rPr>
        <w:t>。提示组织学诊断的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</w:t>
      </w:r>
      <w:r>
        <w:rPr>
          <w:rFonts w:ascii="Times New Roman" w:hAnsi="Times New Roman" w:eastAsia="Times New Roman" w:cs="Times New Roman"/>
          <w:color w:val="231F20"/>
          <w:spacing w:val="-2"/>
        </w:rPr>
        <w:t>SIL </w:t>
      </w:r>
      <w:r>
        <w:rPr>
          <w:color w:val="231F20"/>
          <w:spacing w:val="-2"/>
        </w:rPr>
        <w:t>有较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高的逆转率，进展为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3"/>
        </w:rPr>
        <w:t>2</w:t>
      </w:r>
      <w:r>
        <w:rPr>
          <w:rFonts w:ascii="Microsoft YaHei" w:hAnsi="Microsoft YaHei" w:eastAsia="Microsoft YaHei" w:cs="Microsoft YaHei"/>
          <w:color w:val="231F20"/>
          <w:spacing w:val="3"/>
        </w:rPr>
        <w:t>+</w:t>
      </w:r>
      <w:r>
        <w:rPr>
          <w:rFonts w:ascii="Microsoft YaHei" w:hAnsi="Microsoft YaHei" w:eastAsia="Microsoft YaHei" w:cs="Microsoft YaHei"/>
          <w:color w:val="231F20"/>
          <w:spacing w:val="23"/>
        </w:rPr>
        <w:t xml:space="preserve"> </w:t>
      </w:r>
      <w:r>
        <w:rPr>
          <w:color w:val="231F20"/>
          <w:spacing w:val="3"/>
        </w:rPr>
        <w:t>者与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HR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持续感染相关，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也说明对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LSIL </w:t>
      </w:r>
      <w:r>
        <w:rPr>
          <w:color w:val="231F20"/>
          <w:spacing w:val="-3"/>
        </w:rPr>
        <w:t>可以随访观察，但需要</w:t>
      </w:r>
      <w:r>
        <w:rPr>
          <w:color w:val="231F20"/>
          <w:spacing w:val="-4"/>
        </w:rPr>
        <w:t>更精细化的管理。</w:t>
      </w:r>
    </w:p>
    <w:p>
      <w:pPr>
        <w:pStyle w:val="BodyText"/>
        <w:ind w:left="476"/>
        <w:spacing w:before="6" w:line="211" w:lineRule="auto"/>
        <w:rPr/>
      </w:pPr>
      <w:r>
        <w:rPr>
          <w:color w:val="231F20"/>
          <w:spacing w:val="-1"/>
        </w:rPr>
        <w:t>二、子宫颈低级别鳞状上皮内病变的阴道镜检查</w:t>
      </w:r>
    </w:p>
    <w:p>
      <w:pPr>
        <w:pStyle w:val="BodyText"/>
        <w:ind w:right="14" w:firstLine="497"/>
        <w:spacing w:before="64" w:line="260" w:lineRule="auto"/>
        <w:rPr/>
      </w:pPr>
      <w:r>
        <w:rPr>
          <w:color w:val="231F20"/>
          <w:spacing w:val="1"/>
        </w:rPr>
        <w:t>由于阴道镜检查存在主观性及缺乏精确性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[5]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w w:val="101"/>
          <w:position w:val="8"/>
        </w:rPr>
        <w:t xml:space="preserve"> </w:t>
      </w:r>
      <w:r>
        <w:rPr>
          <w:color w:val="231F20"/>
          <w:spacing w:val="1"/>
        </w:rPr>
        <w:t>，对子宫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颈癌筛查异常者，尽管阴道镜下活检病理为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11"/>
        </w:rPr>
        <w:t>者，仍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有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10%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漏诊可能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[6]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9"/>
        </w:rPr>
        <w:t>。国内研究发现，阴道镜表现为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低级别印象时，检出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达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27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.3%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~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29.9%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[7-8]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4"/>
        </w:rPr>
        <w:t>。国外研究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也提示，对细胞学未明确诊断意义的不典型</w:t>
      </w:r>
      <w:r>
        <w:rPr>
          <w:color w:val="231F20"/>
          <w:spacing w:val="7"/>
        </w:rPr>
        <w:t>鳞状上皮细胞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（</w:t>
      </w:r>
      <w:r>
        <w:rPr>
          <w:rFonts w:ascii="Times New Roman" w:hAnsi="Times New Roman" w:eastAsia="Times New Roman" w:cs="Times New Roman"/>
          <w:color w:val="231F20"/>
        </w:rPr>
        <w:t>ASC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color w:val="231F20"/>
        </w:rPr>
        <w:t>US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6"/>
        </w:rPr>
        <w:t>）</w:t>
      </w:r>
      <w:r>
        <w:rPr>
          <w:rFonts w:ascii="Times New Roman" w:hAnsi="Times New Roman" w:eastAsia="Times New Roman" w:cs="Times New Roman"/>
          <w:color w:val="231F20"/>
          <w:spacing w:val="6"/>
        </w:rPr>
        <w:t>/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转诊阴道镜检查，在阴道镜为低级别印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象者中可检出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9.9%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的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6"/>
        </w:rPr>
        <w:t>2</w:t>
      </w:r>
      <w:r>
        <w:rPr>
          <w:rFonts w:ascii="Microsoft YaHei" w:hAnsi="Microsoft YaHei" w:eastAsia="Microsoft YaHei" w:cs="Microsoft YaHei"/>
          <w:color w:val="231F20"/>
          <w:spacing w:val="6"/>
        </w:rPr>
        <w:t>+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[9] </w:t>
      </w:r>
      <w:r>
        <w:rPr>
          <w:color w:val="231F20"/>
          <w:spacing w:val="6"/>
        </w:rPr>
        <w:t>，另一项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Meta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分析显示，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阴道镜为低级别印象者根据筛查风险的不同，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rFonts w:ascii="Microsoft YaHei" w:hAnsi="Microsoft YaHei" w:eastAsia="Microsoft YaHei" w:cs="Microsoft YaHei"/>
          <w:color w:val="231F20"/>
          <w:spacing w:val="4"/>
        </w:rPr>
        <w:t>+</w:t>
      </w:r>
      <w:r>
        <w:rPr>
          <w:rFonts w:ascii="Microsoft YaHei" w:hAnsi="Microsoft YaHei" w:eastAsia="Microsoft YaHei" w:cs="Microsoft YaHei"/>
          <w:color w:val="231F20"/>
          <w:spacing w:val="33"/>
        </w:rPr>
        <w:t xml:space="preserve"> </w:t>
      </w:r>
      <w:r>
        <w:rPr>
          <w:color w:val="231F20"/>
          <w:spacing w:val="4"/>
        </w:rPr>
        <w:t>的总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体风险为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11%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~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69%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[10]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7"/>
        </w:rPr>
        <w:t>。细胞学筛查</w:t>
      </w:r>
      <w:r>
        <w:rPr>
          <w:rFonts w:ascii="Microsoft YaHei" w:hAnsi="Microsoft YaHei" w:eastAsia="Microsoft YaHei" w:cs="Microsoft YaHei"/>
          <w:color w:val="231F20"/>
          <w:spacing w:val="7"/>
        </w:rPr>
        <w:t>≥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7"/>
        </w:rPr>
        <w:t>不除外高级别鳞状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上皮内病变的不典型鳞状上皮细胞（</w:t>
      </w:r>
      <w:r>
        <w:rPr>
          <w:rFonts w:ascii="Times New Roman" w:hAnsi="Times New Roman" w:eastAsia="Times New Roman" w:cs="Times New Roman"/>
          <w:color w:val="231F20"/>
        </w:rPr>
        <w:t>ASC</w:t>
      </w:r>
      <w:r>
        <w:rPr>
          <w:rFonts w:ascii="Times New Roman" w:hAnsi="Times New Roman" w:eastAsia="Times New Roman" w:cs="Times New Roman"/>
          <w:color w:val="231F20"/>
          <w:spacing w:val="3"/>
        </w:rPr>
        <w:t>-H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3"/>
        </w:rPr>
        <w:t>）及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3"/>
        </w:rPr>
        <w:t>16/18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2"/>
        </w:rPr>
        <w:t>是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rFonts w:ascii="Microsoft YaHei" w:hAnsi="Microsoft YaHei" w:eastAsia="Microsoft YaHei" w:cs="Microsoft YaHei"/>
          <w:color w:val="231F20"/>
          <w:spacing w:val="2"/>
        </w:rPr>
        <w:t>+</w:t>
      </w:r>
      <w:r>
        <w:rPr>
          <w:rFonts w:ascii="Microsoft YaHei" w:hAnsi="Microsoft YaHei" w:eastAsia="Microsoft YaHei" w:cs="Microsoft YaHei"/>
          <w:color w:val="231F20"/>
          <w:spacing w:val="33"/>
        </w:rPr>
        <w:t xml:space="preserve"> </w:t>
      </w:r>
      <w:r>
        <w:rPr>
          <w:color w:val="231F20"/>
          <w:spacing w:val="2"/>
        </w:rPr>
        <w:t>的独立预测因子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[11] </w:t>
      </w:r>
      <w:r>
        <w:rPr>
          <w:color w:val="231F20"/>
          <w:spacing w:val="2"/>
        </w:rPr>
        <w:t>。为防止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rFonts w:ascii="Microsoft YaHei" w:hAnsi="Microsoft YaHei" w:eastAsia="Microsoft YaHei" w:cs="Microsoft YaHei"/>
          <w:color w:val="231F20"/>
          <w:spacing w:val="2"/>
        </w:rPr>
        <w:t>+</w:t>
      </w:r>
      <w:r>
        <w:rPr>
          <w:rFonts w:ascii="Microsoft YaHei" w:hAnsi="Microsoft YaHei" w:eastAsia="Microsoft YaHei" w:cs="Microsoft YaHei"/>
          <w:color w:val="231F20"/>
          <w:spacing w:val="33"/>
        </w:rPr>
        <w:t xml:space="preserve"> </w:t>
      </w:r>
      <w:r>
        <w:rPr>
          <w:color w:val="231F20"/>
          <w:spacing w:val="2"/>
        </w:rPr>
        <w:t>的漏诊，阴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道镜检查时需要注意以下问题：</w:t>
      </w:r>
    </w:p>
    <w:p>
      <w:pPr>
        <w:pStyle w:val="BodyText"/>
        <w:ind w:left="64" w:firstLine="428"/>
        <w:spacing w:before="5" w:line="270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1.</w:t>
      </w:r>
      <w:r>
        <w:rPr>
          <w:rFonts w:ascii="Times New Roman" w:hAnsi="Times New Roman" w:eastAsia="Times New Roman" w:cs="Times New Roman"/>
          <w:color w:val="231F20"/>
          <w:spacing w:val="45"/>
        </w:rPr>
        <w:t xml:space="preserve"> </w:t>
      </w:r>
      <w:r>
        <w:rPr>
          <w:color w:val="231F20"/>
          <w:spacing w:val="6"/>
        </w:rPr>
        <w:t>阴道镜评估：</w:t>
      </w:r>
      <w:r>
        <w:rPr>
          <w:rFonts w:ascii="Times New Roman" w:hAnsi="Times New Roman" w:eastAsia="Times New Roman" w:cs="Times New Roman"/>
          <w:color w:val="231F20"/>
          <w:spacing w:val="6"/>
        </w:rPr>
        <w:t>2011 </w:t>
      </w:r>
      <w:r>
        <w:rPr>
          <w:color w:val="231F20"/>
          <w:spacing w:val="6"/>
        </w:rPr>
        <w:t>年国际子宫颈病理</w:t>
      </w:r>
      <w:r>
        <w:rPr>
          <w:color w:val="231F20"/>
          <w:spacing w:val="5"/>
        </w:rPr>
        <w:t>和阴道镜联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盟（</w:t>
      </w:r>
      <w:r>
        <w:rPr>
          <w:rFonts w:ascii="Times New Roman" w:hAnsi="Times New Roman" w:eastAsia="Times New Roman" w:cs="Times New Roman"/>
          <w:color w:val="231F20"/>
          <w:spacing w:val="-2"/>
        </w:rPr>
        <w:t>IFCPC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-2"/>
        </w:rPr>
        <w:t>）提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出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2"/>
        </w:rPr>
        <w:t>依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2"/>
        </w:rPr>
        <w:t>据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-2"/>
        </w:rPr>
        <w:t>新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2"/>
        </w:rPr>
        <w:t>鳞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2"/>
        </w:rPr>
        <w:t>柱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2"/>
        </w:rPr>
        <w:t>交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2"/>
        </w:rPr>
        <w:t>接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2"/>
        </w:rPr>
        <w:t>部（</w:t>
      </w:r>
      <w:r>
        <w:rPr>
          <w:rFonts w:ascii="Times New Roman" w:hAnsi="Times New Roman" w:eastAsia="Times New Roman" w:cs="Times New Roman"/>
          <w:color w:val="231F20"/>
          <w:spacing w:val="-2"/>
        </w:rPr>
        <w:t>squamo-columnar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junction</w:t>
      </w:r>
      <w:r>
        <w:rPr>
          <w:rFonts w:ascii="Times New Roman" w:hAnsi="Times New Roman" w:eastAsia="Times New Roman" w:cs="Times New Roman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SCJ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）及其可见性将转化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5"/>
        </w:rPr>
        <w:t>区（</w:t>
      </w:r>
      <w:r>
        <w:rPr>
          <w:rFonts w:ascii="Times New Roman" w:hAnsi="Times New Roman" w:eastAsia="Times New Roman" w:cs="Times New Roman"/>
          <w:color w:val="231F20"/>
        </w:rPr>
        <w:t>transformation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zone</w:t>
      </w:r>
      <w:r>
        <w:rPr>
          <w:rFonts w:ascii="Times New Roman" w:hAnsi="Times New Roman" w:eastAsia="Times New Roman" w:cs="Times New Roman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-2"/>
        </w:rPr>
        <w:t>TZ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2"/>
        </w:rPr>
        <w:t>）分为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TZ1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TZ2 </w:t>
      </w:r>
      <w:r>
        <w:rPr>
          <w:color w:val="231F20"/>
          <w:spacing w:val="-2"/>
        </w:rPr>
        <w:t>及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TZ3 </w:t>
      </w:r>
      <w:r>
        <w:rPr>
          <w:color w:val="231F20"/>
          <w:spacing w:val="-2"/>
        </w:rPr>
        <w:t>三种类型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[12]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8"/>
        </w:rPr>
        <w:t xml:space="preserve"> </w:t>
      </w:r>
      <w:r>
        <w:rPr>
          <w:color w:val="231F20"/>
          <w:spacing w:val="-2"/>
        </w:rPr>
        <w:t>。研究</w:t>
      </w:r>
      <w:r>
        <w:rPr>
          <w:color w:val="231F20"/>
          <w:spacing w:val="-3"/>
        </w:rPr>
        <w:t>显示，</w:t>
      </w:r>
      <w:r>
        <w:rPr>
          <w:rFonts w:ascii="Times New Roman" w:hAnsi="Times New Roman" w:eastAsia="Times New Roman" w:cs="Times New Roman"/>
          <w:color w:val="231F20"/>
          <w:spacing w:val="-3"/>
        </w:rPr>
        <w:t>TZ1</w:t>
      </w:r>
      <w:r>
        <w:rPr>
          <w:color w:val="231F20"/>
          <w:spacing w:val="-3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TZ2 </w:t>
      </w:r>
      <w:r>
        <w:rPr>
          <w:color w:val="231F20"/>
          <w:spacing w:val="-4"/>
        </w:rPr>
        <w:t>和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TZ3 </w:t>
      </w:r>
      <w:r>
        <w:rPr>
          <w:color w:val="231F20"/>
          <w:spacing w:val="-4"/>
        </w:rPr>
        <w:t>对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于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CIN2</w:t>
      </w:r>
      <w:r>
        <w:rPr>
          <w:rFonts w:ascii="Microsoft YaHei" w:hAnsi="Microsoft YaHei" w:eastAsia="Microsoft YaHei" w:cs="Microsoft YaHei"/>
          <w:color w:val="231F20"/>
          <w:spacing w:val="-4"/>
        </w:rPr>
        <w:t>+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准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确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率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分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别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为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92.2%</w:t>
      </w:r>
      <w:r>
        <w:rPr>
          <w:color w:val="231F20"/>
          <w:spacing w:val="-4"/>
        </w:rPr>
        <w:t>、</w:t>
      </w:r>
    </w:p>
    <w:p>
      <w:pPr>
        <w:spacing w:line="270" w:lineRule="auto"/>
        <w:sectPr>
          <w:type w:val="continuous"/>
          <w:pgSz w:w="11623" w:h="15875"/>
          <w:pgMar w:top="1188" w:right="834" w:bottom="0" w:left="407" w:header="941" w:footer="0" w:gutter="0"/>
          <w:cols w:equalWidth="0" w:num="2">
            <w:col w:w="5511" w:space="100"/>
            <w:col w:w="4769" w:space="0"/>
          </w:cols>
        </w:sectPr>
        <w:rPr/>
      </w:pPr>
    </w:p>
    <w:p>
      <w:pPr>
        <w:ind w:left="984"/>
        <w:spacing w:before="39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doi:10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13390/j.issn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.1672-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1861.2022.04.036</w:t>
      </w:r>
    </w:p>
    <w:p>
      <w:pPr>
        <w:pStyle w:val="BodyText"/>
        <w:ind w:left="983"/>
        <w:spacing w:before="47" w:line="23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基金项目：妇幼健康研究会基金（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2020AMCHS0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02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2018AMCHS008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41"/>
        </w:rPr>
        <w:t>）；</w:t>
      </w:r>
      <w:r>
        <w:rPr>
          <w:sz w:val="16"/>
          <w:szCs w:val="16"/>
          <w:color w:val="231F20"/>
          <w:spacing w:val="-1"/>
        </w:rPr>
        <w:t>国家重点研发计划（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2021YFC2701202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"/>
        </w:rPr>
        <w:t>）</w:t>
      </w:r>
    </w:p>
    <w:p>
      <w:pPr>
        <w:pStyle w:val="BodyText"/>
        <w:ind w:left="669" w:right="10" w:firstLine="314"/>
        <w:spacing w:before="18" w:line="253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作者单位：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100034    </w:t>
      </w:r>
      <w:r>
        <w:rPr>
          <w:sz w:val="16"/>
          <w:szCs w:val="16"/>
          <w:color w:val="231F20"/>
          <w:spacing w:val="1"/>
        </w:rPr>
        <w:t>北京大学第一医院妇产科（毕蕙</w:t>
      </w:r>
      <w:r>
        <w:rPr>
          <w:sz w:val="16"/>
          <w:szCs w:val="16"/>
          <w:color w:val="231F20"/>
          <w:spacing w:val="-37"/>
        </w:rPr>
        <w:t>）；</w:t>
      </w:r>
      <w:r>
        <w:rPr>
          <w:sz w:val="16"/>
          <w:szCs w:val="16"/>
          <w:color w:val="231F20"/>
          <w:spacing w:val="1"/>
        </w:rPr>
        <w:t>北</w:t>
      </w:r>
      <w:r>
        <w:rPr>
          <w:sz w:val="16"/>
          <w:szCs w:val="16"/>
          <w:color w:val="231F20"/>
        </w:rPr>
        <w:t>京大学人民医院妇产科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 </w:t>
      </w:r>
      <w:r>
        <w:rPr>
          <w:sz w:val="16"/>
          <w:szCs w:val="16"/>
          <w:color w:val="231F20"/>
        </w:rPr>
        <w:t>李明珠（共同第一作者）、赵超、赵昀、李静然、 </w:t>
      </w:r>
      <w:r>
        <w:rPr>
          <w:sz w:val="16"/>
          <w:szCs w:val="16"/>
          <w:color w:val="231F20"/>
        </w:rPr>
        <w:t>魏丽惠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]</w:t>
      </w:r>
      <w:r>
        <w:rPr>
          <w:sz w:val="16"/>
          <w:szCs w:val="16"/>
          <w:color w:val="231F20"/>
        </w:rPr>
        <w:t>；南京医科大学第一附属医院（尤志学</w:t>
      </w:r>
      <w:r>
        <w:rPr>
          <w:sz w:val="16"/>
          <w:szCs w:val="16"/>
          <w:color w:val="231F20"/>
          <w:spacing w:val="-38"/>
        </w:rPr>
        <w:t>）；</w:t>
      </w:r>
      <w:r>
        <w:rPr>
          <w:sz w:val="16"/>
          <w:szCs w:val="16"/>
          <w:color w:val="231F20"/>
        </w:rPr>
        <w:t>北京大学第三医院（耿力</w:t>
      </w:r>
      <w:r>
        <w:rPr>
          <w:sz w:val="16"/>
          <w:szCs w:val="16"/>
          <w:color w:val="231F20"/>
          <w:spacing w:val="-38"/>
        </w:rPr>
        <w:t>）；</w:t>
      </w:r>
      <w:r>
        <w:rPr>
          <w:sz w:val="16"/>
          <w:szCs w:val="16"/>
          <w:color w:val="231F20"/>
        </w:rPr>
        <w:t>复旦大学附属妇产科医院（隋龙、丛青</w:t>
      </w:r>
      <w:r>
        <w:rPr>
          <w:sz w:val="16"/>
          <w:szCs w:val="16"/>
          <w:color w:val="231F20"/>
          <w:spacing w:val="-38"/>
        </w:rPr>
        <w:t>）；</w:t>
      </w:r>
      <w:r>
        <w:rPr>
          <w:sz w:val="16"/>
          <w:szCs w:val="16"/>
          <w:color w:val="231F20"/>
        </w:rPr>
        <w:t>华中科技大学同  </w:t>
      </w:r>
      <w:r>
        <w:rPr>
          <w:sz w:val="16"/>
          <w:szCs w:val="16"/>
          <w:color w:val="231F20"/>
        </w:rPr>
        <w:t>济医学院附属同济医院（李双）</w:t>
      </w:r>
    </w:p>
    <w:p>
      <w:pPr>
        <w:pStyle w:val="BodyText"/>
        <w:ind w:left="980"/>
        <w:spacing w:before="1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通信作者：魏丽惠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Email: weilhpku@163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.com</w:t>
      </w:r>
    </w:p>
    <w:p>
      <w:pPr>
        <w:spacing w:line="212" w:lineRule="auto"/>
        <w:sectPr>
          <w:type w:val="continuous"/>
          <w:pgSz w:w="11623" w:h="15875"/>
          <w:pgMar w:top="1188" w:right="834" w:bottom="0" w:left="407" w:header="941" w:footer="0" w:gutter="0"/>
          <w:cols w:equalWidth="0" w:num="1">
            <w:col w:w="10380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41"/>
        <w:rPr/>
      </w:pPr>
      <w:r/>
    </w:p>
    <w:p>
      <w:pPr>
        <w:sectPr>
          <w:headerReference w:type="default" r:id="rId2"/>
          <w:footerReference w:type="default" r:id="rId3"/>
          <w:pgSz w:w="11623" w:h="15875"/>
          <w:pgMar w:top="1188" w:right="979" w:bottom="547" w:left="407" w:header="942" w:footer="354" w:gutter="0"/>
          <w:cols w:equalWidth="0" w:num="1">
            <w:col w:w="10235" w:space="0"/>
          </w:cols>
        </w:sectPr>
        <w:rPr/>
      </w:pPr>
    </w:p>
    <w:p>
      <w:pPr>
        <w:pStyle w:val="BodyText"/>
        <w:ind w:left="424" w:right="296" w:firstLine="79"/>
        <w:spacing w:before="2" w:line="270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90.5% </w:t>
      </w:r>
      <w:r>
        <w:rPr>
          <w:color w:val="231F20"/>
          <w:spacing w:val="-2"/>
        </w:rPr>
        <w:t>和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76.5%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[13]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8"/>
        </w:rPr>
        <w:t xml:space="preserve"> </w:t>
      </w:r>
      <w:r>
        <w:rPr>
          <w:color w:val="231F20"/>
          <w:spacing w:val="-2"/>
        </w:rPr>
        <w:t>。另外，当阴道镜为低级别印象及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TZ3 </w:t>
      </w:r>
      <w:r>
        <w:rPr>
          <w:color w:val="231F20"/>
          <w:spacing w:val="-2"/>
        </w:rPr>
        <w:t>型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时，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1"/>
        </w:rPr>
        <w:t>2</w:t>
      </w:r>
      <w:r>
        <w:rPr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1"/>
        </w:rPr>
        <w:t>3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color w:val="231F20"/>
          <w:spacing w:val="1"/>
        </w:rPr>
        <w:t>的漏诊率（</w:t>
      </w:r>
      <w:r>
        <w:rPr>
          <w:rFonts w:ascii="Times New Roman" w:hAnsi="Times New Roman" w:eastAsia="Times New Roman" w:cs="Times New Roman"/>
          <w:color w:val="231F20"/>
          <w:spacing w:val="1"/>
        </w:rPr>
        <w:t>52.6%,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31.6% </w:t>
      </w:r>
      <w:r>
        <w:rPr>
          <w:color w:val="231F20"/>
          <w:spacing w:val="1"/>
        </w:rPr>
        <w:t>）高于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TZ</w:t>
      </w:r>
      <w:r>
        <w:rPr>
          <w:rFonts w:ascii="Times New Roman" w:hAnsi="Times New Roman" w:eastAsia="Times New Roman" w:cs="Times New Roman"/>
          <w:color w:val="231F20"/>
          <w:spacing w:val="1"/>
        </w:rPr>
        <w:t>1/2 </w:t>
      </w:r>
      <w:r>
        <w:rPr>
          <w:color w:val="231F20"/>
          <w:spacing w:val="1"/>
        </w:rPr>
        <w:t>型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27.5%,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18.8%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[14]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8"/>
        </w:rPr>
        <w:t xml:space="preserve"> </w:t>
      </w:r>
      <w:r>
        <w:rPr>
          <w:color w:val="231F20"/>
          <w:spacing w:val="-3"/>
        </w:rPr>
        <w:t>。由此可见，</w:t>
      </w:r>
      <w:r>
        <w:rPr>
          <w:rFonts w:ascii="Times New Roman" w:hAnsi="Times New Roman" w:eastAsia="Times New Roman" w:cs="Times New Roman"/>
          <w:color w:val="231F20"/>
          <w:spacing w:val="-3"/>
        </w:rPr>
        <w:t>TZ3 </w:t>
      </w:r>
      <w:r>
        <w:rPr>
          <w:color w:val="231F20"/>
          <w:spacing w:val="-3"/>
        </w:rPr>
        <w:t>型者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HSIL </w:t>
      </w:r>
      <w:r>
        <w:rPr>
          <w:color w:val="231F20"/>
          <w:spacing w:val="-3"/>
        </w:rPr>
        <w:t>漏诊风险增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高，故对于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TZ</w:t>
      </w:r>
      <w:r>
        <w:rPr>
          <w:rFonts w:ascii="Times New Roman" w:hAnsi="Times New Roman" w:eastAsia="Times New Roman" w:cs="Times New Roman"/>
          <w:color w:val="231F20"/>
          <w:spacing w:val="4"/>
        </w:rPr>
        <w:t>3 </w:t>
      </w:r>
      <w:r>
        <w:rPr>
          <w:color w:val="231F20"/>
          <w:spacing w:val="4"/>
        </w:rPr>
        <w:t>更需要关注。</w:t>
      </w:r>
    </w:p>
    <w:p>
      <w:pPr>
        <w:pStyle w:val="BodyText"/>
        <w:ind w:left="423" w:right="225" w:firstLine="478"/>
        <w:spacing w:before="70" w:line="272" w:lineRule="auto"/>
        <w:rPr/>
      </w:pPr>
      <w:r>
        <w:rPr>
          <w:rFonts w:ascii="Times New Roman" w:hAnsi="Times New Roman" w:eastAsia="Times New Roman" w:cs="Times New Roman"/>
          <w:color w:val="231F20"/>
          <w:spacing w:val="9"/>
        </w:rPr>
        <w:t>2.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</w:t>
      </w:r>
      <w:r>
        <w:rPr>
          <w:color w:val="231F20"/>
          <w:spacing w:val="9"/>
        </w:rPr>
        <w:t>阴道镜活检：我国专家认为阴道镜的操作应基于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筛查风险及阴道镜印象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[2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4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,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1"/>
          <w:w w:val="10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11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4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,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1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15] </w:t>
      </w:r>
      <w:r>
        <w:rPr>
          <w:color w:val="231F20"/>
          <w:spacing w:val="9"/>
        </w:rPr>
        <w:t>：①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筛查低级别</w:t>
      </w:r>
      <w:r>
        <w:rPr>
          <w:color w:val="231F20"/>
          <w:spacing w:val="8"/>
        </w:rPr>
        <w:t>异常的低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风险女性，包括细胞学无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10"/>
        </w:rPr>
        <w:t>、</w:t>
      </w:r>
      <w:r>
        <w:rPr>
          <w:rFonts w:ascii="Times New Roman" w:hAnsi="Times New Roman" w:eastAsia="Times New Roman" w:cs="Times New Roman"/>
          <w:color w:val="231F20"/>
        </w:rPr>
        <w:t>ASC</w:t>
      </w:r>
      <w:r>
        <w:rPr>
          <w:rFonts w:ascii="Times New Roman" w:hAnsi="Times New Roman" w:eastAsia="Times New Roman" w:cs="Times New Roman"/>
          <w:color w:val="231F20"/>
          <w:spacing w:val="10"/>
        </w:rPr>
        <w:t>-H </w:t>
      </w:r>
      <w:r>
        <w:rPr>
          <w:color w:val="231F20"/>
          <w:spacing w:val="10"/>
        </w:rPr>
        <w:t>和不典型腺细胞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（</w:t>
      </w:r>
      <w:r>
        <w:rPr>
          <w:rFonts w:ascii="Times New Roman" w:hAnsi="Times New Roman" w:eastAsia="Times New Roman" w:cs="Times New Roman"/>
          <w:color w:val="231F20"/>
        </w:rPr>
        <w:t>AGC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-37"/>
        </w:rPr>
        <w:t>），</w:t>
      </w:r>
      <w:r>
        <w:rPr>
          <w:color w:val="231F20"/>
          <w:spacing w:val="8"/>
        </w:rPr>
        <w:t>且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8"/>
        </w:rPr>
        <w:t>16/18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color w:val="231F20"/>
          <w:spacing w:val="8"/>
        </w:rPr>
        <w:t>阴性、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8"/>
        </w:rPr>
        <w:t>阴道镜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8"/>
        </w:rPr>
        <w:t>印象完全正常（无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醋白、化生或其他异常，且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SCJ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完全可见</w:t>
      </w:r>
      <w:r>
        <w:rPr>
          <w:color w:val="231F20"/>
          <w:spacing w:val="-27"/>
        </w:rPr>
        <w:t>），</w:t>
      </w:r>
      <w:r>
        <w:rPr>
          <w:color w:val="231F20"/>
          <w:spacing w:val="10"/>
        </w:rPr>
        <w:t>不建议行无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目标的活检；②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2"/>
        </w:rPr>
        <w:t>建议针对所有不连续醋白区域（化生或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更高级别病变）进行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2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~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4 </w:t>
      </w:r>
      <w:r>
        <w:rPr>
          <w:color w:val="231F20"/>
          <w:spacing w:val="12"/>
        </w:rPr>
        <w:t>块的多点定位活检，以提高对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rFonts w:ascii="Microsoft YaHei" w:hAnsi="Microsoft YaHei" w:eastAsia="Microsoft YaHei" w:cs="Microsoft YaHei"/>
          <w:color w:val="231F20"/>
          <w:spacing w:val="2"/>
        </w:rPr>
        <w:t>+</w:t>
      </w:r>
      <w:r>
        <w:rPr>
          <w:rFonts w:ascii="Microsoft YaHei" w:hAnsi="Microsoft YaHei" w:eastAsia="Microsoft YaHei" w:cs="Microsoft YaHei"/>
          <w:color w:val="231F20"/>
          <w:spacing w:val="35"/>
        </w:rPr>
        <w:t xml:space="preserve"> </w:t>
      </w:r>
      <w:r>
        <w:rPr>
          <w:color w:val="231F20"/>
          <w:spacing w:val="2"/>
        </w:rPr>
        <w:t>的检出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[16-17]</w:t>
      </w:r>
      <w:r>
        <w:rPr>
          <w:color w:val="231F20"/>
          <w:spacing w:val="2"/>
        </w:rPr>
        <w:t>；③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筛查高级别异常者（细胞学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color w:val="231F20"/>
          <w:spacing w:val="2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ASC</w:t>
      </w:r>
      <w:r>
        <w:rPr>
          <w:rFonts w:ascii="Times New Roman" w:hAnsi="Times New Roman" w:eastAsia="Times New Roman" w:cs="Times New Roman"/>
          <w:color w:val="231F20"/>
          <w:spacing w:val="1"/>
        </w:rPr>
        <w:t>-H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1"/>
        </w:rPr>
        <w:t>、</w:t>
      </w:r>
      <w:r>
        <w:rPr>
          <w:rFonts w:ascii="Times New Roman" w:hAnsi="Times New Roman" w:eastAsia="Times New Roman" w:cs="Times New Roman"/>
          <w:color w:val="231F20"/>
        </w:rPr>
        <w:t>AGC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及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1"/>
        </w:rPr>
        <w:t>16/18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color w:val="231F20"/>
          <w:spacing w:val="1"/>
        </w:rPr>
        <w:t>阳性</w:t>
      </w:r>
      <w:r>
        <w:rPr>
          <w:color w:val="231F20"/>
          <w:spacing w:val="-38"/>
        </w:rPr>
        <w:t>），</w:t>
      </w:r>
      <w:r>
        <w:rPr>
          <w:color w:val="231F20"/>
          <w:spacing w:val="1"/>
        </w:rPr>
        <w:t>建议多点活检并酌情进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行子宫颈管搔刮术（</w:t>
      </w:r>
      <w:r>
        <w:rPr>
          <w:rFonts w:ascii="Times New Roman" w:hAnsi="Times New Roman" w:eastAsia="Times New Roman" w:cs="Times New Roman"/>
          <w:color w:val="231F20"/>
          <w:spacing w:val="-1"/>
        </w:rPr>
        <w:t>endocervical curettage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, ECC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-1"/>
        </w:rPr>
        <w:t>）。</w:t>
      </w:r>
    </w:p>
    <w:p>
      <w:pPr>
        <w:pStyle w:val="BodyText"/>
        <w:ind w:left="502" w:right="296" w:firstLine="401"/>
        <w:spacing w:before="59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color w:val="231F20"/>
          <w:spacing w:val="5"/>
        </w:rPr>
        <w:t>子宫颈管搔刮术：</w:t>
      </w:r>
      <w:r>
        <w:rPr>
          <w:rFonts w:ascii="Times New Roman" w:hAnsi="Times New Roman" w:eastAsia="Times New Roman" w:cs="Times New Roman"/>
          <w:color w:val="231F20"/>
        </w:rPr>
        <w:t>ECC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可提高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5"/>
        </w:rPr>
        <w:t>2</w:t>
      </w:r>
      <w:r>
        <w:rPr>
          <w:rFonts w:ascii="Microsoft YaHei" w:hAnsi="Microsoft YaHei" w:eastAsia="Microsoft YaHei" w:cs="Microsoft YaHei"/>
          <w:color w:val="231F20"/>
          <w:spacing w:val="5"/>
        </w:rPr>
        <w:t>+</w:t>
      </w:r>
      <w:r>
        <w:rPr>
          <w:rFonts w:ascii="Microsoft YaHei" w:hAnsi="Microsoft YaHei" w:eastAsia="Microsoft YaHei" w:cs="Microsoft YaHei"/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的检出，但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并非所有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0"/>
        </w:rPr>
        <w:t>阴道镜被检者均需行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ECC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7"/>
        </w:rPr>
        <w:t>[18-19]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7"/>
        </w:rPr>
        <w:t xml:space="preserve"> </w:t>
      </w:r>
      <w:r>
        <w:rPr>
          <w:color w:val="231F20"/>
          <w:spacing w:val="10"/>
        </w:rPr>
        <w:t>。</w:t>
      </w:r>
      <w:r>
        <w:rPr>
          <w:rFonts w:ascii="Times New Roman" w:hAnsi="Times New Roman" w:eastAsia="Times New Roman" w:cs="Times New Roman"/>
          <w:color w:val="231F20"/>
        </w:rPr>
        <w:t>Gage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等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7"/>
        </w:rPr>
        <w:t>[20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7"/>
        </w:rPr>
        <w:t>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3"/>
          <w:position w:val="7"/>
        </w:rPr>
        <w:t xml:space="preserve"> </w:t>
      </w:r>
      <w:r>
        <w:rPr>
          <w:color w:val="231F20"/>
          <w:spacing w:val="9"/>
        </w:rPr>
        <w:t>对</w:t>
      </w:r>
    </w:p>
    <w:p>
      <w:pPr>
        <w:pStyle w:val="BodyText"/>
        <w:ind w:left="500" w:right="227" w:firstLine="18"/>
        <w:spacing w:before="75" w:line="247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13</w:t>
      </w:r>
      <w:r>
        <w:rPr>
          <w:rFonts w:ascii="Times New Roman" w:hAnsi="Times New Roman" w:eastAsia="Times New Roman" w:cs="Times New Roman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115 </w:t>
      </w:r>
      <w:r>
        <w:rPr>
          <w:color w:val="231F20"/>
          <w:spacing w:val="5"/>
        </w:rPr>
        <w:t>例阴道镜检查女性常规行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ECC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5"/>
        </w:rPr>
        <w:t>，仅在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1.01% </w:t>
      </w:r>
      <w:r>
        <w:rPr>
          <w:color w:val="231F20"/>
          <w:spacing w:val="5"/>
        </w:rPr>
        <w:t>女性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中检出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color w:val="231F20"/>
          <w:spacing w:val="7"/>
        </w:rPr>
        <w:t>+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color w:val="231F20"/>
          <w:spacing w:val="7"/>
        </w:rPr>
        <w:t>。因此，建议有以下情况者行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ECC</w:t>
      </w:r>
      <w:r>
        <w:rPr>
          <w:color w:val="231F20"/>
          <w:spacing w:val="7"/>
        </w:rPr>
        <w:t>：①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转</w:t>
      </w:r>
      <w:r>
        <w:rPr>
          <w:color w:val="231F20"/>
        </w:rPr>
        <w:t xml:space="preserve"> </w:t>
      </w:r>
      <w:r>
        <w:rPr>
          <w:color w:val="231F20"/>
        </w:rPr>
        <w:t>化区类型为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TZ3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</w:rPr>
        <w:t>；②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细胞学异常但宫颈阴道部未见相应级  </w:t>
      </w:r>
      <w:r>
        <w:rPr>
          <w:color w:val="231F20"/>
          <w:spacing w:val="10"/>
        </w:rPr>
        <w:t>别病变者。对于存在高危因素者（年龄</w:t>
      </w:r>
      <w:r>
        <w:rPr>
          <w:rFonts w:ascii="Microsoft YaHei" w:hAnsi="Microsoft YaHei" w:eastAsia="Microsoft YaHei" w:cs="Microsoft YaHei"/>
          <w:color w:val="231F20"/>
          <w:spacing w:val="10"/>
        </w:rPr>
        <w:t>≥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45 </w:t>
      </w:r>
      <w:r>
        <w:rPr>
          <w:color w:val="231F20"/>
          <w:spacing w:val="10"/>
        </w:rPr>
        <w:t>岁，细胞学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9"/>
        </w:rPr>
        <w:t>ASC-H</w:t>
      </w:r>
      <w:r>
        <w:rPr>
          <w:color w:val="231F20"/>
          <w:spacing w:val="-9"/>
        </w:rPr>
        <w:t>、</w:t>
      </w:r>
      <w:r>
        <w:rPr>
          <w:rFonts w:ascii="Times New Roman" w:hAnsi="Times New Roman" w:eastAsia="Times New Roman" w:cs="Times New Roman"/>
          <w:color w:val="231F20"/>
          <w:spacing w:val="-9"/>
        </w:rPr>
        <w:t>HSIL</w:t>
      </w:r>
      <w:r>
        <w:rPr>
          <w:color w:val="231F20"/>
          <w:spacing w:val="-9"/>
        </w:rPr>
        <w:t>、</w:t>
      </w:r>
      <w:r>
        <w:rPr>
          <w:rFonts w:ascii="Times New Roman" w:hAnsi="Times New Roman" w:eastAsia="Times New Roman" w:cs="Times New Roman"/>
          <w:color w:val="231F20"/>
          <w:spacing w:val="-9"/>
        </w:rPr>
        <w:t>AGC </w:t>
      </w:r>
      <w:r>
        <w:rPr>
          <w:color w:val="231F20"/>
          <w:spacing w:val="-9"/>
        </w:rPr>
        <w:t>及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HPV16/18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color w:val="231F20"/>
          <w:spacing w:val="-9"/>
        </w:rPr>
        <w:t>阳性）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[21-22]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3"/>
          <w:position w:val="8"/>
        </w:rPr>
        <w:t xml:space="preserve"> </w:t>
      </w:r>
      <w:r>
        <w:rPr>
          <w:color w:val="231F20"/>
          <w:spacing w:val="-1"/>
        </w:rPr>
        <w:t>应更给予重视。</w:t>
      </w:r>
    </w:p>
    <w:p>
      <w:pPr>
        <w:pStyle w:val="BodyText"/>
        <w:ind w:left="902"/>
        <w:spacing w:before="42" w:line="211" w:lineRule="auto"/>
        <w:rPr/>
      </w:pPr>
      <w:r>
        <w:rPr>
          <w:color w:val="231F20"/>
          <w:spacing w:val="-1"/>
        </w:rPr>
        <w:t>三、子宫颈低级别鳞状上皮内病变的管理</w:t>
      </w:r>
    </w:p>
    <w:p>
      <w:pPr>
        <w:pStyle w:val="BodyText"/>
        <w:ind w:left="423" w:right="238" w:firstLine="475"/>
        <w:spacing w:before="69" w:line="274" w:lineRule="auto"/>
        <w:rPr/>
      </w:pPr>
      <w:r>
        <w:pict>
          <v:shape id="_x0000_s6" style="position:absolute;margin-left:93.2809pt;margin-top:114.005pt;mso-position-vertical-relative:text;mso-position-horizontal-relative:text;width:0.5pt;height:7.2pt;z-index:251663360;" filled="false" strokecolor="#231F20" strokeweight="0.50pt" coordsize="10,143" coordorigin="0,0" path="m5,0l5,143e">
            <v:stroke joinstyle="miter" miterlimit="4"/>
          </v:shape>
        </w:pict>
      </w:r>
      <w:r>
        <w:pict>
          <v:shape id="_x0000_s8" style="position:absolute;margin-left:178.354pt;margin-top:114.005pt;mso-position-vertical-relative:text;mso-position-horizontal-relative:text;width:0.5pt;height:7.2pt;z-index:251664384;" filled="false" strokecolor="#231F20" strokeweight="0.50pt" coordsize="10,143" coordorigin="0,0" path="m5,143l5,0e">
            <v:stroke joinstyle="miter" miterlimit="4"/>
          </v:shape>
        </w:pict>
      </w:r>
      <w:r>
        <w:rPr>
          <w:color w:val="231F20"/>
        </w:rPr>
        <w:t>组织病理学诊断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color w:val="231F20"/>
        </w:rPr>
        <w:t>的管理原则：原则上无需治疗， </w:t>
      </w:r>
      <w:r>
        <w:rPr>
          <w:color w:val="231F20"/>
          <w:spacing w:val="14"/>
        </w:rPr>
        <w:t>进行临床观察。对于可能存在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14"/>
        </w:rPr>
        <w:t>风险的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color w:val="231F20"/>
          <w:spacing w:val="14"/>
        </w:rPr>
        <w:t>的处理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应慎重，应根据阴道镜前的细胞学筛查结果</w:t>
      </w:r>
      <w:r>
        <w:rPr>
          <w:color w:val="231F20"/>
          <w:spacing w:val="7"/>
        </w:rPr>
        <w:t>进行分层管理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（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6"/>
        </w:rPr>
        <w:t>图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1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-6"/>
        </w:rPr>
        <w:t>）。凯撒（</w:t>
      </w:r>
      <w:r>
        <w:rPr>
          <w:rFonts w:ascii="Times New Roman" w:hAnsi="Times New Roman" w:eastAsia="Times New Roman" w:cs="Times New Roman"/>
          <w:color w:val="231F20"/>
          <w:spacing w:val="-6"/>
        </w:rPr>
        <w:t>KPNC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-6"/>
        </w:rPr>
        <w:t>）研究表明，在阴道镜活检诊断为正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常和</w:t>
      </w:r>
      <w:r>
        <w:rPr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≤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的女性中，潜在的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color w:val="231F20"/>
          <w:spacing w:val="5"/>
        </w:rPr>
        <w:t>+</w:t>
      </w:r>
      <w:r>
        <w:rPr>
          <w:rFonts w:ascii="Microsoft YaHei" w:hAnsi="Microsoft YaHei" w:eastAsia="Microsoft YaHei" w:cs="Microsoft YaHei"/>
          <w:color w:val="231F20"/>
          <w:spacing w:val="21"/>
        </w:rPr>
        <w:t xml:space="preserve"> </w:t>
      </w:r>
      <w:r>
        <w:rPr>
          <w:color w:val="231F20"/>
          <w:spacing w:val="5"/>
        </w:rPr>
        <w:t>风险与之前细胞学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筛查结果有关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[23]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2"/>
        </w:rPr>
        <w:t>。我国学者研究也显示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[24] </w:t>
      </w:r>
      <w:r>
        <w:rPr>
          <w:color w:val="231F20"/>
          <w:spacing w:val="2"/>
        </w:rPr>
        <w:t>，根据先前细胞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学的严重程度决定选择随访或进一步干预。</w:t>
      </w:r>
    </w:p>
    <w:p>
      <w:pPr>
        <w:pStyle w:val="BodyText"/>
        <w:ind w:left="1983"/>
        <w:spacing w:before="276" w:line="20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pict>
          <v:shape id="_x0000_s10" style="position:absolute;margin-left:199.941pt;margin-top:44.0874pt;mso-position-vertical-relative:text;mso-position-horizontal-relative:text;width:0.5pt;height:7.2pt;z-index:251666432;" filled="false" strokecolor="#231F20" strokeweight="0.50pt" coordsize="10,143" coordorigin="0,0" path="m5,0l5,143e">
            <v:stroke joinstyle="miter" miterlimit="4"/>
          </v:shape>
        </w:pict>
      </w:r>
      <w:r>
        <w:pict>
          <v:shape id="_x0000_s12" style="position:absolute;margin-left:241.352pt;margin-top:44.0874pt;mso-position-vertical-relative:text;mso-position-horizontal-relative:text;width:0.5pt;height:7.2pt;z-index:251665408;" filled="false" strokecolor="#231F20" strokeweight="0.50pt" coordsize="10,143" coordorigin="0,0" path="m5,143l5,0e">
            <v:stroke joinstyle="miter" miterlimit="4"/>
          </v:shape>
        </w:pict>
      </w:r>
      <w:r>
        <w:pict>
          <v:shape id="_x0000_s14" style="position:absolute;margin-left:202.703pt;margin-top:42.3618pt;mso-position-vertical-relative:text;mso-position-horizontal-relative:text;width:36.2pt;height:10.0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auto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细胞学</w:t>
                  </w:r>
                  <w:r>
                    <w:rPr>
                      <w:sz w:val="12"/>
                      <w:szCs w:val="12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1"/>
                    </w:rPr>
                    <w:t>AGC</w:t>
                  </w: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color w:val="231F20"/>
                      <w:spacing w:val="-1"/>
                      <w:position w:val="5"/>
                    </w:rPr>
                    <w:t>#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-1"/>
        </w:rPr>
        <w:t>组织病理学诊断</w:t>
      </w:r>
      <w:r>
        <w:rPr>
          <w:sz w:val="12"/>
          <w:szCs w:val="12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</w:rPr>
        <w:t>LSIL(CIN1)</w:t>
      </w:r>
    </w:p>
    <w:p>
      <w:pPr>
        <w:spacing w:before="228"/>
        <w:rPr/>
      </w:pPr>
      <w:r/>
    </w:p>
    <w:tbl>
      <w:tblPr>
        <w:tblStyle w:val="TableNormal"/>
        <w:tblW w:w="2968" w:type="dxa"/>
        <w:tblInd w:w="63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867"/>
        <w:gridCol w:w="187"/>
        <w:gridCol w:w="731"/>
        <w:gridCol w:w="320"/>
        <w:gridCol w:w="863"/>
      </w:tblGrid>
      <w:tr>
        <w:trPr>
          <w:trHeight w:val="143" w:hRule="atLeast"/>
        </w:trPr>
        <w:tc>
          <w:tcPr>
            <w:tcW w:w="867" w:type="dxa"/>
            <w:vAlign w:val="top"/>
            <w:tcBorders>
              <w:bottom w:val="nil"/>
              <w:top w:val="nil"/>
            </w:tcBorders>
          </w:tcPr>
          <w:p>
            <w:pPr>
              <w:ind w:left="54"/>
              <w:spacing w:before="12" w:line="120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-70937</wp:posOffset>
                  </wp:positionH>
                  <wp:positionV relativeFrom="paragraph">
                    <wp:posOffset>-436078</wp:posOffset>
                  </wp:positionV>
                  <wp:extent cx="2915342" cy="1687071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15342" cy="1687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z w:val="12"/>
                <w:szCs w:val="12"/>
                <w:color w:val="231F20"/>
                <w:position w:val="-1"/>
              </w:rPr>
              <w:t>细胞学</w:t>
            </w:r>
            <w:r>
              <w:rPr>
                <w:rFonts w:ascii="SimSun" w:hAnsi="SimSun" w:eastAsia="SimSun" w:cs="SimSun"/>
                <w:sz w:val="12"/>
                <w:szCs w:val="12"/>
                <w:color w:val="231F20"/>
                <w:spacing w:val="-2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31F20"/>
                <w:position w:val="-1"/>
              </w:rPr>
              <w:t>≤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31F20"/>
                <w:spacing w:val="-19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position w:val="-1"/>
              </w:rPr>
              <w:t>LSIL</w:t>
            </w:r>
          </w:p>
        </w:tc>
        <w:tc>
          <w:tcPr>
            <w:tcW w:w="187" w:type="dxa"/>
            <w:vAlign w:val="top"/>
            <w:tcBorders>
              <w:bottom w:val="nil"/>
              <w:top w:val="nil"/>
            </w:tcBorders>
          </w:tcPr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  <w:tc>
          <w:tcPr>
            <w:tcW w:w="731" w:type="dxa"/>
            <w:vAlign w:val="top"/>
            <w:tcBorders>
              <w:bottom w:val="nil"/>
              <w:top w:val="nil"/>
            </w:tcBorders>
          </w:tcPr>
          <w:p>
            <w:pPr>
              <w:ind w:left="41"/>
              <w:spacing w:before="15" w:line="18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color w:val="231F20"/>
                <w:spacing w:val="-2"/>
              </w:rPr>
              <w:t>细胞学</w:t>
            </w:r>
            <w:r>
              <w:rPr>
                <w:rFonts w:ascii="SimSun" w:hAnsi="SimSun" w:eastAsia="SimSun" w:cs="SimSun"/>
                <w:sz w:val="12"/>
                <w:szCs w:val="12"/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2"/>
              </w:rPr>
              <w:t>HSIL</w:t>
            </w:r>
          </w:p>
        </w:tc>
        <w:tc>
          <w:tcPr>
            <w:tcW w:w="320" w:type="dxa"/>
            <w:vAlign w:val="top"/>
            <w:tcBorders>
              <w:bottom w:val="nil"/>
              <w:top w:val="nil"/>
            </w:tcBorders>
          </w:tcPr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  <w:tc>
          <w:tcPr>
            <w:tcW w:w="863" w:type="dxa"/>
            <w:vAlign w:val="top"/>
            <w:tcBorders>
              <w:bottom w:val="nil"/>
              <w:top w:val="nil"/>
            </w:tcBorders>
          </w:tcPr>
          <w:p>
            <w:pPr>
              <w:ind w:left="59"/>
              <w:spacing w:before="15" w:line="18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color w:val="231F20"/>
                <w:spacing w:val="-1"/>
              </w:rPr>
              <w:t>细胞学</w:t>
            </w:r>
            <w:r>
              <w:rPr>
                <w:rFonts w:ascii="SimSun" w:hAnsi="SimSun" w:eastAsia="SimSun" w:cs="SimSun"/>
                <w:sz w:val="12"/>
                <w:szCs w:val="12"/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1"/>
              </w:rPr>
              <w:t>ASC-H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>
        <w:pict>
          <v:shape id="_x0000_s16" style="position:absolute;margin-left:191.844pt;margin-top:7.03412pt;mso-position-vertical-relative:text;mso-position-horizontal-relative:text;width:0.5pt;height:5pt;z-index:251669504;" filled="false" strokecolor="#231F20" strokeweight="0.50pt" coordsize="10,100" coordorigin="0,0" path="m5,0l5,99e">
            <v:stroke joinstyle="miter" miterlimit="4"/>
          </v:shape>
        </w:pict>
      </w:r>
      <w:r/>
    </w:p>
    <w:p>
      <w:pPr>
        <w:pStyle w:val="BodyText"/>
        <w:ind w:left="3450"/>
        <w:spacing w:before="40"/>
        <w:rPr>
          <w:sz w:val="12"/>
          <w:szCs w:val="12"/>
        </w:rPr>
      </w:pPr>
      <w:r>
        <w:rPr>
          <w:sz w:val="12"/>
          <w:szCs w:val="12"/>
          <w:color w:val="231F20"/>
          <w:position w:val="-2"/>
        </w:rPr>
        <w:drawing>
          <wp:inline distT="0" distB="0" distL="0" distR="0">
            <wp:extent cx="6350" cy="913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  <w:spacing w:val="-14"/>
        </w:rPr>
        <w:t xml:space="preserve"> </w:t>
      </w:r>
      <w:r>
        <w:rPr>
          <w:sz w:val="12"/>
          <w:szCs w:val="12"/>
          <w:color w:val="231F20"/>
          <w:spacing w:val="-1"/>
        </w:rPr>
        <w:t>细胞学</w:t>
      </w:r>
      <w:r>
        <w:rPr>
          <w:sz w:val="12"/>
          <w:szCs w:val="12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</w:rPr>
        <w:t>AGG-NOS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position w:val="-2"/>
        </w:rPr>
        <w:drawing>
          <wp:inline distT="0" distB="0" distL="0" distR="0">
            <wp:extent cx="6350" cy="913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779"/>
        <w:spacing w:before="39" w:line="21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6"/>
        </w:rPr>
        <w:t>随访</w:t>
      </w:r>
      <w:r>
        <w:rPr>
          <w:sz w:val="12"/>
          <w:szCs w:val="12"/>
          <w:color w:val="231F20"/>
          <w:spacing w:val="-23"/>
        </w:rPr>
        <w:t xml:space="preserve"> </w:t>
      </w:r>
      <w:r>
        <w:rPr>
          <w:sz w:val="12"/>
          <w:szCs w:val="12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6"/>
        </w:rPr>
        <w:t>12 </w:t>
      </w:r>
      <w:r>
        <w:rPr>
          <w:sz w:val="12"/>
          <w:szCs w:val="12"/>
          <w:color w:val="231F20"/>
          <w:spacing w:val="-6"/>
        </w:rPr>
        <w:t>个月</w:t>
      </w:r>
    </w:p>
    <w:p>
      <w:pPr>
        <w:pStyle w:val="BodyText"/>
        <w:ind w:left="2571"/>
        <w:spacing w:line="183" w:lineRule="exact"/>
        <w:rPr>
          <w:rFonts w:ascii="Times New Roman" w:hAnsi="Times New Roman" w:eastAsia="Times New Roman" w:cs="Times New Roman"/>
          <w:sz w:val="9"/>
          <w:szCs w:val="9"/>
        </w:rPr>
      </w:pPr>
      <w:r>
        <w:pict>
          <v:shape id="_x0000_s18" style="position:absolute;margin-left:255.728pt;margin-top:9.32948pt;mso-position-vertical-relative:text;mso-position-horizontal-relative:text;width:0.5pt;height:7.2pt;z-index:251667456;" filled="false" strokecolor="#231F20" strokeweight="0.50pt" coordsize="10,143" coordorigin="0,0" path="m5,143l5,0e">
            <v:stroke joinstyle="miter" miterlimit="4"/>
          </v:shape>
        </w:pict>
      </w:r>
      <w:r>
        <w:pict>
          <v:shape id="_x0000_s20" style="position:absolute;margin-left:30.3668pt;margin-top:-0.736908pt;mso-position-vertical-relative:text;mso-position-horizontal-relative:text;width:54pt;height:18.3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8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31F20"/>
                      <w:spacing w:val="-6"/>
                    </w:rPr>
                    <w:t>&lt;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6"/>
                    </w:rPr>
                    <w:t>25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岁</w:t>
                  </w:r>
                  <w:r>
                    <w:rPr>
                      <w:sz w:val="12"/>
                      <w:szCs w:val="12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：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6"/>
                    </w:rPr>
                    <w:t>TCT</w:t>
                  </w:r>
                </w:p>
                <w:p>
                  <w:pPr>
                    <w:pStyle w:val="BodyText"/>
                    <w:ind w:left="20"/>
                    <w:spacing w:line="211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31F20"/>
                      <w:spacing w:val="-3"/>
                    </w:rPr>
                    <w:t>≥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3"/>
                    </w:rPr>
                    <w:t>25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岁</w:t>
                  </w:r>
                  <w:r>
                    <w:rPr>
                      <w:sz w:val="12"/>
                      <w:szCs w:val="12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：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3"/>
                    </w:rPr>
                    <w:t>HPV+TCT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-6"/>
        </w:rPr>
        <w:t>随访</w:t>
      </w:r>
      <w:r>
        <w:rPr>
          <w:sz w:val="12"/>
          <w:szCs w:val="12"/>
          <w:color w:val="231F20"/>
          <w:spacing w:val="-16"/>
        </w:rPr>
        <w:t xml:space="preserve"> </w:t>
      </w:r>
      <w:r>
        <w:rPr>
          <w:sz w:val="12"/>
          <w:szCs w:val="12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6"/>
        </w:rPr>
        <w:t>6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6"/>
        </w:rPr>
        <w:t>~ 12 </w:t>
      </w:r>
      <w:r>
        <w:rPr>
          <w:sz w:val="12"/>
          <w:szCs w:val="12"/>
          <w:color w:val="231F20"/>
          <w:spacing w:val="-6"/>
        </w:rPr>
        <w:t>个月</w:t>
      </w:r>
      <w:r>
        <w:rPr>
          <w:sz w:val="12"/>
          <w:szCs w:val="12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6"/>
          <w:position w:val="6"/>
        </w:rPr>
        <w:t>*</w:t>
      </w:r>
    </w:p>
    <w:p>
      <w:pPr>
        <w:pStyle w:val="BodyText"/>
        <w:ind w:left="2187"/>
        <w:spacing w:before="12" w:line="168" w:lineRule="auto"/>
        <w:rPr>
          <w:sz w:val="12"/>
          <w:szCs w:val="12"/>
        </w:rPr>
      </w:pPr>
      <w:r>
        <w:pict>
          <v:shape id="_x0000_s22" style="position:absolute;margin-left:205.221pt;margin-top:-1.07022pt;mso-position-vertical-relative:text;mso-position-horizontal-relative:text;width:48pt;height:9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position w:val="-2"/>
                    </w:rPr>
                    <w:drawing>
                      <wp:inline distT="0" distB="0" distL="0" distR="0">
                        <wp:extent cx="6350" cy="91325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91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细胞学</w:t>
                  </w:r>
                  <w:r>
                    <w:rPr>
                      <w:sz w:val="12"/>
                      <w:szCs w:val="12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1"/>
                    </w:rPr>
                    <w:t>AGG-FN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5"/>
        </w:rPr>
        <w:t>&lt; 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5"/>
        </w:rPr>
        <w:t>25 </w:t>
      </w:r>
      <w:r>
        <w:rPr>
          <w:sz w:val="12"/>
          <w:szCs w:val="12"/>
          <w:color w:val="231F20"/>
          <w:spacing w:val="-5"/>
        </w:rPr>
        <w:t>岁</w:t>
      </w:r>
      <w:r>
        <w:rPr>
          <w:sz w:val="12"/>
          <w:szCs w:val="12"/>
          <w:color w:val="231F20"/>
          <w:spacing w:val="-12"/>
        </w:rPr>
        <w:t xml:space="preserve"> </w:t>
      </w:r>
      <w:r>
        <w:rPr>
          <w:sz w:val="12"/>
          <w:szCs w:val="12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5"/>
        </w:rPr>
        <w:t>TCT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9"/>
        </w:rPr>
        <w:t xml:space="preserve"> </w:t>
      </w:r>
      <w:r>
        <w:rPr>
          <w:sz w:val="12"/>
          <w:szCs w:val="12"/>
          <w:color w:val="231F20"/>
          <w:spacing w:val="-5"/>
        </w:rPr>
        <w:t>，阴道镜检查</w:t>
      </w:r>
    </w:p>
    <w:p>
      <w:pPr>
        <w:pStyle w:val="BodyText"/>
        <w:ind w:left="2187"/>
        <w:spacing w:line="210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3"/>
        </w:rPr>
        <w:t>≥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3"/>
        </w:rPr>
        <w:t>25 </w:t>
      </w:r>
      <w:r>
        <w:rPr>
          <w:sz w:val="12"/>
          <w:szCs w:val="12"/>
          <w:color w:val="231F20"/>
          <w:spacing w:val="-3"/>
        </w:rPr>
        <w:t>岁</w:t>
      </w:r>
      <w:r>
        <w:rPr>
          <w:sz w:val="12"/>
          <w:szCs w:val="12"/>
          <w:color w:val="231F20"/>
          <w:spacing w:val="-23"/>
        </w:rPr>
        <w:t xml:space="preserve"> </w:t>
      </w:r>
      <w:r>
        <w:rPr>
          <w:sz w:val="12"/>
          <w:szCs w:val="12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3"/>
        </w:rPr>
        <w:t>HPV+TCT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9"/>
        </w:rPr>
        <w:t xml:space="preserve"> </w:t>
      </w:r>
      <w:r>
        <w:rPr>
          <w:sz w:val="12"/>
          <w:szCs w:val="12"/>
          <w:color w:val="231F20"/>
          <w:spacing w:val="-3"/>
        </w:rPr>
        <w:t>，阴道镜检查</w:t>
      </w:r>
    </w:p>
    <w:p>
      <w:pPr>
        <w:pStyle w:val="BodyText"/>
        <w:ind w:left="1803"/>
        <w:spacing w:before="194"/>
        <w:rPr>
          <w:sz w:val="12"/>
          <w:szCs w:val="12"/>
        </w:rPr>
      </w:pPr>
      <w:r>
        <w:pict>
          <v:shape id="_x0000_s24" style="position:absolute;margin-left:206.566pt;margin-top:9.94873pt;mso-position-vertical-relative:text;mso-position-horizontal-relative:text;width:0.5pt;height:7.2pt;z-index:251668480;" filled="false" strokecolor="#231F20" strokeweight="0.50pt" coordsize="10,143" coordorigin="0,0" path="m5,143l5,0e">
            <v:stroke joinstyle="miter" miterlimit="4"/>
          </v:shape>
        </w:pict>
      </w:r>
      <w:r>
        <w:rPr>
          <w:sz w:val="12"/>
          <w:szCs w:val="12"/>
          <w:color w:val="231F20"/>
          <w:position w:val="-2"/>
        </w:rPr>
        <w:drawing>
          <wp:inline distT="0" distB="0" distL="0" distR="0">
            <wp:extent cx="6350" cy="9132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  <w:spacing w:val="2"/>
        </w:rPr>
        <w:t xml:space="preserve">           </w:t>
      </w:r>
      <w:r>
        <w:rPr>
          <w:sz w:val="12"/>
          <w:szCs w:val="12"/>
          <w:color w:val="231F20"/>
          <w:spacing w:val="-1"/>
        </w:rPr>
        <w:t>诊断性宫颈锥切术</w:t>
      </w:r>
    </w:p>
    <w:p>
      <w:pPr>
        <w:pStyle w:val="BodyText"/>
        <w:ind w:left="500" w:right="297" w:firstLine="6"/>
        <w:spacing w:before="162" w:line="250" w:lineRule="auto"/>
        <w:rPr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color w:val="231F20"/>
        </w:rPr>
        <w:t>* </w:t>
      </w:r>
      <w:r>
        <w:rPr>
          <w:sz w:val="12"/>
          <w:szCs w:val="12"/>
          <w:color w:val="231F20"/>
        </w:rPr>
        <w:t>仅适用于</w:t>
      </w:r>
      <w:r>
        <w:rPr>
          <w:sz w:val="12"/>
          <w:szCs w:val="12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231F20"/>
        </w:rPr>
        <w:t>SCJ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</w:rPr>
        <w:t>和病变范围可见，且</w:t>
      </w:r>
      <w:r>
        <w:rPr>
          <w:sz w:val="12"/>
          <w:szCs w:val="12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231F20"/>
        </w:rPr>
        <w:t>ECC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</w:rPr>
        <w:t>＜ 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</w:rPr>
        <w:t>CIN2 </w:t>
      </w:r>
      <w:r>
        <w:rPr>
          <w:sz w:val="12"/>
          <w:szCs w:val="12"/>
          <w:color w:val="231F20"/>
          <w:spacing w:val="-1"/>
        </w:rPr>
        <w:t>者</w:t>
      </w:r>
      <w:r>
        <w:rPr>
          <w:sz w:val="12"/>
          <w:szCs w:val="12"/>
          <w:color w:val="231F20"/>
          <w:spacing w:val="-25"/>
        </w:rPr>
        <w:t xml:space="preserve"> </w:t>
      </w:r>
      <w:r>
        <w:rPr>
          <w:sz w:val="12"/>
          <w:szCs w:val="12"/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</w:rPr>
        <w:t>#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-1"/>
        </w:rPr>
        <w:t>当年龄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</w:rPr>
        <w:t>＞ 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</w:rPr>
        <w:t>35 </w:t>
      </w:r>
      <w:r>
        <w:rPr>
          <w:sz w:val="12"/>
          <w:szCs w:val="12"/>
          <w:color w:val="231F20"/>
          <w:spacing w:val="-1"/>
        </w:rPr>
        <w:t>岁，需行子宫内膜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3"/>
        </w:rPr>
        <w:t>诊断性刮宫</w:t>
      </w:r>
      <w:r>
        <w:rPr>
          <w:sz w:val="12"/>
          <w:szCs w:val="12"/>
          <w:color w:val="231F20"/>
          <w:spacing w:val="-24"/>
        </w:rPr>
        <w:t xml:space="preserve"> </w:t>
      </w:r>
      <w:r>
        <w:rPr>
          <w:sz w:val="12"/>
          <w:szCs w:val="12"/>
          <w:color w:val="231F20"/>
          <w:spacing w:val="-3"/>
        </w:rPr>
        <w:t>；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3"/>
        </w:rPr>
        <w:t>AGC-NOS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7"/>
          <w:w w:val="101"/>
        </w:rPr>
        <w:t xml:space="preserve"> </w:t>
      </w:r>
      <w:r>
        <w:rPr>
          <w:sz w:val="12"/>
          <w:szCs w:val="12"/>
          <w:color w:val="231F20"/>
          <w:spacing w:val="-3"/>
        </w:rPr>
        <w:t>：未明确诊断意义的</w:t>
      </w:r>
      <w:r>
        <w:rPr>
          <w:sz w:val="12"/>
          <w:szCs w:val="12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</w:rPr>
        <w:t>GC </w:t>
      </w:r>
      <w:r>
        <w:rPr>
          <w:sz w:val="12"/>
          <w:szCs w:val="12"/>
          <w:color w:val="231F20"/>
          <w:spacing w:val="-4"/>
        </w:rPr>
        <w:t>；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</w:rPr>
        <w:t>AGC-FN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</w:rPr>
        <w:t>AGC </w:t>
      </w:r>
      <w:r>
        <w:rPr>
          <w:sz w:val="12"/>
          <w:szCs w:val="12"/>
          <w:color w:val="231F20"/>
          <w:spacing w:val="-4"/>
        </w:rPr>
        <w:t>倾向瘤变</w:t>
      </w:r>
    </w:p>
    <w:p>
      <w:pPr>
        <w:pStyle w:val="BodyText"/>
        <w:ind w:left="634"/>
        <w:spacing w:before="149" w:line="222" w:lineRule="auto"/>
        <w:outlineLvl w:val="1"/>
        <w:rPr/>
      </w:pPr>
      <w:r>
        <w:rPr>
          <w:rFonts w:ascii="SimHei" w:hAnsi="SimHei" w:eastAsia="SimHei" w:cs="SimHei"/>
          <w:color w:val="231F20"/>
          <w:spacing w:val="-1"/>
        </w:rPr>
        <w:t>图</w:t>
      </w:r>
      <w:r>
        <w:rPr>
          <w:rFonts w:ascii="SimHei" w:hAnsi="SimHei" w:eastAsia="SimHei" w:cs="SimHei"/>
          <w:color w:val="231F20"/>
          <w:spacing w:val="-29"/>
        </w:rPr>
        <w:t xml:space="preserve"> </w:t>
      </w:r>
      <w:r>
        <w:rPr>
          <w:rFonts w:ascii="SimHei" w:hAnsi="SimHei" w:eastAsia="SimHei" w:cs="SimHei"/>
          <w:color w:val="231F20"/>
          <w:spacing w:val="-1"/>
        </w:rPr>
        <w:t>1</w:t>
      </w:r>
      <w:r>
        <w:rPr>
          <w:rFonts w:ascii="SimHei" w:hAnsi="SimHei" w:eastAsia="SimHei" w:cs="SimHei"/>
          <w:color w:val="231F20"/>
          <w:spacing w:val="-1"/>
        </w:rPr>
        <w:t xml:space="preserve">  </w:t>
      </w:r>
      <w:r>
        <w:rPr>
          <w:color w:val="231F20"/>
          <w:spacing w:val="-1"/>
        </w:rPr>
        <w:t>根据组织病理学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LSIL </w:t>
      </w:r>
      <w:r>
        <w:rPr>
          <w:color w:val="231F20"/>
          <w:spacing w:val="-1"/>
        </w:rPr>
        <w:t>前细胞</w:t>
      </w:r>
      <w:r>
        <w:rPr>
          <w:color w:val="231F20"/>
          <w:spacing w:val="-2"/>
        </w:rPr>
        <w:t>学风险分层管理流程</w:t>
      </w:r>
    </w:p>
    <w:p>
      <w:pPr>
        <w:pStyle w:val="BodyText"/>
        <w:ind w:left="500" w:right="225" w:firstLine="413"/>
        <w:spacing w:before="231" w:line="25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 </w:t>
      </w:r>
      <w:r>
        <w:rPr>
          <w:color w:val="231F20"/>
          <w:spacing w:val="-2"/>
        </w:rPr>
        <w:t>细胞学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ASC-US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LSIL </w:t>
      </w:r>
      <w:r>
        <w:rPr>
          <w:color w:val="231F20"/>
          <w:spacing w:val="-2"/>
        </w:rPr>
        <w:t>经组</w:t>
      </w:r>
      <w:r>
        <w:rPr>
          <w:color w:val="231F20"/>
          <w:spacing w:val="-3"/>
        </w:rPr>
        <w:t>织病理学诊断的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LSIL </w:t>
      </w:r>
      <w:r>
        <w:rPr>
          <w:color w:val="231F20"/>
          <w:spacing w:val="-3"/>
        </w:rPr>
        <w:t>者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处理原则：阴道镜检查转化区完全可见者，无需治疗，临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床随访；阴道镜检查转化区不完全可见时应进一步评价、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明确子宫颈管内有无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</w:rPr>
        <w:t>。</w:t>
      </w:r>
      <w:r>
        <w:rPr>
          <w:rFonts w:ascii="Times New Roman" w:hAnsi="Times New Roman" w:eastAsia="Times New Roman" w:cs="Times New Roman"/>
          <w:color w:val="231F20"/>
        </w:rPr>
        <w:t>Katki </w:t>
      </w:r>
      <w:r>
        <w:rPr>
          <w:color w:val="231F20"/>
        </w:rPr>
        <w:t>等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[25]  </w:t>
      </w:r>
      <w:r>
        <w:rPr>
          <w:color w:val="231F20"/>
        </w:rPr>
        <w:t>对于阴道镜未见异  </w:t>
      </w:r>
      <w:r>
        <w:rPr>
          <w:color w:val="231F20"/>
          <w:spacing w:val="-5"/>
        </w:rPr>
        <w:t>常者或活检病理为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CIN1 </w:t>
      </w:r>
      <w:r>
        <w:rPr>
          <w:color w:val="231F20"/>
          <w:spacing w:val="-5"/>
        </w:rPr>
        <w:t>者随访的发现，</w:t>
      </w:r>
      <w:r>
        <w:rPr>
          <w:rFonts w:ascii="Times New Roman" w:hAnsi="Times New Roman" w:eastAsia="Times New Roman" w:cs="Times New Roman"/>
          <w:color w:val="231F20"/>
          <w:spacing w:val="-5"/>
        </w:rPr>
        <w:t>ASC-US/HPV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阳性、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LSIL </w:t>
      </w:r>
      <w:r>
        <w:rPr>
          <w:color w:val="231F20"/>
          <w:spacing w:val="-3"/>
        </w:rPr>
        <w:t>者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5 </w:t>
      </w:r>
      <w:r>
        <w:rPr>
          <w:color w:val="231F20"/>
          <w:spacing w:val="-3"/>
        </w:rPr>
        <w:t>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累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计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CIN2</w:t>
      </w:r>
      <w:r>
        <w:rPr>
          <w:rFonts w:ascii="Microsoft YaHei" w:hAnsi="Microsoft YaHei" w:eastAsia="Microsoft YaHei" w:cs="Microsoft YaHei"/>
          <w:color w:val="231F20"/>
          <w:spacing w:val="-3"/>
        </w:rPr>
        <w:t>+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为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10%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  <w:spacing w:val="-3"/>
        </w:rPr>
        <w:t>。</w:t>
      </w:r>
      <w:r>
        <w:rPr>
          <w:rFonts w:ascii="Times New Roman" w:hAnsi="Times New Roman" w:eastAsia="Times New Roman" w:cs="Times New Roman"/>
          <w:color w:val="231F20"/>
          <w:spacing w:val="-3"/>
        </w:rPr>
        <w:t>Ciavattini </w:t>
      </w:r>
      <w:r>
        <w:rPr>
          <w:color w:val="231F20"/>
          <w:spacing w:val="-3"/>
        </w:rPr>
        <w:t>等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[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>26]  </w:t>
      </w:r>
      <w:r>
        <w:rPr>
          <w:color w:val="231F20"/>
          <w:spacing w:val="-4"/>
        </w:rPr>
        <w:t>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"/>
        <w:spacing w:before="4" w:line="263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434 </w:t>
      </w:r>
      <w:r>
        <w:rPr>
          <w:color w:val="231F20"/>
          <w:spacing w:val="2"/>
        </w:rPr>
        <w:t>例组织病理学诊断的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进行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5 </w:t>
      </w:r>
      <w:r>
        <w:rPr>
          <w:color w:val="231F20"/>
          <w:spacing w:val="2"/>
        </w:rPr>
        <w:t>年随</w:t>
      </w:r>
      <w:r>
        <w:rPr>
          <w:color w:val="231F20"/>
          <w:spacing w:val="1"/>
        </w:rPr>
        <w:t>访提示，细胞学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"/>
        </w:rPr>
        <w:t>LSIL </w:t>
      </w:r>
      <w:r>
        <w:rPr>
          <w:color w:val="231F20"/>
          <w:spacing w:val="-2"/>
        </w:rPr>
        <w:t>进展为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HSIL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的风险仅为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4.8%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2"/>
        </w:rPr>
        <w:t>，故</w:t>
      </w:r>
      <w:r>
        <w:rPr>
          <w:color w:val="231F20"/>
          <w:spacing w:val="-3"/>
        </w:rPr>
        <w:t>对细胞学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ASC-US</w:t>
      </w:r>
      <w:r>
        <w:rPr>
          <w:color w:val="231F20"/>
          <w:spacing w:val="-3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LSIL </w:t>
      </w:r>
      <w:r>
        <w:rPr>
          <w:color w:val="231F20"/>
          <w:spacing w:val="-2"/>
        </w:rPr>
        <w:t>经组织学诊断的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LSIL</w:t>
      </w:r>
      <w:r>
        <w:rPr>
          <w:color w:val="231F20"/>
          <w:spacing w:val="-2"/>
        </w:rPr>
        <w:t>，建议临床随访。</w:t>
      </w:r>
    </w:p>
    <w:p>
      <w:pPr>
        <w:pStyle w:val="BodyText"/>
        <w:ind w:right="39" w:firstLine="400"/>
        <w:spacing w:before="72" w:line="257" w:lineRule="auto"/>
        <w:rPr/>
      </w:pPr>
      <w:r>
        <w:rPr>
          <w:rFonts w:ascii="Times New Roman" w:hAnsi="Times New Roman" w:eastAsia="Times New Roman" w:cs="Times New Roman"/>
          <w:color w:val="231F20"/>
        </w:rPr>
        <w:t>2.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color w:val="231F20"/>
        </w:rPr>
        <w:t>细胞学为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ASC-H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</w:rPr>
        <w:t>HSIL </w:t>
      </w:r>
      <w:r>
        <w:rPr>
          <w:color w:val="231F20"/>
        </w:rPr>
        <w:t>经组织学</w:t>
      </w:r>
      <w:r>
        <w:rPr>
          <w:color w:val="231F20"/>
          <w:spacing w:val="-1"/>
        </w:rPr>
        <w:t>诊断的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LSIL </w:t>
      </w:r>
      <w:r>
        <w:rPr>
          <w:color w:val="231F20"/>
          <w:spacing w:val="-1"/>
        </w:rPr>
        <w:t>者处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理原则：①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复核细胞学、组织病理学和阴道镜检查，建议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按照复查修订后的诊断进行管理；②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对阴道镜检查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SCJ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病变的上界完全可见，如果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ECC </w:t>
      </w:r>
      <w:r>
        <w:rPr>
          <w:color w:val="231F20"/>
          <w:spacing w:val="-2"/>
        </w:rPr>
        <w:t>后组织病理学</w:t>
      </w:r>
      <w:r>
        <w:rPr>
          <w:rFonts w:ascii="Microsoft YaHei" w:hAnsi="Microsoft YaHei" w:eastAsia="Microsoft YaHei" w:cs="Microsoft YaHei"/>
          <w:color w:val="231F20"/>
          <w:spacing w:val="-2"/>
        </w:rPr>
        <w:t>＜ </w:t>
      </w:r>
      <w:r>
        <w:rPr>
          <w:rFonts w:ascii="Times New Roman" w:hAnsi="Times New Roman" w:eastAsia="Times New Roman" w:cs="Times New Roman"/>
          <w:color w:val="231F20"/>
          <w:spacing w:val="-2"/>
        </w:rPr>
        <w:t>CIN2</w:t>
      </w:r>
      <w:r>
        <w:rPr>
          <w:color w:val="231F20"/>
          <w:spacing w:val="-2"/>
        </w:rPr>
        <w:t>，可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行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6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~ 12 </w:t>
      </w:r>
      <w:r>
        <w:rPr>
          <w:color w:val="231F20"/>
          <w:spacing w:val="-3"/>
        </w:rPr>
        <w:t>个月随访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[15]</w:t>
      </w:r>
      <w:r>
        <w:rPr>
          <w:color w:val="231F20"/>
          <w:spacing w:val="-3"/>
        </w:rPr>
        <w:t>；③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3"/>
        </w:rPr>
        <w:t>对细胞学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HSIL </w:t>
      </w:r>
      <w:r>
        <w:rPr>
          <w:color w:val="231F20"/>
          <w:spacing w:val="-3"/>
        </w:rPr>
        <w:t>者，可行诊断性宫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颈锥切术。研究表明，基于细胞学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和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ASC</w:t>
      </w:r>
      <w:r>
        <w:rPr>
          <w:rFonts w:ascii="Times New Roman" w:hAnsi="Times New Roman" w:eastAsia="Times New Roman" w:cs="Times New Roman"/>
          <w:color w:val="231F20"/>
          <w:spacing w:val="4"/>
        </w:rPr>
        <w:t>-H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4"/>
        </w:rPr>
        <w:t>，组织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学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LSIL </w:t>
      </w:r>
      <w:r>
        <w:rPr>
          <w:color w:val="231F20"/>
          <w:spacing w:val="-2"/>
        </w:rPr>
        <w:t>者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 </w:t>
      </w:r>
      <w:r>
        <w:rPr>
          <w:color w:val="231F20"/>
          <w:spacing w:val="-2"/>
        </w:rPr>
        <w:t>年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CIN3</w:t>
      </w:r>
      <w:r>
        <w:rPr>
          <w:rFonts w:ascii="Microsoft YaHei" w:hAnsi="Microsoft YaHei" w:eastAsia="Microsoft YaHei" w:cs="Microsoft YaHei"/>
          <w:color w:val="231F20"/>
          <w:spacing w:val="-2"/>
        </w:rPr>
        <w:t>+</w:t>
      </w:r>
      <w:r>
        <w:rPr>
          <w:rFonts w:ascii="Microsoft YaHei" w:hAnsi="Microsoft YaHei" w:eastAsia="Microsoft YaHei" w:cs="Microsoft YaHei"/>
          <w:color w:val="231F20"/>
          <w:spacing w:val="19"/>
        </w:rPr>
        <w:t xml:space="preserve"> </w:t>
      </w:r>
      <w:r>
        <w:rPr>
          <w:color w:val="231F20"/>
          <w:spacing w:val="-2"/>
        </w:rPr>
        <w:t>风险分别为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3.9</w:t>
      </w:r>
      <w:r>
        <w:rPr>
          <w:rFonts w:ascii="Times New Roman" w:hAnsi="Times New Roman" w:eastAsia="Times New Roman" w:cs="Times New Roman"/>
          <w:color w:val="231F20"/>
          <w:spacing w:val="-3"/>
        </w:rPr>
        <w:t>% </w:t>
      </w:r>
      <w:r>
        <w:rPr>
          <w:color w:val="231F20"/>
          <w:spacing w:val="-3"/>
        </w:rPr>
        <w:t>和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1.4%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[27]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 xml:space="preserve"> </w:t>
      </w:r>
      <w:r>
        <w:rPr>
          <w:color w:val="231F20"/>
          <w:spacing w:val="-3"/>
        </w:rPr>
        <w:t>，因此，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对细胞学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HSIL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color w:val="231F20"/>
          <w:spacing w:val="-2"/>
        </w:rPr>
        <w:t>的管理应比对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ASC-H </w:t>
      </w:r>
      <w:r>
        <w:rPr>
          <w:color w:val="231F20"/>
          <w:spacing w:val="-3"/>
        </w:rPr>
        <w:t>管理更积极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[11]</w:t>
      </w:r>
      <w:r>
        <w:rPr>
          <w:color w:val="231F20"/>
          <w:spacing w:val="-3"/>
        </w:rPr>
        <w:t>。</w:t>
      </w:r>
    </w:p>
    <w:p>
      <w:pPr>
        <w:pStyle w:val="BodyText"/>
        <w:ind w:left="3" w:right="96" w:firstLine="396"/>
        <w:spacing w:before="76" w:line="286" w:lineRule="auto"/>
        <w:jc w:val="both"/>
        <w:rPr/>
      </w:pPr>
      <w:r>
        <w:rPr>
          <w:color w:val="231F20"/>
        </w:rPr>
        <w:t>对于细胞学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ASC-H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</w:rPr>
        <w:t>，除了复核细胞学、组织学或阴道 </w:t>
      </w:r>
      <w:r>
        <w:rPr>
          <w:color w:val="231F20"/>
          <w:spacing w:val="4"/>
        </w:rPr>
        <w:t>镜以及满足随访条件者进行随访观察外，不建议首选子宫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颈诊断性锥切术。在随访过程中，细胞学或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HR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任何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一项检查异常者建议行阴道镜检查；细胞学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</w:t>
      </w:r>
      <w:r>
        <w:rPr>
          <w:rFonts w:ascii="Times New Roman" w:hAnsi="Times New Roman" w:eastAsia="Times New Roman" w:cs="Times New Roman"/>
          <w:color w:val="231F20"/>
          <w:spacing w:val="-2"/>
        </w:rPr>
        <w:t>SIL </w:t>
      </w:r>
      <w:r>
        <w:rPr>
          <w:color w:val="231F20"/>
          <w:spacing w:val="-2"/>
        </w:rPr>
        <w:t>持续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 </w:t>
      </w:r>
      <w:r>
        <w:rPr>
          <w:color w:val="231F20"/>
          <w:spacing w:val="-2"/>
        </w:rPr>
        <w:t>年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或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ASC-H </w:t>
      </w:r>
      <w:r>
        <w:rPr>
          <w:color w:val="231F20"/>
          <w:spacing w:val="-1"/>
        </w:rPr>
        <w:t>持续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 </w:t>
      </w:r>
      <w:r>
        <w:rPr>
          <w:color w:val="231F20"/>
          <w:spacing w:val="-1"/>
        </w:rPr>
        <w:t>年者，建议行诊断性锥切术。</w:t>
      </w:r>
    </w:p>
    <w:p>
      <w:pPr>
        <w:pStyle w:val="BodyText"/>
        <w:ind w:left="1" w:firstLine="401"/>
        <w:spacing w:before="5" w:line="269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3.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持续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2 </w:t>
      </w:r>
      <w:r>
        <w:rPr>
          <w:color w:val="231F20"/>
          <w:spacing w:val="-3"/>
        </w:rPr>
        <w:t>年及以上组织学诊断的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LSIL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的处理原则：首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选继续观察，对于存在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rFonts w:ascii="Microsoft YaHei" w:hAnsi="Microsoft YaHei" w:eastAsia="Microsoft YaHei" w:cs="Microsoft YaHei"/>
          <w:color w:val="231F20"/>
          <w:spacing w:val="2"/>
        </w:rPr>
        <w:t>+</w:t>
      </w:r>
      <w:r>
        <w:rPr>
          <w:rFonts w:ascii="Microsoft YaHei" w:hAnsi="Microsoft YaHei" w:eastAsia="Microsoft YaHei" w:cs="Microsoft YaHei"/>
          <w:color w:val="231F20"/>
          <w:spacing w:val="21"/>
        </w:rPr>
        <w:t xml:space="preserve"> </w:t>
      </w:r>
      <w:r>
        <w:rPr>
          <w:color w:val="231F20"/>
          <w:spacing w:val="2"/>
        </w:rPr>
        <w:t>高危因素者可进行诊断性锥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切术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[11]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8"/>
        </w:rPr>
        <w:t xml:space="preserve"> </w:t>
      </w:r>
      <w:r>
        <w:rPr>
          <w:color w:val="231F20"/>
          <w:spacing w:val="-3"/>
        </w:rPr>
        <w:t>。基于对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897 </w:t>
      </w:r>
      <w:r>
        <w:rPr>
          <w:color w:val="231F20"/>
          <w:spacing w:val="-3"/>
        </w:rPr>
        <w:t>例组织病理学为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LSIL </w:t>
      </w:r>
      <w:r>
        <w:rPr>
          <w:color w:val="231F20"/>
          <w:spacing w:val="-4"/>
        </w:rPr>
        <w:t>和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1  193 </w:t>
      </w:r>
      <w:r>
        <w:rPr>
          <w:color w:val="231F20"/>
          <w:spacing w:val="-4"/>
        </w:rPr>
        <w:t>例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HPV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color w:val="231F20"/>
          <w:spacing w:val="3"/>
        </w:rPr>
        <w:t>阳性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ASC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color w:val="231F20"/>
        </w:rPr>
        <w:t>US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女性随访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 </w:t>
      </w:r>
      <w:r>
        <w:rPr>
          <w:color w:val="231F20"/>
          <w:spacing w:val="3"/>
        </w:rPr>
        <w:t>年后发现，两组人群累计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3"/>
        </w:rPr>
        <w:t>2</w:t>
      </w:r>
      <w:r>
        <w:rPr>
          <w:rFonts w:ascii="Microsoft YaHei" w:hAnsi="Microsoft YaHei" w:eastAsia="Microsoft YaHei" w:cs="Microsoft YaHei"/>
          <w:color w:val="231F20"/>
          <w:spacing w:val="3"/>
        </w:rPr>
        <w:t>+</w:t>
      </w:r>
      <w:r>
        <w:rPr>
          <w:rFonts w:ascii="Microsoft YaHei" w:hAnsi="Microsoft YaHei" w:eastAsia="Microsoft YaHei" w:cs="Microsoft YaHei"/>
          <w:color w:val="231F20"/>
        </w:rPr>
        <w:t xml:space="preserve">   </w:t>
      </w:r>
      <w:r>
        <w:rPr>
          <w:color w:val="231F20"/>
          <w:spacing w:val="-1"/>
        </w:rPr>
        <w:t>检出率相似（</w:t>
      </w:r>
      <w:r>
        <w:rPr>
          <w:rFonts w:ascii="Times New Roman" w:hAnsi="Times New Roman" w:eastAsia="Times New Roman" w:cs="Times New Roman"/>
          <w:color w:val="231F20"/>
          <w:spacing w:val="-1"/>
        </w:rPr>
        <w:t>27.6%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vs.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26.7%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44"/>
        </w:rPr>
        <w:t>），</w:t>
      </w:r>
      <w:r>
        <w:rPr>
          <w:color w:val="231F20"/>
          <w:spacing w:val="-1"/>
        </w:rPr>
        <w:t>持续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 </w:t>
      </w:r>
      <w:r>
        <w:rPr>
          <w:color w:val="231F20"/>
          <w:spacing w:val="-1"/>
        </w:rPr>
        <w:t>年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CIN1 </w:t>
      </w:r>
      <w:r>
        <w:rPr>
          <w:color w:val="231F20"/>
          <w:spacing w:val="-1"/>
        </w:rPr>
        <w:t>发生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CIN2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color w:val="231F20"/>
          <w:spacing w:val="-2"/>
        </w:rPr>
        <w:t>的风险为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13%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7"/>
        </w:rPr>
        <w:t>[28]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7"/>
        </w:rPr>
        <w:t xml:space="preserve"> </w:t>
      </w:r>
      <w:r>
        <w:rPr>
          <w:color w:val="231F20"/>
          <w:spacing w:val="-2"/>
        </w:rPr>
        <w:t>。</w:t>
      </w:r>
      <w:r>
        <w:rPr>
          <w:rFonts w:ascii="Times New Roman" w:hAnsi="Times New Roman" w:eastAsia="Times New Roman" w:cs="Times New Roman"/>
          <w:color w:val="231F20"/>
          <w:spacing w:val="-2"/>
        </w:rPr>
        <w:t>Leung </w:t>
      </w:r>
      <w:r>
        <w:rPr>
          <w:color w:val="231F20"/>
          <w:spacing w:val="-2"/>
        </w:rPr>
        <w:t>等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7"/>
        </w:rPr>
        <w:t>[29]  </w:t>
      </w:r>
      <w:r>
        <w:rPr>
          <w:color w:val="231F20"/>
          <w:spacing w:val="-2"/>
        </w:rPr>
        <w:t>对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311 </w:t>
      </w:r>
      <w:r>
        <w:rPr>
          <w:color w:val="231F20"/>
          <w:spacing w:val="-2"/>
        </w:rPr>
        <w:t>例持续</w:t>
      </w:r>
      <w:r>
        <w:rPr>
          <w:color w:val="231F20"/>
          <w:spacing w:val="-3"/>
        </w:rPr>
        <w:t>性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LSIL </w:t>
      </w:r>
      <w:r>
        <w:rPr>
          <w:color w:val="231F20"/>
          <w:spacing w:val="-3"/>
        </w:rPr>
        <w:t>或持续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HR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阳性行诊断性锥切术，低危组（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4"/>
        </w:rPr>
        <w:t>16/18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阴性）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和高危组（细胞学高风险或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5"/>
        </w:rPr>
        <w:t>16/18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阳性）的隐匿性高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级别异常检出率分别为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12% </w:t>
      </w:r>
      <w:r>
        <w:rPr>
          <w:color w:val="231F20"/>
          <w:spacing w:val="2"/>
        </w:rPr>
        <w:t>和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22%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  <w:spacing w:val="2"/>
        </w:rPr>
        <w:t>。因此，对于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持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续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 </w:t>
      </w:r>
      <w:r>
        <w:rPr>
          <w:color w:val="231F20"/>
          <w:spacing w:val="4"/>
        </w:rPr>
        <w:t>年者，除了结合患者意愿，还需要结合是否有高危因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素（筛查高危、既往子宫颈治疗史，宫颈管不能明确等级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的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CIN</w:t>
      </w:r>
      <w:r>
        <w:rPr>
          <w:color w:val="231F20"/>
          <w:spacing w:val="-41"/>
        </w:rPr>
        <w:t>），</w:t>
      </w:r>
      <w:r>
        <w:rPr>
          <w:color w:val="231F20"/>
          <w:spacing w:val="-2"/>
        </w:rPr>
        <w:t>决定是否行诊断性锥切术。</w:t>
      </w:r>
    </w:p>
    <w:p>
      <w:pPr>
        <w:pStyle w:val="BodyText"/>
        <w:ind w:right="39" w:firstLine="398"/>
        <w:spacing w:before="35" w:line="270" w:lineRule="auto"/>
        <w:rPr/>
      </w:pPr>
      <w:r>
        <w:rPr>
          <w:rFonts w:ascii="Times New Roman" w:hAnsi="Times New Roman" w:eastAsia="Times New Roman" w:cs="Times New Roman"/>
          <w:color w:val="231F20"/>
        </w:rPr>
        <w:t>4.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color w:val="231F20"/>
        </w:rPr>
        <w:t>细胞学为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AGC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</w:rPr>
        <w:t>、原位腺癌（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</w:rPr>
        <w:t>）经组织学诊断的 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者处理原则：①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对于细胞学为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AGC</w:t>
      </w:r>
      <w:r>
        <w:rPr>
          <w:rFonts w:ascii="Times New Roman" w:hAnsi="Times New Roman" w:eastAsia="Times New Roman" w:cs="Times New Roman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color w:val="231F20"/>
        </w:rPr>
        <w:t>NOS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1"/>
        </w:rPr>
        <w:t>、阴道镜活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检病理未提示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或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者，在除外子宫内膜病变后，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建议在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 </w:t>
      </w:r>
      <w:r>
        <w:rPr>
          <w:color w:val="231F20"/>
          <w:spacing w:val="4"/>
        </w:rPr>
        <w:t>年和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 </w:t>
      </w:r>
      <w:r>
        <w:rPr>
          <w:color w:val="231F20"/>
          <w:spacing w:val="4"/>
        </w:rPr>
        <w:t>年分别进行联合筛查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, </w:t>
      </w:r>
      <w:r>
        <w:rPr>
          <w:color w:val="231F20"/>
          <w:spacing w:val="4"/>
        </w:rPr>
        <w:t>如有任何异常应转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诊阴道镜。② 对于细胞学为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AGC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color w:val="231F20"/>
        </w:rPr>
        <w:t>FN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及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color w:val="231F20"/>
          <w:spacing w:val="3"/>
        </w:rPr>
        <w:t>的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者，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建议行诊断性锥切术及术中行残留颈管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ECC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5"/>
        </w:rPr>
        <w:t>。鉴于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AGC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FN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</w:rPr>
        <w:t>AIS </w:t>
      </w:r>
      <w:r>
        <w:rPr>
          <w:color w:val="231F20"/>
        </w:rPr>
        <w:t>提示腺上皮病变或癌变风险更高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[30]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 xml:space="preserve"> </w:t>
      </w:r>
      <w:r>
        <w:rPr>
          <w:color w:val="231F20"/>
        </w:rPr>
        <w:t>，因此，即使 </w:t>
      </w:r>
      <w:r>
        <w:rPr>
          <w:color w:val="231F20"/>
          <w:spacing w:val="3"/>
        </w:rPr>
        <w:t>活检病理组织学未发现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3"/>
        </w:rPr>
        <w:t>2</w:t>
      </w:r>
      <w:r>
        <w:rPr>
          <w:rFonts w:ascii="Microsoft YaHei" w:hAnsi="Microsoft YaHei" w:eastAsia="Microsoft YaHei" w:cs="Microsoft YaHei"/>
          <w:color w:val="231F20"/>
          <w:spacing w:val="3"/>
        </w:rPr>
        <w:t>+</w:t>
      </w:r>
      <w:r>
        <w:rPr>
          <w:rFonts w:ascii="Microsoft YaHei" w:hAnsi="Microsoft YaHei" w:eastAsia="Microsoft YaHei" w:cs="Microsoft YaHei"/>
          <w:color w:val="231F20"/>
          <w:spacing w:val="21"/>
        </w:rPr>
        <w:t xml:space="preserve"> </w:t>
      </w:r>
      <w:r>
        <w:rPr>
          <w:color w:val="231F20"/>
          <w:spacing w:val="3"/>
        </w:rPr>
        <w:t>或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Microsoft YaHei" w:hAnsi="Microsoft YaHei" w:eastAsia="Microsoft YaHei" w:cs="Microsoft YaHei"/>
          <w:color w:val="231F20"/>
          <w:spacing w:val="3"/>
        </w:rPr>
        <w:t>+ </w:t>
      </w:r>
      <w:r>
        <w:rPr>
          <w:color w:val="231F20"/>
          <w:spacing w:val="3"/>
        </w:rPr>
        <w:t>，也建议进</w:t>
      </w:r>
      <w:r>
        <w:rPr>
          <w:color w:val="231F20"/>
          <w:spacing w:val="2"/>
        </w:rPr>
        <w:t>行子宫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颈诊断性锥切术。</w:t>
      </w:r>
    </w:p>
    <w:p>
      <w:pPr>
        <w:pStyle w:val="BodyText"/>
        <w:ind w:left="418"/>
        <w:spacing w:before="75" w:line="211" w:lineRule="auto"/>
        <w:rPr/>
      </w:pPr>
      <w:r>
        <w:rPr>
          <w:color w:val="231F20"/>
          <w:spacing w:val="-1"/>
        </w:rPr>
        <w:t>四、子宫颈低级别鳞状上皮内病变的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HPV </w:t>
      </w:r>
      <w:r>
        <w:rPr>
          <w:color w:val="231F20"/>
          <w:spacing w:val="-1"/>
        </w:rPr>
        <w:t>疫</w:t>
      </w:r>
      <w:r>
        <w:rPr>
          <w:color w:val="231F20"/>
          <w:spacing w:val="-2"/>
        </w:rPr>
        <w:t>苗接种</w:t>
      </w:r>
    </w:p>
    <w:p>
      <w:pPr>
        <w:pStyle w:val="BodyText"/>
        <w:ind w:left="1" w:right="83" w:firstLine="397"/>
        <w:spacing w:before="73" w:line="287" w:lineRule="auto"/>
        <w:rPr/>
      </w:pPr>
      <w:r>
        <w:rPr>
          <w:color w:val="231F20"/>
          <w:spacing w:val="12"/>
        </w:rPr>
        <w:t>对于既往感染过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color w:val="231F20"/>
          <w:spacing w:val="12"/>
        </w:rPr>
        <w:t>或子宫颈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color w:val="231F20"/>
          <w:spacing w:val="12"/>
        </w:rPr>
        <w:t>患者，预防性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 </w:t>
      </w:r>
      <w:r>
        <w:rPr>
          <w:color w:val="231F20"/>
        </w:rPr>
        <w:t>疫苗对其相应型别也有较高的保护效力</w:t>
      </w:r>
      <w:r>
        <w:rPr>
          <w:color w:val="231F20"/>
          <w:spacing w:val="-1"/>
        </w:rPr>
        <w:t>。</w:t>
      </w:r>
      <w:r>
        <w:rPr>
          <w:rFonts w:ascii="Times New Roman" w:hAnsi="Times New Roman" w:eastAsia="Times New Roman" w:cs="Times New Roman"/>
          <w:color w:val="231F20"/>
          <w:spacing w:val="-1"/>
        </w:rPr>
        <w:t>Falcaro </w:t>
      </w:r>
      <w:r>
        <w:rPr>
          <w:color w:val="231F20"/>
          <w:spacing w:val="-1"/>
        </w:rPr>
        <w:t>等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[31]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 xml:space="preserve">  </w:t>
      </w:r>
      <w:r>
        <w:rPr>
          <w:color w:val="231F20"/>
        </w:rPr>
        <w:t>报道，对于既往感染人群，疫苗组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HPV16/18 </w:t>
      </w:r>
      <w:r>
        <w:rPr>
          <w:color w:val="231F20"/>
          <w:spacing w:val="-1"/>
        </w:rPr>
        <w:t>相关的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6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-1"/>
        </w:rPr>
        <w:t>、</w:t>
      </w:r>
      <w:r>
        <w:rPr>
          <w:rFonts w:ascii="Times New Roman" w:hAnsi="Times New Roman" w:eastAsia="Times New Roman" w:cs="Times New Roman"/>
          <w:color w:val="231F20"/>
          <w:spacing w:val="-1"/>
        </w:rPr>
        <w:t>12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2"/>
        </w:rPr>
        <w:t>个月持续感染、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风险明显低于未接种疫苗组，且预防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既往感染人群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HPV16/18 </w:t>
      </w:r>
      <w:r>
        <w:rPr>
          <w:color w:val="231F20"/>
          <w:spacing w:val="-1"/>
        </w:rPr>
        <w:t>相关宫颈病变的保护效力</w:t>
      </w:r>
      <w:r>
        <w:rPr>
          <w:color w:val="231F20"/>
          <w:spacing w:val="-2"/>
        </w:rPr>
        <w:t>为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87%</w:t>
      </w:r>
      <w:r>
        <w:rPr>
          <w:color w:val="231F20"/>
          <w:spacing w:val="-2"/>
        </w:rPr>
        <w:t>。</w:t>
      </w:r>
    </w:p>
    <w:p>
      <w:pPr>
        <w:pStyle w:val="BodyText"/>
        <w:ind w:left="1" w:right="98" w:firstLine="405"/>
        <w:spacing w:before="3" w:line="286" w:lineRule="auto"/>
        <w:rPr/>
      </w:pPr>
      <w:r>
        <w:rPr>
          <w:color w:val="231F20"/>
          <w:spacing w:val="3"/>
        </w:rPr>
        <w:t>总之，无论是对筛查低级别异常、阴道镜印象低级别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异常者，还是经组织病理学诊断的低级别异常者均有遗漏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的风险，在管理时均应充分评估其可能存在的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 </w:t>
      </w:r>
      <w:r>
        <w:rPr>
          <w:color w:val="231F20"/>
          <w:spacing w:val="-1"/>
        </w:rPr>
        <w:t>风险，避免过度管理或管理不足。</w:t>
      </w:r>
    </w:p>
    <w:p>
      <w:pPr>
        <w:pStyle w:val="BodyText"/>
        <w:ind w:left="1" w:right="100" w:firstLine="401"/>
        <w:spacing w:before="2" w:line="238" w:lineRule="auto"/>
        <w:rPr/>
      </w:pPr>
      <w:r>
        <w:rPr>
          <w:rFonts w:ascii="SimHei" w:hAnsi="SimHei" w:eastAsia="SimHei" w:cs="SimHei"/>
          <w:color w:val="231F20"/>
          <w:spacing w:val="6"/>
        </w:rPr>
        <w:t>致谢：</w:t>
      </w:r>
      <w:r>
        <w:rPr>
          <w:color w:val="231F20"/>
          <w:spacing w:val="6"/>
        </w:rPr>
        <w:t>感谢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CSCCP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专家委员会全体成员在共识编写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过程中付出的努力。</w:t>
      </w:r>
    </w:p>
    <w:p>
      <w:pPr>
        <w:spacing w:line="238" w:lineRule="auto"/>
        <w:sectPr>
          <w:type w:val="continuous"/>
          <w:pgSz w:w="11623" w:h="15875"/>
          <w:pgMar w:top="1188" w:right="979" w:bottom="547" w:left="407" w:header="942" w:footer="354" w:gutter="0"/>
          <w:cols w:equalWidth="0" w:num="2">
            <w:col w:w="5417" w:space="100"/>
            <w:col w:w="4718" w:space="0"/>
          </w:cols>
        </w:sectPr>
        <w:rPr/>
      </w:pPr>
    </w:p>
    <w:p>
      <w:pPr>
        <w:spacing w:line="238" w:lineRule="exact"/>
        <w:rPr/>
      </w:pPr>
      <w:r/>
    </w:p>
    <w:p>
      <w:pPr>
        <w:spacing w:line="238" w:lineRule="exact"/>
        <w:sectPr>
          <w:headerReference w:type="default" r:id="rId9"/>
          <w:footerReference w:type="default" r:id="rId10"/>
          <w:pgSz w:w="11623" w:h="15875"/>
          <w:pgMar w:top="1188" w:right="818" w:bottom="400" w:left="407" w:header="942" w:footer="0" w:gutter="0"/>
          <w:cols w:equalWidth="0" w:num="1">
            <w:col w:w="10396" w:space="0"/>
          </w:cols>
        </w:sectPr>
        <w:rPr/>
      </w:pPr>
    </w:p>
    <w:p>
      <w:pPr>
        <w:ind w:left="2491"/>
        <w:spacing w:before="40" w:line="242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参</w:t>
      </w:r>
      <w:r>
        <w:rPr>
          <w:rFonts w:ascii="SimHei" w:hAnsi="SimHei" w:eastAsia="SimHei" w:cs="SimHei"/>
          <w:sz w:val="18"/>
          <w:szCs w:val="18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考</w:t>
      </w:r>
      <w:r>
        <w:rPr>
          <w:rFonts w:ascii="SimHei" w:hAnsi="SimHei" w:eastAsia="SimHei" w:cs="SimHei"/>
          <w:sz w:val="18"/>
          <w:szCs w:val="18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文</w:t>
      </w:r>
      <w:r>
        <w:rPr>
          <w:rFonts w:ascii="SimHei" w:hAnsi="SimHei" w:eastAsia="SimHei" w:cs="SimHei"/>
          <w:sz w:val="18"/>
          <w:szCs w:val="18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献</w:t>
      </w:r>
    </w:p>
    <w:p>
      <w:pPr>
        <w:ind w:left="1123" w:right="309" w:hanging="440"/>
        <w:spacing w:before="247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[1]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World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Organization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genital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tumours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IARC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classification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tumours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Edition[EB/OL]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[2021-01-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25]. </w:t>
      </w:r>
      <w:hyperlink w:history="true" r:id="rId1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https://tumourclassification. iarc.who.int/9789283245049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.</w:t>
      </w:r>
    </w:p>
    <w:p>
      <w:pPr>
        <w:pStyle w:val="BodyText"/>
        <w:ind w:left="1125" w:right="309" w:hanging="441"/>
        <w:spacing w:before="60" w:line="2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[2]      </w:t>
      </w:r>
      <w:r>
        <w:rPr>
          <w:sz w:val="16"/>
          <w:szCs w:val="16"/>
          <w:color w:val="231F20"/>
        </w:rPr>
        <w:t>赵超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毕蕙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赵昀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等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子宫颈高级别上皮内病变管理的中 </w:t>
      </w:r>
      <w:r>
        <w:rPr>
          <w:sz w:val="16"/>
          <w:szCs w:val="16"/>
          <w:color w:val="231F20"/>
          <w:spacing w:val="-1"/>
        </w:rPr>
        <w:t>国专家共识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中国妇产科临床杂志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23(2):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220-224.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13390/j.issn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.1672-18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61.2022.02.038.</w:t>
      </w:r>
    </w:p>
    <w:p>
      <w:pPr>
        <w:pStyle w:val="BodyText"/>
        <w:ind w:left="1134" w:right="309" w:hanging="451"/>
        <w:spacing w:before="61" w:line="2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[3]      </w:t>
      </w:r>
      <w:r>
        <w:rPr>
          <w:sz w:val="16"/>
          <w:szCs w:val="16"/>
          <w:color w:val="231F20"/>
          <w:spacing w:val="-2"/>
        </w:rPr>
        <w:t>刘莹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2"/>
        </w:rPr>
        <w:t>荣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晅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2"/>
        </w:rPr>
        <w:t>周艳秋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2"/>
        </w:rPr>
        <w:t>等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2"/>
        </w:rPr>
        <w:t>轻度宫颈上皮内瘤变自然转归的前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瞻性研究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中国肿瘤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 2010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(6): 372-376.</w:t>
      </w:r>
    </w:p>
    <w:p>
      <w:pPr>
        <w:pStyle w:val="BodyText"/>
        <w:ind w:left="1123" w:right="311" w:hanging="440"/>
        <w:spacing w:before="55" w:line="2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[4]       </w:t>
      </w:r>
      <w:r>
        <w:rPr>
          <w:sz w:val="16"/>
          <w:szCs w:val="16"/>
          <w:color w:val="231F20"/>
          <w:spacing w:val="-6"/>
        </w:rPr>
        <w:t>胡尚英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, </w:t>
      </w:r>
      <w:r>
        <w:rPr>
          <w:sz w:val="16"/>
          <w:szCs w:val="16"/>
          <w:color w:val="231F20"/>
          <w:spacing w:val="-6"/>
        </w:rPr>
        <w:t>赵方辉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6"/>
        </w:rPr>
        <w:t>马俊飞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, </w:t>
      </w:r>
      <w:r>
        <w:rPr>
          <w:sz w:val="16"/>
          <w:szCs w:val="16"/>
          <w:color w:val="231F20"/>
          <w:spacing w:val="-6"/>
        </w:rPr>
        <w:t>等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6"/>
        </w:rPr>
        <w:t>轻度宫颈上皮内瘤变预后及其与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人乳头状瘤病毒关系的前瞻性队列研究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中华预防医学杂志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2014,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48(5): 361-365.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DO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>I: 10 3760/cma.j.issn.0253-9624.2014.05.006.</w:t>
      </w:r>
    </w:p>
    <w:p>
      <w:pPr>
        <w:ind w:left="1122" w:right="312" w:hanging="442"/>
        <w:spacing w:before="87" w:line="26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[5]       Massad LS, Jeronimo J, Schiffman M. Interobserv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er agreement in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assessment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component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colposcopic grading[J]. Obstet Gynecol,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2008,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111(6):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1279-1284.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10.10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97/AOG.0b013e31816baed1.</w:t>
      </w:r>
    </w:p>
    <w:p>
      <w:pPr>
        <w:ind w:left="1121" w:right="308" w:hanging="443"/>
        <w:spacing w:before="94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[6]       Duesing 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Schwarz J, Choschzick 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al. Assessment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f 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intraepithelial neoplasia (CIN) with colposcopic biopsy and ef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ficacy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of loop electrosurgical excision procedure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(LEEP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)[J]. Arch Gynecol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Obstet, 2012, 286(6):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1549-1554.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1007/s00404-012-2493-1.</w:t>
      </w:r>
    </w:p>
    <w:p>
      <w:pPr>
        <w:pStyle w:val="BodyText"/>
        <w:ind w:left="1128" w:right="307" w:hanging="444"/>
        <w:spacing w:before="69" w:line="22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[7]       </w:t>
      </w:r>
      <w:r>
        <w:rPr>
          <w:sz w:val="16"/>
          <w:szCs w:val="16"/>
          <w:color w:val="231F20"/>
          <w:spacing w:val="-1"/>
        </w:rPr>
        <w:t>贾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芃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-1"/>
        </w:rPr>
        <w:t>裴志飞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张岱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等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 </w:t>
      </w:r>
      <w:r>
        <w:rPr>
          <w:sz w:val="16"/>
          <w:szCs w:val="16"/>
          <w:color w:val="231F20"/>
          <w:spacing w:val="-1"/>
        </w:rPr>
        <w:t>阴道镜下阴性象限活检对宫颈高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级别病变检出的作用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中国妇产科临床杂志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19(6):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504-507.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13390/j.issn.1672-186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1.2018.06.008.</w:t>
      </w:r>
    </w:p>
    <w:p>
      <w:pPr>
        <w:pStyle w:val="BodyText"/>
        <w:ind w:left="1127" w:right="307" w:hanging="441"/>
        <w:spacing w:before="60" w:line="2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[8]       </w:t>
      </w:r>
      <w:r>
        <w:rPr>
          <w:sz w:val="16"/>
          <w:szCs w:val="16"/>
          <w:color w:val="231F20"/>
          <w:spacing w:val="-6"/>
        </w:rPr>
        <w:t>茅娅男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, </w:t>
      </w:r>
      <w:r>
        <w:rPr>
          <w:sz w:val="16"/>
          <w:szCs w:val="16"/>
          <w:color w:val="231F20"/>
          <w:spacing w:val="-6"/>
        </w:rPr>
        <w:t>尤志学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. </w:t>
      </w:r>
      <w:r>
        <w:rPr>
          <w:sz w:val="16"/>
          <w:szCs w:val="16"/>
          <w:color w:val="231F20"/>
          <w:spacing w:val="-6"/>
        </w:rPr>
        <w:t>子宫颈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1 </w:t>
      </w:r>
      <w:r>
        <w:rPr>
          <w:sz w:val="16"/>
          <w:szCs w:val="16"/>
          <w:color w:val="231F20"/>
          <w:spacing w:val="-6"/>
        </w:rPr>
        <w:t>级阴道镜异常表现中检出</w:t>
      </w:r>
      <w:r>
        <w:rPr>
          <w:sz w:val="16"/>
          <w:szCs w:val="16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CIN  </w:t>
      </w:r>
      <w:r>
        <w:rPr>
          <w:sz w:val="16"/>
          <w:szCs w:val="16"/>
          <w:color w:val="231F20"/>
          <w:spacing w:val="-6"/>
        </w:rPr>
        <w:t>Ⅱ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+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的影响因素分析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中华妇产科杂志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 2021, 56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(10): 691 696.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DOI: 10.3760/cma.j.cn112141-20210809-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00434.</w:t>
      </w:r>
    </w:p>
    <w:p>
      <w:pPr>
        <w:ind w:left="1121" w:right="307" w:hanging="438"/>
        <w:spacing w:before="88" w:line="2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[9]       Phianpiset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Ruengkhachorn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Jareemit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ASCCP risk-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colposcopy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recommend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applied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Thai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atypical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squamous cells of undetermined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signific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ance or low-grade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squamous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intraepithelial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lesion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cytology[J].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Gynecol,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136(3): 510-517.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10.1097/AOG.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0000000000003982.</w:t>
      </w:r>
    </w:p>
    <w:p>
      <w:pPr>
        <w:ind w:left="1123" w:right="307" w:hanging="438"/>
        <w:spacing w:before="94" w:line="2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[10]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Silver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Andrews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Coope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intra-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epithelial neoplasia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 worse by cytology,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human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papillomavi-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16/18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colposcopy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impression: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meta-analysis[J]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132(3)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725-735.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1097/AOG.0000000000002812.</w:t>
      </w:r>
    </w:p>
    <w:p>
      <w:pPr>
        <w:ind w:left="1126" w:right="307" w:hanging="440"/>
        <w:spacing w:before="87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[11]     Perkins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Guido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Castle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2019 ASCCP risk-based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consensus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abn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ormal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screening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tests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precursors[J]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Genit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2020, 24(2):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102-131.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10.1097/LGT.0000000000000525.</w:t>
      </w:r>
    </w:p>
    <w:p>
      <w:pPr>
        <w:ind w:left="1121" w:right="312" w:hanging="439"/>
        <w:spacing w:before="95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[12]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Bornstein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Sideri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Tatti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2011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terminology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vulva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international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federation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pathology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colposcopy[J]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Genit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16(3):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290-295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1097/LGT.0b013e31825934c7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</w:p>
    <w:p>
      <w:pPr>
        <w:ind w:left="1119" w:right="309" w:hanging="439"/>
        <w:spacing w:before="88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[13]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Stuebs FA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Schulmeyer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hlhorn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 Accuracy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 col-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poscopy-directed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biopsy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detecting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neoplasia: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study[J]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Arch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299(2):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525-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532.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1007/s00404-018-4953-8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</w:p>
    <w:p>
      <w:pPr>
        <w:ind w:left="1126" w:right="311" w:hanging="443"/>
        <w:spacing w:before="86" w:line="26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[14]    Del PM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Angeles 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Marti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Colposcopic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impression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 key role in the estimation of the risk of HSIL/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CIN3[J]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Cancers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(Basel)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2021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13(6):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1224.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10.3390/cancers13061224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</w:p>
    <w:p>
      <w:pPr>
        <w:pStyle w:val="BodyText"/>
        <w:ind w:left="1123" w:right="311" w:hanging="442"/>
        <w:spacing w:before="68" w:line="2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[15]     </w:t>
      </w:r>
      <w:r>
        <w:rPr>
          <w:sz w:val="16"/>
          <w:szCs w:val="16"/>
          <w:color w:val="231F20"/>
          <w:spacing w:val="-4"/>
        </w:rPr>
        <w:t>魏丽惠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沈丹华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赵方辉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等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中国子宫颈癌筛查及</w:t>
      </w:r>
      <w:r>
        <w:rPr>
          <w:sz w:val="16"/>
          <w:szCs w:val="16"/>
          <w:color w:val="231F20"/>
          <w:spacing w:val="-5"/>
        </w:rPr>
        <w:t>异常管理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相关问题专家共识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( </w:t>
      </w:r>
      <w:r>
        <w:rPr>
          <w:sz w:val="16"/>
          <w:szCs w:val="16"/>
          <w:color w:val="231F20"/>
          <w:spacing w:val="-4"/>
        </w:rPr>
        <w:t>二</w:t>
      </w:r>
      <w:r>
        <w:rPr>
          <w:sz w:val="16"/>
          <w:szCs w:val="16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)[J].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中国妇产科临床杂志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, 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18(3):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286-288.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10.13390/j.issn.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1672-1861.2017.03.041.</w:t>
      </w:r>
    </w:p>
    <w:p>
      <w:pPr>
        <w:ind w:left="1126" w:right="310" w:hanging="443"/>
        <w:spacing w:before="87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[16]     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Marel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Baars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Rodriguez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increased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detection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intraepithelial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plasia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using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sec-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ond biopsy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at colposcopy[J]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Gynecol Oncol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135(2):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207.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1016/j.ygyno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.2014.08.040.</w:t>
      </w:r>
    </w:p>
    <w:p>
      <w:pPr>
        <w:ind w:left="1121" w:right="302" w:hanging="439"/>
        <w:spacing w:before="87" w:line="24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[17]    Wentzensen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Walker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 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risk-based colposcopy demonstrates improved detectio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 of cervi-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42" w:right="88" w:firstLine="1"/>
        <w:spacing w:before="73" w:line="28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precancers[J]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218(6):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601-604.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1016/j.ajog.201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8.02.009.</w:t>
      </w:r>
    </w:p>
    <w:p>
      <w:pPr>
        <w:ind w:left="443" w:right="78" w:hanging="443"/>
        <w:spacing w:before="25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[18]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Pretorius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Belinson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Burchette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Regardless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skill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performing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biopsies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increases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sensitivity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colposcopy[J]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Genit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15(3):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180-188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1097/LGT.0b013e3181fb4547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</w:p>
    <w:p>
      <w:pPr>
        <w:ind w:left="444" w:right="87" w:hanging="441"/>
        <w:spacing w:before="87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[19]    Wentzensen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Massad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Mayeaux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Evidence-based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consensus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recommendations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colposcopy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United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States[J].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Genit Tract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Dis,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2017, 21(4): 216-222.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97/LGT.0000000000000322.</w:t>
      </w:r>
    </w:p>
    <w:p>
      <w:pPr>
        <w:ind w:left="440" w:right="88" w:hanging="440"/>
        <w:spacing w:before="94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[20]    Gage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Duggan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Detection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cervical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precursors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ttage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115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colposcopically guided biopsy examinat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ions[J]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Am J Obstet Gy-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203(5): 481.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1016/j.a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jog.2010.06.048.</w:t>
      </w:r>
    </w:p>
    <w:p>
      <w:pPr>
        <w:pStyle w:val="BodyText"/>
        <w:ind w:left="442" w:right="87" w:hanging="442"/>
        <w:spacing w:before="61" w:line="2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[21]    </w:t>
      </w:r>
      <w:r>
        <w:rPr>
          <w:sz w:val="16"/>
          <w:szCs w:val="16"/>
          <w:color w:val="231F20"/>
          <w:spacing w:val="-3"/>
        </w:rPr>
        <w:t>米兰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3"/>
        </w:rPr>
        <w:t>颛佳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3"/>
        </w:rPr>
        <w:t>张岱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3"/>
        </w:rPr>
        <w:t>等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3"/>
        </w:rPr>
        <w:t>阴道镜下宫颈管搔刮术对宫颈高级别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病变检出的作用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中国妇产科临床杂志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128-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131.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13390/j.issn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.1672-1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861.2019.02.011.</w:t>
      </w:r>
    </w:p>
    <w:p>
      <w:pPr>
        <w:ind w:left="444" w:right="86" w:hanging="443"/>
        <w:spacing w:before="88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[22]    Liu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Walker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precan-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endocervical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curettage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colposcopy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abnormal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cytology[J]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130(6):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1218-1225.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1097/AOG.0000000000002330.</w:t>
      </w:r>
    </w:p>
    <w:p>
      <w:pPr>
        <w:ind w:left="443" w:right="87" w:hanging="441"/>
        <w:spacing w:before="87" w:line="24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[23]    Katki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Schiffman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low-up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testing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colposcopy: five-year risk of CIN 2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+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after a colposcopic diagno-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 CIN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or less[J]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 J 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Genit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17(5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Suppl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1): S69-S77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7/LGT.0b013e31828543b1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</w:p>
    <w:p>
      <w:pPr>
        <w:pStyle w:val="BodyText"/>
        <w:ind w:left="444" w:right="86" w:hanging="443"/>
        <w:spacing w:before="67" w:line="2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[24]     </w:t>
      </w:r>
      <w:r>
        <w:rPr>
          <w:sz w:val="16"/>
          <w:szCs w:val="16"/>
          <w:color w:val="231F20"/>
          <w:spacing w:val="-3"/>
        </w:rPr>
        <w:t>钱敏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3"/>
        </w:rPr>
        <w:t>尤志学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3"/>
        </w:rPr>
        <w:t>姚芳芳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3"/>
        </w:rPr>
        <w:t>等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阴道镜下宫颈活检</w:t>
      </w:r>
      <w:r>
        <w:rPr>
          <w:sz w:val="16"/>
          <w:szCs w:val="16"/>
          <w:color w:val="231F20"/>
          <w:spacing w:val="-4"/>
        </w:rPr>
        <w:t>诊断</w:t>
      </w:r>
      <w:r>
        <w:rPr>
          <w:sz w:val="16"/>
          <w:szCs w:val="16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CIN1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中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漏诊</w:t>
      </w:r>
      <w:r>
        <w:rPr>
          <w:sz w:val="16"/>
          <w:szCs w:val="16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CIN2 </w:t>
      </w:r>
      <w:r>
        <w:rPr>
          <w:sz w:val="16"/>
          <w:szCs w:val="16"/>
          <w:color w:val="231F20"/>
          <w:spacing w:val="-4"/>
        </w:rPr>
        <w:t>及以上病变的分析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中国妇产科临床杂志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2013,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14(5): 403-405.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10.3969/j.issn.1672-1861.20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13.05.006.</w:t>
      </w:r>
    </w:p>
    <w:p>
      <w:pPr>
        <w:ind w:left="443" w:right="87" w:hanging="440"/>
        <w:spacing w:before="89" w:line="24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[25]    Katki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Schiffman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low-up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testing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colposcopy: five-year risk of CIN 2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+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after a colposcopic diagno-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 CIN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or less[J]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 J 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Genit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17(5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Suppl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1): S69-S77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7/LGT.0b013e31828543b1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</w:p>
    <w:p>
      <w:pPr>
        <w:ind w:left="442" w:right="87" w:hanging="441"/>
        <w:spacing w:before="93" w:line="2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[26]    Ciavattini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Serri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Giuseppe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Long-t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observa-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approach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histological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cervical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low-grade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squamous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intraepithelial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lesion: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Italian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multi-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centric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Open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2019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9(7):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e24920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1136/bmjopen-2018-024920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</w:p>
    <w:p>
      <w:pPr>
        <w:ind w:left="440" w:right="85" w:hanging="440"/>
        <w:spacing w:before="88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[27]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Egemen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Cheung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estimates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porting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2019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ASCCP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risk-based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manage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consensus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guidelines[J]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J Low Genit Tract 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24(2):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132-143.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1097/LGT.0000000000000529.</w:t>
      </w:r>
    </w:p>
    <w:p>
      <w:pPr>
        <w:ind w:left="442" w:right="86" w:hanging="439"/>
        <w:spacing w:before="88" w:line="2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[28]     Cox JT, Schiffman M, Solomon D. Prospective follow-up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suggests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similar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subsequent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cervica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intraepithelial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neoplasia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 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among women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intraepi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thelial neoplasia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 or negative colposcopy and directed biopsy[J].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Am 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Obstet Gy-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necol, 2003,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188(6):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1406-1412.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1067/mob.2003.461.</w:t>
      </w:r>
    </w:p>
    <w:p>
      <w:pPr>
        <w:ind w:left="438" w:right="88" w:hanging="438"/>
        <w:spacing w:before="94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[29]    Leung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Vitonis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Feldman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Loop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electrosurgical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excision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procedure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persistent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low-grade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abnormali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hu-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papillomavirus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positivity[J]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Genit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25(4): 281-286.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1097/LGT.0000000000000619.</w:t>
      </w:r>
    </w:p>
    <w:p>
      <w:pPr>
        <w:ind w:left="442" w:right="85" w:hanging="442"/>
        <w:spacing w:before="93" w:line="26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[30]     Levine L, Lucci JR, Dinh TV.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Atypical gland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ular cells: new Bethesda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Terminology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and 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Guidelines[J].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urv,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2003, 58(6): 399-406.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10.1097/01.OGX.0000070068.74408.F6.</w:t>
      </w:r>
    </w:p>
    <w:p>
      <w:pPr>
        <w:ind w:left="441" w:right="83" w:hanging="438"/>
        <w:spacing w:before="95" w:line="2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[31]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Falcaro M, Castanon A, Ndle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la B, et al. The effects of the national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HPV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vaccination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programme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England,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UK,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 grade 3 cervical intraepithelial neoplas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ia incidence: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register-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observational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398(10316):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2084-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2092.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1016/S0140-6736(21)02178-4.</w:t>
      </w:r>
    </w:p>
    <w:p>
      <w:pPr>
        <w:pStyle w:val="BodyText"/>
        <w:spacing w:before="65" w:line="214" w:lineRule="exact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1"/>
        </w:rPr>
        <w:t>（收稿日期：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1"/>
        </w:rPr>
        <w:t>2022-05-03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）</w:t>
      </w:r>
    </w:p>
    <w:sectPr>
      <w:type w:val="continuous"/>
      <w:pgSz w:w="11623" w:h="15875"/>
      <w:pgMar w:top="1188" w:right="818" w:bottom="400" w:left="407" w:header="942" w:footer="0" w:gutter="0"/>
      <w:cols w:equalWidth="0" w:num="2">
        <w:col w:w="5600" w:space="100"/>
        <w:col w:w="469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(c)1994-2022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1"/>
      <w:spacing w:before="38" w:line="210" w:lineRule="auto"/>
      <w:rPr>
        <w:rFonts w:ascii="Microsoft YaHei" w:hAnsi="Microsoft YaHei" w:eastAsia="Microsoft YaHei" w:cs="Microsoft YaHei"/>
        <w:sz w:val="4"/>
        <w:szCs w:val="4"/>
      </w:rPr>
    </w:pPr>
    <w:r>
      <w:pict>
        <v:shape id="WordPictureWatermark2" style="position:absolute;margin-left:20.4pt;margin-top:766.301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"/>
      </w:rPr>
      <w:t>中国妇产科临床杂志</w:t>
    </w:r>
    <w:r>
      <w:rPr>
        <w:sz w:val="16"/>
        <w:szCs w:val="16"/>
        <w:u w:val="single" w:color="auto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2022 </w:t>
    </w:r>
    <w:r>
      <w:rPr>
        <w:sz w:val="16"/>
        <w:szCs w:val="16"/>
        <w:u w:val="single" w:color="auto"/>
        <w:color w:val="231F20"/>
        <w:spacing w:val="-1"/>
      </w:rPr>
      <w:t>年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7 </w:t>
    </w:r>
    <w:r>
      <w:rPr>
        <w:sz w:val="16"/>
        <w:szCs w:val="16"/>
        <w:u w:val="single" w:color="auto"/>
        <w:color w:val="231F20"/>
        <w:spacing w:val="-1"/>
      </w:rPr>
      <w:t>月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第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23 </w:t>
    </w:r>
    <w:r>
      <w:rPr>
        <w:sz w:val="16"/>
        <w:szCs w:val="16"/>
        <w:u w:val="single" w:color="auto"/>
        <w:color w:val="231F20"/>
        <w:spacing w:val="-1"/>
      </w:rPr>
      <w:t>卷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第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4 </w:t>
    </w:r>
    <w:r>
      <w:rPr>
        <w:sz w:val="16"/>
        <w:szCs w:val="16"/>
        <w:u w:val="single" w:color="auto"/>
        <w:color w:val="231F20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Chin J Clin 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July     2022</w:t>
    </w:r>
    <w:r>
      <w:rPr>
        <w:sz w:val="16"/>
        <w:szCs w:val="16"/>
        <w:u w:val="single" w:color="auto"/>
        <w:color w:val="231F20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Vol.23</w:t>
    </w:r>
    <w:r>
      <w:rPr>
        <w:sz w:val="16"/>
        <w:szCs w:val="16"/>
        <w:u w:val="single" w:color="auto"/>
        <w:color w:val="231F20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No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.4         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-1"/>
      </w:rPr>
      <w:t xml:space="preserve">                              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-1"/>
        <w:position w:val="3"/>
      </w:rPr>
      <w:t>●        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-1"/>
      </w:rPr>
      <w:t>443 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-1"/>
        <w:position w:val="3"/>
      </w:rPr>
      <w:t>●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2"/>
      <w:spacing w:before="38" w:line="21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Microsoft YaHei" w:hAnsi="Microsoft YaHei" w:eastAsia="Microsoft YaHei" w:cs="Microsoft YaHei"/>
        <w:sz w:val="4"/>
        <w:szCs w:val="4"/>
        <w:color w:val="231F20"/>
        <w:position w:val="3"/>
      </w:rPr>
      <w:t>●       </w:t>
    </w:r>
    <w:r>
      <w:rPr>
        <w:rFonts w:ascii="Times New Roman" w:hAnsi="Times New Roman" w:eastAsia="Times New Roman" w:cs="Times New Roman"/>
        <w:sz w:val="16"/>
        <w:szCs w:val="16"/>
        <w:color w:val="231F20"/>
      </w:rPr>
      <w:t>444   </w:t>
    </w:r>
    <w:r>
      <w:rPr>
        <w:rFonts w:ascii="Microsoft YaHei" w:hAnsi="Microsoft YaHei" w:eastAsia="Microsoft YaHei" w:cs="Microsoft YaHei"/>
        <w:sz w:val="4"/>
        <w:szCs w:val="4"/>
        <w:color w:val="231F20"/>
        <w:position w:val="3"/>
      </w:rPr>
      <w:t>●                                                                     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-1"/>
        <w:position w:val="3"/>
      </w:rPr>
      <w:t xml:space="preserve">                                     </w:t>
    </w:r>
    <w:r>
      <w:rPr>
        <w:sz w:val="16"/>
        <w:szCs w:val="16"/>
        <w:u w:val="single" w:color="auto"/>
        <w:color w:val="231F20"/>
        <w:spacing w:val="15"/>
      </w:rPr>
      <w:t xml:space="preserve">    </w:t>
    </w:r>
    <w:r>
      <w:rPr>
        <w:sz w:val="16"/>
        <w:szCs w:val="16"/>
        <w:u w:val="single" w:color="auto"/>
        <w:color w:val="231F20"/>
        <w:spacing w:val="-1"/>
      </w:rPr>
      <w:t>中国妇产科临床杂志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2022 </w:t>
    </w:r>
    <w:r>
      <w:rPr>
        <w:sz w:val="16"/>
        <w:szCs w:val="16"/>
        <w:u w:val="single" w:color="auto"/>
        <w:color w:val="231F20"/>
        <w:spacing w:val="-1"/>
      </w:rPr>
      <w:t>年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7 </w:t>
    </w:r>
    <w:r>
      <w:rPr>
        <w:sz w:val="16"/>
        <w:szCs w:val="16"/>
        <w:u w:val="single" w:color="auto"/>
        <w:color w:val="231F20"/>
        <w:spacing w:val="-1"/>
      </w:rPr>
      <w:t>月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第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23 </w:t>
    </w:r>
    <w:r>
      <w:rPr>
        <w:sz w:val="16"/>
        <w:szCs w:val="16"/>
        <w:u w:val="single" w:color="auto"/>
        <w:color w:val="231F20"/>
        <w:spacing w:val="-1"/>
      </w:rPr>
      <w:t>卷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第</w:t>
    </w:r>
    <w:r>
      <w:rPr>
        <w:sz w:val="16"/>
        <w:szCs w:val="16"/>
        <w:u w:val="single" w:color="auto"/>
        <w:color w:val="231F20"/>
        <w:spacing w:val="-3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4 </w:t>
    </w:r>
    <w:r>
      <w:rPr>
        <w:sz w:val="16"/>
        <w:szCs w:val="16"/>
        <w:u w:val="single" w:color="auto"/>
        <w:color w:val="231F20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J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July     2022</w:t>
    </w:r>
    <w:r>
      <w:rPr>
        <w:sz w:val="16"/>
        <w:szCs w:val="16"/>
        <w:u w:val="single" w:color="auto"/>
        <w:color w:val="231F20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Vol.23</w:t>
    </w:r>
    <w:r>
      <w:rPr>
        <w:sz w:val="16"/>
        <w:szCs w:val="16"/>
        <w:u w:val="single" w:color="auto"/>
        <w:color w:val="231F20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No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2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.4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1"/>
      <w:spacing w:before="38" w:line="210" w:lineRule="auto"/>
      <w:rPr>
        <w:rFonts w:ascii="Microsoft YaHei" w:hAnsi="Microsoft YaHei" w:eastAsia="Microsoft YaHei" w:cs="Microsoft YaHei"/>
        <w:sz w:val="4"/>
        <w:szCs w:val="4"/>
      </w:rPr>
    </w:pPr>
    <w:r>
      <w:pict>
        <v:shape id="WordPictureWatermark26" style="position:absolute;margin-left:20.4pt;margin-top:766.301pt;mso-position-vertical-relative:page;mso-position-horizontal-relative:page;width:475.5pt;height:9.7pt;z-index:251659264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"/>
      </w:rPr>
      <w:t>中国妇产科临床杂志</w:t>
    </w:r>
    <w:r>
      <w:rPr>
        <w:sz w:val="16"/>
        <w:szCs w:val="16"/>
        <w:u w:val="single" w:color="auto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2022 </w:t>
    </w:r>
    <w:r>
      <w:rPr>
        <w:sz w:val="16"/>
        <w:szCs w:val="16"/>
        <w:u w:val="single" w:color="auto"/>
        <w:color w:val="231F20"/>
        <w:spacing w:val="-1"/>
      </w:rPr>
      <w:t>年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7 </w:t>
    </w:r>
    <w:r>
      <w:rPr>
        <w:sz w:val="16"/>
        <w:szCs w:val="16"/>
        <w:u w:val="single" w:color="auto"/>
        <w:color w:val="231F20"/>
        <w:spacing w:val="-1"/>
      </w:rPr>
      <w:t>月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第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23 </w:t>
    </w:r>
    <w:r>
      <w:rPr>
        <w:sz w:val="16"/>
        <w:szCs w:val="16"/>
        <w:u w:val="single" w:color="auto"/>
        <w:color w:val="231F20"/>
        <w:spacing w:val="-1"/>
      </w:rPr>
      <w:t>卷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第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4 </w:t>
    </w:r>
    <w:r>
      <w:rPr>
        <w:sz w:val="16"/>
        <w:szCs w:val="16"/>
        <w:u w:val="single" w:color="auto"/>
        <w:color w:val="231F20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Chin J Clin 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July     2022</w:t>
    </w:r>
    <w:r>
      <w:rPr>
        <w:sz w:val="16"/>
        <w:szCs w:val="16"/>
        <w:u w:val="single" w:color="auto"/>
        <w:color w:val="231F20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Vol.23</w:t>
    </w:r>
    <w:r>
      <w:rPr>
        <w:sz w:val="16"/>
        <w:szCs w:val="16"/>
        <w:u w:val="single" w:color="auto"/>
        <w:color w:val="231F20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No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2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.4         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-1"/>
      </w:rPr>
      <w:t xml:space="preserve">                              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-1"/>
        <w:position w:val="3"/>
      </w:rPr>
      <w:t>●        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-1"/>
      </w:rPr>
      <w:t>445 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-1"/>
        <w:position w:val="3"/>
      </w:rPr>
      <w:t>●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footer" Target="footer1.xml"/><Relationship Id="rId2" Type="http://schemas.openxmlformats.org/officeDocument/2006/relationships/header" Target="head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yperlink" Target="https://tumourclassification.iarc.who.int/9789283245049" TargetMode="Externa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2022-11-29T07:48:24Z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2025-10-28T22:20:14</vt:filetime>
  </property>
</Properties>
</file>