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754"/>
        <w:spacing w:before="64" w:line="19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4" style="position:absolute;margin-left:24.5592pt;margin-top:3.87258pt;mso-position-vertical-relative:text;mso-position-horizontal-relative:text;width:33.95pt;height:10.8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8"/>
                      <w:w w:val="105"/>
                    </w:rPr>
                    <w:t>·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18"/>
                      <w:w w:val="105"/>
                    </w:rPr>
                    <w:t>170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9"/>
                      <w:w w:val="102"/>
                    </w:rPr>
                    <w:t xml:space="preserve">   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5"/>
                    </w:rPr>
                    <w:t>·</w:t>
                  </w:r>
                </w:p>
              </w:txbxContent>
            </v:textbox>
          </v:shape>
        </w:pict>
      </w:r>
      <w:r>
        <w:rPr>
          <w:sz w:val="15"/>
          <w:szCs w:val="15"/>
          <w:u w:val="single" w:color="auto"/>
          <w:color w:val="231F20"/>
          <w:spacing w:val="4"/>
        </w:rPr>
        <w:t>中华妇产科杂志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>2023 </w:t>
      </w:r>
      <w:r>
        <w:rPr>
          <w:sz w:val="15"/>
          <w:szCs w:val="15"/>
          <w:u w:val="single" w:color="auto"/>
          <w:color w:val="231F20"/>
          <w:spacing w:val="4"/>
        </w:rPr>
        <w:t>年</w:t>
      </w:r>
      <w:r>
        <w:rPr>
          <w:sz w:val="15"/>
          <w:szCs w:val="15"/>
          <w:u w:val="single" w:color="auto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>3 </w:t>
      </w:r>
      <w:r>
        <w:rPr>
          <w:sz w:val="15"/>
          <w:szCs w:val="15"/>
          <w:u w:val="single" w:color="auto"/>
          <w:color w:val="231F20"/>
          <w:spacing w:val="4"/>
        </w:rPr>
        <w:t>月第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>58 </w:t>
      </w:r>
      <w:r>
        <w:rPr>
          <w:sz w:val="15"/>
          <w:szCs w:val="15"/>
          <w:u w:val="single" w:color="auto"/>
          <w:color w:val="231F20"/>
          <w:spacing w:val="4"/>
        </w:rPr>
        <w:t>卷</w:t>
      </w:r>
      <w:r>
        <w:rPr>
          <w:sz w:val="15"/>
          <w:szCs w:val="15"/>
          <w:u w:val="single" w:color="auto"/>
          <w:color w:val="231F20"/>
          <w:spacing w:val="3"/>
        </w:rPr>
        <w:t>第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5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期   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Chin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Obstet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Gynecol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March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2023,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Vol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58,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No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3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115" w:line="183" w:lineRule="auto"/>
        <w:jc w:val="right"/>
        <w:rPr>
          <w:sz w:val="27"/>
          <w:szCs w:val="27"/>
        </w:rPr>
      </w:pPr>
      <w:r>
        <w:rPr>
          <w:sz w:val="27"/>
          <w:szCs w:val="27"/>
          <w:color w:val="231F20"/>
          <w:spacing w:val="29"/>
          <w:w w:val="131"/>
        </w:rPr>
        <w:t>·专家共识</w:t>
      </w:r>
      <w:r>
        <w:rPr>
          <w:sz w:val="27"/>
          <w:szCs w:val="27"/>
          <w:color w:val="231F20"/>
          <w:spacing w:val="-15"/>
        </w:rPr>
        <w:t xml:space="preserve"> </w:t>
      </w:r>
      <w:r>
        <w:rPr>
          <w:sz w:val="27"/>
          <w:szCs w:val="27"/>
          <w:color w:val="231F20"/>
          <w:spacing w:val="29"/>
          <w:w w:val="131"/>
        </w:rPr>
        <w:t>·</w:t>
      </w:r>
    </w:p>
    <w:p>
      <w:pPr>
        <w:pStyle w:val="BodyText"/>
        <w:ind w:left="497"/>
        <w:spacing w:before="334" w:line="178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8"/>
        </w:rPr>
        <w:t>原发免疫性血小板减少症妊娠期诊治</w:t>
      </w:r>
    </w:p>
    <w:p>
      <w:pPr>
        <w:pStyle w:val="BodyText"/>
        <w:ind w:left="496"/>
        <w:spacing w:before="2" w:line="180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5"/>
        </w:rPr>
        <w:t>专家共识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520"/>
        <w:spacing w:before="86" w:line="198" w:lineRule="auto"/>
        <w:rPr/>
      </w:pPr>
      <w:r>
        <w:rPr>
          <w:color w:val="231F20"/>
          <w:spacing w:val="7"/>
        </w:rPr>
        <w:t>中华医学会妇产科学分会产科学组</w:t>
      </w:r>
    </w:p>
    <w:p>
      <w:pPr>
        <w:pStyle w:val="BodyText"/>
        <w:ind w:left="492" w:right="1975" w:firstLine="1"/>
        <w:spacing w:before="1" w:line="223" w:lineRule="auto"/>
        <w:rPr>
          <w:rFonts w:ascii="Times New Roman" w:hAnsi="Times New Roman" w:eastAsia="Times New Roman" w:cs="Times New Roman"/>
        </w:rPr>
      </w:pPr>
      <w:r>
        <w:rPr>
          <w:color w:val="231F20"/>
          <w:spacing w:val="2"/>
        </w:rPr>
        <w:t>通信作者：梁梅英，北京大学人民医院妇产科，北京</w:t>
      </w:r>
      <w:r>
        <w:rPr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100044</w:t>
      </w:r>
      <w:r>
        <w:rPr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color w:val="231F20"/>
        </w:rPr>
        <w:t>Email</w:t>
      </w:r>
      <w:r>
        <w:rPr>
          <w:color w:val="231F20"/>
          <w:spacing w:val="1"/>
        </w:rPr>
        <w:t>：</w:t>
      </w:r>
      <w:r>
        <w:rPr>
          <w:rFonts w:ascii="Times New Roman" w:hAnsi="Times New Roman" w:eastAsia="Times New Roman" w:cs="Times New Roman"/>
          <w:color w:val="231F20"/>
        </w:rPr>
        <w:t>lmying</w:t>
      </w:r>
      <w:r>
        <w:rPr>
          <w:rFonts w:ascii="Times New Roman" w:hAnsi="Times New Roman" w:eastAsia="Times New Roman" w:cs="Times New Roman"/>
          <w:color w:val="231F20"/>
          <w:spacing w:val="1"/>
        </w:rPr>
        <w:t>1129@163.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com</w:t>
      </w:r>
      <w:r>
        <w:rPr>
          <w:color w:val="231F20"/>
          <w:spacing w:val="-2"/>
        </w:rPr>
        <w:t>；杨慧霞，北京大学第一医院妇产科，北京</w:t>
      </w:r>
      <w:r>
        <w:rPr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100034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Email</w:t>
      </w:r>
      <w:r>
        <w:rPr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color w:val="231F20"/>
          <w:spacing w:val="-2"/>
        </w:rPr>
        <w:t>ya</w:t>
      </w:r>
      <w:r>
        <w:rPr>
          <w:rFonts w:ascii="Times New Roman" w:hAnsi="Times New Roman" w:eastAsia="Times New Roman" w:cs="Times New Roman"/>
          <w:color w:val="231F20"/>
          <w:spacing w:val="-3"/>
        </w:rPr>
        <w:t>nghuixia@bjmu.edu.cn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486" w:right="1977" w:firstLine="295"/>
        <w:spacing w:before="73" w:line="239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【摘要】</w:t>
      </w:r>
      <w:r>
        <w:rPr>
          <w:rFonts w:ascii="SimHei" w:hAnsi="SimHei" w:eastAsia="SimHei" w:cs="SimHei"/>
          <w:sz w:val="17"/>
          <w:szCs w:val="17"/>
          <w:color w:val="231F20"/>
          <w:spacing w:val="43"/>
        </w:rPr>
        <w:t xml:space="preserve"> </w:t>
      </w:r>
      <w:r>
        <w:rPr>
          <w:sz w:val="17"/>
          <w:szCs w:val="17"/>
          <w:color w:val="231F20"/>
          <w:spacing w:val="8"/>
        </w:rPr>
        <w:t>原发免疫性血小板减少症（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ITP</w:t>
      </w:r>
      <w:r>
        <w:rPr>
          <w:sz w:val="17"/>
          <w:szCs w:val="17"/>
          <w:color w:val="231F20"/>
          <w:spacing w:val="8"/>
        </w:rPr>
        <w:t>）是一</w:t>
      </w:r>
      <w:r>
        <w:rPr>
          <w:sz w:val="17"/>
          <w:szCs w:val="17"/>
          <w:color w:val="231F20"/>
          <w:spacing w:val="7"/>
        </w:rPr>
        <w:t>种获得性自身免疫性出血性疾病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7"/>
        </w:rPr>
        <w:t>。妊娠合并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ITP </w:t>
      </w:r>
      <w:r>
        <w:rPr>
          <w:sz w:val="17"/>
          <w:szCs w:val="17"/>
          <w:color w:val="231F20"/>
          <w:spacing w:val="7"/>
        </w:rPr>
        <w:t>患者病情可随妊娠的进展而加重，导致妊娠期及分娩期出血风险</w:t>
      </w:r>
      <w:r>
        <w:rPr>
          <w:sz w:val="17"/>
          <w:szCs w:val="17"/>
          <w:color w:val="231F20"/>
          <w:spacing w:val="6"/>
        </w:rPr>
        <w:t>增加，部分妊娠合并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ITP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6"/>
        </w:rPr>
        <w:t>患者分娩的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新生儿可发生新生儿血小板减少症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7"/>
        </w:rPr>
        <w:t>。规范管理妊娠合并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ITP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7"/>
        </w:rPr>
        <w:t>可以有效降低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ITP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7"/>
        </w:rPr>
        <w:t>患者的出血风险，</w:t>
      </w:r>
      <w:r>
        <w:rPr>
          <w:sz w:val="17"/>
          <w:szCs w:val="17"/>
          <w:color w:val="231F20"/>
          <w:spacing w:val="6"/>
        </w:rPr>
        <w:t>改善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6"/>
        </w:rPr>
        <w:t>母儿结局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6"/>
        </w:rPr>
        <w:t>。但因妊娠合并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ITP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6"/>
        </w:rPr>
        <w:t>发生率较低，缺乏高质量的循证医学证据，临床存在诊疗不规范及过度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6"/>
        </w:rPr>
        <w:t>诊疗现象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6"/>
        </w:rPr>
        <w:t>。为进一步规范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ITP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6"/>
        </w:rPr>
        <w:t>的妊娠期管理，中华医学会妇产科学分会产</w:t>
      </w:r>
      <w:r>
        <w:rPr>
          <w:sz w:val="17"/>
          <w:szCs w:val="17"/>
          <w:color w:val="231F20"/>
          <w:spacing w:val="5"/>
        </w:rPr>
        <w:t>科学组组织多学科专家，在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0"/>
        </w:rPr>
        <w:t>参照国内外相关指南的基础上，共同讨论制定本共识，旨在为我国妊娠合并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ITP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10"/>
        </w:rPr>
        <w:t>的诊治提供指导性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意见。</w:t>
      </w:r>
    </w:p>
    <w:p>
      <w:pPr>
        <w:spacing w:before="112"/>
        <w:rPr/>
      </w:pPr>
      <w:r/>
    </w:p>
    <w:p>
      <w:pPr>
        <w:sectPr>
          <w:headerReference w:type="default" r:id="rId1"/>
          <w:pgSz w:w="12246" w:h="16498"/>
          <w:pgMar w:top="400" w:right="1217" w:bottom="0" w:left="819" w:header="0" w:footer="0" w:gutter="0"/>
          <w:cols w:equalWidth="0" w:num="1">
            <w:col w:w="10209" w:space="0"/>
          </w:cols>
        </w:sectPr>
        <w:rPr/>
      </w:pPr>
    </w:p>
    <w:p>
      <w:pPr>
        <w:pStyle w:val="BodyText"/>
        <w:ind w:left="407" w:right="394" w:firstLine="503"/>
        <w:spacing w:before="41" w:line="222" w:lineRule="auto"/>
        <w:tabs>
          <w:tab w:val="left" w:pos="489"/>
          <w:tab w:val="left" w:pos="492"/>
        </w:tabs>
        <w:jc w:val="both"/>
        <w:rPr/>
      </w:pPr>
      <w:r>
        <w:pict>
          <v:shape id="_x0000_s6" style="position:absolute;margin-left:24.3367pt;margin-top:324.364pt;mso-position-vertical-relative:text;mso-position-horizontal-relative:text;width:399.15pt;height:0.3pt;z-index:251662336;" filled="false" strokecolor="#231F20" strokeweight="0.28pt" coordsize="7982,6" coordorigin="0,0" path="m0,2l7982,2e">
            <v:stroke joinstyle="miter" miterlimit="4"/>
          </v:shape>
        </w:pict>
      </w:r>
      <w:r>
        <w:rPr>
          <w:color w:val="231F20"/>
          <w:spacing w:val="-2"/>
        </w:rPr>
        <w:t>原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发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疫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板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症（</w:t>
      </w:r>
      <w:r>
        <w:rPr>
          <w:rFonts w:ascii="Times New Roman" w:hAnsi="Times New Roman" w:eastAsia="Times New Roman" w:cs="Times New Roman"/>
          <w:color w:val="231F20"/>
          <w:spacing w:val="-2"/>
        </w:rPr>
        <w:t>primary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immune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</w:rPr>
        <w:t>thrombocytopenia</w:t>
      </w:r>
      <w:r>
        <w:rPr>
          <w:color w:val="231F20"/>
          <w:spacing w:val="15"/>
        </w:rPr>
        <w:t>，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color w:val="231F20"/>
          <w:spacing w:val="-30"/>
          <w:w w:val="62"/>
        </w:rPr>
        <w:t>），</w:t>
      </w:r>
      <w:r>
        <w:rPr>
          <w:color w:val="231F20"/>
          <w:spacing w:val="15"/>
        </w:rPr>
        <w:t>既往称特发性血小板减少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0"/>
        </w:rPr>
        <w:t>性紫癜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0"/>
        </w:rPr>
        <w:t>，是一种获得性自身免疫性出血性疾病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0"/>
        </w:rPr>
        <w:t>。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以无明确诱因的孤立性外周血血小板计数减少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为主要特点，临床表现为无症状性血小板减少、皮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肤黏膜出血以及重要器官出血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1"/>
        </w:rPr>
        <w:t>。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color w:val="231F20"/>
          <w:spacing w:val="11"/>
        </w:rPr>
        <w:t>的主要发病机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制是血小板自身抗原免疫耐受性丢失，导致体液和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细胞免疫异常活化，共同介导血小板破坏加速及巨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核细胞产生血小板不足</w:t>
      </w:r>
      <w:r>
        <w:rPr>
          <w:sz w:val="10"/>
          <w:szCs w:val="10"/>
          <w:color w:val="231F20"/>
          <w:spacing w:val="7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>1</w:t>
      </w:r>
      <w:r>
        <w:rPr>
          <w:sz w:val="10"/>
          <w:szCs w:val="10"/>
          <w:color w:val="231F20"/>
          <w:spacing w:val="7"/>
          <w:position w:val="8"/>
        </w:rPr>
        <w:t>］</w:t>
      </w:r>
      <w:r>
        <w:rPr>
          <w:color w:val="231F20"/>
          <w:spacing w:val="7"/>
        </w:rPr>
        <w:t>。妊娠合并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的发生率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约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为 </w:t>
      </w:r>
      <w:r>
        <w:rPr>
          <w:rFonts w:ascii="Times New Roman" w:hAnsi="Times New Roman" w:eastAsia="Times New Roman" w:cs="Times New Roman"/>
          <w:color w:val="231F20"/>
          <w:spacing w:val="-1"/>
        </w:rPr>
        <w:t>8/100 000</w:t>
      </w:r>
      <w:r>
        <w:rPr>
          <w:color w:val="231F20"/>
          <w:spacing w:val="-1"/>
        </w:rPr>
        <w:t>，部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分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患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为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妊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娠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首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次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诊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断</w:t>
      </w:r>
      <w:r>
        <w:rPr>
          <w:sz w:val="10"/>
          <w:szCs w:val="10"/>
          <w:color w:val="231F20"/>
          <w:spacing w:val="-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2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。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患者在妊娠期病情易加重，严重者可导致母体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1"/>
        </w:rPr>
        <w:t>器官自发出血，部分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11"/>
        </w:rPr>
        <w:t>孕妇分娩的新生儿可发生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新生儿血小板减少症</w:t>
      </w:r>
      <w:r>
        <w:rPr>
          <w:sz w:val="10"/>
          <w:szCs w:val="10"/>
          <w:color w:val="231F20"/>
          <w:spacing w:val="7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>3‑6</w:t>
      </w:r>
      <w:r>
        <w:rPr>
          <w:sz w:val="10"/>
          <w:szCs w:val="10"/>
          <w:color w:val="231F20"/>
          <w:spacing w:val="7"/>
          <w:position w:val="8"/>
        </w:rPr>
        <w:t>］</w:t>
      </w:r>
      <w:r>
        <w:rPr>
          <w:color w:val="231F20"/>
          <w:spacing w:val="7"/>
        </w:rPr>
        <w:t>。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1996 </w:t>
      </w:r>
      <w:r>
        <w:rPr>
          <w:color w:val="231F20"/>
          <w:spacing w:val="7"/>
        </w:rPr>
        <w:t>年，英国血液学会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British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Society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Hae</w:t>
      </w:r>
      <w:r>
        <w:rPr>
          <w:rFonts w:ascii="Times New Roman" w:hAnsi="Times New Roman" w:eastAsia="Times New Roman" w:cs="Times New Roman"/>
          <w:color w:val="231F20"/>
          <w:spacing w:val="-2"/>
        </w:rPr>
        <w:t>matology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BSH</w:t>
      </w:r>
      <w:r>
        <w:rPr>
          <w:color w:val="231F20"/>
          <w:spacing w:val="-2"/>
        </w:rPr>
        <w:t>）首次针对妊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娠合并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制订了诊治指南</w:t>
      </w:r>
      <w:r>
        <w:rPr>
          <w:sz w:val="10"/>
          <w:szCs w:val="10"/>
          <w:color w:val="231F20"/>
          <w:spacing w:val="8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8"/>
        </w:rPr>
        <w:t>7</w:t>
      </w:r>
      <w:r>
        <w:rPr>
          <w:sz w:val="10"/>
          <w:szCs w:val="10"/>
          <w:color w:val="231F20"/>
          <w:spacing w:val="8"/>
          <w:position w:val="8"/>
        </w:rPr>
        <w:t>］</w:t>
      </w:r>
      <w:r>
        <w:rPr>
          <w:color w:val="231F20"/>
          <w:spacing w:val="8"/>
        </w:rPr>
        <w:t>。</w:t>
      </w:r>
      <w:r>
        <w:rPr>
          <w:rFonts w:ascii="Times New Roman" w:hAnsi="Times New Roman" w:eastAsia="Times New Roman" w:cs="Times New Roman"/>
          <w:color w:val="231F20"/>
        </w:rPr>
        <w:t>BSH</w:t>
      </w:r>
      <w:r>
        <w:rPr>
          <w:color w:val="231F20"/>
          <w:spacing w:val="8"/>
        </w:rPr>
        <w:t>、美国血液学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会（</w:t>
      </w:r>
      <w:r>
        <w:rPr>
          <w:rFonts w:ascii="Times New Roman" w:hAnsi="Times New Roman" w:eastAsia="Times New Roman" w:cs="Times New Roman"/>
          <w:color w:val="231F20"/>
          <w:spacing w:val="-4"/>
        </w:rPr>
        <w:t>American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Society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of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Hematology</w:t>
      </w:r>
      <w:r>
        <w:rPr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color w:val="231F20"/>
          <w:spacing w:val="-4"/>
        </w:rPr>
        <w:t>ASH</w:t>
      </w:r>
      <w:r>
        <w:rPr>
          <w:color w:val="231F20"/>
          <w:spacing w:val="-4"/>
        </w:rPr>
        <w:t>）、</w:t>
      </w:r>
      <w:r>
        <w:rPr>
          <w:color w:val="231F20"/>
          <w:spacing w:val="-5"/>
        </w:rPr>
        <w:t>美国妇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科 医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师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会（</w:t>
      </w:r>
      <w:r>
        <w:rPr>
          <w:rFonts w:ascii="Times New Roman" w:hAnsi="Times New Roman" w:eastAsia="Times New Roman" w:cs="Times New Roman"/>
          <w:color w:val="231F20"/>
        </w:rPr>
        <w:t>American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College</w:t>
      </w:r>
      <w:r>
        <w:rPr>
          <w:rFonts w:ascii="Times New Roman" w:hAnsi="Times New Roman" w:eastAsia="Times New Roman" w:cs="Times New Roman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Obstetricians  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Gynecologists</w:t>
      </w:r>
      <w:r>
        <w:rPr>
          <w:color w:val="231F20"/>
          <w:spacing w:val="9"/>
        </w:rPr>
        <w:t>，</w:t>
      </w:r>
      <w:r>
        <w:rPr>
          <w:rFonts w:ascii="Times New Roman" w:hAnsi="Times New Roman" w:eastAsia="Times New Roman" w:cs="Times New Roman"/>
          <w:color w:val="231F20"/>
        </w:rPr>
        <w:t>ACOG</w:t>
      </w:r>
      <w:r>
        <w:rPr>
          <w:color w:val="231F20"/>
          <w:spacing w:val="9"/>
        </w:rPr>
        <w:t>）及国际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9"/>
        </w:rPr>
        <w:t>工作组制订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的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13"/>
        </w:rPr>
        <w:t>诊治指南中均涉及妊娠合并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color w:val="231F20"/>
          <w:spacing w:val="13"/>
        </w:rPr>
        <w:t>的诊疗建议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并不断更新</w:t>
      </w:r>
      <w:r>
        <w:rPr>
          <w:sz w:val="10"/>
          <w:szCs w:val="10"/>
          <w:color w:val="231F20"/>
          <w:spacing w:val="-5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5"/>
          <w:position w:val="8"/>
        </w:rPr>
        <w:t>8‑11</w:t>
      </w:r>
      <w:r>
        <w:rPr>
          <w:sz w:val="10"/>
          <w:szCs w:val="10"/>
          <w:color w:val="231F20"/>
          <w:spacing w:val="-5"/>
          <w:position w:val="8"/>
        </w:rPr>
        <w:t>］</w:t>
      </w:r>
      <w:r>
        <w:rPr>
          <w:color w:val="231F20"/>
          <w:spacing w:val="-5"/>
        </w:rPr>
        <w:t>。</w:t>
      </w:r>
      <w:r>
        <w:rPr>
          <w:rFonts w:ascii="Times New Roman" w:hAnsi="Times New Roman" w:eastAsia="Times New Roman" w:cs="Times New Roman"/>
          <w:color w:val="231F20"/>
          <w:spacing w:val="-5"/>
        </w:rPr>
        <w:t>2019 </w:t>
      </w:r>
      <w:r>
        <w:rPr>
          <w:color w:val="231F20"/>
          <w:spacing w:val="-5"/>
        </w:rPr>
        <w:t>年，</w:t>
      </w:r>
      <w:r>
        <w:rPr>
          <w:rFonts w:ascii="Times New Roman" w:hAnsi="Times New Roman" w:eastAsia="Times New Roman" w:cs="Times New Roman"/>
          <w:color w:val="231F20"/>
          <w:spacing w:val="-5"/>
        </w:rPr>
        <w:t>ACOG</w:t>
      </w:r>
      <w:r>
        <w:rPr>
          <w:color w:val="231F20"/>
          <w:spacing w:val="-5"/>
        </w:rPr>
        <w:t>、</w:t>
      </w:r>
      <w:r>
        <w:rPr>
          <w:rFonts w:ascii="Times New Roman" w:hAnsi="Times New Roman" w:eastAsia="Times New Roman" w:cs="Times New Roman"/>
          <w:color w:val="231F20"/>
          <w:spacing w:val="-5"/>
        </w:rPr>
        <w:t>ASH</w:t>
      </w:r>
      <w:r>
        <w:rPr>
          <w:color w:val="231F20"/>
          <w:spacing w:val="-5"/>
        </w:rPr>
        <w:t>、国际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I</w:t>
      </w:r>
      <w:r>
        <w:rPr>
          <w:rFonts w:ascii="Times New Roman" w:hAnsi="Times New Roman" w:eastAsia="Times New Roman" w:cs="Times New Roman"/>
          <w:color w:val="231F20"/>
          <w:spacing w:val="-6"/>
        </w:rPr>
        <w:t>TP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6"/>
        </w:rPr>
        <w:t>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50" w:line="184" w:lineRule="auto"/>
        <w:rPr/>
      </w:pPr>
      <w:r>
        <w:rPr>
          <w:color w:val="231F20"/>
          <w:spacing w:val="16"/>
        </w:rPr>
        <w:t>作组也均针对妊娠合并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color w:val="231F20"/>
          <w:spacing w:val="16"/>
        </w:rPr>
        <w:t>提出或更新了诊疗推</w:t>
      </w:r>
    </w:p>
    <w:p>
      <w:pPr>
        <w:pStyle w:val="BodyText"/>
        <w:ind w:left="2"/>
        <w:spacing w:before="32" w:line="199" w:lineRule="auto"/>
        <w:rPr/>
      </w:pPr>
      <w:r>
        <w:rPr>
          <w:color w:val="231F20"/>
          <w:spacing w:val="5"/>
        </w:rPr>
        <w:t>荐建议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2</w:t>
      </w:r>
      <w:r>
        <w:rPr>
          <w:sz w:val="10"/>
          <w:szCs w:val="10"/>
          <w:color w:val="231F20"/>
          <w:spacing w:val="5"/>
          <w:position w:val="8"/>
        </w:rPr>
        <w:t>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12‑13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5"/>
        </w:rPr>
        <w:t>。但由于缺乏充足的随机对照试验临</w:t>
      </w:r>
    </w:p>
    <w:p>
      <w:pPr>
        <w:pStyle w:val="BodyText"/>
        <w:ind w:right="88" w:firstLine="3"/>
        <w:spacing w:before="55" w:line="221" w:lineRule="auto"/>
        <w:jc w:val="both"/>
        <w:rPr/>
      </w:pPr>
      <w:r>
        <w:rPr>
          <w:color w:val="231F20"/>
          <w:spacing w:val="5"/>
        </w:rPr>
        <w:t>床研究，各指南的诊治建议主要基于临床经验及专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4"/>
        </w:rPr>
        <w:t>家共识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。在参照上述指南及中华医学会血液学分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会血栓与止血学组制定的“成人原发免疫性血小板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减少症诊断与治疗中国指南（</w:t>
      </w:r>
      <w:r>
        <w:rPr>
          <w:rFonts w:ascii="Times New Roman" w:hAnsi="Times New Roman" w:eastAsia="Times New Roman" w:cs="Times New Roman"/>
          <w:color w:val="231F20"/>
          <w:spacing w:val="-1"/>
        </w:rPr>
        <w:t>2020 </w:t>
      </w:r>
      <w:r>
        <w:rPr>
          <w:color w:val="231F20"/>
          <w:spacing w:val="-1"/>
        </w:rPr>
        <w:t>年版）”</w:t>
      </w:r>
      <w:r>
        <w:rPr>
          <w:sz w:val="10"/>
          <w:szCs w:val="10"/>
          <w:color w:val="231F20"/>
          <w:spacing w:val="-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14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1"/>
        </w:rPr>
        <w:t>的基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础上，中华医学会妇产科学分会产科学组组织相关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学科专家，共同讨论制定本共识，旨在为我国妊娠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合并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的诊治提供指导性意见。</w:t>
      </w:r>
    </w:p>
    <w:p>
      <w:pPr>
        <w:pStyle w:val="BodyText"/>
        <w:ind w:left="423"/>
        <w:spacing w:line="184" w:lineRule="auto"/>
        <w:outlineLvl w:val="0"/>
        <w:rPr/>
      </w:pPr>
      <w:r>
        <w:rPr>
          <w:color w:val="231F20"/>
        </w:rPr>
        <w:t>一、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</w:rPr>
        <w:t>患者妊娠前的评估及咨询</w:t>
      </w:r>
    </w:p>
    <w:p>
      <w:pPr>
        <w:pStyle w:val="BodyText"/>
        <w:ind w:right="86" w:firstLine="420"/>
        <w:spacing w:before="54" w:line="222" w:lineRule="auto"/>
        <w:jc w:val="both"/>
        <w:rPr/>
      </w:pPr>
      <w:r>
        <w:pict>
          <v:shape id="_x0000_s8" style="position:absolute;margin-left:158.541pt;margin-top:166.697pt;mso-position-vertical-relative:text;mso-position-horizontal-relative:text;width:68.2pt;height:68.25pt;z-index:251660288;" filled="false" strokecolor="#231F20" strokeweight="0.25pt" coordsize="1363,1365" coordorigin="0,0" path="m,l0,1364l1363,1364l1363,0l0,0e">
            <v:stroke joinstyle="miter" miterlimit="0"/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2012780</wp:posOffset>
            </wp:positionH>
            <wp:positionV relativeFrom="paragraph">
              <wp:posOffset>2116370</wp:posOffset>
            </wp:positionV>
            <wp:extent cx="864000" cy="8649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4000" cy="86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6"/>
        </w:rPr>
        <w:t>对于妊娠前已诊断的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6"/>
        </w:rPr>
        <w:t>患者，应由血液科医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师重新评估病情，并进行孕前咨询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目前尚无临床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研究及指南明确</w:t>
      </w:r>
      <w:r>
        <w:rPr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color w:val="231F20"/>
          <w:spacing w:val="14"/>
        </w:rPr>
        <w:t>患者妊娠的绝对禁忌证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。基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于血小板计数高于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5"/>
        </w:rPr>
        <w:t>/L </w:t>
      </w:r>
      <w:r>
        <w:rPr>
          <w:color w:val="231F20"/>
          <w:spacing w:val="5"/>
        </w:rPr>
        <w:t>的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5"/>
        </w:rPr>
        <w:t>患者自发出血的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风险相对较低，如果患者对治疗有效，在妊娠期处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5"/>
        </w:rPr>
        <w:t>于生理性高凝的状态下，自发出血的风险基本可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5"/>
        </w:rPr>
        <w:t>控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5"/>
        </w:rPr>
        <w:t>，因此可以妊娠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5"/>
        </w:rPr>
        <w:t>。但对于妊娠前血小板计数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5"/>
        </w:rPr>
        <w:t>&lt;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20×10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6"/>
        </w:rPr>
        <w:t>/L</w:t>
      </w:r>
      <w:r>
        <w:rPr>
          <w:color w:val="231F20"/>
          <w:spacing w:val="6"/>
        </w:rPr>
        <w:t>、伴有出血症状且控制困难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、对糖皮质激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素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或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静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脉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注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射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用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免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疫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球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蛋</w:t>
      </w:r>
      <w:r>
        <w:rPr>
          <w:color w:val="231F20"/>
          <w:spacing w:val="56"/>
        </w:rPr>
        <w:t xml:space="preserve"> </w:t>
      </w:r>
      <w:r>
        <w:rPr>
          <w:color w:val="231F20"/>
          <w:spacing w:val="-1"/>
        </w:rPr>
        <w:t>白（</w:t>
      </w:r>
      <w:r>
        <w:rPr>
          <w:rFonts w:ascii="Times New Roman" w:hAnsi="Times New Roman" w:eastAsia="Times New Roman" w:cs="Times New Roman"/>
          <w:color w:val="231F20"/>
          <w:spacing w:val="-1"/>
        </w:rPr>
        <w:t>intravenous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immunoglobulin</w:t>
      </w:r>
      <w:r>
        <w:rPr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color w:val="231F20"/>
        </w:rPr>
        <w:t>IVIg</w:t>
      </w:r>
      <w:r>
        <w:rPr>
          <w:color w:val="231F20"/>
          <w:spacing w:val="1"/>
        </w:rPr>
        <w:t>）治疗均无效者，考虑到多数</w:t>
      </w:r>
    </w:p>
    <w:p>
      <w:pPr>
        <w:spacing w:line="222" w:lineRule="auto"/>
        <w:sectPr>
          <w:type w:val="continuous"/>
          <w:pgSz w:w="12246" w:h="16498"/>
          <w:pgMar w:top="400" w:right="1217" w:bottom="0" w:left="819" w:header="0" w:footer="0" w:gutter="0"/>
          <w:cols w:equalWidth="0" w:num="2">
            <w:col w:w="5491" w:space="100"/>
            <w:col w:w="4619" w:space="0"/>
          </w:cols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492" w:right="6151" w:hanging="4"/>
        <w:spacing w:before="73" w:line="223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DOI</w:t>
      </w:r>
      <w:r>
        <w:rPr>
          <w:sz w:val="17"/>
          <w:szCs w:val="17"/>
          <w:color w:val="231F20"/>
          <w:spacing w:val="5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10.3760/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cma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.j.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112141-20221101-00671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6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2022-11-01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 xml:space="preserve">           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本文编辑</w:t>
      </w:r>
      <w:r>
        <w:rPr>
          <w:rFonts w:ascii="SimHei" w:hAnsi="SimHei" w:eastAsia="SimHei" w:cs="SimHei"/>
          <w:sz w:val="17"/>
          <w:szCs w:val="17"/>
          <w:color w:val="231F20"/>
          <w:spacing w:val="73"/>
        </w:rPr>
        <w:t xml:space="preserve"> </w:t>
      </w:r>
      <w:r>
        <w:rPr>
          <w:sz w:val="17"/>
          <w:szCs w:val="17"/>
          <w:color w:val="231F20"/>
          <w:spacing w:val="9"/>
        </w:rPr>
        <w:t>张楠</w:t>
      </w:r>
    </w:p>
    <w:p>
      <w:pPr>
        <w:pStyle w:val="BodyText"/>
        <w:ind w:left="502"/>
        <w:spacing w:line="21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引用本文：</w:t>
      </w:r>
      <w:r>
        <w:rPr>
          <w:sz w:val="17"/>
          <w:szCs w:val="17"/>
          <w:color w:val="231F20"/>
          <w:spacing w:val="8"/>
        </w:rPr>
        <w:t>中华医学会妇产科学分会产科学组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. </w:t>
      </w:r>
      <w:r>
        <w:rPr>
          <w:sz w:val="17"/>
          <w:szCs w:val="17"/>
          <w:color w:val="231F20"/>
          <w:spacing w:val="8"/>
        </w:rPr>
        <w:t>原发免疫性血小板减少症妊娠期诊治专家共识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[J].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8"/>
        </w:rPr>
        <w:t>中华</w:t>
      </w:r>
    </w:p>
    <w:p>
      <w:pPr>
        <w:pStyle w:val="BodyText"/>
        <w:ind w:left="488"/>
        <w:spacing w:before="20" w:line="18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89636</wp:posOffset>
            </wp:positionV>
            <wp:extent cx="2805668" cy="30421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color w:val="231F20"/>
          <w:spacing w:val="5"/>
        </w:rPr>
        <w:t>妇产科杂志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, 2023, 58(3):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170-177.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DOI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10.3760/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cma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.j.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112141-20221101-00671.</w:t>
      </w:r>
    </w:p>
    <w:p>
      <w:pPr>
        <w:spacing w:line="182" w:lineRule="auto"/>
        <w:sectPr>
          <w:type w:val="continuous"/>
          <w:pgSz w:w="12246" w:h="16498"/>
          <w:pgMar w:top="400" w:right="1217" w:bottom="0" w:left="819" w:header="0" w:footer="0" w:gutter="0"/>
          <w:cols w:equalWidth="0" w:num="1">
            <w:col w:w="10209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before="29"/>
        <w:rPr/>
      </w:pPr>
      <w:r>
        <w:pict>
          <v:shape id="_x0000_s14" style="position:absolute;margin-left:65.1968pt;margin-top:59.6176pt;mso-position-vertical-relative:page;mso-position-horizontal-relative:page;width:319.45pt;height:0.4pt;z-index:251664384;" o:allowincell="f" filled="false" strokecolor="#231F20" strokeweight="0.37pt" coordsize="6389,8" coordorigin="0,0" path="m0,3l6388,3e">
            <v:stroke joinstyle="miter" miterlimit="4"/>
          </v:shape>
        </w:pict>
      </w:r>
      <w:r/>
    </w:p>
    <w:p>
      <w:pPr>
        <w:sectPr>
          <w:headerReference w:type="default" r:id="rId4"/>
          <w:pgSz w:w="12246" w:h="16498"/>
          <w:pgMar w:top="1212" w:right="1224" w:bottom="0" w:left="819" w:header="971" w:footer="0" w:gutter="0"/>
          <w:cols w:equalWidth="0" w:num="1">
            <w:col w:w="10202" w:space="0"/>
          </w:cols>
        </w:sectPr>
        <w:rPr/>
      </w:pPr>
    </w:p>
    <w:p>
      <w:pPr>
        <w:pStyle w:val="BodyText"/>
        <w:ind w:left="488" w:right="392" w:firstLine="6"/>
        <w:spacing w:before="89" w:line="220" w:lineRule="auto"/>
        <w:rPr/>
      </w:pPr>
      <w:r>
        <w:rPr>
          <w:color w:val="231F20"/>
          <w:spacing w:val="5"/>
        </w:rPr>
        <w:t>患者妊娠期血小板计数将进一步降低，在自发出血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无法控制的情况下，母儿将处于危险状况，因此不</w:t>
      </w:r>
    </w:p>
    <w:p>
      <w:pPr>
        <w:pStyle w:val="BodyText"/>
        <w:ind w:left="492" w:right="392" w:hanging="2"/>
        <w:spacing w:before="1" w:line="213" w:lineRule="auto"/>
        <w:rPr/>
      </w:pPr>
      <w:r>
        <w:rPr>
          <w:color w:val="231F20"/>
          <w:spacing w:val="13"/>
        </w:rPr>
        <w:t>建议妊娠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3"/>
        </w:rPr>
        <w:t>。此外，对于伴有严重内外科合并症的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患者，需要在多学科专家评估后决定是否可以</w:t>
      </w:r>
    </w:p>
    <w:p>
      <w:pPr>
        <w:pStyle w:val="BodyText"/>
        <w:ind w:left="490"/>
        <w:spacing w:line="197" w:lineRule="auto"/>
        <w:rPr/>
      </w:pPr>
      <w:r>
        <w:rPr>
          <w:color w:val="231F20"/>
          <w:spacing w:val="-5"/>
          <w:position w:val="-4"/>
        </w:rPr>
        <w:t>妊娠</w:t>
      </w:r>
      <w:r>
        <w:rPr>
          <w:sz w:val="10"/>
          <w:szCs w:val="10"/>
          <w:color w:val="231F20"/>
          <w:spacing w:val="-5"/>
          <w:position w:val="4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5"/>
          <w:position w:val="4"/>
        </w:rPr>
        <w:t>15‑16</w:t>
      </w:r>
      <w:r>
        <w:rPr>
          <w:sz w:val="10"/>
          <w:szCs w:val="10"/>
          <w:color w:val="231F20"/>
          <w:spacing w:val="-5"/>
          <w:position w:val="4"/>
        </w:rPr>
        <w:t>］</w:t>
      </w:r>
      <w:r>
        <w:rPr>
          <w:color w:val="231F20"/>
          <w:spacing w:val="-5"/>
          <w:position w:val="-4"/>
        </w:rPr>
        <w:t>。</w:t>
      </w:r>
    </w:p>
    <w:p>
      <w:pPr>
        <w:pStyle w:val="BodyText"/>
        <w:ind w:left="488" w:right="313" w:firstLine="420"/>
        <w:spacing w:before="53" w:line="220" w:lineRule="auto"/>
        <w:jc w:val="both"/>
        <w:rPr/>
      </w:pPr>
      <w:r>
        <w:rPr>
          <w:color w:val="231F20"/>
          <w:spacing w:val="6"/>
        </w:rPr>
        <w:t>对于有妊娠意愿的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6"/>
        </w:rPr>
        <w:t>患者，妊娠前咨询应充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分告知</w:t>
      </w:r>
      <w:r>
        <w:rPr>
          <w:color w:val="231F20"/>
          <w:spacing w:val="-45"/>
          <w:w w:val="81"/>
        </w:rPr>
        <w:t>：（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1</w:t>
      </w:r>
      <w:r>
        <w:rPr>
          <w:color w:val="231F20"/>
          <w:spacing w:val="8"/>
        </w:rPr>
        <w:t>）虽然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患者妊娠期出血风险相对较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低，但仍存在发生严重出血的风险，妊娠期建议在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综合性三级医院高危保健。（</w:t>
      </w:r>
      <w:r>
        <w:rPr>
          <w:rFonts w:ascii="Times New Roman" w:hAnsi="Times New Roman" w:eastAsia="Times New Roman" w:cs="Times New Roman"/>
          <w:color w:val="231F20"/>
          <w:spacing w:val="-5"/>
        </w:rPr>
        <w:t>2</w:t>
      </w:r>
      <w:r>
        <w:rPr>
          <w:color w:val="231F20"/>
          <w:spacing w:val="-5"/>
        </w:rPr>
        <w:t>）妊娠过程中，</w:t>
      </w:r>
      <w:r>
        <w:rPr>
          <w:rFonts w:ascii="Times New Roman" w:hAnsi="Times New Roman" w:eastAsia="Times New Roman" w:cs="Times New Roman"/>
          <w:color w:val="231F20"/>
          <w:spacing w:val="-5"/>
        </w:rPr>
        <w:t>ITP </w:t>
      </w:r>
      <w:r>
        <w:rPr>
          <w:color w:val="231F20"/>
          <w:spacing w:val="-5"/>
        </w:rPr>
        <w:t>患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者存在血小板计数进一步降低的可能，必要时需要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4"/>
        </w:rPr>
        <w:t>药物治疗或输注血小板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。药物治疗可能引起孕妇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发生高血压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6"/>
        </w:rPr>
        <w:t>、糖尿病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6"/>
        </w:rPr>
        <w:t>、脂代谢异常等相关并发</w:t>
      </w:r>
      <w:r>
        <w:rPr>
          <w:color w:val="231F20"/>
          <w:spacing w:val="5"/>
        </w:rPr>
        <w:t>症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5"/>
        </w:rPr>
        <w:t>。</w:t>
      </w:r>
    </w:p>
    <w:p>
      <w:pPr>
        <w:pStyle w:val="BodyText"/>
        <w:ind w:left="491" w:right="392" w:hanging="84"/>
        <w:spacing w:before="3" w:line="217" w:lineRule="auto"/>
        <w:rPr/>
      </w:pPr>
      <w:r>
        <w:rPr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color w:val="231F20"/>
          <w:spacing w:val="4"/>
        </w:rPr>
        <w:t>3</w:t>
      </w:r>
      <w:r>
        <w:rPr>
          <w:color w:val="231F20"/>
          <w:spacing w:val="4"/>
        </w:rPr>
        <w:t>）新生儿可能发生血小板减少症，严重者可发生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颅内出血。</w:t>
      </w:r>
    </w:p>
    <w:p>
      <w:pPr>
        <w:ind w:left="491" w:right="392" w:firstLine="424"/>
        <w:spacing w:before="1" w:line="290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推荐</w:t>
      </w:r>
      <w:r>
        <w:rPr>
          <w:rFonts w:ascii="SimHei" w:hAnsi="SimHei" w:eastAsia="SimHei" w:cs="SimHei"/>
          <w:sz w:val="20"/>
          <w:szCs w:val="20"/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1-1   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既往诊断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的患者妊娠前应由血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液科医师重新评估病情，并进行孕前咨询。妊娠前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应充分告知妊娠期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病情可能加重的风险，新生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儿可能发生血小板减少症。</w:t>
      </w:r>
    </w:p>
    <w:p>
      <w:pPr>
        <w:pStyle w:val="BodyText"/>
        <w:ind w:left="910"/>
        <w:spacing w:before="13" w:line="182" w:lineRule="auto"/>
        <w:outlineLvl w:val="0"/>
        <w:rPr/>
      </w:pPr>
      <w:r>
        <w:rPr>
          <w:color w:val="231F20"/>
          <w:spacing w:val="1"/>
        </w:rPr>
        <w:t>二、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"/>
        </w:rPr>
        <w:t>在妊娠期的诊断及鉴别诊断</w:t>
      </w:r>
    </w:p>
    <w:p>
      <w:pPr>
        <w:pStyle w:val="BodyText"/>
        <w:ind w:left="490" w:right="310" w:firstLine="421"/>
        <w:spacing w:before="44" w:line="221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的诊断是临床排除性诊断，其缺乏特异性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的症状、体征及实验室检查指标，需通过病史、临床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表现及相关检查排除其他原因所致的血小板减少。 </w:t>
      </w:r>
      <w:r>
        <w:rPr>
          <w:color w:val="231F20"/>
          <w:spacing w:val="9"/>
        </w:rPr>
        <w:t>妊娠期的临床表现、检查及诊断与非妊娠期相同， </w:t>
      </w:r>
      <w:r>
        <w:rPr>
          <w:color w:val="231F20"/>
          <w:spacing w:val="15"/>
        </w:rPr>
        <w:t>多数患者表现为常规产前检查时发现的无症状性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血小板减少，部分患者可出现皮肤瘀点、齿龈出血、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7"/>
        </w:rPr>
        <w:t>鼻出血等表现。</w:t>
      </w:r>
    </w:p>
    <w:p>
      <w:pPr>
        <w:pStyle w:val="BodyText"/>
        <w:ind w:left="488" w:right="322" w:firstLine="424"/>
        <w:spacing w:before="1" w:line="220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的诊断要点包括</w:t>
      </w:r>
      <w:r>
        <w:rPr>
          <w:color w:val="231F20"/>
          <w:spacing w:val="-42"/>
          <w:w w:val="76"/>
        </w:rPr>
        <w:t>：（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color w:val="231F20"/>
          <w:spacing w:val="1"/>
        </w:rPr>
        <w:t>）至少连续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1"/>
        </w:rPr>
        <w:t>次血常规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检查显示血小板计数减少</w:t>
      </w:r>
      <w:r>
        <w:rPr>
          <w:color w:val="231F20"/>
          <w:spacing w:val="-31"/>
          <w:w w:val="65"/>
        </w:rPr>
        <w:t>；（</w:t>
      </w:r>
      <w:r>
        <w:rPr>
          <w:rFonts w:ascii="Times New Roman" w:hAnsi="Times New Roman" w:eastAsia="Times New Roman" w:cs="Times New Roman"/>
          <w:color w:val="231F20"/>
          <w:spacing w:val="11"/>
        </w:rPr>
        <w:t>2</w:t>
      </w:r>
      <w:r>
        <w:rPr>
          <w:color w:val="231F20"/>
          <w:spacing w:val="11"/>
        </w:rPr>
        <w:t>）外周血涂片镜</w:t>
      </w:r>
      <w:r>
        <w:rPr>
          <w:color w:val="231F20"/>
          <w:spacing w:val="10"/>
        </w:rPr>
        <w:t>检显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示血细胞形态无明显异常</w:t>
      </w:r>
      <w:r>
        <w:rPr>
          <w:color w:val="231F20"/>
          <w:spacing w:val="-35"/>
          <w:w w:val="73"/>
        </w:rPr>
        <w:t>；（</w:t>
      </w:r>
      <w:r>
        <w:rPr>
          <w:rFonts w:ascii="Times New Roman" w:hAnsi="Times New Roman" w:eastAsia="Times New Roman" w:cs="Times New Roman"/>
          <w:color w:val="231F20"/>
          <w:spacing w:val="13"/>
        </w:rPr>
        <w:t>3</w:t>
      </w:r>
      <w:r>
        <w:rPr>
          <w:color w:val="231F20"/>
          <w:spacing w:val="13"/>
        </w:rPr>
        <w:t>）脾脏一般不增大；</w:t>
      </w:r>
    </w:p>
    <w:p>
      <w:pPr>
        <w:pStyle w:val="BodyText"/>
        <w:ind w:left="407" w:right="389"/>
        <w:spacing w:before="21" w:line="221" w:lineRule="auto"/>
        <w:jc w:val="both"/>
        <w:rPr/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2891453</wp:posOffset>
            </wp:positionV>
            <wp:extent cx="2805668" cy="30421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color w:val="231F20"/>
          <w:spacing w:val="4"/>
        </w:rPr>
        <w:t>4</w:t>
      </w:r>
      <w:r>
        <w:rPr>
          <w:color w:val="231F20"/>
          <w:spacing w:val="4"/>
        </w:rPr>
        <w:t>）骨髓穿刺检查细胞形态学特点为巨核细胞增多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或正常，伴成熟障碍</w:t>
      </w:r>
      <w:r>
        <w:rPr>
          <w:color w:val="231F20"/>
          <w:spacing w:val="-31"/>
          <w:w w:val="65"/>
        </w:rPr>
        <w:t>；（</w:t>
      </w:r>
      <w:r>
        <w:rPr>
          <w:rFonts w:ascii="Times New Roman" w:hAnsi="Times New Roman" w:eastAsia="Times New Roman" w:cs="Times New Roman"/>
          <w:color w:val="231F20"/>
          <w:spacing w:val="5"/>
        </w:rPr>
        <w:t>5</w:t>
      </w:r>
      <w:r>
        <w:rPr>
          <w:color w:val="231F20"/>
          <w:spacing w:val="5"/>
        </w:rPr>
        <w:t>）排除继发性血小板减少性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疾病，如自身免疫性疾病、感染、淋巴系统增殖性疾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病、骨髓增生异常（包括再生障碍性贫血、骨髓增生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8"/>
        </w:rPr>
        <w:t>异常综合征）、恶性血液病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、普通变异型免疫缺陷</w:t>
      </w:r>
      <w:r>
        <w:rPr>
          <w:color w:val="231F20"/>
        </w:rPr>
        <w:t xml:space="preserve"> </w:t>
      </w:r>
      <w:r>
        <w:rPr>
          <w:color w:val="231F20"/>
        </w:rPr>
        <w:t>病、慢性肝病、脾功能亢进、甲状腺疾病及疫苗接种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9"/>
        </w:rPr>
        <w:t>相关的血小板减少等；血小板消耗性减少；药物诱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导的血小板减少；假性血小板减少；先天性血小板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7"/>
        </w:rPr>
        <w:t>减少等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7"/>
        </w:rPr>
        <w:t>。妊娠期需进一步排除与妊娠相关的血小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板 减 少 性 疾 病 ，包 括 妊 娠 期 血 小 板</w:t>
      </w:r>
      <w:r>
        <w:rPr>
          <w:color w:val="231F20"/>
          <w:spacing w:val="1"/>
        </w:rPr>
        <w:t xml:space="preserve"> 减 少 症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gestational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thrombocytopen</w:t>
      </w:r>
      <w:r>
        <w:rPr>
          <w:rFonts w:ascii="Times New Roman" w:hAnsi="Times New Roman" w:eastAsia="Times New Roman" w:cs="Times New Roman"/>
          <w:color w:val="231F20"/>
          <w:spacing w:val="-2"/>
        </w:rPr>
        <w:t>ia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GT</w:t>
      </w:r>
      <w:r>
        <w:rPr>
          <w:color w:val="231F20"/>
          <w:spacing w:val="-2"/>
        </w:rPr>
        <w:t>）、妊娠期高血压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疾病以及血栓性微血管病，如溶血、肝酶升高和低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血 小 板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8"/>
        </w:rPr>
        <w:t>计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数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综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合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征（</w:t>
      </w:r>
      <w:r>
        <w:rPr>
          <w:rFonts w:ascii="Times New Roman" w:hAnsi="Times New Roman" w:eastAsia="Times New Roman" w:cs="Times New Roman"/>
          <w:color w:val="231F20"/>
        </w:rPr>
        <w:t>hemolysis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8"/>
        </w:rPr>
        <w:t>，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elebated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liver </w:t>
      </w:r>
      <w:r>
        <w:rPr>
          <w:rFonts w:ascii="Times New Roman" w:hAnsi="Times New Roman" w:eastAsia="Times New Roman" w:cs="Times New Roman"/>
          <w:color w:val="231F20"/>
        </w:rPr>
        <w:t>enzymes</w:t>
      </w:r>
      <w:r>
        <w:rPr>
          <w:color w:val="231F20"/>
          <w:spacing w:val="41"/>
        </w:rPr>
        <w:t>，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low</w:t>
      </w:r>
      <w:r>
        <w:rPr>
          <w:rFonts w:ascii="Times New Roman" w:hAnsi="Times New Roman" w:eastAsia="Times New Roman" w:cs="Times New Roman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platelet</w:t>
      </w:r>
      <w:r>
        <w:rPr>
          <w:rFonts w:ascii="Times New Roman" w:hAnsi="Times New Roman" w:eastAsia="Times New Roman" w:cs="Times New Roman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count  syndrome</w:t>
      </w:r>
      <w:r>
        <w:rPr>
          <w:color w:val="231F20"/>
          <w:spacing w:val="41"/>
        </w:rPr>
        <w:t>，</w:t>
      </w:r>
      <w:r>
        <w:rPr>
          <w:rFonts w:ascii="Times New Roman" w:hAnsi="Times New Roman" w:eastAsia="Times New Roman" w:cs="Times New Roman"/>
          <w:color w:val="231F20"/>
        </w:rPr>
        <w:t>HELLP </w:t>
      </w:r>
      <w:r>
        <w:rPr>
          <w:color w:val="231F20"/>
        </w:rPr>
        <w:t>综合征）、妊娠期急性脂肪肝、血栓性血小板减少性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4" w:right="81" w:firstLine="1"/>
        <w:spacing w:before="51" w:line="222" w:lineRule="auto"/>
        <w:rPr/>
      </w:pPr>
      <w:r>
        <w:rPr>
          <w:color w:val="231F20"/>
          <w:spacing w:val="-6"/>
        </w:rPr>
        <w:t>紫癜（</w:t>
      </w:r>
      <w:r>
        <w:rPr>
          <w:rFonts w:ascii="Times New Roman" w:hAnsi="Times New Roman" w:eastAsia="Times New Roman" w:cs="Times New Roman"/>
          <w:color w:val="231F20"/>
          <w:spacing w:val="-6"/>
        </w:rPr>
        <w:t>thrombotic thrombocytope</w:t>
      </w:r>
      <w:r>
        <w:rPr>
          <w:rFonts w:ascii="Times New Roman" w:hAnsi="Times New Roman" w:eastAsia="Times New Roman" w:cs="Times New Roman"/>
          <w:color w:val="231F20"/>
          <w:spacing w:val="-7"/>
        </w:rPr>
        <w:t>nic purpura</w:t>
      </w:r>
      <w:r>
        <w:rPr>
          <w:color w:val="231F20"/>
          <w:spacing w:val="-7"/>
        </w:rPr>
        <w:t>，</w:t>
      </w:r>
      <w:r>
        <w:rPr>
          <w:rFonts w:ascii="Times New Roman" w:hAnsi="Times New Roman" w:eastAsia="Times New Roman" w:cs="Times New Roman"/>
          <w:color w:val="231F20"/>
          <w:spacing w:val="-7"/>
        </w:rPr>
        <w:t>TTP</w:t>
      </w:r>
      <w:r>
        <w:rPr>
          <w:color w:val="231F20"/>
          <w:spacing w:val="-7"/>
        </w:rPr>
        <w:t>）及溶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血性尿毒症（</w:t>
      </w:r>
      <w:r>
        <w:rPr>
          <w:rFonts w:ascii="Times New Roman" w:hAnsi="Times New Roman" w:eastAsia="Times New Roman" w:cs="Times New Roman"/>
          <w:color w:val="231F20"/>
          <w:spacing w:val="-5"/>
        </w:rPr>
        <w:t>hemolytic uremic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syndrome</w:t>
      </w:r>
      <w:r>
        <w:rPr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color w:val="231F20"/>
          <w:spacing w:val="-5"/>
        </w:rPr>
        <w:t>HUS</w:t>
      </w:r>
      <w:r>
        <w:rPr>
          <w:color w:val="231F20"/>
          <w:spacing w:val="-5"/>
        </w:rPr>
        <w:t>）等。</w:t>
      </w:r>
    </w:p>
    <w:p>
      <w:pPr>
        <w:pStyle w:val="BodyText"/>
        <w:ind w:left="81" w:right="81" w:firstLine="421"/>
        <w:spacing w:before="31" w:line="220" w:lineRule="auto"/>
        <w:jc w:val="both"/>
        <w:rPr/>
      </w:pPr>
      <w:r>
        <w:rPr>
          <w:color w:val="231F20"/>
          <w:spacing w:val="5"/>
        </w:rPr>
        <w:t>病史中应关注是否存在家族性血小板减少、特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殊用药、输血、反复自然流产、血栓形成等</w:t>
      </w:r>
      <w:r>
        <w:rPr>
          <w:color w:val="231F20"/>
          <w:spacing w:val="-4"/>
        </w:rPr>
        <w:t>情况；临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床表现上应注意血小板减少发生的孕周、减少的程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度及是否伴有出血症状等特点，这些均有助于鉴别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诊断。</w:t>
      </w:r>
    </w:p>
    <w:p>
      <w:pPr>
        <w:pStyle w:val="BodyText"/>
        <w:ind w:left="420"/>
        <w:spacing w:line="205" w:lineRule="auto"/>
        <w:rPr/>
      </w:pPr>
      <w:r>
        <w:rPr>
          <w:color w:val="231F20"/>
          <w:spacing w:val="1"/>
        </w:rPr>
        <w:t>（一）妊娠期血小板减少的诊断标准</w:t>
      </w:r>
    </w:p>
    <w:p>
      <w:pPr>
        <w:pStyle w:val="BodyText"/>
        <w:ind w:left="81" w:right="3" w:firstLine="422"/>
        <w:spacing w:before="27" w:line="220" w:lineRule="auto"/>
        <w:rPr/>
      </w:pPr>
      <w:r>
        <w:rPr>
          <w:color w:val="231F20"/>
          <w:spacing w:val="16"/>
        </w:rPr>
        <w:t>非妊娠期成人血小板减少定义为血小板计数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低于 </w:t>
      </w:r>
      <w:r>
        <w:rPr>
          <w:rFonts w:ascii="Times New Roman" w:hAnsi="Times New Roman" w:eastAsia="Times New Roman" w:cs="Times New Roman"/>
          <w:color w:val="231F20"/>
          <w:spacing w:val="7"/>
        </w:rPr>
        <w:t>150×10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7"/>
        </w:rPr>
        <w:t>/L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7"/>
        </w:rPr>
        <w:t>。正常孕妇血小板计数低于非妊娠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期，在妊娠中晚期下降约 </w:t>
      </w:r>
      <w:r>
        <w:rPr>
          <w:rFonts w:ascii="Times New Roman" w:hAnsi="Times New Roman" w:eastAsia="Times New Roman" w:cs="Times New Roman"/>
          <w:color w:val="231F20"/>
          <w:spacing w:val="4"/>
        </w:rPr>
        <w:t>10%</w:t>
      </w:r>
      <w:r>
        <w:rPr>
          <w:color w:val="231F20"/>
          <w:spacing w:val="4"/>
        </w:rPr>
        <w:t>，可能是由于血液稀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释、血小板活化和清除增加以及血小板在胎盘中的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消耗所致</w:t>
      </w:r>
      <w:r>
        <w:rPr>
          <w:sz w:val="10"/>
          <w:szCs w:val="10"/>
          <w:color w:val="231F20"/>
          <w:spacing w:val="-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17‑18</w:t>
      </w:r>
      <w:r>
        <w:rPr>
          <w:sz w:val="10"/>
          <w:szCs w:val="10"/>
          <w:color w:val="231F20"/>
          <w:spacing w:val="-3"/>
          <w:position w:val="8"/>
        </w:rPr>
        <w:t>］</w:t>
      </w:r>
      <w:r>
        <w:rPr>
          <w:color w:val="231F20"/>
          <w:spacing w:val="-3"/>
        </w:rPr>
        <w:t>。前瞻性研究（</w:t>
      </w:r>
      <w:r>
        <w:rPr>
          <w:rFonts w:ascii="Arial" w:hAnsi="Arial" w:eastAsia="Arial" w:cs="Arial"/>
          <w:i/>
          <w:iCs/>
          <w:color w:val="231F20"/>
          <w:spacing w:val="-3"/>
        </w:rPr>
        <w:t>n</w:t>
      </w:r>
      <w:r>
        <w:rPr>
          <w:rFonts w:ascii="Times New Roman" w:hAnsi="Times New Roman" w:eastAsia="Times New Roman" w:cs="Times New Roman"/>
          <w:color w:val="231F20"/>
          <w:spacing w:val="-3"/>
        </w:rPr>
        <w:t>=11 000</w:t>
      </w:r>
      <w:r>
        <w:rPr>
          <w:color w:val="231F20"/>
          <w:spacing w:val="-3"/>
        </w:rPr>
        <w:t>）显示，妊娠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晚期和分娩期血小板计数在（</w:t>
      </w:r>
      <w:r>
        <w:rPr>
          <w:rFonts w:ascii="Times New Roman" w:hAnsi="Times New Roman" w:eastAsia="Times New Roman" w:cs="Times New Roman"/>
          <w:color w:val="231F20"/>
          <w:spacing w:val="8"/>
        </w:rPr>
        <w:t>213~228</w:t>
      </w:r>
      <w:r>
        <w:rPr>
          <w:color w:val="231F20"/>
          <w:spacing w:val="8"/>
        </w:rPr>
        <w:t>）</w:t>
      </w:r>
      <w:r>
        <w:rPr>
          <w:rFonts w:ascii="Times New Roman" w:hAnsi="Times New Roman" w:eastAsia="Times New Roman" w:cs="Times New Roman"/>
          <w:color w:val="231F20"/>
          <w:spacing w:val="8"/>
        </w:rPr>
        <w:t>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7"/>
        </w:rPr>
        <w:t>/L </w:t>
      </w:r>
      <w:r>
        <w:rPr>
          <w:color w:val="231F20"/>
          <w:spacing w:val="7"/>
        </w:rPr>
        <w:t>之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间，最低为（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4"/>
        </w:rPr>
        <w:t>116~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4"/>
        </w:rPr>
        <w:t>123</w:t>
      </w:r>
      <w:r>
        <w:rPr>
          <w:color w:val="231F20"/>
          <w:spacing w:val="-14"/>
        </w:rPr>
        <w:t>）</w:t>
      </w:r>
      <w:r>
        <w:rPr>
          <w:rFonts w:ascii="Times New Roman" w:hAnsi="Times New Roman" w:eastAsia="Times New Roman" w:cs="Times New Roman"/>
          <w:color w:val="231F20"/>
          <w:spacing w:val="-14"/>
        </w:rPr>
        <w:t>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1"/>
        </w:rPr>
        <w:t>/L</w:t>
      </w:r>
      <w:r>
        <w:rPr>
          <w:sz w:val="10"/>
          <w:szCs w:val="10"/>
          <w:color w:val="231F20"/>
          <w:spacing w:val="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19‑20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1"/>
        </w:rPr>
        <w:t>。无并发症孕妇的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回顾性队列研究（</w:t>
      </w:r>
      <w:r>
        <w:rPr>
          <w:rFonts w:ascii="Arial" w:hAnsi="Arial" w:eastAsia="Arial" w:cs="Arial"/>
          <w:i/>
          <w:iCs/>
          <w:color w:val="231F20"/>
          <w:spacing w:val="2"/>
        </w:rPr>
        <w:t>n</w:t>
      </w:r>
      <w:r>
        <w:rPr>
          <w:rFonts w:ascii="Times New Roman" w:hAnsi="Times New Roman" w:eastAsia="Times New Roman" w:cs="Times New Roman"/>
          <w:color w:val="231F20"/>
          <w:spacing w:val="2"/>
        </w:rPr>
        <w:t>=4 568</w:t>
      </w:r>
      <w:r>
        <w:rPr>
          <w:color w:val="231F20"/>
          <w:spacing w:val="2"/>
        </w:rPr>
        <w:t>）显示，分娩时孕妇血小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板计数均值为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217×10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-2"/>
        </w:rPr>
        <w:t>/L</w:t>
      </w:r>
      <w:r>
        <w:rPr>
          <w:color w:val="231F20"/>
          <w:spacing w:val="-2"/>
        </w:rPr>
        <w:t>，正常下限为 </w:t>
      </w:r>
      <w:r>
        <w:rPr>
          <w:rFonts w:ascii="Times New Roman" w:hAnsi="Times New Roman" w:eastAsia="Times New Roman" w:cs="Times New Roman"/>
          <w:color w:val="231F20"/>
          <w:spacing w:val="-2"/>
        </w:rPr>
        <w:t>101×10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-2"/>
        </w:rPr>
        <w:t>/L</w:t>
      </w:r>
      <w:r>
        <w:rPr>
          <w:sz w:val="10"/>
          <w:szCs w:val="10"/>
          <w:color w:val="231F20"/>
          <w:spacing w:val="-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18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。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2010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5"/>
        </w:rPr>
        <w:t>年，国际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5"/>
        </w:rPr>
        <w:t>工作组定义妊娠期血小板减少为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血小板计数</w:t>
      </w:r>
      <w:r>
        <w:rPr>
          <w:rFonts w:ascii="Times New Roman" w:hAnsi="Times New Roman" w:eastAsia="Times New Roman" w:cs="Times New Roman"/>
          <w:color w:val="231F20"/>
          <w:spacing w:val="2"/>
        </w:rPr>
        <w:t>&lt;100×10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2"/>
        </w:rPr>
        <w:t>/L</w:t>
      </w:r>
      <w:r>
        <w:rPr>
          <w:sz w:val="10"/>
          <w:szCs w:val="10"/>
          <w:color w:val="231F20"/>
          <w:spacing w:val="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10</w:t>
      </w:r>
      <w:r>
        <w:rPr>
          <w:sz w:val="10"/>
          <w:szCs w:val="10"/>
          <w:color w:val="231F20"/>
          <w:spacing w:val="2"/>
          <w:position w:val="8"/>
        </w:rPr>
        <w:t>］</w:t>
      </w:r>
      <w:r>
        <w:rPr>
          <w:color w:val="231F20"/>
          <w:spacing w:val="2"/>
        </w:rPr>
        <w:t>。综上，本共识推荐孕妇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2"/>
        </w:rPr>
        <w:t>血小板计数</w:t>
      </w:r>
      <w:r>
        <w:rPr>
          <w:rFonts w:ascii="Times New Roman" w:hAnsi="Times New Roman" w:eastAsia="Times New Roman" w:cs="Times New Roman"/>
          <w:color w:val="231F20"/>
          <w:spacing w:val="12"/>
        </w:rPr>
        <w:t>&lt;100×10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2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12"/>
        </w:rPr>
        <w:t>/L </w:t>
      </w:r>
      <w:r>
        <w:rPr>
          <w:color w:val="231F20"/>
          <w:spacing w:val="12"/>
        </w:rPr>
        <w:t>为妊娠期血小板减少的诊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断标准。</w:t>
      </w:r>
    </w:p>
    <w:p>
      <w:pPr>
        <w:pStyle w:val="BodyText"/>
        <w:ind w:left="81" w:right="81" w:firstLine="338"/>
        <w:spacing w:before="2" w:line="219" w:lineRule="auto"/>
        <w:rPr/>
      </w:pPr>
      <w:r>
        <w:rPr>
          <w:color w:val="231F20"/>
          <w:spacing w:val="17"/>
        </w:rPr>
        <w:t>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7"/>
        </w:rPr>
        <w:t>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7"/>
        </w:rPr>
        <w:t>）妊娠期血小板减少的病因诊断及鉴别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诊断</w:t>
      </w:r>
    </w:p>
    <w:p>
      <w:pPr>
        <w:pStyle w:val="BodyText"/>
        <w:ind w:left="81" w:right="81" w:firstLine="422"/>
        <w:spacing w:before="4" w:line="220" w:lineRule="auto"/>
        <w:jc w:val="both"/>
        <w:rPr/>
      </w:pPr>
      <w:r>
        <w:rPr>
          <w:color w:val="231F20"/>
          <w:spacing w:val="5"/>
        </w:rPr>
        <w:t>妊娠期血小板减少的病因众多，不同病因对母 </w:t>
      </w:r>
      <w:r>
        <w:rPr>
          <w:color w:val="231F20"/>
          <w:spacing w:val="12"/>
        </w:rPr>
        <w:t>儿结局的影响不同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2"/>
        </w:rPr>
        <w:t>。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2"/>
        </w:rPr>
        <w:t>目前将妊娠期血小板减少分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为孤立性血小板减少和血小板减少伴系统性损害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两类，并按照妊娠特异性与非妊娠特异性进行病因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诊断</w:t>
      </w:r>
      <w:r>
        <w:rPr>
          <w:sz w:val="10"/>
          <w:szCs w:val="10"/>
          <w:color w:val="231F20"/>
          <w:spacing w:val="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19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1"/>
        </w:rPr>
        <w:t>。妊娠期血小板减少常见的病因及发生率见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表 </w:t>
      </w:r>
      <w:r>
        <w:rPr>
          <w:rFonts w:ascii="Times New Roman" w:hAnsi="Times New Roman" w:eastAsia="Times New Roman" w:cs="Times New Roman"/>
          <w:color w:val="231F20"/>
          <w:spacing w:val="6"/>
        </w:rPr>
        <w:t>1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6"/>
        </w:rPr>
        <w:t>。病因诊断中所推荐的检查项目同非妊娠期。</w:t>
      </w:r>
    </w:p>
    <w:p>
      <w:pPr>
        <w:pStyle w:val="BodyText"/>
        <w:spacing w:before="1" w:line="209" w:lineRule="auto"/>
        <w:jc w:val="right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1. </w:t>
      </w:r>
      <w:r>
        <w:rPr>
          <w:color w:val="231F20"/>
          <w:spacing w:val="7"/>
        </w:rPr>
        <w:t>妊娠期血小板减少病因诊断中必要的</w:t>
      </w:r>
      <w:r>
        <w:rPr>
          <w:color w:val="231F20"/>
          <w:spacing w:val="6"/>
        </w:rPr>
        <w:t>检查：</w:t>
      </w:r>
    </w:p>
    <w:p>
      <w:pPr>
        <w:pStyle w:val="BodyText"/>
        <w:spacing w:before="16" w:line="221" w:lineRule="auto"/>
        <w:jc w:val="both"/>
        <w:rPr/>
      </w:pPr>
      <w:r>
        <w:rPr>
          <w:color w:val="231F20"/>
          <w:spacing w:val="-5"/>
        </w:rPr>
        <w:t>（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1</w:t>
      </w:r>
      <w:r>
        <w:rPr>
          <w:color w:val="231F20"/>
          <w:spacing w:val="-5"/>
        </w:rPr>
        <w:t>）外周血涂片：了解血小板聚集情况、</w:t>
      </w:r>
      <w:r>
        <w:rPr>
          <w:color w:val="231F20"/>
          <w:spacing w:val="-6"/>
        </w:rPr>
        <w:t>有无破碎红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细胞、白细胞有无形态及数目异常，有助于鉴别先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天性巨大血小板减少症、假性血小板减少、血栓性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微血管病及白血病等。（</w:t>
      </w:r>
      <w:r>
        <w:rPr>
          <w:rFonts w:ascii="Times New Roman" w:hAnsi="Times New Roman" w:eastAsia="Times New Roman" w:cs="Times New Roman"/>
          <w:color w:val="231F20"/>
          <w:spacing w:val="-6"/>
        </w:rPr>
        <w:t>2</w:t>
      </w:r>
      <w:r>
        <w:rPr>
          <w:color w:val="231F20"/>
          <w:spacing w:val="-6"/>
        </w:rPr>
        <w:t>）尿常规（蛋白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6"/>
        </w:rPr>
        <w:t>、潜血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6"/>
        </w:rPr>
        <w:t>、沉</w:t>
      </w:r>
      <w:r>
        <w:rPr>
          <w:color w:val="231F20"/>
        </w:rPr>
        <w:t xml:space="preserve">  </w:t>
      </w:r>
      <w:r>
        <w:rPr>
          <w:color w:val="231F20"/>
        </w:rPr>
        <w:t>渣）、肝肾功能及凝血功能：有助于诊断妊娠期高血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2"/>
        </w:rPr>
        <w:t>压疾病、</w:t>
      </w:r>
      <w:r>
        <w:rPr>
          <w:rFonts w:ascii="Times New Roman" w:hAnsi="Times New Roman" w:eastAsia="Times New Roman" w:cs="Times New Roman"/>
          <w:color w:val="231F20"/>
        </w:rPr>
        <w:t>HELLP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2"/>
        </w:rPr>
        <w:t>综合征及鉴别妊娠期急性脂肪肝、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TTP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</w:rPr>
        <w:t>及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HUS </w:t>
      </w:r>
      <w:r>
        <w:rPr>
          <w:color w:val="231F20"/>
        </w:rPr>
        <w:t>等妊娠期并发症。（</w:t>
      </w:r>
      <w:r>
        <w:rPr>
          <w:rFonts w:ascii="Times New Roman" w:hAnsi="Times New Roman" w:eastAsia="Times New Roman" w:cs="Times New Roman"/>
          <w:color w:val="231F20"/>
        </w:rPr>
        <w:t>3</w:t>
      </w:r>
      <w:r>
        <w:rPr>
          <w:color w:val="231F20"/>
        </w:rPr>
        <w:t>）伴发贫血者需进  </w:t>
      </w:r>
      <w:r>
        <w:rPr>
          <w:color w:val="231F20"/>
          <w:spacing w:val="9"/>
        </w:rPr>
        <w:t>行贫血常见病因的相关检查：包括抗人球蛋白试验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（</w:t>
      </w:r>
      <w:r>
        <w:rPr>
          <w:rFonts w:ascii="Times New Roman" w:hAnsi="Times New Roman" w:eastAsia="Times New Roman" w:cs="Times New Roman"/>
          <w:color w:val="231F20"/>
        </w:rPr>
        <w:t>Coombs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6"/>
        </w:rPr>
        <w:t>试验</w:t>
      </w:r>
      <w:r>
        <w:rPr>
          <w:color w:val="231F20"/>
          <w:spacing w:val="-30"/>
          <w:w w:val="63"/>
        </w:rPr>
        <w:t>），</w:t>
      </w:r>
      <w:r>
        <w:rPr>
          <w:color w:val="231F20"/>
          <w:spacing w:val="6"/>
        </w:rPr>
        <w:t>网织红细胞计数，血清铁蛋白、叶</w:t>
      </w:r>
      <w:r>
        <w:rPr>
          <w:color w:val="231F20"/>
        </w:rPr>
        <w:t xml:space="preserve">  </w:t>
      </w:r>
      <w:r>
        <w:rPr>
          <w:color w:val="231F20"/>
        </w:rPr>
        <w:t>酸和维生素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-4"/>
        </w:rPr>
        <w:t>12 </w:t>
      </w:r>
      <w:r>
        <w:rPr>
          <w:color w:val="231F20"/>
        </w:rPr>
        <w:t>水平的测定。（</w:t>
      </w:r>
      <w:r>
        <w:rPr>
          <w:rFonts w:ascii="Times New Roman" w:hAnsi="Times New Roman" w:eastAsia="Times New Roman" w:cs="Times New Roman"/>
          <w:color w:val="231F20"/>
        </w:rPr>
        <w:t>4</w:t>
      </w:r>
      <w:r>
        <w:rPr>
          <w:color w:val="231F20"/>
        </w:rPr>
        <w:t>）感染指标：乙型肝  </w:t>
      </w:r>
      <w:r>
        <w:rPr>
          <w:color w:val="231F20"/>
          <w:spacing w:val="9"/>
        </w:rPr>
        <w:t>炎病毒、人类免疫缺陷病毒、丙型肝炎病毒等血清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7"/>
        </w:rPr>
        <w:t>学检测以鉴别病毒感染所致的血小板减少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7"/>
        </w:rPr>
        <w:t>。对幽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门螺杆菌高发地区或有明显消化系统症状的患者，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9"/>
        </w:rPr>
        <w:t>建议检查幽门螺杆菌以除外其感染所导致的血小</w:t>
      </w:r>
    </w:p>
    <w:p>
      <w:pPr>
        <w:spacing w:line="221" w:lineRule="auto"/>
        <w:sectPr>
          <w:type w:val="continuous"/>
          <w:pgSz w:w="12246" w:h="16498"/>
          <w:pgMar w:top="1212" w:right="1224" w:bottom="0" w:left="819" w:header="971" w:footer="0" w:gutter="0"/>
          <w:cols w:equalWidth="0" w:num="2">
            <w:col w:w="5410" w:space="100"/>
            <w:col w:w="4692" w:space="0"/>
          </w:cols>
        </w:sectPr>
        <w:rPr/>
      </w:pPr>
    </w:p>
    <w:p>
      <w:pPr>
        <w:spacing w:before="63"/>
        <w:rPr/>
      </w:pPr>
      <w:r/>
    </w:p>
    <w:p>
      <w:pPr>
        <w:sectPr>
          <w:headerReference w:type="default" r:id="rId5"/>
          <w:pgSz w:w="12246" w:h="16498"/>
          <w:pgMar w:top="1212" w:right="1303" w:bottom="0" w:left="819" w:header="971" w:footer="0" w:gutter="0"/>
          <w:cols w:equalWidth="0" w:num="1">
            <w:col w:w="10122" w:space="0"/>
          </w:cols>
        </w:sectPr>
        <w:rPr/>
      </w:pPr>
    </w:p>
    <w:p>
      <w:pPr>
        <w:pStyle w:val="BodyText"/>
        <w:ind w:left="1173"/>
        <w:spacing w:before="47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1    </w:t>
      </w:r>
      <w:r>
        <w:rPr>
          <w:sz w:val="17"/>
          <w:szCs w:val="17"/>
          <w:color w:val="231F20"/>
          <w:spacing w:val="7"/>
        </w:rPr>
        <w:t>妊娠期血小板减少的病因及发生率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6"/>
        <w:gridCol w:w="1608"/>
        <w:gridCol w:w="1841"/>
      </w:tblGrid>
      <w:tr>
        <w:trPr>
          <w:trHeight w:val="268" w:hRule="atLeast"/>
        </w:trPr>
        <w:tc>
          <w:tcPr>
            <w:tcW w:w="108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93"/>
              <w:spacing w:before="56" w:line="184" w:lineRule="auto"/>
              <w:rPr/>
            </w:pPr>
            <w:r>
              <w:rPr>
                <w:color w:val="231F20"/>
                <w:spacing w:val="7"/>
              </w:rPr>
              <w:t>类别</w:t>
            </w:r>
          </w:p>
        </w:tc>
        <w:tc>
          <w:tcPr>
            <w:tcW w:w="160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67"/>
              <w:spacing w:before="56" w:line="185" w:lineRule="auto"/>
              <w:rPr/>
            </w:pPr>
            <w:r>
              <w:rPr>
                <w:color w:val="231F20"/>
                <w:spacing w:val="9"/>
              </w:rPr>
              <w:t>妊娠特异性病因</w:t>
            </w:r>
          </w:p>
        </w:tc>
        <w:tc>
          <w:tcPr>
            <w:tcW w:w="184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11"/>
              <w:spacing w:before="56" w:line="185" w:lineRule="auto"/>
              <w:rPr/>
            </w:pPr>
            <w:r>
              <w:rPr>
                <w:color w:val="231F20"/>
                <w:spacing w:val="5"/>
              </w:rPr>
              <w:t>非妊娠特异性病因</w:t>
            </w:r>
          </w:p>
        </w:tc>
      </w:tr>
      <w:tr>
        <w:trPr>
          <w:trHeight w:val="3865" w:hRule="atLeast"/>
        </w:trPr>
        <w:tc>
          <w:tcPr>
            <w:tcW w:w="1086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220" w:right="70" w:hanging="158"/>
              <w:spacing w:before="58" w:line="166" w:lineRule="auto"/>
              <w:rPr/>
            </w:pPr>
            <w:r>
              <w:rPr>
                <w:color w:val="231F20"/>
                <w:spacing w:val="8"/>
              </w:rPr>
              <w:t>孤立性血小板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6"/>
              </w:rPr>
              <w:t>减少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7" w:right="70" w:hanging="165"/>
              <w:spacing w:before="65" w:line="167" w:lineRule="auto"/>
              <w:rPr/>
            </w:pPr>
            <w:r>
              <w:rPr>
                <w:color w:val="231F20"/>
                <w:spacing w:val="8"/>
              </w:rPr>
              <w:t>血小板减少伴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7"/>
              </w:rPr>
              <w:t>系统性损害</w:t>
            </w:r>
          </w:p>
        </w:tc>
        <w:tc>
          <w:tcPr>
            <w:tcW w:w="1608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76"/>
              <w:spacing w:before="57" w:line="156" w:lineRule="exact"/>
              <w:rPr/>
            </w:pPr>
            <w:r>
              <w:rPr>
                <w:color w:val="231F20"/>
                <w:spacing w:val="8"/>
                <w:position w:val="-1"/>
              </w:rPr>
              <w:t>妊娠期血小板</w:t>
            </w:r>
          </w:p>
          <w:p>
            <w:pPr>
              <w:pStyle w:val="TableText"/>
              <w:spacing w:line="208" w:lineRule="auto"/>
              <w:jc w:val="right"/>
              <w:rPr/>
            </w:pPr>
            <w:r>
              <w:rPr>
                <w:color w:val="231F20"/>
                <w:spacing w:val="-2"/>
              </w:rPr>
              <w:t>减少症（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70%~80%</w:t>
            </w:r>
            <w:r>
              <w:rPr>
                <w:color w:val="231F20"/>
                <w:spacing w:val="-2"/>
              </w:rPr>
              <w:t>）</w:t>
            </w:r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"/>
              <w:spacing w:before="64" w:line="156" w:lineRule="exact"/>
              <w:rPr/>
            </w:pPr>
            <w:r>
              <w:rPr>
                <w:color w:val="231F20"/>
                <w:spacing w:val="8"/>
                <w:position w:val="-1"/>
              </w:rPr>
              <w:t>重度子痫前期</w:t>
            </w:r>
          </w:p>
          <w:p>
            <w:pPr>
              <w:pStyle w:val="TableText"/>
              <w:ind w:left="173"/>
              <w:spacing w:line="208" w:lineRule="auto"/>
              <w:rPr/>
            </w:pPr>
            <w:r>
              <w:rPr>
                <w:color w:val="231F20"/>
              </w:rPr>
              <w:t>（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15%~20%</w:t>
            </w:r>
            <w:r>
              <w:rPr>
                <w:color w:val="231F20"/>
              </w:rPr>
              <w:t>）</w:t>
            </w:r>
          </w:p>
          <w:p>
            <w:pPr>
              <w:pStyle w:val="TableText"/>
              <w:ind w:left="79"/>
              <w:spacing w:before="53" w:line="186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HELLP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9"/>
              </w:rPr>
              <w:t>综合征</w:t>
            </w:r>
          </w:p>
          <w:p>
            <w:pPr>
              <w:pStyle w:val="TableText"/>
              <w:ind w:left="76"/>
              <w:spacing w:before="75" w:line="183" w:lineRule="auto"/>
              <w:rPr/>
            </w:pPr>
            <w:r>
              <w:rPr>
                <w:color w:val="231F20"/>
                <w:spacing w:val="9"/>
              </w:rPr>
              <w:t>妊娠期急性脂肪肝</w:t>
            </w:r>
          </w:p>
        </w:tc>
        <w:tc>
          <w:tcPr>
            <w:tcW w:w="1841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84"/>
              <w:spacing w:before="53" w:line="208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ITP</w:t>
            </w:r>
            <w:r>
              <w:rPr>
                <w:color w:val="231F20"/>
                <w:spacing w:val="-7"/>
              </w:rPr>
              <w:t>（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1%~4%</w:t>
            </w:r>
            <w:r>
              <w:rPr>
                <w:color w:val="231F20"/>
                <w:spacing w:val="-7"/>
              </w:rPr>
              <w:t>）</w:t>
            </w:r>
          </w:p>
          <w:p>
            <w:pPr>
              <w:pStyle w:val="TableText"/>
              <w:ind w:left="83" w:right="2"/>
              <w:spacing w:before="211" w:line="256" w:lineRule="auto"/>
              <w:rPr/>
            </w:pPr>
            <w:r>
              <w:rPr>
                <w:color w:val="231F20"/>
                <w:spacing w:val="-3"/>
              </w:rPr>
              <w:t>继发性血小板减少（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&lt;1%</w:t>
            </w:r>
            <w:r>
              <w:rPr>
                <w:color w:val="231F20"/>
                <w:spacing w:val="-3"/>
              </w:rPr>
              <w:t>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9"/>
              </w:rPr>
              <w:t>药物诱导的血小板减少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12"/>
              </w:rPr>
              <w:t>血管性血友病</w:t>
            </w: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ⅡB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12"/>
              </w:rPr>
              <w:t>型</w:t>
            </w:r>
          </w:p>
          <w:p>
            <w:pPr>
              <w:pStyle w:val="TableText"/>
              <w:ind w:left="81" w:right="484" w:firstLine="1"/>
              <w:spacing w:line="26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9"/>
              </w:rPr>
              <w:t>先天性血小板减少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TTP</w:t>
            </w:r>
            <w:r>
              <w:rPr>
                <w:color w:val="231F20"/>
                <w:spacing w:val="-10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HUS</w:t>
            </w:r>
          </w:p>
          <w:p>
            <w:pPr>
              <w:pStyle w:val="TableText"/>
              <w:ind w:left="81" w:right="644" w:firstLine="7"/>
              <w:spacing w:before="129" w:line="254" w:lineRule="auto"/>
              <w:rPr/>
            </w:pPr>
            <w:r>
              <w:rPr>
                <w:color w:val="231F20"/>
                <w:spacing w:val="8"/>
              </w:rPr>
              <w:t>系统性红斑狼疮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抗磷脂综合征</w:t>
            </w:r>
          </w:p>
          <w:p>
            <w:pPr>
              <w:pStyle w:val="TableText"/>
              <w:ind w:left="82"/>
              <w:spacing w:line="185" w:lineRule="auto"/>
              <w:rPr/>
            </w:pPr>
            <w:r>
              <w:rPr>
                <w:color w:val="231F20"/>
                <w:spacing w:val="8"/>
              </w:rPr>
              <w:t>病毒感染</w:t>
            </w:r>
          </w:p>
          <w:p>
            <w:pPr>
              <w:pStyle w:val="TableText"/>
              <w:ind w:left="88" w:right="804" w:hanging="3"/>
              <w:spacing w:before="76" w:line="255" w:lineRule="auto"/>
              <w:rPr/>
            </w:pPr>
            <w:r>
              <w:rPr>
                <w:color w:val="231F20"/>
                <w:spacing w:val="8"/>
              </w:rPr>
              <w:t>骨髓造血异常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6"/>
              </w:rPr>
              <w:t>营养不良</w:t>
            </w:r>
          </w:p>
          <w:p>
            <w:pPr>
              <w:pStyle w:val="TableText"/>
              <w:ind w:left="100" w:right="964" w:hanging="18"/>
              <w:spacing w:line="219" w:lineRule="auto"/>
              <w:rPr/>
            </w:pPr>
            <w:r>
              <w:rPr>
                <w:color w:val="231F20"/>
                <w:spacing w:val="8"/>
              </w:rPr>
              <w:t>脾功能亢进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甲状腺疾病</w:t>
            </w:r>
          </w:p>
        </w:tc>
      </w:tr>
    </w:tbl>
    <w:p>
      <w:pPr>
        <w:pStyle w:val="BodyText"/>
        <w:ind w:left="487" w:right="391" w:firstLine="324"/>
        <w:spacing w:before="80" w:line="250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注：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HELLP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</w:rPr>
        <w:t>表示溶血、肝酶升高和低血小板计数；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ITP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表示原发 </w:t>
      </w:r>
      <w:r>
        <w:rPr>
          <w:sz w:val="15"/>
          <w:szCs w:val="15"/>
          <w:color w:val="231F20"/>
          <w:spacing w:val="6"/>
        </w:rPr>
        <w:t>免疫性血小板减少症；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TTP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6"/>
        </w:rPr>
        <w:t>表示血栓性血小板减少性紫癜；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6"/>
        </w:rPr>
        <w:t>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示溶血性尿毒症</w:t>
      </w:r>
    </w:p>
    <w:p>
      <w:pPr>
        <w:pStyle w:val="BodyText"/>
        <w:ind w:left="489" w:right="327"/>
        <w:spacing w:before="140" w:line="225" w:lineRule="auto"/>
        <w:jc w:val="both"/>
        <w:rPr/>
      </w:pPr>
      <w:r>
        <w:rPr>
          <w:color w:val="231F20"/>
          <w:spacing w:val="-8"/>
        </w:rPr>
        <w:t>板减少。（</w:t>
      </w:r>
      <w:r>
        <w:rPr>
          <w:rFonts w:ascii="Times New Roman" w:hAnsi="Times New Roman" w:eastAsia="Times New Roman" w:cs="Times New Roman"/>
          <w:color w:val="231F20"/>
          <w:spacing w:val="-8"/>
        </w:rPr>
        <w:t>5</w:t>
      </w:r>
      <w:r>
        <w:rPr>
          <w:color w:val="231F20"/>
          <w:spacing w:val="-8"/>
        </w:rPr>
        <w:t>）自身免疫性疾病抗体筛查：应进行抗磷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脂综合征、系统性红斑狼疮等自身免疫性疾病的抗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体筛查，包括抗核抗体谱及抗磷脂抗体等，除外由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自身免疫性疾病引起的继发性血小板减少。（</w:t>
      </w:r>
      <w:r>
        <w:rPr>
          <w:rFonts w:ascii="Times New Roman" w:hAnsi="Times New Roman" w:eastAsia="Times New Roman" w:cs="Times New Roman"/>
          <w:color w:val="231F20"/>
          <w:spacing w:val="1"/>
        </w:rPr>
        <w:t>6</w:t>
      </w:r>
      <w:r>
        <w:rPr>
          <w:color w:val="231F20"/>
          <w:spacing w:val="1"/>
        </w:rPr>
        <w:t>）血  </w:t>
      </w:r>
      <w:r>
        <w:rPr>
          <w:color w:val="231F20"/>
          <w:spacing w:val="-5"/>
        </w:rPr>
        <w:t>清</w:t>
      </w:r>
      <w:r>
        <w:rPr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IgG</w:t>
      </w:r>
      <w:r>
        <w:rPr>
          <w:color w:val="231F20"/>
          <w:spacing w:val="-5"/>
        </w:rPr>
        <w:t>、</w:t>
      </w:r>
      <w:r>
        <w:rPr>
          <w:rFonts w:ascii="Times New Roman" w:hAnsi="Times New Roman" w:eastAsia="Times New Roman" w:cs="Times New Roman"/>
          <w:color w:val="231F20"/>
          <w:spacing w:val="-5"/>
        </w:rPr>
        <w:t>IgA</w:t>
      </w:r>
      <w:r>
        <w:rPr>
          <w:color w:val="231F20"/>
          <w:spacing w:val="-5"/>
        </w:rPr>
        <w:t>、</w:t>
      </w:r>
      <w:r>
        <w:rPr>
          <w:rFonts w:ascii="Times New Roman" w:hAnsi="Times New Roman" w:eastAsia="Times New Roman" w:cs="Times New Roman"/>
          <w:color w:val="231F20"/>
          <w:spacing w:val="-5"/>
        </w:rPr>
        <w:t>IgM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5"/>
        </w:rPr>
        <w:t>水平测定：有助于鉴别普通变异型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免疫缺陷病。（</w:t>
      </w:r>
      <w:r>
        <w:rPr>
          <w:rFonts w:ascii="Times New Roman" w:hAnsi="Times New Roman" w:eastAsia="Times New Roman" w:cs="Times New Roman"/>
          <w:color w:val="231F20"/>
          <w:spacing w:val="-5"/>
        </w:rPr>
        <w:t>7</w:t>
      </w:r>
      <w:r>
        <w:rPr>
          <w:color w:val="231F20"/>
          <w:spacing w:val="-5"/>
        </w:rPr>
        <w:t>）甲状腺功能及抗甲状腺抗体筛查：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鉴别甲状腺功能异常相关的血小板减少。</w:t>
      </w:r>
    </w:p>
    <w:p>
      <w:pPr>
        <w:pStyle w:val="BodyText"/>
        <w:ind w:left="486" w:right="392" w:firstLine="425"/>
        <w:spacing w:before="1" w:line="22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4"/>
        </w:rPr>
        <w:t>2. </w:t>
      </w:r>
      <w:r>
        <w:rPr>
          <w:color w:val="231F20"/>
          <w:spacing w:val="14"/>
        </w:rPr>
        <w:t>妊娠期血小板减少病因鉴别中特殊的实验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室检查</w:t>
      </w:r>
      <w:r>
        <w:rPr>
          <w:color w:val="231F20"/>
          <w:spacing w:val="-42"/>
          <w:w w:val="77"/>
        </w:rPr>
        <w:t>：（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</w:t>
      </w:r>
      <w:r>
        <w:rPr>
          <w:color w:val="231F20"/>
          <w:spacing w:val="-2"/>
        </w:rPr>
        <w:t>）骨髓穿刺检查：</w:t>
      </w:r>
      <w:r>
        <w:rPr>
          <w:rFonts w:ascii="Times New Roman" w:hAnsi="Times New Roman" w:eastAsia="Times New Roman" w:cs="Times New Roman"/>
          <w:color w:val="231F20"/>
          <w:spacing w:val="-2"/>
        </w:rPr>
        <w:t>ASH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2"/>
        </w:rPr>
        <w:t>发布的成人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ITP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2"/>
        </w:rPr>
        <w:t>诊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疗指南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9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3"/>
        </w:rPr>
        <w:t>认为，骨髓穿刺结果不是确诊</w:t>
      </w:r>
      <w:r>
        <w:rPr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的必要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依据，不推荐对妊娠期血小板减少者常规进</w:t>
      </w:r>
      <w:r>
        <w:rPr>
          <w:color w:val="231F20"/>
          <w:spacing w:val="5"/>
        </w:rPr>
        <w:t>行骨髓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穿刺检查以协助</w:t>
      </w:r>
      <w:r>
        <w:rPr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color w:val="231F20"/>
          <w:spacing w:val="14"/>
        </w:rPr>
        <w:t>的诊断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。但对于血小板减少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伴不明原因贫血、三系细胞减少、白细胞数</w:t>
      </w:r>
      <w:r>
        <w:rPr>
          <w:color w:val="231F20"/>
          <w:spacing w:val="5"/>
        </w:rPr>
        <w:t>量及形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态异常、外周血涂片发现原始细胞、存在淋</w:t>
      </w:r>
      <w:r>
        <w:rPr>
          <w:color w:val="231F20"/>
          <w:spacing w:val="5"/>
        </w:rPr>
        <w:t>巴结肿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大或对常规治疗无效需重新评估病情时，建</w:t>
      </w:r>
      <w:r>
        <w:rPr>
          <w:color w:val="231F20"/>
          <w:spacing w:val="5"/>
        </w:rPr>
        <w:t>议行骨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髓穿刺检查以排除骨髓增生异常性疾病及血液系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统恶性疾病。（</w:t>
      </w:r>
      <w:r>
        <w:rPr>
          <w:rFonts w:ascii="Times New Roman" w:hAnsi="Times New Roman" w:eastAsia="Times New Roman" w:cs="Times New Roman"/>
          <w:color w:val="231F20"/>
          <w:spacing w:val="-6"/>
        </w:rPr>
        <w:t>2</w:t>
      </w:r>
      <w:r>
        <w:rPr>
          <w:color w:val="231F20"/>
          <w:spacing w:val="-6"/>
        </w:rPr>
        <w:t>）血小板相关抗体（</w:t>
      </w:r>
      <w:r>
        <w:rPr>
          <w:rFonts w:ascii="Times New Roman" w:hAnsi="Times New Roman" w:eastAsia="Times New Roman" w:cs="Times New Roman"/>
          <w:color w:val="231F20"/>
          <w:spacing w:val="-6"/>
        </w:rPr>
        <w:t>PAIgG</w:t>
      </w:r>
      <w:r>
        <w:rPr>
          <w:color w:val="231F20"/>
          <w:spacing w:val="-6"/>
        </w:rPr>
        <w:t>）及血小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" w:firstLine="83"/>
        <w:spacing w:before="46" w:line="225" w:lineRule="auto"/>
        <w:jc w:val="both"/>
        <w:rPr/>
      </w:pPr>
      <w:r>
        <w:rPr>
          <w:color w:val="231F20"/>
          <w:spacing w:val="6"/>
        </w:rPr>
        <w:t>板糖蛋白特异性自身抗体：</w:t>
      </w:r>
      <w:r>
        <w:rPr>
          <w:rFonts w:ascii="Times New Roman" w:hAnsi="Times New Roman" w:eastAsia="Times New Roman" w:cs="Times New Roman"/>
          <w:color w:val="231F20"/>
        </w:rPr>
        <w:t>PAIgG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</w:t>
      </w:r>
      <w:r>
        <w:rPr>
          <w:color w:val="231F20"/>
          <w:spacing w:val="6"/>
        </w:rPr>
        <w:t>在免疫性及非免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疫性血小板减少中均有可能升高</w:t>
      </w:r>
      <w:r>
        <w:rPr>
          <w:sz w:val="10"/>
          <w:szCs w:val="10"/>
          <w:color w:val="231F20"/>
          <w:spacing w:val="1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3"/>
          <w:position w:val="8"/>
        </w:rPr>
        <w:t>2</w:t>
      </w:r>
      <w:r>
        <w:rPr>
          <w:sz w:val="10"/>
          <w:szCs w:val="10"/>
          <w:color w:val="231F20"/>
          <w:spacing w:val="12"/>
          <w:position w:val="8"/>
        </w:rPr>
        <w:t>］</w:t>
      </w:r>
      <w:r>
        <w:rPr>
          <w:color w:val="231F20"/>
          <w:spacing w:val="-34"/>
          <w:w w:val="56"/>
        </w:rPr>
        <w:t>，</w:t>
      </w:r>
      <w:r>
        <w:rPr>
          <w:color w:val="231F20"/>
          <w:spacing w:val="13"/>
        </w:rPr>
        <w:t>其对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color w:val="231F20"/>
          <w:spacing w:val="13"/>
        </w:rPr>
        <w:t>的诊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断具有较高的敏感度，但特异度较低，不推荐作为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6"/>
        </w:rPr>
        <w:t>常规检测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6"/>
        </w:rPr>
        <w:t>。血小板膜糖蛋白 </w:t>
      </w:r>
      <w:r>
        <w:rPr>
          <w:rFonts w:ascii="Times New Roman" w:hAnsi="Times New Roman" w:eastAsia="Times New Roman" w:cs="Times New Roman"/>
          <w:color w:val="231F20"/>
          <w:spacing w:val="16"/>
        </w:rPr>
        <w:t>Ⅱb/Ⅲa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16"/>
        </w:rPr>
        <w:t>及</w:t>
      </w:r>
      <w:r>
        <w:rPr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6"/>
        </w:rPr>
        <w:t>Ⅰb/Ⅸ</w:t>
      </w:r>
      <w:r>
        <w:rPr>
          <w:color w:val="231F20"/>
          <w:spacing w:val="16"/>
        </w:rPr>
        <w:t>特异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性自身抗体具有较高的特异度，可以鉴别免疫性与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7"/>
        </w:rPr>
        <w:t>非免疫性血小板减少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7"/>
        </w:rPr>
        <w:t>。但该抗体的检测敏感度较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低，只在具有检测条件的医疗中心开展，对于复杂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4"/>
        </w:rPr>
        <w:t>病例的病因鉴别起一定帮助。（</w:t>
      </w:r>
      <w:r>
        <w:rPr>
          <w:rFonts w:ascii="Times New Roman" w:hAnsi="Times New Roman" w:eastAsia="Times New Roman" w:cs="Times New Roman"/>
          <w:color w:val="231F20"/>
          <w:spacing w:val="14"/>
        </w:rPr>
        <w:t>3</w:t>
      </w:r>
      <w:r>
        <w:rPr>
          <w:color w:val="231F20"/>
          <w:spacing w:val="14"/>
        </w:rPr>
        <w:t>）血小板生成素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（</w:t>
      </w:r>
      <w:r>
        <w:rPr>
          <w:rFonts w:ascii="Times New Roman" w:hAnsi="Times New Roman" w:eastAsia="Times New Roman" w:cs="Times New Roman"/>
          <w:color w:val="231F20"/>
        </w:rPr>
        <w:t>thrombopoietin</w:t>
      </w:r>
      <w:r>
        <w:rPr>
          <w:color w:val="231F20"/>
        </w:rPr>
        <w:t>，</w:t>
      </w:r>
      <w:r>
        <w:rPr>
          <w:rFonts w:ascii="Times New Roman" w:hAnsi="Times New Roman" w:eastAsia="Times New Roman" w:cs="Times New Roman"/>
          <w:color w:val="231F20"/>
        </w:rPr>
        <w:t>TPO</w:t>
      </w:r>
      <w:r>
        <w:rPr>
          <w:color w:val="231F20"/>
        </w:rPr>
        <w:t>）检测：可以鉴别血小板</w:t>
      </w:r>
      <w:r>
        <w:rPr>
          <w:color w:val="231F20"/>
          <w:spacing w:val="-1"/>
        </w:rPr>
        <w:t>生成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减少（</w:t>
      </w:r>
      <w:r>
        <w:rPr>
          <w:rFonts w:ascii="Times New Roman" w:hAnsi="Times New Roman" w:eastAsia="Times New Roman" w:cs="Times New Roman"/>
          <w:color w:val="231F20"/>
          <w:spacing w:val="-1"/>
        </w:rPr>
        <w:t>TPO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-1"/>
        </w:rPr>
        <w:t>水平升高）和血小板破坏增加（</w:t>
      </w:r>
      <w:r>
        <w:rPr>
          <w:rFonts w:ascii="Times New Roman" w:hAnsi="Times New Roman" w:eastAsia="Times New Roman" w:cs="Times New Roman"/>
          <w:color w:val="231F20"/>
          <w:spacing w:val="-1"/>
        </w:rPr>
        <w:t>TPO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-1"/>
        </w:rPr>
        <w:t>水平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正常</w:t>
      </w:r>
      <w:r>
        <w:rPr>
          <w:color w:val="231F20"/>
          <w:spacing w:val="-30"/>
          <w:w w:val="63"/>
        </w:rPr>
        <w:t>），</w:t>
      </w:r>
      <w:r>
        <w:rPr>
          <w:color w:val="231F20"/>
          <w:spacing w:val="22"/>
        </w:rPr>
        <w:t>有助于鉴别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color w:val="231F20"/>
          <w:spacing w:val="22"/>
        </w:rPr>
        <w:t>与不典型再生障碍性贫血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或低增生性骨髓增生异常综合征。</w:t>
      </w:r>
    </w:p>
    <w:p>
      <w:pPr>
        <w:pStyle w:val="BodyText"/>
        <w:ind w:left="83" w:firstLine="424"/>
        <w:spacing w:before="2" w:line="224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3. ITP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</w:rPr>
        <w:t>与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GT </w:t>
      </w:r>
      <w:r>
        <w:rPr>
          <w:color w:val="231F20"/>
        </w:rPr>
        <w:t>的鉴别诊断：妊娠期孤立性血小板 </w:t>
      </w:r>
      <w:r>
        <w:rPr>
          <w:color w:val="231F20"/>
          <w:spacing w:val="6"/>
        </w:rPr>
        <w:t>减少的主要病因为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GT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6"/>
        </w:rPr>
        <w:t>及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6"/>
        </w:rPr>
        <w:t>。</w:t>
      </w:r>
      <w:r>
        <w:rPr>
          <w:rFonts w:ascii="Times New Roman" w:hAnsi="Times New Roman" w:eastAsia="Times New Roman" w:cs="Times New Roman"/>
          <w:color w:val="231F20"/>
        </w:rPr>
        <w:t>GT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6"/>
        </w:rPr>
        <w:t>为妊娠晚期出现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的程度较轻的血小板减少，约占妊娠期血小板减少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总发病人数的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75%</w:t>
      </w:r>
      <w:r>
        <w:rPr>
          <w:color w:val="231F20"/>
          <w:spacing w:val="5"/>
        </w:rPr>
        <w:t>，发病机制尚不明确，与妊娠期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血容量增加、高凝状态血小板损耗增加有关，非血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小板破坏所致</w:t>
      </w:r>
      <w:r>
        <w:rPr>
          <w:sz w:val="10"/>
          <w:szCs w:val="10"/>
          <w:color w:val="231F20"/>
          <w:spacing w:val="-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10</w:t>
      </w:r>
      <w:r>
        <w:rPr>
          <w:sz w:val="10"/>
          <w:szCs w:val="10"/>
          <w:color w:val="231F20"/>
          <w:spacing w:val="-2"/>
          <w:position w:val="8"/>
        </w:rPr>
        <w:t>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18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。</w:t>
      </w:r>
      <w:r>
        <w:rPr>
          <w:rFonts w:ascii="Times New Roman" w:hAnsi="Times New Roman" w:eastAsia="Times New Roman" w:cs="Times New Roman"/>
          <w:color w:val="231F20"/>
          <w:spacing w:val="-2"/>
        </w:rPr>
        <w:t>GT </w:t>
      </w:r>
      <w:r>
        <w:rPr>
          <w:color w:val="231F20"/>
          <w:spacing w:val="-2"/>
        </w:rPr>
        <w:t>与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I</w:t>
      </w:r>
      <w:r>
        <w:rPr>
          <w:rFonts w:ascii="Times New Roman" w:hAnsi="Times New Roman" w:eastAsia="Times New Roman" w:cs="Times New Roman"/>
          <w:color w:val="231F20"/>
          <w:spacing w:val="-3"/>
        </w:rPr>
        <w:t>TP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3"/>
        </w:rPr>
        <w:t>均为排除性诊断，缺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乏特异性检查，其临床表现及血小板下降水平常有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3"/>
        </w:rPr>
        <w:t>部分重叠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3"/>
        </w:rPr>
        <w:t>。在排除其他病因后，妊娠期血小板计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数</w:t>
      </w:r>
      <w:r>
        <w:rPr>
          <w:rFonts w:ascii="Times New Roman" w:hAnsi="Times New Roman" w:eastAsia="Times New Roman" w:cs="Times New Roman"/>
          <w:color w:val="231F20"/>
          <w:spacing w:val="2"/>
        </w:rPr>
        <w:t>&lt;50×10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2"/>
        </w:rPr>
        <w:t>/L </w:t>
      </w:r>
      <w:r>
        <w:rPr>
          <w:color w:val="231F20"/>
          <w:spacing w:val="2"/>
        </w:rPr>
        <w:t>者应按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2"/>
        </w:rPr>
        <w:t>诊断及处理</w:t>
      </w:r>
      <w:r>
        <w:rPr>
          <w:sz w:val="10"/>
          <w:szCs w:val="10"/>
          <w:color w:val="231F20"/>
          <w:spacing w:val="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15</w:t>
      </w:r>
      <w:r>
        <w:rPr>
          <w:sz w:val="10"/>
          <w:szCs w:val="10"/>
          <w:color w:val="231F20"/>
          <w:spacing w:val="2"/>
          <w:position w:val="8"/>
        </w:rPr>
        <w:t>］</w:t>
      </w:r>
      <w:r>
        <w:rPr>
          <w:color w:val="231F20"/>
          <w:spacing w:val="2"/>
        </w:rPr>
        <w:t>。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与 </w:t>
      </w:r>
      <w:r>
        <w:rPr>
          <w:rFonts w:ascii="Times New Roman" w:hAnsi="Times New Roman" w:eastAsia="Times New Roman" w:cs="Times New Roman"/>
          <w:color w:val="231F20"/>
        </w:rPr>
        <w:t>GT </w:t>
      </w:r>
      <w:r>
        <w:rPr>
          <w:color w:val="231F20"/>
          <w:spacing w:val="-3"/>
        </w:rPr>
        <w:t>的鉴别要点</w:t>
      </w:r>
      <w:r>
        <w:rPr>
          <w:sz w:val="10"/>
          <w:szCs w:val="10"/>
          <w:color w:val="231F20"/>
          <w:spacing w:val="-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19</w:t>
      </w:r>
      <w:r>
        <w:rPr>
          <w:sz w:val="10"/>
          <w:szCs w:val="10"/>
          <w:color w:val="231F20"/>
          <w:spacing w:val="-3"/>
          <w:position w:val="8"/>
        </w:rPr>
        <w:t>］</w:t>
      </w:r>
      <w:r>
        <w:rPr>
          <w:color w:val="231F20"/>
          <w:spacing w:val="-3"/>
        </w:rPr>
        <w:t>见表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2</w:t>
      </w:r>
      <w:r>
        <w:rPr>
          <w:color w:val="231F20"/>
          <w:spacing w:val="-3"/>
        </w:rPr>
        <w:t>。</w:t>
      </w:r>
    </w:p>
    <w:p>
      <w:pPr>
        <w:ind w:left="85" w:right="2" w:firstLine="424"/>
        <w:spacing w:before="1" w:line="29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推荐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2-1    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妊娠期血小板减少的诊断标准为血</w:t>
      </w:r>
      <w:r>
        <w:rPr>
          <w:rFonts w:ascii="SimHei" w:hAnsi="SimHei" w:eastAsia="SimHei" w:cs="SimHei"/>
          <w:sz w:val="20"/>
          <w:szCs w:val="20"/>
          <w:color w:val="231F20"/>
          <w:spacing w:val="1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小板计数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&lt;100×10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>9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/L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。</w:t>
      </w:r>
    </w:p>
    <w:p>
      <w:pPr>
        <w:ind w:left="84" w:right="2" w:firstLine="424"/>
        <w:spacing w:before="1" w:line="297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9"/>
        </w:rPr>
        <w:t>推荐</w:t>
      </w:r>
      <w:r>
        <w:rPr>
          <w:rFonts w:ascii="SimHei" w:hAnsi="SimHei" w:eastAsia="SimHei" w:cs="SimHei"/>
          <w:sz w:val="20"/>
          <w:szCs w:val="20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>2-2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9"/>
        </w:rPr>
        <w:t>在妊娠期的诊断为排除性诊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6"/>
        </w:rPr>
        <w:t>断，对妊娠期血小板减少者建议行相关病因学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检查。</w:t>
      </w:r>
    </w:p>
    <w:p>
      <w:pPr>
        <w:ind w:left="86" w:right="2" w:firstLine="423"/>
        <w:spacing w:line="296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推荐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2-3    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妊娠期孤立性血小板减少的主要病</w:t>
      </w:r>
      <w:r>
        <w:rPr>
          <w:rFonts w:ascii="SimHei" w:hAnsi="SimHei" w:eastAsia="SimHei" w:cs="SimHei"/>
          <w:sz w:val="20"/>
          <w:szCs w:val="20"/>
          <w:color w:val="231F20"/>
          <w:spacing w:val="1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因为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ITP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或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GT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，应根据既往病史、血小板减少发生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的孕周、减少的程度及分娩后新生儿及产妇血小板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计数的变化进行鉴别诊断。</w:t>
      </w:r>
    </w:p>
    <w:p>
      <w:pPr>
        <w:pStyle w:val="BodyText"/>
        <w:ind w:left="506"/>
        <w:spacing w:before="13" w:line="184" w:lineRule="auto"/>
        <w:outlineLvl w:val="0"/>
        <w:rPr/>
      </w:pPr>
      <w:r>
        <w:rPr>
          <w:color w:val="231F20"/>
          <w:spacing w:val="-1"/>
        </w:rPr>
        <w:t>三、妊娠合并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ITP </w:t>
      </w:r>
      <w:r>
        <w:rPr>
          <w:color w:val="231F20"/>
          <w:spacing w:val="-1"/>
        </w:rPr>
        <w:t>的病情监测及治疗</w:t>
      </w:r>
    </w:p>
    <w:p>
      <w:pPr>
        <w:pStyle w:val="BodyText"/>
        <w:ind w:left="82" w:right="2" w:firstLine="423"/>
        <w:spacing w:before="59" w:line="236" w:lineRule="auto"/>
        <w:rPr/>
      </w:pP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9"/>
        </w:rPr>
        <w:t>患者的妊娠期管理需要产科与血液科医师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共同参与进行高危保健，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9"/>
        </w:rPr>
        <w:t>患者在妊娠期的病情</w:t>
      </w:r>
    </w:p>
    <w:p>
      <w:pPr>
        <w:spacing w:line="236" w:lineRule="auto"/>
        <w:sectPr>
          <w:type w:val="continuous"/>
          <w:pgSz w:w="12246" w:h="16498"/>
          <w:pgMar w:top="1212" w:right="1303" w:bottom="0" w:left="819" w:header="971" w:footer="0" w:gutter="0"/>
          <w:cols w:equalWidth="0" w:num="2">
            <w:col w:w="5410" w:space="100"/>
            <w:col w:w="4613" w:space="0"/>
          </w:cols>
        </w:sectPr>
        <w:rPr/>
      </w:pPr>
    </w:p>
    <w:p>
      <w:pPr>
        <w:pStyle w:val="BodyText"/>
        <w:ind w:left="4260"/>
        <w:spacing w:before="72" w:line="208" w:lineRule="auto"/>
        <w:rPr>
          <w:sz w:val="17"/>
          <w:szCs w:val="17"/>
        </w:rPr>
      </w:pPr>
      <w:r>
        <w:pict>
          <v:shape id="_x0000_s20" style="position:absolute;margin-left:186.873pt;margin-top:-566.818pt;mso-position-vertical-relative:text;mso-position-horizontal-relative:text;width:319.45pt;height:0.4pt;z-index:251669504;" filled="false" strokecolor="#231F20" strokeweight="0.37pt" coordsize="6389,8" coordorigin="0,0" path="m0,3l6388,3e">
            <v:stroke joinstyle="miter" miterlimit="4"/>
          </v:shape>
        </w:pic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表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2  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ITP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4"/>
        </w:rPr>
        <w:t>与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GT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4"/>
        </w:rPr>
        <w:t>的鉴别诊断</w:t>
      </w:r>
    </w:p>
    <w:p>
      <w:pPr>
        <w:spacing w:line="32" w:lineRule="exact"/>
        <w:rPr/>
      </w:pPr>
      <w:r/>
    </w:p>
    <w:tbl>
      <w:tblPr>
        <w:tblStyle w:val="TableNormal"/>
        <w:tblW w:w="9637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13"/>
        <w:gridCol w:w="4323"/>
        <w:gridCol w:w="2901"/>
      </w:tblGrid>
      <w:tr>
        <w:trPr>
          <w:trHeight w:val="268" w:hRule="atLeast"/>
        </w:trPr>
        <w:tc>
          <w:tcPr>
            <w:tcW w:w="241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40"/>
              <w:spacing w:before="56" w:line="184" w:lineRule="auto"/>
              <w:rPr/>
            </w:pPr>
            <w:r>
              <w:rPr>
                <w:color w:val="231F20"/>
                <w:spacing w:val="7"/>
              </w:rPr>
              <w:t>类别</w:t>
            </w:r>
          </w:p>
        </w:tc>
        <w:tc>
          <w:tcPr>
            <w:tcW w:w="432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296"/>
              <w:spacing w:before="82" w:line="19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ITP</w:t>
            </w:r>
          </w:p>
        </w:tc>
        <w:tc>
          <w:tcPr>
            <w:tcW w:w="290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415"/>
              <w:spacing w:before="79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6"/>
              </w:rPr>
              <w:t>GT</w:t>
            </w:r>
          </w:p>
        </w:tc>
      </w:tr>
      <w:tr>
        <w:trPr>
          <w:trHeight w:val="266" w:hRule="atLeast"/>
        </w:trPr>
        <w:tc>
          <w:tcPr>
            <w:tcW w:w="24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2"/>
              <w:spacing w:before="57" w:line="185" w:lineRule="auto"/>
              <w:rPr/>
            </w:pPr>
            <w:r>
              <w:rPr>
                <w:color w:val="231F20"/>
                <w:spacing w:val="8"/>
              </w:rPr>
              <w:t>发病孕周</w:t>
            </w:r>
          </w:p>
        </w:tc>
        <w:tc>
          <w:tcPr>
            <w:tcW w:w="43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5"/>
              <w:spacing w:before="57" w:line="185" w:lineRule="auto"/>
              <w:rPr/>
            </w:pPr>
            <w:r>
              <w:rPr>
                <w:color w:val="231F20"/>
                <w:spacing w:val="5"/>
              </w:rPr>
              <w:t>可发生于妊娠各阶段，多见于妊娠早中期</w:t>
            </w:r>
          </w:p>
        </w:tc>
        <w:tc>
          <w:tcPr>
            <w:tcW w:w="29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2"/>
              <w:spacing w:before="58" w:line="183" w:lineRule="auto"/>
              <w:rPr/>
            </w:pPr>
            <w:r>
              <w:rPr>
                <w:color w:val="231F20"/>
                <w:spacing w:val="8"/>
              </w:rPr>
              <w:t>多见于妊娠中晚期</w:t>
            </w:r>
          </w:p>
        </w:tc>
      </w:tr>
      <w:tr>
        <w:trPr>
          <w:trHeight w:val="273" w:hRule="atLeast"/>
        </w:trPr>
        <w:tc>
          <w:tcPr>
            <w:tcW w:w="2413" w:type="dxa"/>
            <w:vAlign w:val="top"/>
          </w:tcPr>
          <w:p>
            <w:pPr>
              <w:pStyle w:val="TableText"/>
              <w:ind w:left="230"/>
              <w:spacing w:before="63" w:line="186" w:lineRule="auto"/>
              <w:rPr/>
            </w:pPr>
            <w:r>
              <w:rPr>
                <w:color w:val="231F20"/>
                <w:spacing w:val="6"/>
              </w:rPr>
              <w:t>临床表现</w:t>
            </w:r>
          </w:p>
        </w:tc>
        <w:tc>
          <w:tcPr>
            <w:tcW w:w="4323" w:type="dxa"/>
            <w:vAlign w:val="top"/>
          </w:tcPr>
          <w:p>
            <w:pPr>
              <w:pStyle w:val="TableText"/>
              <w:ind w:left="605"/>
              <w:spacing w:before="61" w:line="188" w:lineRule="auto"/>
              <w:rPr/>
            </w:pPr>
            <w:r>
              <w:rPr>
                <w:color w:val="231F20"/>
                <w:spacing w:val="3"/>
              </w:rPr>
              <w:t>可伴有自发出血症状（血小板计数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&lt;20×10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3"/>
                <w:position w:val="6"/>
              </w:rPr>
              <w:t>9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/L </w:t>
            </w:r>
            <w:r>
              <w:rPr>
                <w:color w:val="231F20"/>
                <w:spacing w:val="3"/>
              </w:rPr>
              <w:t>时）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487"/>
              <w:spacing w:before="66" w:line="181" w:lineRule="auto"/>
              <w:rPr/>
            </w:pPr>
            <w:r>
              <w:rPr>
                <w:color w:val="231F20"/>
                <w:spacing w:val="8"/>
              </w:rPr>
              <w:t>无症状</w:t>
            </w:r>
          </w:p>
        </w:tc>
      </w:tr>
      <w:tr>
        <w:trPr>
          <w:trHeight w:val="270" w:hRule="atLeast"/>
        </w:trPr>
        <w:tc>
          <w:tcPr>
            <w:tcW w:w="2413" w:type="dxa"/>
            <w:vAlign w:val="top"/>
          </w:tcPr>
          <w:p>
            <w:pPr>
              <w:pStyle w:val="TableText"/>
              <w:ind w:left="225"/>
              <w:spacing w:before="66" w:line="180" w:lineRule="auto"/>
              <w:rPr/>
            </w:pPr>
            <w:r>
              <w:rPr>
                <w:color w:val="231F20"/>
                <w:spacing w:val="6"/>
              </w:rPr>
              <w:t>既往史</w:t>
            </w:r>
          </w:p>
        </w:tc>
        <w:tc>
          <w:tcPr>
            <w:tcW w:w="4323" w:type="dxa"/>
            <w:vAlign w:val="top"/>
          </w:tcPr>
          <w:p>
            <w:pPr>
              <w:pStyle w:val="TableText"/>
              <w:ind w:left="603"/>
              <w:spacing w:before="65" w:line="181" w:lineRule="auto"/>
              <w:rPr/>
            </w:pPr>
            <w:r>
              <w:rPr>
                <w:color w:val="231F20"/>
                <w:spacing w:val="9"/>
              </w:rPr>
              <w:t>有自发出血或血小板减少史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487"/>
              <w:spacing w:before="65" w:line="181" w:lineRule="auto"/>
              <w:rPr/>
            </w:pPr>
            <w:r>
              <w:rPr>
                <w:color w:val="231F20"/>
                <w:spacing w:val="9"/>
              </w:rPr>
              <w:t>无出血及血小板减少史</w:t>
            </w:r>
          </w:p>
        </w:tc>
      </w:tr>
      <w:tr>
        <w:trPr>
          <w:trHeight w:val="274" w:hRule="atLeast"/>
        </w:trPr>
        <w:tc>
          <w:tcPr>
            <w:tcW w:w="2413" w:type="dxa"/>
            <w:vAlign w:val="top"/>
          </w:tcPr>
          <w:p>
            <w:pPr>
              <w:pStyle w:val="TableText"/>
              <w:ind w:left="220"/>
              <w:spacing w:before="68" w:line="182" w:lineRule="auto"/>
              <w:rPr/>
            </w:pPr>
            <w:r>
              <w:rPr>
                <w:color w:val="231F20"/>
                <w:spacing w:val="9"/>
              </w:rPr>
              <w:t>诊断时血小板计数</w:t>
            </w:r>
          </w:p>
        </w:tc>
        <w:tc>
          <w:tcPr>
            <w:tcW w:w="4323" w:type="dxa"/>
            <w:vAlign w:val="top"/>
          </w:tcPr>
          <w:p>
            <w:pPr>
              <w:pStyle w:val="TableText"/>
              <w:ind w:left="607"/>
              <w:spacing w:before="66" w:line="18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4"/>
              </w:rPr>
              <w:t>多数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&lt;70×10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4"/>
                <w:position w:val="6"/>
              </w:rPr>
              <w:t>9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/L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492"/>
              <w:spacing w:before="66" w:line="18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4"/>
              </w:rPr>
              <w:t>多数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&gt;70×10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4"/>
                <w:position w:val="6"/>
              </w:rPr>
              <w:t>9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/L</w:t>
            </w:r>
          </w:p>
        </w:tc>
      </w:tr>
      <w:tr>
        <w:trPr>
          <w:trHeight w:val="270" w:hRule="atLeast"/>
        </w:trPr>
        <w:tc>
          <w:tcPr>
            <w:tcW w:w="2413" w:type="dxa"/>
            <w:vAlign w:val="top"/>
          </w:tcPr>
          <w:p>
            <w:pPr>
              <w:pStyle w:val="TableText"/>
              <w:ind w:left="220"/>
              <w:spacing w:before="69" w:line="178" w:lineRule="auto"/>
              <w:rPr/>
            </w:pPr>
            <w:r>
              <w:rPr>
                <w:color w:val="231F20"/>
                <w:spacing w:val="9"/>
              </w:rPr>
              <w:t>新生儿血小板减少症</w:t>
            </w:r>
          </w:p>
        </w:tc>
        <w:tc>
          <w:tcPr>
            <w:tcW w:w="4323" w:type="dxa"/>
            <w:vAlign w:val="top"/>
          </w:tcPr>
          <w:p>
            <w:pPr>
              <w:pStyle w:val="TableText"/>
              <w:ind w:left="605"/>
              <w:spacing w:before="69" w:line="178" w:lineRule="auto"/>
              <w:rPr/>
            </w:pPr>
            <w:r>
              <w:rPr>
                <w:color w:val="231F20"/>
                <w:spacing w:val="7"/>
              </w:rPr>
              <w:t>可能出现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487"/>
              <w:spacing w:before="73" w:line="174" w:lineRule="auto"/>
              <w:rPr/>
            </w:pPr>
            <w:r>
              <w:rPr>
                <w:color w:val="231F20"/>
                <w:spacing w:val="4"/>
              </w:rPr>
              <w:t>无</w:t>
            </w:r>
          </w:p>
        </w:tc>
      </w:tr>
      <w:tr>
        <w:trPr>
          <w:trHeight w:val="275" w:hRule="atLeast"/>
        </w:trPr>
        <w:tc>
          <w:tcPr>
            <w:tcW w:w="2413" w:type="dxa"/>
            <w:vAlign w:val="top"/>
          </w:tcPr>
          <w:p>
            <w:pPr>
              <w:pStyle w:val="TableText"/>
              <w:ind w:left="221"/>
              <w:spacing w:before="70" w:line="181" w:lineRule="auto"/>
              <w:rPr/>
            </w:pPr>
            <w:r>
              <w:rPr>
                <w:color w:val="231F20"/>
                <w:spacing w:val="9"/>
              </w:rPr>
              <w:t>分娩后产妇血小板变化</w:t>
            </w:r>
          </w:p>
        </w:tc>
        <w:tc>
          <w:tcPr>
            <w:tcW w:w="4323" w:type="dxa"/>
            <w:vAlign w:val="top"/>
          </w:tcPr>
          <w:p>
            <w:pPr>
              <w:pStyle w:val="TableText"/>
              <w:ind w:left="605"/>
              <w:spacing w:before="69" w:line="182" w:lineRule="auto"/>
              <w:rPr/>
            </w:pPr>
            <w:r>
              <w:rPr>
                <w:color w:val="231F20"/>
                <w:spacing w:val="5"/>
              </w:rPr>
              <w:t>可能上升至妊娠前水平，部分患者进一步降低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492"/>
              <w:spacing w:before="70" w:line="181" w:lineRule="auto"/>
              <w:rPr/>
            </w:pPr>
            <w:r>
              <w:rPr>
                <w:color w:val="231F20"/>
                <w:spacing w:val="6"/>
              </w:rPr>
              <w:t>多数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>2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6"/>
              </w:rPr>
              <w:t>周内恢复正常</w:t>
            </w:r>
          </w:p>
        </w:tc>
      </w:tr>
      <w:tr>
        <w:trPr>
          <w:trHeight w:val="277" w:hRule="atLeast"/>
        </w:trPr>
        <w:tc>
          <w:tcPr>
            <w:tcW w:w="241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3"/>
              <w:spacing w:before="69" w:line="184" w:lineRule="auto"/>
              <w:rPr/>
            </w:pPr>
            <w:r>
              <w:rPr>
                <w:color w:val="231F20"/>
                <w:spacing w:val="5"/>
              </w:rPr>
              <w:t>治疗</w:t>
            </w:r>
          </w:p>
        </w:tc>
        <w:tc>
          <w:tcPr>
            <w:tcW w:w="432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3"/>
              <w:spacing w:before="69" w:line="184" w:lineRule="auto"/>
              <w:rPr/>
            </w:pPr>
            <w:r>
              <w:rPr>
                <w:color w:val="231F20"/>
                <w:spacing w:val="9"/>
              </w:rPr>
              <w:t>部分患者需要接受药物治疗</w:t>
            </w:r>
          </w:p>
        </w:tc>
        <w:tc>
          <w:tcPr>
            <w:tcW w:w="290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88"/>
              <w:spacing w:before="69" w:line="184" w:lineRule="auto"/>
              <w:rPr/>
            </w:pPr>
            <w:r>
              <w:rPr>
                <w:color w:val="231F20"/>
                <w:spacing w:val="8"/>
              </w:rPr>
              <w:t>不需药物治疗</w:t>
            </w:r>
          </w:p>
        </w:tc>
      </w:tr>
    </w:tbl>
    <w:p>
      <w:pPr>
        <w:pStyle w:val="BodyText"/>
        <w:ind w:left="812"/>
        <w:spacing w:before="79" w:line="168" w:lineRule="auto"/>
        <w:rPr>
          <w:sz w:val="15"/>
          <w:szCs w:val="15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96511</wp:posOffset>
            </wp:positionV>
            <wp:extent cx="2805668" cy="30421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3"/>
        </w:rPr>
        <w:t>注：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ITP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3"/>
        </w:rPr>
        <w:t>表示原发免疫性血小板减少症；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3"/>
        </w:rPr>
        <w:t>表示妊娠期血小板减少症</w:t>
      </w:r>
    </w:p>
    <w:p>
      <w:pPr>
        <w:spacing w:line="168" w:lineRule="auto"/>
        <w:sectPr>
          <w:type w:val="continuous"/>
          <w:pgSz w:w="12246" w:h="16498"/>
          <w:pgMar w:top="1212" w:right="1303" w:bottom="0" w:left="819" w:header="971" w:footer="0" w:gutter="0"/>
          <w:cols w:equalWidth="0" w:num="1">
            <w:col w:w="10122" w:space="0"/>
          </w:cols>
        </w:sectPr>
        <w:rPr>
          <w:sz w:val="15"/>
          <w:szCs w:val="15"/>
        </w:rPr>
      </w:pPr>
    </w:p>
    <w:p>
      <w:pPr>
        <w:spacing w:before="69"/>
        <w:rPr/>
      </w:pPr>
      <w:r/>
    </w:p>
    <w:p>
      <w:pPr>
        <w:sectPr>
          <w:headerReference w:type="default" r:id="rId6"/>
          <w:pgSz w:w="12246" w:h="16498"/>
          <w:pgMar w:top="1212" w:right="1239" w:bottom="0" w:left="819" w:header="971" w:footer="0" w:gutter="0"/>
          <w:cols w:equalWidth="0" w:num="1">
            <w:col w:w="10186" w:space="0"/>
          </w:cols>
        </w:sectPr>
        <w:rPr/>
      </w:pPr>
    </w:p>
    <w:p>
      <w:pPr>
        <w:pStyle w:val="BodyText"/>
        <w:ind w:left="488" w:right="472"/>
        <w:spacing w:before="51" w:line="222" w:lineRule="auto"/>
        <w:jc w:val="both"/>
        <w:rPr/>
      </w:pPr>
      <w:r>
        <w:rPr>
          <w:color w:val="231F20"/>
          <w:spacing w:val="5"/>
        </w:rPr>
        <w:t>评估、监测及治疗均需要在血液科医师的指导下进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。对于伴发内科合并症及血小板计数</w:t>
      </w:r>
      <w:r>
        <w:rPr>
          <w:rFonts w:ascii="Times New Roman" w:hAnsi="Times New Roman" w:eastAsia="Times New Roman" w:cs="Times New Roman"/>
          <w:color w:val="231F20"/>
          <w:spacing w:val="9"/>
        </w:rPr>
        <w:t>&lt;50×10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9"/>
        </w:rPr>
        <w:t>/L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5"/>
        </w:rPr>
        <w:t>者，考虑到妊娠期病情加重以及需要接受治疗的概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率升高，基于医疗条件所限，基层医院或专科医院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5"/>
        </w:rPr>
        <w:t>应转诊至具有综合诊治能力的三级综合医院行孕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期保健。</w:t>
      </w:r>
    </w:p>
    <w:p>
      <w:pPr>
        <w:pStyle w:val="BodyText"/>
        <w:ind w:left="827"/>
        <w:spacing w:line="205" w:lineRule="auto"/>
        <w:rPr/>
      </w:pPr>
      <w:r>
        <w:rPr>
          <w:color w:val="231F20"/>
          <w:spacing w:val="-1"/>
        </w:rPr>
        <w:t>（一）妊娠合并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ITP </w:t>
      </w:r>
      <w:r>
        <w:rPr>
          <w:color w:val="231F20"/>
          <w:spacing w:val="-1"/>
        </w:rPr>
        <w:t>的病情评估及监测</w:t>
      </w:r>
    </w:p>
    <w:p>
      <w:pPr>
        <w:pStyle w:val="BodyText"/>
        <w:ind w:left="488" w:right="404" w:firstLine="421"/>
        <w:spacing w:before="35" w:line="222" w:lineRule="auto"/>
        <w:rPr/>
      </w:pPr>
      <w:r>
        <w:rPr>
          <w:color w:val="231F20"/>
          <w:spacing w:val="9"/>
        </w:rPr>
        <w:t>结合妊娠期特点，参考非妊娠期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9"/>
        </w:rPr>
        <w:t>的分级，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妊娠期重症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0"/>
        </w:rPr>
        <w:t>定义为血小板计数</w:t>
      </w:r>
      <w:r>
        <w:rPr>
          <w:rFonts w:ascii="Times New Roman" w:hAnsi="Times New Roman" w:eastAsia="Times New Roman" w:cs="Times New Roman"/>
          <w:color w:val="231F20"/>
          <w:spacing w:val="10"/>
        </w:rPr>
        <w:t>&lt;10×10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10"/>
        </w:rPr>
        <w:t>/L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0"/>
        </w:rPr>
        <w:t>伴活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动性出血，或出血评分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≥5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5"/>
        </w:rPr>
        <w:t>分（评分系统见表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3</w:t>
      </w:r>
      <w:r>
        <w:rPr>
          <w:color w:val="231F20"/>
          <w:spacing w:val="-31"/>
          <w:w w:val="65"/>
        </w:rPr>
        <w:t>）；</w:t>
      </w:r>
      <w:r>
        <w:rPr>
          <w:color w:val="231F20"/>
          <w:spacing w:val="5"/>
        </w:rPr>
        <w:t>难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治性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7"/>
        </w:rPr>
        <w:t>定义为对一线及二线治疗均无效，脾切除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无效或切除后复发，进行诊断再评估仍确诊为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  </w:t>
      </w:r>
      <w:r>
        <w:rPr>
          <w:color w:val="231F20"/>
          <w:spacing w:val="10"/>
        </w:rPr>
        <w:t>的患者</w:t>
      </w:r>
      <w:r>
        <w:rPr>
          <w:sz w:val="10"/>
          <w:szCs w:val="10"/>
          <w:color w:val="231F20"/>
          <w:spacing w:val="10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8"/>
        </w:rPr>
        <w:t>14</w:t>
      </w:r>
      <w:r>
        <w:rPr>
          <w:sz w:val="10"/>
          <w:szCs w:val="10"/>
          <w:color w:val="231F20"/>
          <w:spacing w:val="10"/>
          <w:position w:val="8"/>
        </w:rPr>
        <w:t>］</w:t>
      </w:r>
      <w:r>
        <w:rPr>
          <w:color w:val="231F20"/>
          <w:spacing w:val="10"/>
        </w:rPr>
        <w:t>。对妊娠合并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10"/>
        </w:rPr>
        <w:t>患者病情的评估需结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合血小板计数、血小板下降的速度、出血评分及对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治疗的反应综合评估，同时关注凝血功能及是否伴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有妊娠合并症或并发症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。血小板计数</w:t>
      </w:r>
      <w:r>
        <w:rPr>
          <w:rFonts w:ascii="Times New Roman" w:hAnsi="Times New Roman" w:eastAsia="Times New Roman" w:cs="Times New Roman"/>
          <w:color w:val="231F20"/>
          <w:spacing w:val="8"/>
        </w:rPr>
        <w:t>&gt;50×10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8"/>
        </w:rPr>
        <w:t>/L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8"/>
        </w:rPr>
        <w:t>并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稳定、无出血症状、无妊娠合并症及并发症</w:t>
      </w:r>
      <w:r>
        <w:rPr>
          <w:color w:val="231F20"/>
          <w:spacing w:val="-4"/>
        </w:rPr>
        <w:t>者，可常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规产前检查，并在每次产前检查时行血常规检</w:t>
      </w:r>
      <w:r>
        <w:rPr>
          <w:color w:val="231F20"/>
          <w:spacing w:val="8"/>
        </w:rPr>
        <w:t>查；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血小板计数在（</w:t>
      </w:r>
      <w:r>
        <w:rPr>
          <w:rFonts w:ascii="Times New Roman" w:hAnsi="Times New Roman" w:eastAsia="Times New Roman" w:cs="Times New Roman"/>
          <w:color w:val="231F20"/>
          <w:spacing w:val="-5"/>
        </w:rPr>
        <w:t>30~50</w:t>
      </w:r>
      <w:r>
        <w:rPr>
          <w:color w:val="231F20"/>
          <w:spacing w:val="-5"/>
        </w:rPr>
        <w:t>）</w:t>
      </w:r>
      <w:r>
        <w:rPr>
          <w:rFonts w:ascii="Times New Roman" w:hAnsi="Times New Roman" w:eastAsia="Times New Roman" w:cs="Times New Roman"/>
          <w:color w:val="231F20"/>
          <w:spacing w:val="-5"/>
        </w:rPr>
        <w:t>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5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-5"/>
        </w:rPr>
        <w:t>/L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-4"/>
        </w:rPr>
        <w:t>者，每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2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-4"/>
        </w:rPr>
        <w:t>周行血常规检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查，根据血小板计数下降程度、是否伴出血症状及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其他并发症而缩短产前检查间隔时间；血小板计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6"/>
        </w:rPr>
        <w:t>数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&lt;30×10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6"/>
        </w:rPr>
        <w:t>/L </w:t>
      </w:r>
      <w:r>
        <w:rPr>
          <w:color w:val="231F20"/>
          <w:spacing w:val="6"/>
        </w:rPr>
        <w:t>需要药物治疗者，每 </w:t>
      </w:r>
      <w:r>
        <w:rPr>
          <w:rFonts w:ascii="Times New Roman" w:hAnsi="Times New Roman" w:eastAsia="Times New Roman" w:cs="Times New Roman"/>
          <w:color w:val="231F20"/>
          <w:spacing w:val="6"/>
        </w:rPr>
        <w:t>1~2 </w:t>
      </w:r>
      <w:r>
        <w:rPr>
          <w:color w:val="231F20"/>
          <w:spacing w:val="6"/>
        </w:rPr>
        <w:t>周监测血小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板计数及自发出血症状，评估治疗的效果及病情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程度。</w:t>
      </w:r>
    </w:p>
    <w:p>
      <w:pPr>
        <w:pStyle w:val="BodyText"/>
        <w:ind w:left="827"/>
        <w:spacing w:line="205" w:lineRule="auto"/>
        <w:rPr/>
      </w:pPr>
      <w:r>
        <w:rPr>
          <w:color w:val="231F20"/>
          <w:spacing w:val="-1"/>
        </w:rPr>
        <w:t>（二）妊娠合并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ITP </w:t>
      </w:r>
      <w:r>
        <w:rPr>
          <w:color w:val="231F20"/>
          <w:spacing w:val="-1"/>
        </w:rPr>
        <w:t>的治疗指征及方案</w:t>
      </w:r>
    </w:p>
    <w:p>
      <w:pPr>
        <w:pStyle w:val="BodyText"/>
        <w:ind w:left="489" w:right="472" w:firstLine="421"/>
        <w:spacing w:before="28" w:line="225" w:lineRule="auto"/>
        <w:rPr>
          <w:rFonts w:ascii="Times New Roman" w:hAnsi="Times New Roman" w:eastAsia="Times New Roman" w:cs="Times New Roman"/>
        </w:rPr>
      </w:pPr>
      <w:r>
        <w:pict>
          <v:shape id="_x0000_s26" style="position:absolute;margin-left:24.485pt;margin-top:148.627pt;mso-position-vertical-relative:text;mso-position-horizontal-relative:text;width:481.9pt;height:0.6pt;z-index:251675648;" filled="false" strokecolor="#231F20" strokeweight="0.57pt" coordsize="9637,12" coordorigin="0,0" path="m0,5l9637,5e">
            <v:stroke joinstyle="miter" miterlimit="4"/>
          </v:shape>
        </w:pict>
      </w:r>
      <w:r>
        <w:pict>
          <v:shape id="_x0000_s28" style="position:absolute;margin-left:36.4274pt;margin-top:164.416pt;mso-position-vertical-relative:text;mso-position-horizontal-relative:text;width:23.75pt;height:20.9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0"/>
                    <w:spacing w:before="20" w:line="155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7"/>
                      <w:position w:val="-1"/>
                    </w:rPr>
                    <w:t>评分</w:t>
                  </w:r>
                </w:p>
                <w:p>
                  <w:pPr>
                    <w:pStyle w:val="BodyText"/>
                    <w:ind w:left="20"/>
                    <w:spacing w:line="20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2"/>
                    </w:rPr>
                    <w:t>（分）</w:t>
                  </w:r>
                </w:p>
              </w:txbxContent>
            </v:textbox>
          </v:shape>
        </w:pict>
      </w:r>
      <w:r>
        <w:rPr>
          <w:color w:val="231F20"/>
          <w:spacing w:val="17"/>
        </w:rPr>
        <w:t>妊娠合并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color w:val="231F20"/>
          <w:spacing w:val="17"/>
        </w:rPr>
        <w:t>患者的治疗目的是降低孕妇妊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娠期的出血风险，降低围分娩期区域阻滞麻醉及分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娩期出血的风险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。关于治疗指征，因缺乏相关随机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对照试验研究证据支持，目前国际指南中多参考非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妊娠期的标准制定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。</w:t>
      </w:r>
      <w:r>
        <w:rPr>
          <w:rFonts w:ascii="Times New Roman" w:hAnsi="Times New Roman" w:eastAsia="Times New Roman" w:cs="Times New Roman"/>
          <w:color w:val="231F20"/>
          <w:spacing w:val="6"/>
        </w:rPr>
        <w:t>2019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6"/>
        </w:rPr>
        <w:t>年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ACOG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6"/>
        </w:rPr>
        <w:t>及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2020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6"/>
        </w:rPr>
        <w:t>年</w:t>
      </w:r>
      <w:r>
        <w:rPr>
          <w:color w:val="231F20"/>
          <w:spacing w:val="5"/>
        </w:rPr>
        <w:t>中国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13"/>
        </w:rPr>
        <w:t>诊疗指南均建议，有出血症状或血小板计数</w:t>
      </w:r>
      <w:r>
        <w:rPr>
          <w:rFonts w:ascii="Times New Roman" w:hAnsi="Times New Roman" w:eastAsia="Times New Roman" w:cs="Times New Roman"/>
          <w:color w:val="231F20"/>
          <w:spacing w:val="13"/>
        </w:rPr>
        <w:t>&lt;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30×10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2"/>
        </w:rPr>
        <w:t>/L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2"/>
        </w:rPr>
        <w:t>者需接受治疗</w:t>
      </w:r>
      <w:r>
        <w:rPr>
          <w:sz w:val="10"/>
          <w:szCs w:val="10"/>
          <w:color w:val="231F20"/>
          <w:spacing w:val="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13‑14</w:t>
      </w:r>
      <w:r>
        <w:rPr>
          <w:sz w:val="10"/>
          <w:szCs w:val="10"/>
          <w:color w:val="231F20"/>
          <w:spacing w:val="2"/>
          <w:position w:val="8"/>
        </w:rPr>
        <w:t>］</w:t>
      </w:r>
      <w:r>
        <w:rPr>
          <w:color w:val="231F20"/>
          <w:spacing w:val="2"/>
        </w:rPr>
        <w:t>。</w:t>
      </w:r>
      <w:r>
        <w:rPr>
          <w:rFonts w:ascii="Times New Roman" w:hAnsi="Times New Roman" w:eastAsia="Times New Roman" w:cs="Times New Roman"/>
          <w:color w:val="231F20"/>
          <w:spacing w:val="2"/>
        </w:rPr>
        <w:t>2019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2"/>
        </w:rPr>
        <w:t>年更新版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国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际共识</w:t>
      </w:r>
      <w:r>
        <w:rPr>
          <w:sz w:val="10"/>
          <w:szCs w:val="10"/>
          <w:color w:val="231F20"/>
          <w:spacing w:val="-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2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1"/>
        </w:rPr>
        <w:t>认为，如果妊娠期血小板计数稳定在</w:t>
      </w: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20~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64" w:firstLine="4"/>
        <w:spacing w:before="51" w:line="222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13"/>
        </w:rPr>
        <w:t>30</w:t>
      </w:r>
      <w:r>
        <w:rPr>
          <w:color w:val="231F20"/>
          <w:spacing w:val="-13"/>
        </w:rPr>
        <w:t>）</w:t>
      </w:r>
      <w:r>
        <w:rPr>
          <w:rFonts w:ascii="Times New Roman" w:hAnsi="Times New Roman" w:eastAsia="Times New Roman" w:cs="Times New Roman"/>
          <w:color w:val="231F20"/>
          <w:spacing w:val="-13"/>
        </w:rPr>
        <w:t>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2"/>
        </w:rPr>
        <w:t>/L</w:t>
      </w:r>
      <w:r>
        <w:rPr>
          <w:color w:val="231F20"/>
          <w:spacing w:val="2"/>
        </w:rPr>
        <w:t>、无出血症状的患者可以观察；为防止严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重出血事件的发生，血小板计数</w:t>
      </w:r>
      <w:r>
        <w:rPr>
          <w:rFonts w:ascii="Times New Roman" w:hAnsi="Times New Roman" w:eastAsia="Times New Roman" w:cs="Times New Roman"/>
          <w:color w:val="231F20"/>
          <w:spacing w:val="8"/>
        </w:rPr>
        <w:t>&lt;20×10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8"/>
        </w:rPr>
        <w:t>/L </w:t>
      </w:r>
      <w:r>
        <w:rPr>
          <w:color w:val="231F20"/>
          <w:spacing w:val="8"/>
        </w:rPr>
        <w:t>时需要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5"/>
        </w:rPr>
        <w:t>接受治疗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5"/>
        </w:rPr>
        <w:t>。考虑到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5"/>
        </w:rPr>
        <w:t>病情常随孕周增加而加重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的临床特点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3"/>
        </w:rPr>
        <w:t>，本共识建议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3"/>
        </w:rPr>
        <w:t>，妊娠早期以血小板计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数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&lt;20×10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5"/>
        </w:rPr>
        <w:t>/L</w:t>
      </w:r>
      <w:r>
        <w:rPr>
          <w:color w:val="231F20"/>
          <w:spacing w:val="5"/>
        </w:rPr>
        <w:t>、妊娠中晚期以血小板计数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&lt;30×10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5"/>
        </w:rPr>
        <w:t>/L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14"/>
        </w:rPr>
        <w:t>或伴有出血症状作为治疗指征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。对于近期需</w:t>
      </w:r>
      <w:r>
        <w:rPr>
          <w:color w:val="231F20"/>
          <w:spacing w:val="13"/>
        </w:rPr>
        <w:t>要接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受有创性操作或分娩的患者，血小板计数</w:t>
      </w:r>
      <w:r>
        <w:rPr>
          <w:rFonts w:ascii="Times New Roman" w:hAnsi="Times New Roman" w:eastAsia="Times New Roman" w:cs="Times New Roman"/>
          <w:color w:val="231F20"/>
          <w:spacing w:val="3"/>
        </w:rPr>
        <w:t>&lt;5</w:t>
      </w:r>
      <w:r>
        <w:rPr>
          <w:rFonts w:ascii="Times New Roman" w:hAnsi="Times New Roman" w:eastAsia="Times New Roman" w:cs="Times New Roman"/>
          <w:color w:val="231F20"/>
          <w:spacing w:val="2"/>
        </w:rPr>
        <w:t>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2"/>
        </w:rPr>
        <w:t>/L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4"/>
        </w:rPr>
        <w:t>者也可考虑接受短期治疗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。治疗分为一线治疗、二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线治疗、输注血小板治疗及紧急治疗。</w:t>
      </w:r>
    </w:p>
    <w:p>
      <w:pPr>
        <w:pStyle w:val="BodyText"/>
        <w:ind w:left="1" w:right="66" w:firstLine="438"/>
        <w:spacing w:before="1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1.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color w:val="231F20"/>
          <w:spacing w:val="13"/>
        </w:rPr>
        <w:t>一线治疗：一线治疗药物为糖皮质激素及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IVIg</w:t>
      </w:r>
      <w:r>
        <w:rPr>
          <w:sz w:val="10"/>
          <w:szCs w:val="10"/>
          <w:color w:val="231F20"/>
          <w:spacing w:val="6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>2</w:t>
      </w:r>
      <w:r>
        <w:rPr>
          <w:sz w:val="10"/>
          <w:szCs w:val="10"/>
          <w:color w:val="231F20"/>
          <w:spacing w:val="6"/>
          <w:position w:val="8"/>
        </w:rPr>
        <w:t>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>13‑14</w:t>
      </w:r>
      <w:r>
        <w:rPr>
          <w:sz w:val="10"/>
          <w:szCs w:val="10"/>
          <w:color w:val="231F20"/>
          <w:spacing w:val="6"/>
          <w:position w:val="8"/>
        </w:rPr>
        <w:t>］</w:t>
      </w:r>
      <w:r>
        <w:rPr>
          <w:color w:val="231F20"/>
          <w:spacing w:val="6"/>
        </w:rPr>
        <w:t>。药物的选择应考虑到患者的血小板计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数、是否伴发出血症状以及患者的个体情况。</w:t>
      </w:r>
    </w:p>
    <w:p>
      <w:pPr>
        <w:pStyle w:val="BodyText"/>
        <w:ind w:firstLine="338"/>
        <w:spacing w:before="62" w:line="222" w:lineRule="auto"/>
        <w:jc w:val="both"/>
        <w:rPr/>
      </w:pPr>
      <w:r>
        <w:rPr>
          <w:color w:val="231F20"/>
          <w:spacing w:val="2"/>
        </w:rPr>
        <w:t>（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</w:t>
      </w:r>
      <w:r>
        <w:rPr>
          <w:color w:val="231F20"/>
          <w:spacing w:val="2"/>
        </w:rPr>
        <w:t>）糖皮质激素：推荐使用口服泼尼松或泼尼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松龙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</w:t>
      </w:r>
      <w:r>
        <w:rPr>
          <w:rFonts w:ascii="Times New Roman" w:hAnsi="Times New Roman" w:eastAsia="Times New Roman" w:cs="Times New Roman"/>
          <w:color w:val="231F20"/>
          <w:spacing w:val="4"/>
        </w:rPr>
        <w:t>2011 </w:t>
      </w:r>
      <w:r>
        <w:rPr>
          <w:color w:val="231F20"/>
          <w:spacing w:val="4"/>
        </w:rPr>
        <w:t>年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ASH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指南</w:t>
      </w:r>
      <w:r>
        <w:rPr>
          <w:sz w:val="10"/>
          <w:szCs w:val="10"/>
          <w:color w:val="231F20"/>
          <w:spacing w:val="4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9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4"/>
        </w:rPr>
        <w:t>推荐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患者</w:t>
      </w:r>
      <w:r>
        <w:rPr>
          <w:color w:val="231F20"/>
          <w:spacing w:val="3"/>
        </w:rPr>
        <w:t>妊娠期泼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尼松的治疗剂量为 </w:t>
      </w:r>
      <w:r>
        <w:rPr>
          <w:rFonts w:ascii="Times New Roman" w:hAnsi="Times New Roman" w:eastAsia="Times New Roman" w:cs="Times New Roman"/>
          <w:color w:val="231F20"/>
          <w:spacing w:val="7"/>
        </w:rPr>
        <w:t>1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·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</w:rPr>
        <w:t>-1</w:t>
      </w:r>
      <w:r>
        <w:rPr>
          <w:rFonts w:ascii="Times New Roman" w:hAnsi="Times New Roman" w:eastAsia="Times New Roman" w:cs="Times New Roman"/>
          <w:color w:val="231F20"/>
          <w:spacing w:val="7"/>
        </w:rPr>
        <w:t>·d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</w:rPr>
        <w:t>-1 </w:t>
      </w:r>
      <w:r>
        <w:rPr>
          <w:color w:val="231F20"/>
          <w:spacing w:val="7"/>
        </w:rPr>
        <w:t>。但回顾性临床研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究显示，妊娠期该剂量糖皮质激素治疗的有效率不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足 </w:t>
      </w:r>
      <w:r>
        <w:rPr>
          <w:rFonts w:ascii="Times New Roman" w:hAnsi="Times New Roman" w:eastAsia="Times New Roman" w:cs="Times New Roman"/>
          <w:color w:val="231F20"/>
          <w:spacing w:val="-3"/>
        </w:rPr>
        <w:t>40%</w:t>
      </w:r>
      <w:r>
        <w:rPr>
          <w:color w:val="231F20"/>
          <w:spacing w:val="-3"/>
        </w:rPr>
        <w:t>，且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增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加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妊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高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压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疾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病 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发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生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风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险</w:t>
      </w:r>
      <w:r>
        <w:rPr>
          <w:sz w:val="10"/>
          <w:szCs w:val="10"/>
          <w:color w:val="231F20"/>
          <w:spacing w:val="-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5‑6</w:t>
      </w:r>
      <w:r>
        <w:rPr>
          <w:sz w:val="10"/>
          <w:szCs w:val="10"/>
          <w:color w:val="231F20"/>
          <w:spacing w:val="-3"/>
          <w:position w:val="8"/>
        </w:rPr>
        <w:t>］</w:t>
      </w:r>
      <w:r>
        <w:rPr>
          <w:color w:val="231F20"/>
          <w:spacing w:val="-3"/>
        </w:rPr>
        <w:t>。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2013 </w:t>
      </w:r>
      <w:r>
        <w:rPr>
          <w:color w:val="231F20"/>
          <w:spacing w:val="-3"/>
        </w:rPr>
        <w:t>年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color w:val="231F20"/>
          <w:spacing w:val="-5"/>
        </w:rPr>
        <w:t>ASH </w:t>
      </w:r>
      <w:r>
        <w:rPr>
          <w:color w:val="231F20"/>
          <w:spacing w:val="-5"/>
        </w:rPr>
        <w:t>提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出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妊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娠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期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采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泼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尼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松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8"/>
        </w:rPr>
        <w:t>0.25~0.50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8"/>
        </w:rPr>
        <w:t>·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</w:rPr>
        <w:t>-1</w:t>
      </w:r>
      <w:r>
        <w:rPr>
          <w:rFonts w:ascii="Times New Roman" w:hAnsi="Times New Roman" w:eastAsia="Times New Roman" w:cs="Times New Roman"/>
          <w:color w:val="231F20"/>
          <w:spacing w:val="8"/>
        </w:rPr>
        <w:t>·d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</w:rPr>
        <w:t>-1</w:t>
      </w:r>
      <w:r>
        <w:rPr>
          <w:color w:val="231F20"/>
          <w:spacing w:val="8"/>
        </w:rPr>
        <w:t>剂量治疗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8"/>
        </w:rPr>
        <w:t>。</w:t>
      </w:r>
      <w:r>
        <w:rPr>
          <w:rFonts w:ascii="Times New Roman" w:hAnsi="Times New Roman" w:eastAsia="Times New Roman" w:cs="Times New Roman"/>
          <w:color w:val="231F20"/>
          <w:spacing w:val="8"/>
        </w:rPr>
        <w:t>2019 </w:t>
      </w:r>
      <w:r>
        <w:rPr>
          <w:color w:val="231F20"/>
          <w:spacing w:val="8"/>
        </w:rPr>
        <w:t>年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ACOG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指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南</w:t>
      </w:r>
      <w:r>
        <w:rPr>
          <w:sz w:val="10"/>
          <w:szCs w:val="10"/>
          <w:color w:val="231F20"/>
          <w:spacing w:val="-6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6"/>
          <w:position w:val="8"/>
        </w:rPr>
        <w:t>13</w:t>
      </w:r>
      <w:r>
        <w:rPr>
          <w:sz w:val="10"/>
          <w:szCs w:val="10"/>
          <w:color w:val="231F20"/>
          <w:spacing w:val="-6"/>
          <w:position w:val="8"/>
        </w:rPr>
        <w:t>］</w:t>
      </w:r>
      <w:r>
        <w:rPr>
          <w:color w:val="231F20"/>
          <w:spacing w:val="-6"/>
        </w:rPr>
        <w:t>推荐泼尼松的起始剂量为</w:t>
      </w:r>
      <w:r>
        <w:rPr>
          <w:rFonts w:ascii="Times New Roman" w:hAnsi="Times New Roman" w:eastAsia="Times New Roman" w:cs="Times New Roman"/>
          <w:color w:val="231F20"/>
          <w:spacing w:val="-6"/>
        </w:rPr>
        <w:t>10~20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mg/d</w:t>
      </w:r>
      <w:r>
        <w:rPr>
          <w:color w:val="231F20"/>
          <w:spacing w:val="-6"/>
        </w:rPr>
        <w:t>，有效后逐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步调整至最小剂量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。参考上述各指南推荐及相关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文献研究依据，考虑到妊娠期孕妇的体重变</w:t>
      </w:r>
      <w:r>
        <w:rPr>
          <w:color w:val="231F20"/>
          <w:spacing w:val="-4"/>
        </w:rPr>
        <w:t>化、激素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使用的安全性、对母儿并发症的影响等综合因素，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本共识推荐妊娠期以泼尼松</w:t>
      </w:r>
      <w:r>
        <w:rPr>
          <w:rFonts w:ascii="Times New Roman" w:hAnsi="Times New Roman" w:eastAsia="Times New Roman" w:cs="Times New Roman"/>
          <w:color w:val="231F20"/>
          <w:spacing w:val="7"/>
        </w:rPr>
        <w:t>0.25~0.50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7"/>
        </w:rPr>
        <w:t>·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</w:rPr>
        <w:t>-1</w:t>
      </w:r>
      <w:r>
        <w:rPr>
          <w:rFonts w:ascii="Times New Roman" w:hAnsi="Times New Roman" w:eastAsia="Times New Roman" w:cs="Times New Roman"/>
          <w:color w:val="231F20"/>
          <w:spacing w:val="7"/>
        </w:rPr>
        <w:t>·d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</w:rPr>
        <w:t>-1</w:t>
      </w:r>
      <w:r>
        <w:rPr>
          <w:color w:val="231F20"/>
          <w:spacing w:val="7"/>
        </w:rPr>
        <w:t>为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起始剂量，并针对妊娠期不同阶段，建议妊娠早期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不 超 过</w:t>
      </w:r>
      <w:r>
        <w:rPr>
          <w:color w:val="231F20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0.25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4"/>
        </w:rPr>
        <w:t>·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</w:rPr>
        <w:t>-1</w:t>
      </w:r>
      <w:r>
        <w:rPr>
          <w:rFonts w:ascii="Times New Roman" w:hAnsi="Times New Roman" w:eastAsia="Times New Roman" w:cs="Times New Roman"/>
          <w:color w:val="231F20"/>
          <w:spacing w:val="4"/>
        </w:rPr>
        <w:t>·d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</w:rPr>
        <w:t>-1</w:t>
      </w:r>
      <w:r>
        <w:rPr>
          <w:color w:val="231F20"/>
          <w:spacing w:val="4"/>
        </w:rPr>
        <w:t>，妊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娠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中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晚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期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不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超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过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</w:rPr>
        <w:t>0.50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3"/>
        </w:rPr>
        <w:t>·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</w:rPr>
        <w:t>-1</w:t>
      </w:r>
      <w:r>
        <w:rPr>
          <w:rFonts w:ascii="Times New Roman" w:hAnsi="Times New Roman" w:eastAsia="Times New Roman" w:cs="Times New Roman"/>
          <w:color w:val="231F20"/>
          <w:spacing w:val="3"/>
        </w:rPr>
        <w:t>·d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</w:rPr>
        <w:t>-1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w w:val="103"/>
        </w:rPr>
        <w:t xml:space="preserve"> </w:t>
      </w:r>
      <w:r>
        <w:rPr>
          <w:color w:val="231F20"/>
          <w:spacing w:val="3"/>
        </w:rPr>
        <w:t>。激素治疗的起效时间多在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4~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14 d</w:t>
      </w:r>
      <w:r>
        <w:rPr>
          <w:color w:val="231F20"/>
          <w:spacing w:val="3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1~4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8"/>
        </w:rPr>
        <w:t>周达高峰，血小板计数上升并稳定后可逐</w:t>
      </w:r>
      <w:r>
        <w:rPr>
          <w:color w:val="231F20"/>
          <w:spacing w:val="7"/>
        </w:rPr>
        <w:t>渐减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量，维持血小板计数</w:t>
      </w:r>
      <w:r>
        <w:rPr>
          <w:rFonts w:ascii="Times New Roman" w:hAnsi="Times New Roman" w:eastAsia="Times New Roman" w:cs="Times New Roman"/>
          <w:color w:val="231F20"/>
          <w:spacing w:val="-1"/>
        </w:rPr>
        <w:t>&gt;30×10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-1"/>
        </w:rPr>
        <w:t>/L </w:t>
      </w:r>
      <w:r>
        <w:rPr>
          <w:color w:val="231F20"/>
          <w:spacing w:val="-1"/>
        </w:rPr>
        <w:t>的最小剂量</w:t>
      </w:r>
      <w:r>
        <w:rPr>
          <w:sz w:val="10"/>
          <w:szCs w:val="10"/>
          <w:color w:val="231F20"/>
          <w:spacing w:val="-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20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。</w:t>
      </w:r>
    </w:p>
    <w:p>
      <w:pPr>
        <w:pStyle w:val="BodyText"/>
        <w:ind w:right="66" w:firstLine="337"/>
        <w:spacing w:line="224" w:lineRule="auto"/>
        <w:jc w:val="both"/>
        <w:rPr/>
      </w:pP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</w:rPr>
        <w:t>2</w:t>
      </w:r>
      <w:r>
        <w:rPr>
          <w:color w:val="231F20"/>
          <w:spacing w:val="-4"/>
        </w:rPr>
        <w:t>）</w:t>
      </w:r>
      <w:r>
        <w:rPr>
          <w:rFonts w:ascii="Times New Roman" w:hAnsi="Times New Roman" w:eastAsia="Times New Roman" w:cs="Times New Roman"/>
          <w:color w:val="231F20"/>
          <w:spacing w:val="-4"/>
        </w:rPr>
        <w:t>IVIg</w:t>
      </w:r>
      <w:r>
        <w:rPr>
          <w:color w:val="231F20"/>
          <w:spacing w:val="-4"/>
        </w:rPr>
        <w:t>：可抑制自身抗体产生，阻断巨噬细胞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1"/>
        </w:rPr>
        <w:t>表面</w:t>
      </w:r>
      <w:r>
        <w:rPr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Fc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1"/>
        </w:rPr>
        <w:t>受体而降低血小板清除率，减少血小板破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。其优点为安全性好、起效快、副作用较少，优于</w:t>
      </w:r>
      <w:r>
        <w:rPr>
          <w:color w:val="231F20"/>
        </w:rPr>
        <w:t xml:space="preserve"> </w:t>
      </w:r>
      <w:r>
        <w:rPr>
          <w:color w:val="231F20"/>
          <w:spacing w:val="29"/>
        </w:rPr>
        <w:t>糖皮质激素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9"/>
        </w:rPr>
        <w:t>，但药物价格较高 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9"/>
        </w:rPr>
        <w:t>常用剂量为</w:t>
      </w:r>
    </w:p>
    <w:p>
      <w:pPr>
        <w:spacing w:line="224" w:lineRule="auto"/>
        <w:sectPr>
          <w:type w:val="continuous"/>
          <w:pgSz w:w="12246" w:h="16498"/>
          <w:pgMar w:top="1212" w:right="1239" w:bottom="0" w:left="819" w:header="971" w:footer="0" w:gutter="0"/>
          <w:cols w:equalWidth="0" w:num="2">
            <w:col w:w="5491" w:space="100"/>
            <w:col w:w="4595" w:space="0"/>
          </w:cols>
        </w:sectPr>
        <w:rPr/>
      </w:pPr>
    </w:p>
    <w:p>
      <w:pPr>
        <w:pStyle w:val="BodyText"/>
        <w:ind w:left="3932"/>
        <w:spacing w:before="79" w:line="208" w:lineRule="auto"/>
        <w:rPr>
          <w:sz w:val="17"/>
          <w:szCs w:val="17"/>
        </w:rPr>
      </w:pPr>
      <w:r>
        <w:pict>
          <v:shape id="_x0000_s30" style="position:absolute;margin-left:24.3858pt;margin-top:-545.204pt;mso-position-vertical-relative:text;mso-position-horizontal-relative:text;width:319.45pt;height:0.4pt;z-index:251676672;" filled="false" strokecolor="#231F20" strokeweight="0.37pt" coordsize="6389,8" coordorigin="0,0" path="m0,3l6388,3e">
            <v:stroke joinstyle="miter" miterlimit="4"/>
          </v:shape>
        </w:pic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3    </w:t>
      </w:r>
      <w:r>
        <w:rPr>
          <w:sz w:val="17"/>
          <w:szCs w:val="17"/>
          <w:color w:val="231F20"/>
          <w:spacing w:val="6"/>
        </w:rPr>
        <w:t>妊娠期</w:t>
      </w:r>
      <w:r>
        <w:rPr>
          <w:sz w:val="17"/>
          <w:szCs w:val="17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ITP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6"/>
        </w:rPr>
        <w:t>出血评分改良系统</w:t>
      </w:r>
    </w:p>
    <w:p>
      <w:pPr>
        <w:spacing w:line="54" w:lineRule="exact"/>
        <w:rPr/>
      </w:pPr>
      <w:r/>
    </w:p>
    <w:tbl>
      <w:tblPr>
        <w:tblStyle w:val="TableNormal"/>
        <w:tblW w:w="8674" w:type="dxa"/>
        <w:tblInd w:w="144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50"/>
        <w:gridCol w:w="904"/>
        <w:gridCol w:w="1977"/>
        <w:gridCol w:w="2882"/>
        <w:gridCol w:w="961"/>
      </w:tblGrid>
      <w:tr>
        <w:trPr>
          <w:trHeight w:val="416" w:hRule="atLeast"/>
        </w:trPr>
        <w:tc>
          <w:tcPr>
            <w:tcW w:w="1950" w:type="dxa"/>
            <w:vAlign w:val="top"/>
            <w:tcBorders>
              <w:left w:val="single" w:color="FFFFFF" w:sz="22" w:space="0"/>
              <w:right w:val="single" w:color="FFFFFF" w:sz="22" w:space="0"/>
              <w:bottom w:val="single" w:color="231F20" w:sz="2" w:space="0"/>
            </w:tcBorders>
          </w:tcPr>
          <w:p>
            <w:pPr>
              <w:pStyle w:val="TableText"/>
              <w:ind w:left="621"/>
              <w:spacing w:before="46" w:line="154" w:lineRule="exact"/>
              <w:rPr/>
            </w:pPr>
            <w:r>
              <w:rPr>
                <w:color w:val="231F20"/>
                <w:spacing w:val="8"/>
                <w:position w:val="-1"/>
              </w:rPr>
              <w:t>皮下出血</w:t>
            </w:r>
          </w:p>
          <w:p>
            <w:pPr>
              <w:pStyle w:val="TableText"/>
              <w:ind w:left="239"/>
              <w:spacing w:line="191" w:lineRule="auto"/>
              <w:rPr/>
            </w:pPr>
            <w:r>
              <w:rPr>
                <w:color w:val="231F20"/>
                <w:spacing w:val="-10"/>
              </w:rPr>
              <w:t>（瘀点、瘀斑、血肿）</w:t>
            </w:r>
          </w:p>
        </w:tc>
        <w:tc>
          <w:tcPr>
            <w:tcW w:w="2881" w:type="dxa"/>
            <w:vAlign w:val="top"/>
            <w:gridSpan w:val="2"/>
            <w:tcBorders>
              <w:left w:val="single" w:color="FFFFFF" w:sz="22" w:space="0"/>
              <w:right w:val="single" w:color="FFFFFF" w:sz="22" w:space="0"/>
              <w:bottom w:val="single" w:color="231F20" w:sz="2" w:space="0"/>
            </w:tcBorders>
          </w:tcPr>
          <w:p>
            <w:pPr>
              <w:pStyle w:val="TableText"/>
              <w:ind w:left="1083"/>
              <w:spacing w:before="45" w:line="155" w:lineRule="exact"/>
              <w:rPr/>
            </w:pPr>
            <w:r>
              <w:rPr>
                <w:color w:val="231F20"/>
                <w:spacing w:val="7"/>
                <w:position w:val="-1"/>
              </w:rPr>
              <w:t>黏膜出血</w:t>
            </w:r>
          </w:p>
          <w:p>
            <w:pPr>
              <w:pStyle w:val="TableText"/>
              <w:ind w:left="339"/>
              <w:spacing w:line="191" w:lineRule="auto"/>
              <w:rPr/>
            </w:pPr>
            <w:r>
              <w:rPr>
                <w:color w:val="231F20"/>
                <w:spacing w:val="-9"/>
              </w:rPr>
              <w:t>（鼻腔、齿龈、口腔血疱、结膜）</w:t>
            </w:r>
          </w:p>
        </w:tc>
        <w:tc>
          <w:tcPr>
            <w:tcW w:w="3843" w:type="dxa"/>
            <w:vAlign w:val="top"/>
            <w:gridSpan w:val="2"/>
            <w:tcBorders>
              <w:left w:val="single" w:color="FFFFFF" w:sz="22" w:space="0"/>
              <w:bottom w:val="single" w:color="231F20" w:sz="2" w:space="0"/>
            </w:tcBorders>
          </w:tcPr>
          <w:p>
            <w:pPr>
              <w:pStyle w:val="TableText"/>
              <w:ind w:left="1414"/>
              <w:spacing w:before="124" w:line="185" w:lineRule="auto"/>
              <w:rPr/>
            </w:pPr>
            <w:r>
              <w:rPr>
                <w:color w:val="231F20"/>
                <w:spacing w:val="8"/>
              </w:rPr>
              <w:t>深部器官出血</w:t>
            </w:r>
          </w:p>
        </w:tc>
      </w:tr>
      <w:tr>
        <w:trPr>
          <w:trHeight w:val="268" w:hRule="atLeast"/>
        </w:trPr>
        <w:tc>
          <w:tcPr>
            <w:tcW w:w="1950" w:type="dxa"/>
            <w:vAlign w:val="top"/>
            <w:vMerge w:val="restart"/>
            <w:tcBorders>
              <w:left w:val="single" w:color="FFFFFF" w:sz="22" w:space="0"/>
              <w:right w:val="single" w:color="FFFFFF" w:sz="22" w:space="0"/>
              <w:top w:val="single" w:color="231F20" w:sz="2" w:space="0"/>
              <w:bottom w:val="nil"/>
            </w:tcBorders>
          </w:tcPr>
          <w:p>
            <w:pPr>
              <w:pStyle w:val="TableText"/>
              <w:ind w:left="222"/>
              <w:spacing w:before="192" w:line="186" w:lineRule="auto"/>
              <w:rPr/>
            </w:pPr>
            <w:r>
              <w:rPr>
                <w:color w:val="231F20"/>
                <w:spacing w:val="7"/>
              </w:rPr>
              <w:t>头面部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7"/>
              </w:rPr>
              <w:t>其他部位</w:t>
            </w:r>
          </w:p>
        </w:tc>
        <w:tc>
          <w:tcPr>
            <w:tcW w:w="904" w:type="dxa"/>
            <w:vAlign w:val="top"/>
            <w:vMerge w:val="restart"/>
            <w:tcBorders>
              <w:left w:val="single" w:color="FFFFFF" w:sz="22" w:space="0"/>
              <w:top w:val="single" w:color="231F20" w:sz="2" w:space="0"/>
              <w:bottom w:val="nil"/>
            </w:tcBorders>
          </w:tcPr>
          <w:p>
            <w:pPr>
              <w:pStyle w:val="TableText"/>
              <w:ind w:left="235"/>
              <w:spacing w:before="109" w:line="161" w:lineRule="auto"/>
              <w:rPr/>
            </w:pPr>
            <w:r>
              <w:rPr>
                <w:color w:val="231F20"/>
                <w:spacing w:val="5"/>
              </w:rPr>
              <w:t>偶发、</w:t>
            </w:r>
          </w:p>
          <w:p>
            <w:pPr>
              <w:pStyle w:val="TableText"/>
              <w:ind w:left="199"/>
              <w:spacing w:line="177" w:lineRule="auto"/>
              <w:rPr/>
            </w:pPr>
            <w:r>
              <w:rPr>
                <w:color w:val="231F20"/>
                <w:spacing w:val="7"/>
              </w:rPr>
              <w:t>可自止</w:t>
            </w:r>
          </w:p>
        </w:tc>
        <w:tc>
          <w:tcPr>
            <w:tcW w:w="1977" w:type="dxa"/>
            <w:vAlign w:val="top"/>
            <w:vMerge w:val="restart"/>
            <w:tcBorders>
              <w:right w:val="single" w:color="FFFFFF" w:sz="22" w:space="0"/>
              <w:top w:val="single" w:color="231F20" w:sz="2" w:space="0"/>
              <w:bottom w:val="nil"/>
            </w:tcBorders>
          </w:tcPr>
          <w:p>
            <w:pPr>
              <w:pStyle w:val="TableText"/>
              <w:ind w:left="169"/>
              <w:spacing w:before="191" w:line="187" w:lineRule="auto"/>
              <w:rPr/>
            </w:pPr>
            <w:r>
              <w:rPr>
                <w:color w:val="231F20"/>
                <w:spacing w:val="-2"/>
              </w:rPr>
              <w:t>多发、难止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伴贫血</w:t>
            </w:r>
          </w:p>
        </w:tc>
        <w:tc>
          <w:tcPr>
            <w:tcW w:w="2882" w:type="dxa"/>
            <w:vAlign w:val="top"/>
            <w:tcBorders>
              <w:left w:val="single" w:color="FFFFFF" w:sz="22" w:space="0"/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8"/>
              <w:spacing w:before="53" w:line="191" w:lineRule="auto"/>
              <w:rPr/>
            </w:pPr>
            <w:r>
              <w:rPr>
                <w:color w:val="231F20"/>
                <w:spacing w:val="-8"/>
              </w:rPr>
              <w:t>内脏（肺、胃肠道、泌尿生殖系统）</w:t>
            </w:r>
          </w:p>
        </w:tc>
        <w:tc>
          <w:tcPr>
            <w:tcW w:w="961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pStyle w:val="TableText"/>
              <w:ind w:left="180"/>
              <w:spacing w:before="112" w:line="162" w:lineRule="exact"/>
              <w:rPr/>
            </w:pPr>
            <w:r>
              <w:rPr>
                <w:color w:val="231F20"/>
                <w:spacing w:val="4"/>
              </w:rPr>
              <w:t>中枢神经</w:t>
            </w:r>
          </w:p>
          <w:p>
            <w:pPr>
              <w:pStyle w:val="TableText"/>
              <w:ind w:left="330"/>
              <w:spacing w:line="182" w:lineRule="auto"/>
              <w:rPr/>
            </w:pPr>
            <w:r>
              <w:rPr>
                <w:color w:val="231F20"/>
                <w:spacing w:val="3"/>
              </w:rPr>
              <w:t>系统</w:t>
            </w:r>
          </w:p>
        </w:tc>
      </w:tr>
      <w:tr>
        <w:trPr>
          <w:trHeight w:val="254" w:hRule="atLeast"/>
        </w:trPr>
        <w:tc>
          <w:tcPr>
            <w:tcW w:w="1950" w:type="dxa"/>
            <w:vAlign w:val="top"/>
            <w:vMerge w:val="continue"/>
            <w:tcBorders>
              <w:left w:val="single" w:color="FFFFFF" w:sz="22" w:space="0"/>
              <w:right w:val="single" w:color="FFFFFF" w:sz="2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4" w:type="dxa"/>
            <w:vAlign w:val="top"/>
            <w:vMerge w:val="continue"/>
            <w:tcBorders>
              <w:left w:val="single" w:color="FFFFFF" w:sz="2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7" w:type="dxa"/>
            <w:vAlign w:val="top"/>
            <w:vMerge w:val="continue"/>
            <w:tcBorders>
              <w:right w:val="single" w:color="FFFFFF" w:sz="2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82" w:type="dxa"/>
            <w:vAlign w:val="top"/>
            <w:tcBorders>
              <w:left w:val="single" w:color="FFFFFF" w:sz="22" w:space="0"/>
              <w:top w:val="single" w:color="231F20" w:sz="2" w:space="0"/>
            </w:tcBorders>
          </w:tcPr>
          <w:p>
            <w:pPr>
              <w:pStyle w:val="TableText"/>
              <w:ind w:left="206"/>
              <w:spacing w:before="55" w:line="176" w:lineRule="auto"/>
              <w:rPr/>
            </w:pPr>
            <w:r>
              <w:rPr>
                <w:color w:val="231F20"/>
                <w:spacing w:val="8"/>
              </w:rPr>
              <w:t>无贫血</w:t>
            </w:r>
            <w:r>
              <w:rPr>
                <w:color w:val="231F20"/>
              </w:rPr>
              <w:t xml:space="preserve">           </w:t>
            </w:r>
            <w:r>
              <w:rPr>
                <w:color w:val="231F20"/>
                <w:spacing w:val="8"/>
              </w:rPr>
              <w:t>伴贫血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8"/>
              </w:rPr>
              <w:t>危及生命</w:t>
            </w:r>
          </w:p>
        </w:tc>
        <w:tc>
          <w:tcPr>
            <w:tcW w:w="96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2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637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2"/>
        <w:gridCol w:w="967"/>
        <w:gridCol w:w="964"/>
        <w:gridCol w:w="1927"/>
        <w:gridCol w:w="964"/>
        <w:gridCol w:w="964"/>
        <w:gridCol w:w="1927"/>
        <w:gridCol w:w="962"/>
      </w:tblGrid>
      <w:tr>
        <w:trPr>
          <w:trHeight w:val="269" w:hRule="atLeast"/>
        </w:trPr>
        <w:tc>
          <w:tcPr>
            <w:tcW w:w="9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60"/>
              <w:spacing w:before="82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</w:t>
            </w:r>
          </w:p>
        </w:tc>
        <w:tc>
          <w:tcPr>
            <w:tcW w:w="96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41"/>
              <w:spacing w:before="30" w:line="19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  <w:position w:val="-1"/>
              </w:rPr>
              <w:t>√</w:t>
            </w:r>
          </w:p>
        </w:tc>
        <w:tc>
          <w:tcPr>
            <w:tcW w:w="192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6" w:hRule="atLeast"/>
        </w:trPr>
        <w:tc>
          <w:tcPr>
            <w:tcW w:w="9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48"/>
              <w:spacing w:before="82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2</w:t>
            </w:r>
          </w:p>
        </w:tc>
        <w:tc>
          <w:tcPr>
            <w:tcW w:w="96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44"/>
              <w:spacing w:before="29" w:line="19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  <w:position w:val="-1"/>
              </w:rPr>
              <w:t>√</w:t>
            </w:r>
          </w:p>
        </w:tc>
        <w:tc>
          <w:tcPr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41"/>
              <w:spacing w:before="29" w:line="19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  <w:position w:val="-1"/>
              </w:rPr>
              <w:t>√</w:t>
            </w:r>
          </w:p>
        </w:tc>
        <w:tc>
          <w:tcPr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7" w:hRule="atLeast"/>
        </w:trPr>
        <w:tc>
          <w:tcPr>
            <w:tcW w:w="9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50"/>
              <w:spacing w:before="84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3</w:t>
            </w:r>
          </w:p>
        </w:tc>
        <w:tc>
          <w:tcPr>
            <w:tcW w:w="96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404"/>
              <w:spacing w:before="31" w:line="19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  <w:position w:val="-1"/>
              </w:rPr>
              <w:t>√</w:t>
            </w:r>
          </w:p>
        </w:tc>
        <w:tc>
          <w:tcPr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41"/>
              <w:spacing w:before="31" w:line="19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  <w:position w:val="-1"/>
              </w:rPr>
              <w:t>√</w:t>
            </w:r>
          </w:p>
        </w:tc>
        <w:tc>
          <w:tcPr>
            <w:tcW w:w="192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6" w:hRule="atLeast"/>
        </w:trPr>
        <w:tc>
          <w:tcPr>
            <w:tcW w:w="9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48"/>
              <w:spacing w:before="84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5</w:t>
            </w:r>
          </w:p>
        </w:tc>
        <w:tc>
          <w:tcPr>
            <w:tcW w:w="96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41"/>
              <w:spacing w:before="33" w:line="19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  <w:position w:val="-1"/>
              </w:rPr>
              <w:t>√</w:t>
            </w:r>
          </w:p>
        </w:tc>
        <w:tc>
          <w:tcPr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41"/>
              <w:spacing w:before="33" w:line="19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  <w:position w:val="-1"/>
              </w:rPr>
              <w:t>√</w:t>
            </w:r>
          </w:p>
        </w:tc>
        <w:tc>
          <w:tcPr>
            <w:tcW w:w="9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2" w:hRule="atLeast"/>
        </w:trPr>
        <w:tc>
          <w:tcPr>
            <w:tcW w:w="962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ind w:left="452"/>
              <w:spacing w:before="88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8</w:t>
            </w:r>
          </w:p>
        </w:tc>
        <w:tc>
          <w:tcPr>
            <w:tcW w:w="967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4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7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4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4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7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ind w:left="1405"/>
              <w:spacing w:before="35" w:line="19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  <w:position w:val="-1"/>
              </w:rPr>
              <w:t>√</w:t>
            </w:r>
          </w:p>
        </w:tc>
        <w:tc>
          <w:tcPr>
            <w:tcW w:w="962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ind w:left="441"/>
              <w:spacing w:before="35" w:line="19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  <w:position w:val="-1"/>
              </w:rPr>
              <w:t>√</w:t>
            </w:r>
          </w:p>
        </w:tc>
      </w:tr>
    </w:tbl>
    <w:p>
      <w:pPr>
        <w:pStyle w:val="BodyText"/>
        <w:ind w:left="812"/>
        <w:spacing w:before="79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注：基于妊娠期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ITP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7"/>
        </w:rPr>
        <w:t>患者为育龄期女性，评分系统去除年龄评分；对于</w:t>
      </w:r>
      <w:r>
        <w:rPr>
          <w:sz w:val="15"/>
          <w:szCs w:val="15"/>
          <w:color w:val="231F20"/>
          <w:spacing w:val="6"/>
        </w:rPr>
        <w:t>伴贫血者进行评分时需鉴别妊娠期贫血的原因；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ITP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6"/>
        </w:rPr>
        <w:t>表示原发免疫</w:t>
      </w:r>
    </w:p>
    <w:p>
      <w:pPr>
        <w:pStyle w:val="BodyText"/>
        <w:ind w:left="488"/>
        <w:spacing w:before="42" w:line="148" w:lineRule="exact"/>
        <w:rPr>
          <w:sz w:val="15"/>
          <w:szCs w:val="15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70017</wp:posOffset>
            </wp:positionV>
            <wp:extent cx="2805668" cy="30421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9"/>
          <w:position w:val="-1"/>
        </w:rPr>
        <w:t>性血小板减少症</w:t>
      </w:r>
    </w:p>
    <w:p>
      <w:pPr>
        <w:spacing w:line="148" w:lineRule="exact"/>
        <w:sectPr>
          <w:type w:val="continuous"/>
          <w:pgSz w:w="12246" w:h="16498"/>
          <w:pgMar w:top="1212" w:right="1239" w:bottom="0" w:left="819" w:header="971" w:footer="0" w:gutter="0"/>
          <w:cols w:equalWidth="0" w:num="1">
            <w:col w:w="10186" w:space="0"/>
          </w:cols>
        </w:sectPr>
        <w:rPr>
          <w:sz w:val="15"/>
          <w:szCs w:val="15"/>
        </w:rPr>
      </w:pPr>
    </w:p>
    <w:p>
      <w:pPr>
        <w:spacing w:before="43"/>
        <w:rPr/>
      </w:pPr>
      <w:r>
        <w:pict>
          <v:shape id="_x0000_s36" style="position:absolute;margin-left:227.684pt;margin-top:59.6176pt;mso-position-vertical-relative:page;mso-position-horizontal-relative:page;width:319.45pt;height:0.4pt;z-index:251679744;" o:allowincell="f" filled="false" strokecolor="#231F20" strokeweight="0.37pt" coordsize="6389,8" coordorigin="0,0" path="m0,3l6388,3e">
            <v:stroke joinstyle="miter" miterlimit="4"/>
          </v:shape>
        </w:pict>
      </w:r>
      <w:r/>
    </w:p>
    <w:p>
      <w:pPr>
        <w:sectPr>
          <w:headerReference w:type="default" r:id="rId7"/>
          <w:pgSz w:w="12246" w:h="16498"/>
          <w:pgMar w:top="1212" w:right="1239" w:bottom="0" w:left="819" w:header="971" w:footer="0" w:gutter="0"/>
          <w:cols w:equalWidth="0" w:num="1">
            <w:col w:w="10186" w:space="0"/>
          </w:cols>
        </w:sectPr>
        <w:rPr/>
      </w:pPr>
    </w:p>
    <w:p>
      <w:pPr>
        <w:pStyle w:val="BodyText"/>
        <w:ind w:left="488" w:right="395"/>
        <w:spacing w:before="38" w:line="219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400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4"/>
        </w:rPr>
        <w:t>·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</w:rPr>
        <w:t>-1</w:t>
      </w:r>
      <w:r>
        <w:rPr>
          <w:rFonts w:ascii="Times New Roman" w:hAnsi="Times New Roman" w:eastAsia="Times New Roman" w:cs="Times New Roman"/>
          <w:color w:val="231F20"/>
          <w:spacing w:val="4"/>
        </w:rPr>
        <w:t>·d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</w:rPr>
        <w:t>-1</w:t>
      </w:r>
      <w:r>
        <w:rPr>
          <w:color w:val="231F20"/>
          <w:spacing w:val="4"/>
        </w:rPr>
        <w:t>，连续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3~5 d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4"/>
        </w:rPr>
        <w:t>。治疗起效时间多为 </w:t>
      </w:r>
      <w:r>
        <w:rPr>
          <w:rFonts w:ascii="Times New Roman" w:hAnsi="Times New Roman" w:eastAsia="Times New Roman" w:cs="Times New Roman"/>
          <w:color w:val="231F20"/>
          <w:spacing w:val="4"/>
        </w:rPr>
        <w:t>1~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3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</w:t>
      </w:r>
      <w:r>
        <w:rPr>
          <w:color w:val="231F20"/>
          <w:spacing w:val="-1"/>
        </w:rPr>
        <w:t>，起效高峰在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2~7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</w:t>
      </w:r>
      <w:r>
        <w:rPr>
          <w:color w:val="231F20"/>
          <w:spacing w:val="-1"/>
        </w:rPr>
        <w:t>，但疗效维持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2~4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-1"/>
        </w:rPr>
        <w:t>周后血小板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计数可降至治疗前水平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目前，文献报道的妊娠期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IVIg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4"/>
        </w:rPr>
        <w:t>治疗的有效率为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39%~56%</w:t>
      </w:r>
      <w:r>
        <w:rPr>
          <w:sz w:val="10"/>
          <w:szCs w:val="10"/>
          <w:color w:val="231F20"/>
          <w:spacing w:val="4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5‑6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32"/>
          <w:w w:val="53"/>
        </w:rPr>
        <w:t>，</w:t>
      </w:r>
      <w:r>
        <w:rPr>
          <w:color w:val="231F20"/>
          <w:spacing w:val="4"/>
        </w:rPr>
        <w:t>低于非妊娠期。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推荐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IVIg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3"/>
        </w:rPr>
        <w:t>治疗适用于激素治疗效果不佳、有严重不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良反应或血小板计数严重减少并伴出血症状需要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紧急提高血小板水平的患者，或者分娩前使用以期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快速在短期内提高血小板计数后实施计划分娩。</w:t>
      </w:r>
    </w:p>
    <w:p>
      <w:pPr>
        <w:pStyle w:val="BodyText"/>
        <w:ind w:left="489" w:right="395" w:firstLine="422"/>
        <w:spacing w:before="49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8"/>
        </w:rPr>
        <w:t>2.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color w:val="231F20"/>
          <w:spacing w:val="8"/>
        </w:rPr>
        <w:t>二线治疗：对于一线治疗失败的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患者，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可采取的进一步治疗措施包括</w:t>
      </w:r>
      <w:r>
        <w:rPr>
          <w:color w:val="231F20"/>
          <w:spacing w:val="-42"/>
          <w:w w:val="77"/>
        </w:rPr>
        <w:t>：（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1</w:t>
      </w:r>
      <w:r>
        <w:rPr>
          <w:color w:val="231F20"/>
          <w:spacing w:val="8"/>
        </w:rPr>
        <w:t>）糖皮质激素联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合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IVIg</w:t>
      </w:r>
      <w:r>
        <w:rPr>
          <w:color w:val="231F20"/>
          <w:spacing w:val="5"/>
        </w:rPr>
        <w:t>：可作为二线治疗方案首选，对部分难治性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患者仍然有效，药物使用剂量同一线治疗</w:t>
      </w:r>
      <w:r>
        <w:rPr>
          <w:sz w:val="10"/>
          <w:szCs w:val="10"/>
          <w:color w:val="231F20"/>
          <w:spacing w:val="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2</w:t>
      </w:r>
      <w:r>
        <w:rPr>
          <w:sz w:val="10"/>
          <w:szCs w:val="10"/>
          <w:color w:val="231F20"/>
          <w:spacing w:val="2"/>
          <w:position w:val="8"/>
        </w:rPr>
        <w:t>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5</w:t>
      </w:r>
      <w:r>
        <w:rPr>
          <w:sz w:val="10"/>
          <w:szCs w:val="10"/>
          <w:color w:val="231F20"/>
          <w:spacing w:val="2"/>
          <w:position w:val="8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left="488" w:right="392" w:hanging="81"/>
        <w:spacing w:before="40" w:line="218" w:lineRule="auto"/>
        <w:rPr/>
      </w:pPr>
      <w:r>
        <w:rPr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color w:val="231F20"/>
          <w:spacing w:val="-6"/>
        </w:rPr>
        <w:t>2</w:t>
      </w:r>
      <w:r>
        <w:rPr>
          <w:color w:val="231F20"/>
          <w:spacing w:val="-6"/>
        </w:rPr>
        <w:t>）重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板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生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成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素（</w:t>
      </w:r>
      <w:r>
        <w:rPr>
          <w:rFonts w:ascii="Times New Roman" w:hAnsi="Times New Roman" w:eastAsia="Times New Roman" w:cs="Times New Roman"/>
          <w:color w:val="231F20"/>
          <w:spacing w:val="-6"/>
        </w:rPr>
        <w:t>rhTPO</w:t>
      </w:r>
      <w:r>
        <w:rPr>
          <w:color w:val="231F20"/>
          <w:spacing w:val="-55"/>
          <w:w w:val="99"/>
        </w:rPr>
        <w:t>）：</w:t>
      </w:r>
      <w:r>
        <w:rPr>
          <w:color w:val="231F20"/>
          <w:spacing w:val="-6"/>
        </w:rPr>
        <w:t>使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为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300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U·kg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</w:rPr>
        <w:t>-1</w:t>
      </w:r>
      <w:r>
        <w:rPr>
          <w:rFonts w:ascii="Times New Roman" w:hAnsi="Times New Roman" w:eastAsia="Times New Roman" w:cs="Times New Roman"/>
          <w:color w:val="231F20"/>
        </w:rPr>
        <w:t>·d</w:t>
      </w:r>
      <w:r>
        <w:rPr>
          <w:rFonts w:ascii="Times New Roman" w:hAnsi="Times New Roman" w:eastAsia="Times New Roman" w:cs="Times New Roman"/>
          <w:sz w:val="10"/>
          <w:szCs w:val="10"/>
          <w:color w:val="231F20"/>
        </w:rPr>
        <w:t>-1</w:t>
      </w:r>
      <w:r>
        <w:rPr>
          <w:color w:val="231F20"/>
        </w:rPr>
        <w:t>，皮下注射，持续 </w:t>
      </w:r>
      <w:r>
        <w:rPr>
          <w:rFonts w:ascii="Times New Roman" w:hAnsi="Times New Roman" w:eastAsia="Times New Roman" w:cs="Times New Roman"/>
          <w:color w:val="231F20"/>
        </w:rPr>
        <w:t>14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</w:rPr>
        <w:t>。难治</w:t>
      </w:r>
      <w:r>
        <w:rPr>
          <w:color w:val="231F20"/>
          <w:spacing w:val="-1"/>
        </w:rPr>
        <w:t>性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ITP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1"/>
        </w:rPr>
        <w:t>孕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妇（</w:t>
      </w:r>
      <w:r>
        <w:rPr>
          <w:rFonts w:ascii="Arial" w:hAnsi="Arial" w:eastAsia="Arial" w:cs="Arial"/>
          <w:i/>
          <w:iCs/>
          <w:color w:val="231F20"/>
          <w:spacing w:val="-3"/>
        </w:rPr>
        <w:t>n</w:t>
      </w:r>
      <w:r>
        <w:rPr>
          <w:rFonts w:ascii="Times New Roman" w:hAnsi="Times New Roman" w:eastAsia="Times New Roman" w:cs="Times New Roman"/>
          <w:color w:val="231F20"/>
          <w:spacing w:val="-3"/>
        </w:rPr>
        <w:t>=31</w:t>
      </w:r>
      <w:r>
        <w:rPr>
          <w:color w:val="231F20"/>
          <w:spacing w:val="-3"/>
        </w:rPr>
        <w:t>）的单臂研究显示，</w:t>
      </w:r>
      <w:r>
        <w:rPr>
          <w:rFonts w:ascii="Times New Roman" w:hAnsi="Times New Roman" w:eastAsia="Times New Roman" w:cs="Times New Roman"/>
          <w:color w:val="231F20"/>
          <w:spacing w:val="-3"/>
        </w:rPr>
        <w:t>rhTPO </w:t>
      </w:r>
      <w:r>
        <w:rPr>
          <w:color w:val="231F20"/>
          <w:spacing w:val="-4"/>
        </w:rPr>
        <w:t>的治疗有效率可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达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70%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color w:val="231F20"/>
          <w:spacing w:val="12"/>
        </w:rPr>
        <w:t>。但目前仍缺乏妊娠期使用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rhTPO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color w:val="231F20"/>
          <w:spacing w:val="12"/>
        </w:rPr>
        <w:t>的安全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性证据，建议仅在糖皮质激素联合</w:t>
      </w:r>
      <w:r>
        <w:rPr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IVIg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color w:val="231F20"/>
          <w:spacing w:val="12"/>
        </w:rPr>
        <w:t>治疗无效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时、血液科与产科医师充分评估病情后于妊娠晚期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使用</w:t>
      </w:r>
      <w:r>
        <w:rPr>
          <w:sz w:val="10"/>
          <w:szCs w:val="10"/>
          <w:color w:val="231F20"/>
          <w:spacing w:val="-4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>21</w:t>
      </w:r>
      <w:r>
        <w:rPr>
          <w:sz w:val="10"/>
          <w:szCs w:val="10"/>
          <w:color w:val="231F20"/>
          <w:spacing w:val="-4"/>
          <w:position w:val="8"/>
        </w:rPr>
        <w:t>］</w:t>
      </w:r>
      <w:r>
        <w:rPr>
          <w:color w:val="231F20"/>
          <w:spacing w:val="-12"/>
        </w:rPr>
        <w:t>。（</w:t>
      </w:r>
      <w:r>
        <w:rPr>
          <w:rFonts w:ascii="Times New Roman" w:hAnsi="Times New Roman" w:eastAsia="Times New Roman" w:cs="Times New Roman"/>
          <w:color w:val="231F20"/>
          <w:spacing w:val="-12"/>
        </w:rPr>
        <w:t>3</w:t>
      </w:r>
      <w:r>
        <w:rPr>
          <w:color w:val="231F20"/>
          <w:spacing w:val="-12"/>
        </w:rPr>
        <w:t>）其他：包括抗 </w:t>
      </w:r>
      <w:r>
        <w:rPr>
          <w:rFonts w:ascii="Times New Roman" w:hAnsi="Times New Roman" w:eastAsia="Times New Roman" w:cs="Times New Roman"/>
          <w:color w:val="231F20"/>
          <w:spacing w:val="-12"/>
        </w:rPr>
        <w:t>D </w:t>
      </w:r>
      <w:r>
        <w:rPr>
          <w:color w:val="231F20"/>
          <w:spacing w:val="-12"/>
        </w:rPr>
        <w:t>免疫球蛋白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、脾切除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2"/>
        </w:rPr>
        <w:t>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TPO </w:t>
      </w:r>
      <w:r>
        <w:rPr>
          <w:color w:val="231F20"/>
          <w:spacing w:val="5"/>
        </w:rPr>
        <w:t>受体激动剂及利妥昔单抗等，基于上述药物及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治疗方式在妊娠期应用的报道有限，安全性及有效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性尚未充分证实，结合相关文献及指南，本共识不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推荐作为难治性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7"/>
        </w:rPr>
        <w:t>患者的常规应用，但可根据情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况，在有治疗经验的医疗机构，权衡风险与继续维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持妊娠获益的情况下谨慎应用</w:t>
      </w:r>
      <w:r>
        <w:rPr>
          <w:sz w:val="10"/>
          <w:szCs w:val="10"/>
          <w:color w:val="231F20"/>
          <w:spacing w:val="-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2</w:t>
      </w:r>
      <w:r>
        <w:rPr>
          <w:sz w:val="10"/>
          <w:szCs w:val="10"/>
          <w:color w:val="231F20"/>
          <w:spacing w:val="-2"/>
          <w:position w:val="8"/>
        </w:rPr>
        <w:t>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13</w:t>
      </w:r>
      <w:r>
        <w:rPr>
          <w:sz w:val="10"/>
          <w:szCs w:val="10"/>
          <w:color w:val="231F20"/>
          <w:spacing w:val="-2"/>
          <w:position w:val="8"/>
        </w:rPr>
        <w:t>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19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。</w:t>
      </w:r>
    </w:p>
    <w:p>
      <w:pPr>
        <w:pStyle w:val="BodyText"/>
        <w:ind w:left="487" w:right="407" w:firstLine="427"/>
        <w:spacing w:before="51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3. </w:t>
      </w:r>
      <w:r>
        <w:rPr>
          <w:color w:val="231F20"/>
          <w:spacing w:val="7"/>
        </w:rPr>
        <w:t>输注血小板：由于血小板输注后作用短暂，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且可能刺激体内产生抗血小板抗体，加快血小板破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坏，因此不推荐预防性输注血小板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。推荐在以下情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况下可考虑输注血小板：血小板计数</w:t>
      </w:r>
      <w:r>
        <w:rPr>
          <w:rFonts w:ascii="Times New Roman" w:hAnsi="Times New Roman" w:eastAsia="Times New Roman" w:cs="Times New Roman"/>
          <w:color w:val="231F20"/>
          <w:spacing w:val="8"/>
        </w:rPr>
        <w:t>&lt;10×10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8"/>
        </w:rPr>
        <w:t>/L </w:t>
      </w:r>
      <w:r>
        <w:rPr>
          <w:color w:val="231F20"/>
          <w:spacing w:val="8"/>
        </w:rPr>
        <w:t>或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存在自发出血表现、需要控制危及生命的器官出血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4"/>
        </w:rPr>
        <w:t>以及剖宫产术前或临产后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。建议在输注血小板的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同时可静脉给予糖皮质激素或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IVIg</w:t>
      </w:r>
      <w:r>
        <w:rPr>
          <w:color w:val="231F20"/>
          <w:spacing w:val="5"/>
        </w:rPr>
        <w:t>，以利于提高血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小板水平及维持时间。</w:t>
      </w:r>
    </w:p>
    <w:p>
      <w:pPr>
        <w:pStyle w:val="BodyText"/>
        <w:ind w:left="490" w:right="407" w:firstLine="417"/>
        <w:spacing w:before="49" w:line="217" w:lineRule="auto"/>
        <w:rPr/>
      </w:pPr>
      <w:r>
        <w:rPr>
          <w:rFonts w:ascii="Times New Roman" w:hAnsi="Times New Roman" w:eastAsia="Times New Roman" w:cs="Times New Roman"/>
          <w:color w:val="231F20"/>
          <w:spacing w:val="8"/>
        </w:rPr>
        <w:t>4.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color w:val="231F20"/>
          <w:spacing w:val="8"/>
        </w:rPr>
        <w:t>紧急治疗：当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患者妊娠期血小板计数</w:t>
      </w:r>
      <w:r>
        <w:rPr>
          <w:rFonts w:ascii="Times New Roman" w:hAnsi="Times New Roman" w:eastAsia="Times New Roman" w:cs="Times New Roman"/>
          <w:color w:val="231F20"/>
          <w:spacing w:val="8"/>
        </w:rPr>
        <w:t>&lt;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5"/>
        </w:rPr>
        <w:t>10×10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5"/>
        </w:rPr>
        <w:t>/L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5"/>
        </w:rPr>
        <w:t>且出现重要器官出血危及生命时，需实施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紧急治疗以迅速止血，并将血小板计数提高到相对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3"/>
        </w:rPr>
        <w:t>安全的水平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3"/>
        </w:rPr>
        <w:t>。推荐在输注血小板治疗的基础上给</w:t>
      </w:r>
      <w:r>
        <w:rPr>
          <w:color w:val="231F20"/>
        </w:rPr>
        <w:t xml:space="preserve">  </w:t>
      </w:r>
      <w:r>
        <w:rPr>
          <w:color w:val="231F20"/>
        </w:rPr>
        <w:t>予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IVIg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·kg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</w:rPr>
        <w:t>-1</w:t>
      </w:r>
      <w:r>
        <w:rPr>
          <w:rFonts w:ascii="Times New Roman" w:hAnsi="Times New Roman" w:eastAsia="Times New Roman" w:cs="Times New Roman"/>
          <w:color w:val="231F20"/>
        </w:rPr>
        <w:t>·d</w:t>
      </w:r>
      <w:r>
        <w:rPr>
          <w:rFonts w:ascii="Times New Roman" w:hAnsi="Times New Roman" w:eastAsia="Times New Roman" w:cs="Times New Roman"/>
          <w:sz w:val="10"/>
          <w:szCs w:val="10"/>
          <w:color w:val="231F20"/>
        </w:rPr>
        <w:t>-1</w:t>
      </w:r>
      <w:r>
        <w:rPr>
          <w:color w:val="231F20"/>
        </w:rPr>
        <w:t>，连续 </w:t>
      </w:r>
      <w:r>
        <w:rPr>
          <w:rFonts w:ascii="Times New Roman" w:hAnsi="Times New Roman" w:eastAsia="Times New Roman" w:cs="Times New Roman"/>
          <w:color w:val="231F20"/>
        </w:rPr>
        <w:t>1~2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</w:t>
      </w:r>
      <w:r>
        <w:rPr>
          <w:color w:val="231F20"/>
        </w:rPr>
        <w:t>，或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400 mg·kg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</w:rPr>
        <w:t>-1</w:t>
      </w:r>
      <w:r>
        <w:rPr>
          <w:rFonts w:ascii="Times New Roman" w:hAnsi="Times New Roman" w:eastAsia="Times New Roman" w:cs="Times New Roman"/>
          <w:color w:val="231F20"/>
        </w:rPr>
        <w:t>·d</w:t>
      </w:r>
      <w:r>
        <w:rPr>
          <w:rFonts w:ascii="Times New Roman" w:hAnsi="Times New Roman" w:eastAsia="Times New Roman" w:cs="Times New Roman"/>
          <w:sz w:val="10"/>
          <w:szCs w:val="10"/>
          <w:color w:val="231F20"/>
        </w:rPr>
        <w:t>-1</w:t>
      </w:r>
      <w:r>
        <w:rPr>
          <w:color w:val="231F20"/>
        </w:rPr>
        <w:t>， </w:t>
      </w:r>
      <w:r>
        <w:rPr>
          <w:color w:val="231F20"/>
          <w:spacing w:val="1"/>
        </w:rPr>
        <w:t>连续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3~5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d</w:t>
      </w:r>
      <w:r>
        <w:rPr>
          <w:color w:val="231F20"/>
          <w:spacing w:val="1"/>
        </w:rPr>
        <w:t>。</w:t>
      </w:r>
    </w:p>
    <w:p>
      <w:pPr>
        <w:pStyle w:val="BodyText"/>
        <w:ind w:left="912"/>
        <w:spacing w:before="27" w:line="210" w:lineRule="auto"/>
        <w:rPr/>
      </w:pPr>
      <w:r>
        <w:rPr>
          <w:rFonts w:ascii="Times New Roman" w:hAnsi="Times New Roman" w:eastAsia="Times New Roman" w:cs="Times New Roman"/>
          <w:color w:val="231F20"/>
        </w:rPr>
        <w:t>5. </w:t>
      </w:r>
      <w:r>
        <w:rPr>
          <w:color w:val="231F20"/>
        </w:rPr>
        <w:t>治疗效果判断：治疗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2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</w:rPr>
        <w:t>周后进行效果评价</w:t>
      </w:r>
      <w:r>
        <w:rPr>
          <w:sz w:val="10"/>
          <w:szCs w:val="10"/>
          <w:color w:val="231F20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>9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</w:rPr>
        <w:t>。</w:t>
      </w:r>
    </w:p>
    <w:p>
      <w:pPr>
        <w:pStyle w:val="BodyText"/>
        <w:ind w:left="490" w:right="395" w:hanging="83"/>
        <w:spacing w:before="16" w:line="220" w:lineRule="auto"/>
        <w:rPr/>
      </w:pPr>
      <w:r>
        <w:rPr>
          <w:color w:val="231F20"/>
          <w:spacing w:val="-9"/>
        </w:rPr>
        <w:t>（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1</w:t>
      </w:r>
      <w:r>
        <w:rPr>
          <w:color w:val="231F20"/>
          <w:spacing w:val="-9"/>
        </w:rPr>
        <w:t>）有效：治疗后血小板计数（</w:t>
      </w:r>
      <w:r>
        <w:rPr>
          <w:rFonts w:ascii="Times New Roman" w:hAnsi="Times New Roman" w:eastAsia="Times New Roman" w:cs="Times New Roman"/>
          <w:color w:val="231F20"/>
          <w:spacing w:val="-9"/>
        </w:rPr>
        <w:t>30~&lt;100</w:t>
      </w:r>
      <w:r>
        <w:rPr>
          <w:color w:val="231F20"/>
          <w:spacing w:val="-9"/>
        </w:rPr>
        <w:t>）</w:t>
      </w:r>
      <w:r>
        <w:rPr>
          <w:rFonts w:ascii="Times New Roman" w:hAnsi="Times New Roman" w:eastAsia="Times New Roman" w:cs="Times New Roman"/>
          <w:color w:val="231F20"/>
          <w:spacing w:val="-9"/>
        </w:rPr>
        <w:t>×</w:t>
      </w:r>
      <w:r>
        <w:rPr>
          <w:rFonts w:ascii="Times New Roman" w:hAnsi="Times New Roman" w:eastAsia="Times New Roman" w:cs="Times New Roman"/>
          <w:color w:val="231F20"/>
          <w:spacing w:val="-10"/>
        </w:rPr>
        <w:t>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3"/>
        </w:rPr>
        <w:t>/L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3"/>
        </w:rPr>
        <w:t>并至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少比基础血小板计数增加 </w:t>
      </w:r>
      <w:r>
        <w:rPr>
          <w:rFonts w:ascii="Times New Roman" w:hAnsi="Times New Roman" w:eastAsia="Times New Roman" w:cs="Times New Roman"/>
          <w:color w:val="231F20"/>
          <w:spacing w:val="14"/>
        </w:rPr>
        <w:t>2 </w:t>
      </w:r>
      <w:r>
        <w:rPr>
          <w:color w:val="231F20"/>
          <w:spacing w:val="14"/>
        </w:rPr>
        <w:t>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4"/>
        </w:rPr>
        <w:t>，且无出血症状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。</w:t>
      </w:r>
    </w:p>
    <w:p>
      <w:pPr>
        <w:pStyle w:val="BodyText"/>
        <w:ind w:left="505" w:right="472" w:hanging="98"/>
        <w:spacing w:before="2" w:line="226" w:lineRule="auto"/>
        <w:rPr>
          <w:rFonts w:ascii="Times New Roman" w:hAnsi="Times New Roman" w:eastAsia="Times New Roman" w:cs="Times New Roman"/>
        </w:rPr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279413</wp:posOffset>
            </wp:positionV>
            <wp:extent cx="2805668" cy="30421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2</w:t>
      </w:r>
      <w:r>
        <w:rPr>
          <w:color w:val="231F20"/>
          <w:spacing w:val="-2"/>
        </w:rPr>
        <w:t>）完全有效：治疗后血小板计数</w:t>
      </w:r>
      <w:r>
        <w:rPr>
          <w:rFonts w:ascii="Times New Roman" w:hAnsi="Times New Roman" w:eastAsia="Times New Roman" w:cs="Times New Roman"/>
          <w:color w:val="231F20"/>
          <w:spacing w:val="-2"/>
        </w:rPr>
        <w:t>≥100×10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-2"/>
        </w:rPr>
        <w:t>/L</w:t>
      </w:r>
      <w:r>
        <w:rPr>
          <w:color w:val="231F20"/>
          <w:spacing w:val="-2"/>
        </w:rPr>
        <w:t>，且无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出血症状。（</w:t>
      </w:r>
      <w:r>
        <w:rPr>
          <w:rFonts w:ascii="Times New Roman" w:hAnsi="Times New Roman" w:eastAsia="Times New Roman" w:cs="Times New Roman"/>
          <w:color w:val="231F20"/>
          <w:spacing w:val="-2"/>
        </w:rPr>
        <w:t>3</w:t>
      </w:r>
      <w:r>
        <w:rPr>
          <w:color w:val="231F20"/>
          <w:spacing w:val="-2"/>
        </w:rPr>
        <w:t>）无效：治疗后血小板计数</w:t>
      </w:r>
      <w:r>
        <w:rPr>
          <w:rFonts w:ascii="Times New Roman" w:hAnsi="Times New Roman" w:eastAsia="Times New Roman" w:cs="Times New Roman"/>
          <w:color w:val="231F20"/>
          <w:spacing w:val="-2"/>
        </w:rPr>
        <w:t>&lt;30×10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-2"/>
        </w:rPr>
        <w:t>/L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76" w:line="183" w:lineRule="auto"/>
        <w:rPr/>
      </w:pPr>
      <w:r>
        <w:rPr>
          <w:color w:val="231F20"/>
          <w:spacing w:val="8"/>
        </w:rPr>
        <w:t>或血小板数增加不足基础值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2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8"/>
        </w:rPr>
        <w:t>倍或有出血症状。</w:t>
      </w:r>
    </w:p>
    <w:p>
      <w:pPr>
        <w:pStyle w:val="BodyText"/>
        <w:ind w:right="66" w:firstLine="422"/>
        <w:spacing w:before="51" w:line="219" w:lineRule="auto"/>
        <w:jc w:val="both"/>
        <w:rPr/>
      </w:pPr>
      <w:r>
        <w:rPr>
          <w:color w:val="231F20"/>
          <w:spacing w:val="6"/>
        </w:rPr>
        <w:t>在判断有效或完全有效时，应至少检测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2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6"/>
        </w:rPr>
        <w:t>次血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小板计数，并间隔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7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d </w:t>
      </w:r>
      <w:r>
        <w:rPr>
          <w:color w:val="231F20"/>
          <w:spacing w:val="-2"/>
        </w:rPr>
        <w:t>以上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。临床实践中，存在</w:t>
      </w:r>
      <w:r>
        <w:rPr>
          <w:color w:val="231F20"/>
          <w:spacing w:val="-3"/>
        </w:rPr>
        <w:t>部分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患者治疗后血小板计数升高未达到治疗有效的判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定标准，但接近有效标准，且无出血症状的情况，是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否可定义为部分有效尚有争议。</w:t>
      </w:r>
    </w:p>
    <w:p>
      <w:pPr>
        <w:ind w:left="3" w:right="66" w:firstLine="424"/>
        <w:spacing w:line="290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推荐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3-1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患者的妊娠期管理需要产科与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血液科医师共同参与，病情的评估需综合血小板计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数、血小板下降的速度、出血评分及对治疗的反应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等方面。</w:t>
      </w:r>
    </w:p>
    <w:p>
      <w:pPr>
        <w:ind w:left="1" w:right="64" w:firstLine="426"/>
        <w:spacing w:before="2" w:line="290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>推荐</w:t>
      </w:r>
      <w:r>
        <w:rPr>
          <w:rFonts w:ascii="SimHei" w:hAnsi="SimHei" w:eastAsia="SimHei" w:cs="SimHei"/>
          <w:sz w:val="20"/>
          <w:szCs w:val="20"/>
          <w:color w:val="231F2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3-2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>患者妊娠早期以血小板计数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&lt;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20×10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9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/L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、妊娠中晚期以血小板计数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&lt;30×10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9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/L 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或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有出血症状作为治疗指征。</w:t>
      </w:r>
    </w:p>
    <w:p>
      <w:pPr>
        <w:ind w:left="2" w:right="64" w:firstLine="425"/>
        <w:spacing w:before="3" w:line="289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推荐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3-3    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妊娠合并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患者的一线治疗药物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6"/>
        </w:rPr>
        <w:t>为糖皮质激素及</w:t>
      </w:r>
      <w:r>
        <w:rPr>
          <w:rFonts w:ascii="SimHei" w:hAnsi="SimHei" w:eastAsia="SimHei" w:cs="SimHei"/>
          <w:sz w:val="20"/>
          <w:szCs w:val="20"/>
          <w:color w:val="231F2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IVIg</w:t>
      </w:r>
      <w:r>
        <w:rPr>
          <w:rFonts w:ascii="SimHei" w:hAnsi="SimHei" w:eastAsia="SimHei" w:cs="SimHei"/>
          <w:sz w:val="20"/>
          <w:szCs w:val="20"/>
          <w:color w:val="231F20"/>
          <w:spacing w:val="16"/>
        </w:rPr>
        <w:t>。糖皮质激素治疗以泼尼松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0.25~0.50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·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8"/>
        </w:rPr>
        <w:t>-1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9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·d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8"/>
        </w:rPr>
        <w:t>-1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3"/>
          <w:position w:val="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>为起始剂量，建议妊娠早期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不</w:t>
      </w:r>
      <w:r>
        <w:rPr>
          <w:rFonts w:ascii="SimHei" w:hAnsi="SimHei" w:eastAsia="SimHei" w:cs="SimHei"/>
          <w:sz w:val="20"/>
          <w:szCs w:val="20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超</w:t>
      </w:r>
      <w:r>
        <w:rPr>
          <w:rFonts w:ascii="SimHei" w:hAnsi="SimHei" w:eastAsia="SimHei" w:cs="SimHei"/>
          <w:sz w:val="20"/>
          <w:szCs w:val="20"/>
          <w:color w:val="231F20"/>
          <w:spacing w:val="-2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过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0.25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·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-1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4"/>
          <w:w w:val="103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·d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-1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，妊</w:t>
      </w:r>
      <w:r>
        <w:rPr>
          <w:rFonts w:ascii="SimHei" w:hAnsi="SimHei" w:eastAsia="SimHei" w:cs="SimHei"/>
          <w:sz w:val="20"/>
          <w:szCs w:val="20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娠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中</w:t>
      </w:r>
      <w:r>
        <w:rPr>
          <w:rFonts w:ascii="SimHei" w:hAnsi="SimHei" w:eastAsia="SimHei" w:cs="SimHei"/>
          <w:sz w:val="20"/>
          <w:szCs w:val="20"/>
          <w:color w:val="231F20"/>
          <w:spacing w:val="-2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晚</w:t>
      </w:r>
      <w:r>
        <w:rPr>
          <w:rFonts w:ascii="SimHei" w:hAnsi="SimHei" w:eastAsia="SimHei" w:cs="SimHei"/>
          <w:sz w:val="20"/>
          <w:szCs w:val="20"/>
          <w:color w:val="231F20"/>
          <w:spacing w:val="-3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期</w:t>
      </w:r>
      <w:r>
        <w:rPr>
          <w:rFonts w:ascii="SimHei" w:hAnsi="SimHei" w:eastAsia="SimHei" w:cs="SimHei"/>
          <w:sz w:val="20"/>
          <w:szCs w:val="20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不</w:t>
      </w:r>
      <w:r>
        <w:rPr>
          <w:rFonts w:ascii="SimHei" w:hAnsi="SimHei" w:eastAsia="SimHei" w:cs="SimHei"/>
          <w:sz w:val="20"/>
          <w:szCs w:val="20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超</w:t>
      </w:r>
      <w:r>
        <w:rPr>
          <w:rFonts w:ascii="SimHei" w:hAnsi="SimHei" w:eastAsia="SimHei" w:cs="SimHei"/>
          <w:sz w:val="20"/>
          <w:szCs w:val="20"/>
          <w:color w:val="231F20"/>
          <w:spacing w:val="-2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过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0.50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·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7"/>
          <w:position w:val="8"/>
        </w:rPr>
        <w:t>-1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3"/>
          <w:w w:val="103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·d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7"/>
          <w:position w:val="8"/>
        </w:rPr>
        <w:t>-1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5"/>
          <w:position w:val="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7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IVIg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7"/>
        </w:rPr>
        <w:t>常用剂量为</w:t>
      </w:r>
      <w:r>
        <w:rPr>
          <w:rFonts w:ascii="SimHei" w:hAnsi="SimHei" w:eastAsia="SimHei" w:cs="SimHei"/>
          <w:sz w:val="20"/>
          <w:szCs w:val="20"/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400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·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7"/>
          <w:position w:val="8"/>
        </w:rPr>
        <w:t>-1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5"/>
          <w:w w:val="101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·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d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-1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，连续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3~5 d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。</w:t>
      </w:r>
    </w:p>
    <w:p>
      <w:pPr>
        <w:pStyle w:val="BodyText"/>
        <w:ind w:left="443"/>
        <w:spacing w:before="22" w:line="183" w:lineRule="auto"/>
        <w:outlineLvl w:val="0"/>
        <w:rPr/>
      </w:pPr>
      <w:r>
        <w:rPr>
          <w:color w:val="231F20"/>
          <w:spacing w:val="-1"/>
        </w:rPr>
        <w:t>四、妊娠合并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ITP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1"/>
        </w:rPr>
        <w:t>患者围分娩期处理</w:t>
      </w:r>
    </w:p>
    <w:p>
      <w:pPr>
        <w:pStyle w:val="BodyText"/>
        <w:ind w:left="3" w:right="66" w:firstLine="436"/>
        <w:spacing w:before="55" w:line="219" w:lineRule="auto"/>
        <w:jc w:val="both"/>
        <w:rPr/>
      </w:pPr>
      <w:r>
        <w:rPr>
          <w:color w:val="231F20"/>
          <w:spacing w:val="-6"/>
        </w:rPr>
        <w:t>围分娩期的处理需要产科、血液科、麻醉科、输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血科及新生儿科共同参与，为降低母儿不良结局的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风险，终止妊娠前需组织多学科会诊。</w:t>
      </w:r>
    </w:p>
    <w:p>
      <w:pPr>
        <w:pStyle w:val="BodyText"/>
        <w:ind w:firstLine="439"/>
        <w:spacing w:before="5" w:line="217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1.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围分娩期治疗：目前推荐阴道分娩的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患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者血小板计数应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&gt;50×10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9"/>
        </w:rPr>
        <w:t>/L</w:t>
      </w:r>
      <w:r>
        <w:rPr>
          <w:color w:val="231F20"/>
          <w:spacing w:val="9"/>
        </w:rPr>
        <w:t>；椎管内麻醉下剖宫产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术分娩者血小板计数应</w:t>
      </w:r>
      <w:r>
        <w:rPr>
          <w:rFonts w:ascii="Times New Roman" w:hAnsi="Times New Roman" w:eastAsia="Times New Roman" w:cs="Times New Roman"/>
          <w:color w:val="231F20"/>
          <w:spacing w:val="6"/>
        </w:rPr>
        <w:t>&gt;70×10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6"/>
        </w:rPr>
        <w:t>/L</w:t>
      </w:r>
      <w:r>
        <w:rPr>
          <w:sz w:val="10"/>
          <w:szCs w:val="10"/>
          <w:color w:val="231F20"/>
          <w:spacing w:val="6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>13</w:t>
      </w:r>
      <w:r>
        <w:rPr>
          <w:sz w:val="10"/>
          <w:szCs w:val="10"/>
          <w:color w:val="231F20"/>
          <w:spacing w:val="6"/>
          <w:position w:val="8"/>
        </w:rPr>
        <w:t>］</w:t>
      </w:r>
      <w:r>
        <w:rPr>
          <w:color w:val="231F20"/>
          <w:spacing w:val="6"/>
        </w:rPr>
        <w:t>。为提高阴道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分娩成功率及实施安全的区域阻滞麻醉，同时降低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产后出血的风险，本共识建议针对妊娠期血小板计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9"/>
        </w:rPr>
        <w:t>数为（</w:t>
      </w:r>
      <w:r>
        <w:rPr>
          <w:rFonts w:ascii="Times New Roman" w:hAnsi="Times New Roman" w:eastAsia="Times New Roman" w:cs="Times New Roman"/>
          <w:color w:val="231F20"/>
          <w:spacing w:val="-9"/>
        </w:rPr>
        <w:t>30~&lt;50</w:t>
      </w:r>
      <w:r>
        <w:rPr>
          <w:color w:val="231F20"/>
          <w:spacing w:val="-9"/>
        </w:rPr>
        <w:t>）</w:t>
      </w:r>
      <w:r>
        <w:rPr>
          <w:rFonts w:ascii="Times New Roman" w:hAnsi="Times New Roman" w:eastAsia="Times New Roman" w:cs="Times New Roman"/>
          <w:color w:val="231F20"/>
          <w:spacing w:val="-9"/>
        </w:rPr>
        <w:t>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4"/>
        </w:rPr>
        <w:t>/L</w:t>
      </w:r>
      <w:r>
        <w:rPr>
          <w:color w:val="231F20"/>
          <w:spacing w:val="4"/>
        </w:rPr>
        <w:t>，且未接受糖皮质激素或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IVIg  </w:t>
      </w:r>
      <w:r>
        <w:rPr>
          <w:color w:val="231F20"/>
          <w:spacing w:val="5"/>
        </w:rPr>
        <w:t>治疗者，妊娠晚期可根据患者血小板计数及产科情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况给予泼尼松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0.50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9"/>
        </w:rPr>
        <w:t>·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</w:rPr>
        <w:t>-1</w:t>
      </w:r>
      <w:r>
        <w:rPr>
          <w:rFonts w:ascii="Times New Roman" w:hAnsi="Times New Roman" w:eastAsia="Times New Roman" w:cs="Times New Roman"/>
          <w:color w:val="231F20"/>
          <w:spacing w:val="9"/>
        </w:rPr>
        <w:t>·d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</w:rPr>
        <w:t>-1</w:t>
      </w:r>
      <w:r>
        <w:rPr>
          <w:color w:val="231F20"/>
          <w:spacing w:val="9"/>
        </w:rPr>
        <w:t>口服或计</w:t>
      </w:r>
      <w:r>
        <w:rPr>
          <w:color w:val="231F20"/>
          <w:spacing w:val="8"/>
        </w:rPr>
        <w:t>划分娩前输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入 </w:t>
      </w:r>
      <w:r>
        <w:rPr>
          <w:rFonts w:ascii="Times New Roman" w:hAnsi="Times New Roman" w:eastAsia="Times New Roman" w:cs="Times New Roman"/>
          <w:color w:val="231F20"/>
        </w:rPr>
        <w:t>IVIg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400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3"/>
        </w:rPr>
        <w:t>·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</w:rPr>
        <w:t>-1</w:t>
      </w:r>
      <w:r>
        <w:rPr>
          <w:rFonts w:ascii="Times New Roman" w:hAnsi="Times New Roman" w:eastAsia="Times New Roman" w:cs="Times New Roman"/>
          <w:color w:val="231F20"/>
          <w:spacing w:val="3"/>
        </w:rPr>
        <w:t>·d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</w:rPr>
        <w:t>-1</w:t>
      </w:r>
      <w:r>
        <w:rPr>
          <w:color w:val="231F20"/>
          <w:spacing w:val="3"/>
        </w:rPr>
        <w:t>，连续 </w:t>
      </w:r>
      <w:r>
        <w:rPr>
          <w:rFonts w:ascii="Times New Roman" w:hAnsi="Times New Roman" w:eastAsia="Times New Roman" w:cs="Times New Roman"/>
          <w:color w:val="231F20"/>
          <w:spacing w:val="3"/>
        </w:rPr>
        <w:t>3~5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d </w:t>
      </w:r>
      <w:r>
        <w:rPr>
          <w:color w:val="231F20"/>
          <w:spacing w:val="3"/>
        </w:rPr>
        <w:t>或 </w:t>
      </w:r>
      <w:r>
        <w:rPr>
          <w:rFonts w:ascii="Times New Roman" w:hAnsi="Times New Roman" w:eastAsia="Times New Roman" w:cs="Times New Roman"/>
          <w:color w:val="231F20"/>
          <w:spacing w:val="3"/>
        </w:rPr>
        <w:t>1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g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·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</w:rPr>
        <w:t>-1</w:t>
      </w:r>
      <w:r>
        <w:rPr>
          <w:rFonts w:ascii="Times New Roman" w:hAnsi="Times New Roman" w:eastAsia="Times New Roman" w:cs="Times New Roman"/>
          <w:color w:val="231F20"/>
          <w:spacing w:val="3"/>
        </w:rPr>
        <w:t>·d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</w:rPr>
        <w:t>-1</w:t>
      </w:r>
      <w:r>
        <w:rPr>
          <w:color w:val="231F20"/>
          <w:spacing w:val="3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连续 </w:t>
      </w:r>
      <w:r>
        <w:rPr>
          <w:rFonts w:ascii="Times New Roman" w:hAnsi="Times New Roman" w:eastAsia="Times New Roman" w:cs="Times New Roman"/>
          <w:color w:val="231F20"/>
          <w:spacing w:val="4"/>
        </w:rPr>
        <w:t>1~2 d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4"/>
        </w:rPr>
        <w:t>治疗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。对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IVIg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4"/>
        </w:rPr>
        <w:t>或糖皮质激素治疗均无效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者，需在充分配备血制品后计划分娩。</w:t>
      </w:r>
    </w:p>
    <w:p>
      <w:pPr>
        <w:pStyle w:val="BodyText"/>
        <w:ind w:right="66" w:firstLine="423"/>
        <w:spacing w:before="44" w:line="219" w:lineRule="auto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2. </w:t>
      </w:r>
      <w:r>
        <w:rPr>
          <w:color w:val="231F20"/>
          <w:spacing w:val="7"/>
        </w:rPr>
        <w:t>分娩时机及方式：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患者的分娩时机应结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合血小板计数、是否伴有出血症状、药物治疗的有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效性、是否伴有产科并发症、胎儿成熟度及宫内情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况、医院血源供给及综合救治能力等多方面因素综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合评估决定，适时终止妊娠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由于多数患者血小板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计数会随孕周增加进一步降低，妊娠晚期可能会显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著下降，因此，孕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37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2"/>
        </w:rPr>
        <w:t>周后结合子宫颈成熟度可考虑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计划分娩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。血小板计数达到正常水平者可等待自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然临产，到预产期未自然临产者需计划分娩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。血小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板计数在（</w:t>
      </w:r>
      <w:r>
        <w:rPr>
          <w:rFonts w:ascii="Times New Roman" w:hAnsi="Times New Roman" w:eastAsia="Times New Roman" w:cs="Times New Roman"/>
          <w:color w:val="231F20"/>
          <w:spacing w:val="2"/>
        </w:rPr>
        <w:t>50~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100</w:t>
      </w:r>
      <w:r>
        <w:rPr>
          <w:color w:val="231F20"/>
          <w:spacing w:val="2"/>
        </w:rPr>
        <w:t>）</w:t>
      </w:r>
      <w:r>
        <w:rPr>
          <w:rFonts w:ascii="Times New Roman" w:hAnsi="Times New Roman" w:eastAsia="Times New Roman" w:cs="Times New Roman"/>
          <w:color w:val="231F20"/>
          <w:spacing w:val="2"/>
        </w:rPr>
        <w:t>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2"/>
        </w:rPr>
        <w:t>/L </w:t>
      </w:r>
      <w:r>
        <w:rPr>
          <w:color w:val="231F20"/>
          <w:spacing w:val="2"/>
        </w:rPr>
        <w:t>者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，在预产期前计划分</w:t>
      </w:r>
    </w:p>
    <w:p>
      <w:pPr>
        <w:spacing w:line="219" w:lineRule="auto"/>
        <w:sectPr>
          <w:type w:val="continuous"/>
          <w:pgSz w:w="12246" w:h="16498"/>
          <w:pgMar w:top="1212" w:right="1239" w:bottom="0" w:left="819" w:header="971" w:footer="0" w:gutter="0"/>
          <w:cols w:equalWidth="0" w:num="2">
            <w:col w:w="5491" w:space="100"/>
            <w:col w:w="4595" w:space="0"/>
          </w:cols>
        </w:sectPr>
        <w:rPr/>
      </w:pPr>
    </w:p>
    <w:p>
      <w:pPr>
        <w:spacing w:before="69"/>
        <w:rPr/>
      </w:pPr>
      <w:r>
        <w:pict>
          <v:shape id="_x0000_s42" style="position:absolute;margin-left:65.1968pt;margin-top:59.6176pt;mso-position-vertical-relative:page;mso-position-horizontal-relative:page;width:319.45pt;height:0.4pt;z-index:251684864;" o:allowincell="f" filled="false" strokecolor="#231F20" strokeweight="0.37pt" coordsize="6389,8" coordorigin="0,0" path="m0,3l6388,3e">
            <v:stroke joinstyle="miter" miterlimit="4"/>
          </v:shape>
        </w:pict>
      </w:r>
      <w:r/>
    </w:p>
    <w:p>
      <w:pPr>
        <w:sectPr>
          <w:headerReference w:type="default" r:id="rId8"/>
          <w:pgSz w:w="12246" w:h="16498"/>
          <w:pgMar w:top="1212" w:right="1224" w:bottom="0" w:left="819" w:header="971" w:footer="0" w:gutter="0"/>
          <w:cols w:equalWidth="0" w:num="1">
            <w:col w:w="10202" w:space="0"/>
          </w:cols>
        </w:sectPr>
        <w:rPr/>
      </w:pPr>
    </w:p>
    <w:p>
      <w:pPr>
        <w:pStyle w:val="BodyText"/>
        <w:ind w:left="488" w:right="392" w:firstLine="1"/>
        <w:spacing w:before="46" w:line="218" w:lineRule="auto"/>
        <w:jc w:val="both"/>
        <w:rPr/>
      </w:pPr>
      <w:r>
        <w:rPr>
          <w:color w:val="231F20"/>
          <w:spacing w:val="-3"/>
        </w:rPr>
        <w:t>娩；血小板计数（</w:t>
      </w:r>
      <w:r>
        <w:rPr>
          <w:rFonts w:ascii="Times New Roman" w:hAnsi="Times New Roman" w:eastAsia="Times New Roman" w:cs="Times New Roman"/>
          <w:color w:val="231F20"/>
          <w:spacing w:val="-3"/>
        </w:rPr>
        <w:t>30~&lt;50</w:t>
      </w:r>
      <w:r>
        <w:rPr>
          <w:color w:val="231F20"/>
          <w:spacing w:val="-3"/>
        </w:rPr>
        <w:t>）</w:t>
      </w:r>
      <w:r>
        <w:rPr>
          <w:rFonts w:ascii="Times New Roman" w:hAnsi="Times New Roman" w:eastAsia="Times New Roman" w:cs="Times New Roman"/>
          <w:color w:val="231F20"/>
          <w:spacing w:val="-3"/>
        </w:rPr>
        <w:t>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-3"/>
        </w:rPr>
        <w:t>/L </w:t>
      </w:r>
      <w:r>
        <w:rPr>
          <w:color w:val="231F20"/>
          <w:spacing w:val="-3"/>
        </w:rPr>
        <w:t>者，妊娠足月后结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4"/>
        </w:rPr>
        <w:t>合子宫颈条件计划分娩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。如果患者对标准治疗无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效，血小板计数进行性下降或存在出血症状时，可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遵循以下原则计划分娩：妊娠不足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34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2"/>
        </w:rPr>
        <w:t>周者，尽可能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保守治疗，延长孕周；妊娠</w:t>
      </w:r>
      <w:r>
        <w:rPr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34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"/>
        </w:rPr>
        <w:t>周及以后，则考虑终</w:t>
      </w:r>
    </w:p>
    <w:p>
      <w:pPr>
        <w:pStyle w:val="BodyText"/>
        <w:ind w:left="491"/>
        <w:spacing w:line="197" w:lineRule="auto"/>
        <w:rPr/>
      </w:pPr>
      <w:r>
        <w:rPr>
          <w:color w:val="231F20"/>
          <w:spacing w:val="-4"/>
          <w:position w:val="-3"/>
        </w:rPr>
        <w:t>止妊娠</w:t>
      </w:r>
      <w:r>
        <w:rPr>
          <w:sz w:val="10"/>
          <w:szCs w:val="10"/>
          <w:color w:val="231F20"/>
          <w:spacing w:val="-4"/>
          <w:position w:val="5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5"/>
        </w:rPr>
        <w:t>15‑16</w:t>
      </w:r>
      <w:r>
        <w:rPr>
          <w:sz w:val="10"/>
          <w:szCs w:val="10"/>
          <w:color w:val="231F20"/>
          <w:spacing w:val="-4"/>
          <w:position w:val="5"/>
        </w:rPr>
        <w:t>］</w:t>
      </w:r>
      <w:r>
        <w:rPr>
          <w:color w:val="231F20"/>
          <w:spacing w:val="-4"/>
          <w:position w:val="-3"/>
        </w:rPr>
        <w:t>。</w:t>
      </w:r>
    </w:p>
    <w:p>
      <w:pPr>
        <w:pStyle w:val="BodyText"/>
        <w:ind w:left="489" w:right="392" w:firstLine="460"/>
        <w:spacing w:before="58" w:line="220" w:lineRule="auto"/>
        <w:jc w:val="both"/>
        <w:rPr/>
      </w:pPr>
      <w:r>
        <w:rPr>
          <w:color w:val="231F20"/>
          <w:spacing w:val="3"/>
        </w:rPr>
        <w:t>目前，尚无证据证实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患者分娩的新生儿发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生出血事件与分娩方式有关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。新生儿发生颅内出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血的概率低于 </w:t>
      </w:r>
      <w:r>
        <w:rPr>
          <w:rFonts w:ascii="Times New Roman" w:hAnsi="Times New Roman" w:eastAsia="Times New Roman" w:cs="Times New Roman"/>
          <w:color w:val="231F20"/>
          <w:spacing w:val="8"/>
        </w:rPr>
        <w:t>1%</w:t>
      </w:r>
      <w:r>
        <w:rPr>
          <w:color w:val="231F20"/>
          <w:spacing w:val="8"/>
        </w:rPr>
        <w:t>，且其血小板计数最低值及出血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事件多数发生在分娩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24 h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</w:rPr>
        <w:t>后</w:t>
      </w:r>
      <w:r>
        <w:rPr>
          <w:sz w:val="10"/>
          <w:szCs w:val="10"/>
          <w:color w:val="231F20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>13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</w:rPr>
        <w:t>。基于此依据，目前 </w:t>
      </w:r>
      <w:r>
        <w:rPr>
          <w:color w:val="231F20"/>
          <w:spacing w:val="9"/>
        </w:rPr>
        <w:t>国际指南认为，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9"/>
        </w:rPr>
        <w:t>患者的分娩方式应由产科指征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决定，禁止采取可能引起胎儿或新生儿出血的操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作，如胎儿头皮取血、胎头吸引术等</w:t>
      </w:r>
      <w:r>
        <w:rPr>
          <w:sz w:val="10"/>
          <w:szCs w:val="10"/>
          <w:color w:val="231F20"/>
          <w:spacing w:val="-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2</w:t>
      </w:r>
      <w:r>
        <w:rPr>
          <w:sz w:val="10"/>
          <w:szCs w:val="10"/>
          <w:color w:val="231F20"/>
          <w:spacing w:val="-2"/>
          <w:position w:val="8"/>
        </w:rPr>
        <w:t>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15‑16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。原则上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尽量避免产钳助产，如果有明确指征，应由有经验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4"/>
        </w:rPr>
        <w:t>的产科医师充分评估权衡利弊后决定使用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。既往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妊娠发生过妊娠期胎儿颅内出血或新生儿有颅内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出血病史者，应考虑剖宫产术终止妊娠</w:t>
      </w:r>
      <w:r>
        <w:rPr>
          <w:sz w:val="10"/>
          <w:szCs w:val="10"/>
          <w:color w:val="231F20"/>
          <w:spacing w:val="-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9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1"/>
        </w:rPr>
        <w:t>。</w:t>
      </w:r>
    </w:p>
    <w:p>
      <w:pPr>
        <w:pStyle w:val="BodyText"/>
        <w:ind w:left="489" w:right="310" w:firstLine="423"/>
        <w:spacing w:before="3" w:line="22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患者分娩前应充分配备血制品，包括红细</w:t>
      </w:r>
      <w:r>
        <w:rPr>
          <w:color w:val="231F20"/>
        </w:rPr>
        <w:t xml:space="preserve">  </w:t>
      </w:r>
      <w:r>
        <w:rPr>
          <w:color w:val="231F20"/>
        </w:rPr>
        <w:t>胞、血小板及血浆，并根据病情与血液科、输血科、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麻醉科及新生儿科等多学科协作管理，尽量预防或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4"/>
        </w:rPr>
        <w:t>减少围分娩期的严重出血和感染等并发症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。合并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贫血的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患者，分娩前根据血红蛋白水平，必要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时输注浓缩红细胞改善贫血，维持血红蛋白水平</w:t>
      </w:r>
      <w:r>
        <w:rPr>
          <w:rFonts w:ascii="Times New Roman" w:hAnsi="Times New Roman" w:eastAsia="Times New Roman" w:cs="Times New Roman"/>
          <w:color w:val="231F20"/>
          <w:spacing w:val="10"/>
        </w:rPr>
        <w:t>&gt;</w:t>
      </w:r>
    </w:p>
    <w:p>
      <w:pPr>
        <w:pStyle w:val="BodyText"/>
        <w:ind w:left="489" w:right="326" w:firstLine="8"/>
        <w:spacing w:before="7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6"/>
        </w:rPr>
        <w:t>80 g/L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6"/>
        </w:rPr>
        <w:t>阴道分娩者应加强产程管理</w:t>
      </w:r>
      <w:r>
        <w:rPr>
          <w:color w:val="231F20"/>
          <w:spacing w:val="5"/>
        </w:rPr>
        <w:t>，临产后动态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监测血小板计数，维持血小板计数</w:t>
      </w:r>
      <w:r>
        <w:rPr>
          <w:rFonts w:ascii="Times New Roman" w:hAnsi="Times New Roman" w:eastAsia="Times New Roman" w:cs="Times New Roman"/>
          <w:color w:val="231F20"/>
          <w:spacing w:val="3"/>
        </w:rPr>
        <w:t>&gt;50×</w:t>
      </w:r>
      <w:r>
        <w:rPr>
          <w:rFonts w:ascii="Times New Roman" w:hAnsi="Times New Roman" w:eastAsia="Times New Roman" w:cs="Times New Roman"/>
          <w:color w:val="231F20"/>
          <w:spacing w:val="2"/>
        </w:rPr>
        <w:t>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2"/>
        </w:rPr>
        <w:t>/L</w:t>
      </w:r>
      <w:r>
        <w:rPr>
          <w:color w:val="231F20"/>
          <w:spacing w:val="2"/>
        </w:rPr>
        <w:t>，第二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产程根据血小板水平可预防性输注血小板，积极处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理第三产程，预防性应用强宫缩剂并持续维持至产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后 </w:t>
      </w:r>
      <w:r>
        <w:rPr>
          <w:rFonts w:ascii="Times New Roman" w:hAnsi="Times New Roman" w:eastAsia="Times New Roman" w:cs="Times New Roman"/>
          <w:color w:val="231F20"/>
          <w:spacing w:val="2"/>
        </w:rPr>
        <w:t>12~24 h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2"/>
        </w:rPr>
        <w:t>。严格无菌操作，认真检查和缝</w:t>
      </w:r>
      <w:r>
        <w:rPr>
          <w:color w:val="231F20"/>
          <w:spacing w:val="1"/>
        </w:rPr>
        <w:t>合伤口，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避免产道血肿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。有剖宫产术指征者，根据血小板水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平选择麻醉方式，可于术前及术中输注血小板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小板计数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&gt;20×10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9"/>
        </w:rPr>
        <w:t>/L</w:t>
      </w:r>
      <w:r>
        <w:rPr>
          <w:color w:val="231F20"/>
          <w:spacing w:val="9"/>
        </w:rPr>
        <w:t>、无出血症状的患者可于术前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4"/>
        </w:rPr>
        <w:t>0.5~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1.0 h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4"/>
        </w:rPr>
        <w:t>输注血小板，过早输注可能会导致其被抗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血小板抗体破坏而失效。</w:t>
      </w:r>
    </w:p>
    <w:p>
      <w:pPr>
        <w:pStyle w:val="BodyText"/>
        <w:ind w:left="488" w:right="310" w:firstLine="426"/>
        <w:spacing w:before="48" w:line="219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3. </w:t>
      </w:r>
      <w:r>
        <w:rPr>
          <w:color w:val="231F20"/>
          <w:spacing w:val="4"/>
        </w:rPr>
        <w:t>分娩时麻醉方式的选择：剖宫产术麻醉方式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的选择取决于手术指征、手术紧急程度、孕妇的意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愿及麻醉医师的判断等因素，包括全身麻醉和椎管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内麻醉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。考虑到全身麻醉相关的潜在并发症，推荐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无出血症状的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2"/>
        </w:rPr>
        <w:t>患者，血小板计数</w:t>
      </w:r>
      <w:r>
        <w:rPr>
          <w:rFonts w:ascii="Times New Roman" w:hAnsi="Times New Roman" w:eastAsia="Times New Roman" w:cs="Times New Roman"/>
          <w:color w:val="231F20"/>
          <w:spacing w:val="2"/>
        </w:rPr>
        <w:t>&gt;70×10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2"/>
        </w:rPr>
        <w:t>/L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2"/>
        </w:rPr>
        <w:t>者可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实施椎管内麻醉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2</w:t>
      </w:r>
      <w:r>
        <w:rPr>
          <w:sz w:val="10"/>
          <w:szCs w:val="10"/>
          <w:color w:val="231F20"/>
          <w:spacing w:val="3"/>
          <w:position w:val="8"/>
        </w:rPr>
        <w:t>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13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3"/>
        </w:rPr>
        <w:t>。现有证据提示，对于这部分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患者进行椎管内操作（包括蛛网膜下腔阻滞、硬膜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外阻滞、腰</w:t>
      </w:r>
      <w:r>
        <w:rPr>
          <w:rFonts w:ascii="Times New Roman" w:hAnsi="Times New Roman" w:eastAsia="Times New Roman" w:cs="Times New Roman"/>
          <w:color w:val="231F20"/>
          <w:spacing w:val="6"/>
        </w:rPr>
        <w:t>‑</w:t>
      </w:r>
      <w:r>
        <w:rPr>
          <w:color w:val="231F20"/>
          <w:spacing w:val="6"/>
        </w:rPr>
        <w:t>硬联合麻醉、硬脊膜穿破硬膜外麻醉、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移除硬膜外导管）后，发生脊髓硬膜外血肿的风险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很低</w:t>
      </w:r>
      <w:r>
        <w:rPr>
          <w:sz w:val="10"/>
          <w:szCs w:val="10"/>
          <w:color w:val="231F20"/>
          <w:spacing w:val="-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22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1"/>
        </w:rPr>
        <w:t>。如果血小板计数为（</w:t>
      </w:r>
      <w:r>
        <w:rPr>
          <w:rFonts w:ascii="Times New Roman" w:hAnsi="Times New Roman" w:eastAsia="Times New Roman" w:cs="Times New Roman"/>
          <w:color w:val="231F20"/>
          <w:spacing w:val="-1"/>
        </w:rPr>
        <w:t>50~70</w:t>
      </w:r>
      <w:r>
        <w:rPr>
          <w:color w:val="231F20"/>
          <w:spacing w:val="-1"/>
        </w:rPr>
        <w:t>）</w:t>
      </w:r>
      <w:r>
        <w:rPr>
          <w:rFonts w:ascii="Times New Roman" w:hAnsi="Times New Roman" w:eastAsia="Times New Roman" w:cs="Times New Roman"/>
          <w:color w:val="231F20"/>
          <w:spacing w:val="-1"/>
        </w:rPr>
        <w:t>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-1"/>
        </w:rPr>
        <w:t>/L</w:t>
      </w:r>
      <w:r>
        <w:rPr>
          <w:color w:val="231F20"/>
          <w:spacing w:val="-1"/>
        </w:rPr>
        <w:t>，应充</w:t>
      </w:r>
    </w:p>
    <w:p>
      <w:pPr>
        <w:pStyle w:val="BodyText"/>
        <w:ind w:left="490"/>
        <w:spacing w:before="25" w:line="183" w:lineRule="auto"/>
        <w:rPr/>
      </w:pP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92036</wp:posOffset>
            </wp:positionV>
            <wp:extent cx="2805668" cy="30421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5"/>
        </w:rPr>
        <w:t>分评估患者行椎管内麻醉或全身麻醉的利弊后确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" w:right="15"/>
        <w:spacing w:before="53" w:line="219" w:lineRule="auto"/>
        <w:jc w:val="both"/>
        <w:rPr/>
      </w:pPr>
      <w:r>
        <w:rPr>
          <w:color w:val="231F20"/>
          <w:spacing w:val="14"/>
        </w:rPr>
        <w:t>定麻醉方式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。临床应密切关注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color w:val="231F20"/>
          <w:spacing w:val="14"/>
        </w:rPr>
        <w:t>患者在接受椎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管内操作后出现的神经系统相关症状（通常在操作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后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48 h </w:t>
      </w:r>
      <w:r>
        <w:rPr>
          <w:color w:val="231F20"/>
          <w:spacing w:val="4"/>
        </w:rPr>
        <w:t>内出现</w:t>
      </w:r>
      <w:r>
        <w:rPr>
          <w:color w:val="231F20"/>
          <w:spacing w:val="-31"/>
          <w:w w:val="64"/>
        </w:rPr>
        <w:t>），</w:t>
      </w:r>
      <w:r>
        <w:rPr>
          <w:color w:val="231F20"/>
          <w:spacing w:val="4"/>
        </w:rPr>
        <w:t>如患者出现下肢运动障碍、背部疼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痛、下肢疼痛、下肢感觉异常、鞍区感觉异常、泌尿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5"/>
        </w:rPr>
        <w:t>或肠道功能障碍等，可能预示发生脊髓硬膜外血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肿，需要紧急处理。对于剖宫产术或阴道分娩后的镇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痛，因非甾体类抗炎药可降低血小板的聚集功能，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故血小板计数显著减少的患者应避免使用此类药物。</w:t>
      </w:r>
    </w:p>
    <w:p>
      <w:pPr>
        <w:ind w:left="81" w:right="81" w:firstLine="428"/>
        <w:spacing w:line="290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推荐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4-1    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妊娠晚期可根据患者血小板计数及</w:t>
      </w:r>
      <w:r>
        <w:rPr>
          <w:rFonts w:ascii="SimHei" w:hAnsi="SimHei" w:eastAsia="SimHei" w:cs="SimHei"/>
          <w:sz w:val="20"/>
          <w:szCs w:val="20"/>
          <w:color w:val="231F20"/>
          <w:spacing w:val="1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6"/>
        </w:rPr>
        <w:t>产科情况给予泼尼松或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IVIg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6"/>
        </w:rPr>
        <w:t>治疗以进一步升高分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娩前的血小板计数。</w:t>
      </w:r>
    </w:p>
    <w:p>
      <w:pPr>
        <w:ind w:left="85" w:right="81" w:firstLine="424"/>
        <w:spacing w:before="2" w:line="290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推荐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4-2    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根据产科指征选择分娩方式。阴道</w:t>
      </w:r>
      <w:r>
        <w:rPr>
          <w:rFonts w:ascii="SimHei" w:hAnsi="SimHei" w:eastAsia="SimHei" w:cs="SimHei"/>
          <w:sz w:val="20"/>
          <w:szCs w:val="20"/>
          <w:color w:val="231F20"/>
          <w:spacing w:val="1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分娩者建议血小板计数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&gt;50×10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8"/>
        </w:rPr>
        <w:t>9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/L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；实施椎管内麻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醉者建议血小板计数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&gt;70×10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>9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/L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。</w:t>
      </w:r>
    </w:p>
    <w:p>
      <w:pPr>
        <w:pStyle w:val="BodyText"/>
        <w:ind w:left="84" w:right="81" w:firstLine="423"/>
        <w:spacing w:before="13" w:line="202" w:lineRule="auto"/>
        <w:outlineLvl w:val="0"/>
        <w:rPr/>
      </w:pPr>
      <w:r>
        <w:rPr>
          <w:color w:val="231F20"/>
          <w:spacing w:val="9"/>
        </w:rPr>
        <w:t>五、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9"/>
        </w:rPr>
        <w:t>孕妇分娩的新生儿的血小板监测及疫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苗接种</w:t>
      </w:r>
    </w:p>
    <w:p>
      <w:pPr>
        <w:pStyle w:val="BodyText"/>
        <w:ind w:right="3" w:firstLine="505"/>
        <w:spacing w:before="52" w:line="219" w:lineRule="auto"/>
        <w:tabs>
          <w:tab w:val="left" w:pos="85"/>
          <w:tab w:val="left" w:pos="101"/>
        </w:tabs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9"/>
        </w:rPr>
        <w:t>孕妇分娩的新生儿 </w:t>
      </w:r>
      <w:r>
        <w:rPr>
          <w:rFonts w:ascii="Times New Roman" w:hAnsi="Times New Roman" w:eastAsia="Times New Roman" w:cs="Times New Roman"/>
          <w:color w:val="231F20"/>
          <w:spacing w:val="9"/>
        </w:rPr>
        <w:t>1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9"/>
        </w:rPr>
        <w:t>周内至少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2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9"/>
        </w:rPr>
        <w:t>次外周血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血小板计数</w:t>
      </w:r>
      <w:r>
        <w:rPr>
          <w:rFonts w:ascii="Times New Roman" w:hAnsi="Times New Roman" w:eastAsia="Times New Roman" w:cs="Times New Roman"/>
          <w:color w:val="231F20"/>
          <w:spacing w:val="15"/>
        </w:rPr>
        <w:t>&lt;150×10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5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15"/>
        </w:rPr>
        <w:t>/L </w:t>
      </w:r>
      <w:r>
        <w:rPr>
          <w:color w:val="231F20"/>
          <w:spacing w:val="15"/>
        </w:rPr>
        <w:t>可诊断为新生儿血小板减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少症</w:t>
      </w:r>
      <w:r>
        <w:rPr>
          <w:sz w:val="10"/>
          <w:szCs w:val="10"/>
          <w:color w:val="231F20"/>
          <w:spacing w:val="1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3"/>
          <w:position w:val="8"/>
        </w:rPr>
        <w:t>23‑24</w:t>
      </w:r>
      <w:r>
        <w:rPr>
          <w:sz w:val="10"/>
          <w:szCs w:val="10"/>
          <w:color w:val="231F20"/>
          <w:spacing w:val="13"/>
          <w:position w:val="8"/>
        </w:rPr>
        <w:t>］</w:t>
      </w:r>
      <w:r>
        <w:rPr>
          <w:color w:val="231F20"/>
          <w:spacing w:val="13"/>
        </w:rPr>
        <w:t>。根据血小板减少的程度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，可分为轻度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［血小板计数（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100~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150</w:t>
      </w:r>
      <w:r>
        <w:rPr>
          <w:color w:val="231F20"/>
          <w:spacing w:val="-7"/>
        </w:rPr>
        <w:t>）</w:t>
      </w:r>
      <w:r>
        <w:rPr>
          <w:rFonts w:ascii="Times New Roman" w:hAnsi="Times New Roman" w:eastAsia="Times New Roman" w:cs="Times New Roman"/>
          <w:color w:val="231F20"/>
          <w:spacing w:val="-7"/>
        </w:rPr>
        <w:t>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7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-7"/>
        </w:rPr>
        <w:t>/L</w:t>
      </w:r>
      <w:r>
        <w:rPr>
          <w:color w:val="231F20"/>
          <w:spacing w:val="-16"/>
        </w:rPr>
        <w:t>］、中度［血小板计数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color w:val="231F20"/>
          <w:spacing w:val="-6"/>
        </w:rPr>
        <w:t>50~&lt;100</w:t>
      </w:r>
      <w:r>
        <w:rPr>
          <w:color w:val="231F20"/>
          <w:spacing w:val="-6"/>
        </w:rPr>
        <w:t>）</w:t>
      </w:r>
      <w:r>
        <w:rPr>
          <w:rFonts w:ascii="Times New Roman" w:hAnsi="Times New Roman" w:eastAsia="Times New Roman" w:cs="Times New Roman"/>
          <w:color w:val="231F20"/>
          <w:spacing w:val="-6"/>
        </w:rPr>
        <w:t>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6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-6"/>
        </w:rPr>
        <w:t>/L</w:t>
      </w:r>
      <w:r>
        <w:rPr>
          <w:color w:val="231F20"/>
          <w:spacing w:val="-6"/>
        </w:rPr>
        <w:t>］、重度（血小板计</w:t>
      </w:r>
      <w:r>
        <w:rPr>
          <w:color w:val="231F20"/>
          <w:spacing w:val="-7"/>
        </w:rPr>
        <w:t>数</w:t>
      </w:r>
      <w:r>
        <w:rPr>
          <w:rFonts w:ascii="Times New Roman" w:hAnsi="Times New Roman" w:eastAsia="Times New Roman" w:cs="Times New Roman"/>
          <w:color w:val="231F20"/>
          <w:spacing w:val="-7"/>
        </w:rPr>
        <w:t>&lt;50×10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7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-7"/>
        </w:rPr>
        <w:t>/L</w:t>
      </w:r>
      <w:r>
        <w:rPr>
          <w:color w:val="231F20"/>
          <w:spacing w:val="-7"/>
        </w:rPr>
        <w:t>）。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</w:t>
      </w:r>
      <w:r>
        <w:rPr>
          <w:color w:val="231F20"/>
          <w:spacing w:val="20"/>
        </w:rPr>
        <w:t>孕妇分娩的新生儿血小板减少症的发生率为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  <w:spacing w:val="6"/>
        </w:rPr>
        <w:t>15.4%~67.0%</w:t>
      </w:r>
      <w:r>
        <w:rPr>
          <w:color w:val="231F20"/>
          <w:spacing w:val="6"/>
        </w:rPr>
        <w:t>，其中 </w:t>
      </w:r>
      <w:r>
        <w:rPr>
          <w:rFonts w:ascii="Times New Roman" w:hAnsi="Times New Roman" w:eastAsia="Times New Roman" w:cs="Times New Roman"/>
          <w:color w:val="231F20"/>
          <w:spacing w:val="6"/>
        </w:rPr>
        <w:t>8.0%~29.9% </w:t>
      </w:r>
      <w:r>
        <w:rPr>
          <w:color w:val="231F20"/>
          <w:spacing w:val="6"/>
        </w:rPr>
        <w:t>为重度血小板减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0"/>
        </w:rPr>
        <w:t>少症</w:t>
      </w:r>
      <w:r>
        <w:rPr>
          <w:sz w:val="10"/>
          <w:szCs w:val="10"/>
          <w:color w:val="231F20"/>
          <w:spacing w:val="10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8"/>
        </w:rPr>
        <w:t>25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-33"/>
          <w:w w:val="55"/>
        </w:rPr>
        <w:t>，</w:t>
      </w:r>
      <w:r>
        <w:rPr>
          <w:color w:val="231F20"/>
          <w:spacing w:val="10"/>
        </w:rPr>
        <w:t>严重者可造成消化道出血或颅内出血，颅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内出血的发生率约为 </w:t>
      </w:r>
      <w:r>
        <w:rPr>
          <w:rFonts w:ascii="Times New Roman" w:hAnsi="Times New Roman" w:eastAsia="Times New Roman" w:cs="Times New Roman"/>
          <w:color w:val="231F20"/>
          <w:spacing w:val="9"/>
        </w:rPr>
        <w:t>1%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26‑27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9"/>
        </w:rPr>
        <w:t>。发生消化道或</w:t>
      </w:r>
      <w:r>
        <w:rPr>
          <w:color w:val="231F20"/>
          <w:spacing w:val="8"/>
        </w:rPr>
        <w:t>颅内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出血的原因可能是由于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22"/>
        </w:rPr>
        <w:t>孕妇体内部分抗血小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板抗体通过胎盘进入胎儿体内，导致胎儿血小板的</w:t>
      </w:r>
    </w:p>
    <w:p>
      <w:pPr>
        <w:pStyle w:val="BodyText"/>
        <w:ind w:left="83"/>
        <w:spacing w:before="1" w:line="196" w:lineRule="auto"/>
        <w:rPr/>
      </w:pPr>
      <w:r>
        <w:rPr>
          <w:color w:val="231F20"/>
          <w:spacing w:val="-3"/>
          <w:position w:val="-2"/>
        </w:rPr>
        <w:t>破坏所致</w:t>
      </w:r>
      <w:r>
        <w:rPr>
          <w:sz w:val="10"/>
          <w:szCs w:val="10"/>
          <w:color w:val="231F20"/>
          <w:spacing w:val="-3"/>
          <w:position w:val="6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6"/>
        </w:rPr>
        <w:t>28‑29</w:t>
      </w:r>
      <w:r>
        <w:rPr>
          <w:sz w:val="10"/>
          <w:szCs w:val="10"/>
          <w:color w:val="231F20"/>
          <w:spacing w:val="-3"/>
          <w:position w:val="6"/>
        </w:rPr>
        <w:t>］</w:t>
      </w:r>
      <w:r>
        <w:rPr>
          <w:color w:val="231F20"/>
          <w:spacing w:val="-3"/>
          <w:position w:val="-2"/>
        </w:rPr>
        <w:t>。</w:t>
      </w:r>
    </w:p>
    <w:p>
      <w:pPr>
        <w:pStyle w:val="BodyText"/>
        <w:ind w:left="80" w:firstLine="446"/>
        <w:spacing w:before="59" w:line="220" w:lineRule="auto"/>
        <w:jc w:val="both"/>
        <w:rPr/>
      </w:pPr>
      <w:r>
        <w:rPr>
          <w:color w:val="231F20"/>
          <w:spacing w:val="14"/>
        </w:rPr>
        <w:t>由于新生儿血小板计数最低值多发生在出生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后第 </w:t>
      </w:r>
      <w:r>
        <w:rPr>
          <w:rFonts w:ascii="Times New Roman" w:hAnsi="Times New Roman" w:eastAsia="Times New Roman" w:cs="Times New Roman"/>
          <w:color w:val="231F20"/>
          <w:spacing w:val="3"/>
        </w:rPr>
        <w:t>2~5 </w:t>
      </w:r>
      <w:r>
        <w:rPr>
          <w:color w:val="231F20"/>
          <w:spacing w:val="3"/>
        </w:rPr>
        <w:t>天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，因此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，出生后血小板计数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&lt;1</w:t>
      </w:r>
      <w:r>
        <w:rPr>
          <w:rFonts w:ascii="Times New Roman" w:hAnsi="Times New Roman" w:eastAsia="Times New Roman" w:cs="Times New Roman"/>
          <w:color w:val="231F20"/>
          <w:spacing w:val="2"/>
        </w:rPr>
        <w:t>50×10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2"/>
        </w:rPr>
        <w:t>/L</w:t>
      </w:r>
      <w:r>
        <w:rPr>
          <w:rFonts w:ascii="Times New Roman" w:hAnsi="Times New Roman" w:eastAsia="Times New Roman" w:cs="Times New Roman"/>
          <w:color w:val="231F20"/>
        </w:rPr>
        <w:t xml:space="preserve">   </w:t>
      </w:r>
      <w:r>
        <w:rPr>
          <w:color w:val="231F20"/>
          <w:spacing w:val="5"/>
        </w:rPr>
        <w:t>的新生儿应每日监测血小板计数；而出生后血小板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1"/>
        </w:rPr>
        <w:t>计数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≥150×10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11"/>
        </w:rPr>
        <w:t>/L </w:t>
      </w:r>
      <w:r>
        <w:rPr>
          <w:color w:val="231F20"/>
          <w:spacing w:val="11"/>
        </w:rPr>
        <w:t>的新生儿可以隔日复测至出生后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9"/>
        </w:rPr>
        <w:t>1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9"/>
        </w:rPr>
        <w:t>周左右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。对于血小板计数</w:t>
      </w:r>
      <w:r>
        <w:rPr>
          <w:rFonts w:ascii="Times New Roman" w:hAnsi="Times New Roman" w:eastAsia="Times New Roman" w:cs="Times New Roman"/>
          <w:color w:val="231F20"/>
          <w:spacing w:val="9"/>
        </w:rPr>
        <w:t>&lt;50×10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9"/>
        </w:rPr>
        <w:t>/L </w:t>
      </w:r>
      <w:r>
        <w:rPr>
          <w:color w:val="231F20"/>
          <w:spacing w:val="9"/>
        </w:rPr>
        <w:t>或有出血倾</w:t>
      </w:r>
      <w:r>
        <w:rPr>
          <w:color w:val="231F20"/>
        </w:rPr>
        <w:t xml:space="preserve">  </w:t>
      </w:r>
      <w:r>
        <w:rPr>
          <w:color w:val="231F20"/>
        </w:rPr>
        <w:t>向的新生儿，建议行头颅影像学检查，如头颅超声、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头颅磁共振成像［含磁敏感加权成像（</w:t>
      </w:r>
      <w:r>
        <w:rPr>
          <w:rFonts w:ascii="Times New Roman" w:hAnsi="Times New Roman" w:eastAsia="Times New Roman" w:cs="Times New Roman"/>
          <w:color w:val="231F20"/>
        </w:rPr>
        <w:t>susceptibility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color w:val="231F20"/>
          <w:spacing w:val="-3"/>
        </w:rPr>
        <w:t>weighted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imaging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</w:rPr>
        <w:t>SWI</w:t>
      </w:r>
      <w:r>
        <w:rPr>
          <w:color w:val="231F20"/>
          <w:spacing w:val="-3"/>
        </w:rPr>
        <w:t>）序列］或头颅 </w:t>
      </w:r>
      <w:r>
        <w:rPr>
          <w:rFonts w:ascii="Times New Roman" w:hAnsi="Times New Roman" w:eastAsia="Times New Roman" w:cs="Times New Roman"/>
          <w:color w:val="231F20"/>
          <w:spacing w:val="-3"/>
        </w:rPr>
        <w:t>CT </w:t>
      </w:r>
      <w:r>
        <w:rPr>
          <w:color w:val="231F20"/>
          <w:spacing w:val="-3"/>
        </w:rPr>
        <w:t>检查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，以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及时诊断新生儿颅内出血。</w:t>
      </w:r>
    </w:p>
    <w:p>
      <w:pPr>
        <w:pStyle w:val="BodyText"/>
        <w:ind w:left="83" w:right="3" w:firstLine="418"/>
        <w:spacing w:before="2" w:line="221" w:lineRule="auto"/>
        <w:jc w:val="both"/>
        <w:rPr/>
      </w:pPr>
      <w:r>
        <w:rPr>
          <w:color w:val="231F20"/>
          <w:spacing w:val="6"/>
        </w:rPr>
        <w:t>新生儿血小板计数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&lt;30×10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6"/>
        </w:rPr>
        <w:t>/L </w:t>
      </w:r>
      <w:r>
        <w:rPr>
          <w:color w:val="231F20"/>
          <w:spacing w:val="6"/>
        </w:rPr>
        <w:t>时，可输注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IVIg  </w:t>
      </w:r>
      <w:r>
        <w:rPr>
          <w:rFonts w:ascii="Times New Roman" w:hAnsi="Times New Roman" w:eastAsia="Times New Roman" w:cs="Times New Roman"/>
          <w:color w:val="231F20"/>
          <w:spacing w:val="1"/>
        </w:rPr>
        <w:t>1 g/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color w:val="231F20"/>
          <w:spacing w:val="1"/>
        </w:rPr>
        <w:t>，若存在出血倾向时可输注血小板治</w:t>
      </w:r>
      <w:r>
        <w:rPr>
          <w:color w:val="231F20"/>
        </w:rPr>
        <w:t>疗，以维  </w:t>
      </w:r>
      <w:r>
        <w:rPr>
          <w:color w:val="231F20"/>
          <w:spacing w:val="9"/>
        </w:rPr>
        <w:t>持血小板计数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&gt;50×10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9"/>
        </w:rPr>
        <w:t>/L</w:t>
      </w:r>
      <w:r>
        <w:rPr>
          <w:color w:val="231F20"/>
          <w:spacing w:val="9"/>
        </w:rPr>
        <w:t>，同时根据出血症状及血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小板计数变化决定是否需要重复使用以上治疗方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案；病情严重的患儿可酌情使用糖皮质激素</w:t>
      </w:r>
      <w:r>
        <w:rPr>
          <w:sz w:val="10"/>
          <w:szCs w:val="10"/>
          <w:color w:val="231F20"/>
          <w:spacing w:val="6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>30‑31</w:t>
      </w:r>
      <w:r>
        <w:rPr>
          <w:sz w:val="10"/>
          <w:szCs w:val="10"/>
          <w:color w:val="231F20"/>
          <w:spacing w:val="6"/>
          <w:position w:val="8"/>
        </w:rPr>
        <w:t>］</w:t>
      </w:r>
      <w:r>
        <w:rPr>
          <w:color w:val="231F20"/>
          <w:spacing w:val="6"/>
        </w:rPr>
        <w:t>。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5"/>
        </w:rPr>
        <w:t>目前不推荐为了明确是否存在胎儿血小板计数减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5"/>
        </w:rPr>
        <w:t>少而在妊娠期通过经皮脐血穿刺或分娩时胎儿头</w:t>
      </w:r>
    </w:p>
    <w:p>
      <w:pPr>
        <w:spacing w:line="221" w:lineRule="auto"/>
        <w:sectPr>
          <w:type w:val="continuous"/>
          <w:pgSz w:w="12246" w:h="16498"/>
          <w:pgMar w:top="1212" w:right="1224" w:bottom="0" w:left="819" w:header="971" w:footer="0" w:gutter="0"/>
          <w:cols w:equalWidth="0" w:num="2">
            <w:col w:w="5410" w:space="100"/>
            <w:col w:w="4692" w:space="0"/>
          </w:cols>
        </w:sectPr>
        <w:rPr/>
      </w:pPr>
    </w:p>
    <w:p>
      <w:pPr>
        <w:spacing w:before="71"/>
        <w:rPr/>
      </w:pPr>
      <w:r>
        <w:pict>
          <v:shape id="_x0000_s50" style="position:absolute;margin-left:227.684pt;margin-top:59.6176pt;mso-position-vertical-relative:page;mso-position-horizontal-relative:page;width:319.45pt;height:0.4pt;z-index:251688960;" o:allowincell="f" filled="false" strokecolor="#231F20" strokeweight="0.37pt" coordsize="6389,8" coordorigin="0,0" path="m0,3l6388,3e">
            <v:stroke joinstyle="miter" miterlimit="4"/>
          </v:shape>
        </w:pict>
      </w:r>
      <w:r/>
    </w:p>
    <w:p>
      <w:pPr>
        <w:sectPr>
          <w:headerReference w:type="default" r:id="rId9"/>
          <w:pgSz w:w="12246" w:h="16498"/>
          <w:pgMar w:top="1212" w:right="1289" w:bottom="0" w:left="819" w:header="971" w:footer="0" w:gutter="0"/>
          <w:cols w:equalWidth="0" w:num="1">
            <w:col w:w="10137" w:space="0"/>
          </w:cols>
        </w:sectPr>
        <w:rPr/>
      </w:pPr>
    </w:p>
    <w:p>
      <w:pPr>
        <w:pStyle w:val="BodyText"/>
        <w:ind w:left="490" w:right="478"/>
        <w:spacing w:before="53" w:line="220" w:lineRule="auto"/>
        <w:jc w:val="both"/>
        <w:rPr/>
      </w:pPr>
      <w:r>
        <w:rPr>
          <w:color w:val="231F20"/>
          <w:spacing w:val="14"/>
        </w:rPr>
        <w:t>皮血采集测定胎儿血小板计数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。关于胎儿或</w:t>
      </w:r>
      <w:r>
        <w:rPr>
          <w:color w:val="231F20"/>
          <w:spacing w:val="13"/>
        </w:rPr>
        <w:t>新生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儿发生血小板减少症的预测，回顾性研究显示新生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儿血小板减少症的发生与孕妇的血小板计数、血小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板抗体水平无明显关联，既往分娩过血小板减少症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5"/>
        </w:rPr>
        <w:t>患儿的病史是预测胎儿或新生儿发生血小板减少</w:t>
      </w:r>
    </w:p>
    <w:p>
      <w:pPr>
        <w:pStyle w:val="BodyText"/>
        <w:ind w:left="489"/>
        <w:spacing w:before="1" w:line="186" w:lineRule="auto"/>
        <w:rPr/>
      </w:pPr>
      <w:r>
        <w:rPr>
          <w:color w:val="231F20"/>
          <w:spacing w:val="-4"/>
          <w:position w:val="-1"/>
        </w:rPr>
        <w:t>症的独立因素</w:t>
      </w:r>
      <w:r>
        <w:rPr>
          <w:sz w:val="10"/>
          <w:szCs w:val="10"/>
          <w:color w:val="231F20"/>
          <w:spacing w:val="-4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7"/>
        </w:rPr>
        <w:t>19</w:t>
      </w:r>
      <w:r>
        <w:rPr>
          <w:sz w:val="10"/>
          <w:szCs w:val="10"/>
          <w:color w:val="231F20"/>
          <w:spacing w:val="-4"/>
          <w:position w:val="7"/>
        </w:rPr>
        <w:t>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7"/>
        </w:rPr>
        <w:t>32</w:t>
      </w:r>
      <w:r>
        <w:rPr>
          <w:sz w:val="10"/>
          <w:szCs w:val="10"/>
          <w:color w:val="231F20"/>
          <w:spacing w:val="-4"/>
          <w:position w:val="7"/>
        </w:rPr>
        <w:t>］</w:t>
      </w:r>
      <w:r>
        <w:rPr>
          <w:color w:val="231F20"/>
          <w:spacing w:val="-4"/>
          <w:position w:val="-1"/>
        </w:rPr>
        <w:t>。</w:t>
      </w:r>
    </w:p>
    <w:p>
      <w:pPr>
        <w:pStyle w:val="BodyText"/>
        <w:ind w:left="488" w:right="478" w:firstLine="424"/>
        <w:spacing w:before="54" w:line="220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9"/>
        </w:rPr>
        <w:t>孕妇分娩的新生儿的乙肝疫苗接种不受影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响，卡介苗的接种应根据新生儿出生后的血小板计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4"/>
        </w:rPr>
        <w:t>数情况确定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。如果存在血小板减少症需暂缓接种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卡介苗，根据治疗效果确定何时完成接种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。不需要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治疗者或使用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IVIg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4"/>
        </w:rPr>
        <w:t>治疗者不需推迟卡介苗的接种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时间，应用口服泼尼松（</w:t>
      </w:r>
      <w:r>
        <w:rPr>
          <w:rFonts w:ascii="Times New Roman" w:hAnsi="Times New Roman" w:eastAsia="Times New Roman" w:cs="Times New Roman"/>
          <w:color w:val="231F20"/>
          <w:spacing w:val="1"/>
        </w:rPr>
        <w:t>2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1"/>
        </w:rPr>
        <w:t>·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</w:rPr>
        <w:t>-1</w:t>
      </w:r>
      <w:r>
        <w:rPr>
          <w:rFonts w:ascii="Times New Roman" w:hAnsi="Times New Roman" w:eastAsia="Times New Roman" w:cs="Times New Roman"/>
          <w:color w:val="231F20"/>
          <w:spacing w:val="1"/>
        </w:rPr>
        <w:t>·d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</w:rPr>
        <w:t>-1</w:t>
      </w:r>
      <w:r>
        <w:rPr>
          <w:color w:val="231F20"/>
          <w:spacing w:val="1"/>
        </w:rPr>
        <w:t>）超过 </w:t>
      </w:r>
      <w:r>
        <w:rPr>
          <w:rFonts w:ascii="Times New Roman" w:hAnsi="Times New Roman" w:eastAsia="Times New Roman" w:cs="Times New Roman"/>
          <w:color w:val="231F20"/>
          <w:spacing w:val="1"/>
        </w:rPr>
        <w:t>14</w:t>
      </w:r>
      <w:r>
        <w:rPr>
          <w:rFonts w:ascii="Times New Roman" w:hAnsi="Times New Roman" w:eastAsia="Times New Roman" w:cs="Times New Roman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d </w:t>
      </w:r>
      <w:r>
        <w:rPr>
          <w:color w:val="231F20"/>
          <w:spacing w:val="1"/>
        </w:rPr>
        <w:t>者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需停药 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"/>
        </w:rPr>
        <w:t>个月后方可接种卡介苗</w:t>
      </w:r>
      <w:r>
        <w:rPr>
          <w:sz w:val="10"/>
          <w:szCs w:val="10"/>
          <w:color w:val="231F20"/>
          <w:spacing w:val="1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7"/>
        </w:rPr>
        <w:t>33‑34</w:t>
      </w:r>
      <w:r>
        <w:rPr>
          <w:sz w:val="10"/>
          <w:szCs w:val="10"/>
          <w:color w:val="231F20"/>
          <w:spacing w:val="1"/>
          <w:position w:val="7"/>
        </w:rPr>
        <w:t>］</w:t>
      </w:r>
      <w:r>
        <w:rPr>
          <w:color w:val="231F20"/>
          <w:spacing w:val="1"/>
        </w:rPr>
        <w:t>。</w:t>
      </w:r>
    </w:p>
    <w:p>
      <w:pPr>
        <w:ind w:left="493" w:right="478" w:firstLine="423"/>
        <w:spacing w:before="1" w:line="29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推荐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5-1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患者分娩的新生儿出生后应常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规进行血小板计数的监测。</w:t>
      </w:r>
    </w:p>
    <w:p>
      <w:pPr>
        <w:pStyle w:val="BodyText"/>
        <w:ind w:left="910"/>
        <w:spacing w:before="15" w:line="182" w:lineRule="auto"/>
        <w:outlineLvl w:val="0"/>
        <w:rPr/>
      </w:pPr>
      <w:r>
        <w:rPr>
          <w:color w:val="231F20"/>
          <w:spacing w:val="-1"/>
        </w:rPr>
        <w:t>六、</w:t>
      </w:r>
      <w:r>
        <w:rPr>
          <w:rFonts w:ascii="Times New Roman" w:hAnsi="Times New Roman" w:eastAsia="Times New Roman" w:cs="Times New Roman"/>
          <w:color w:val="231F20"/>
          <w:spacing w:val="-1"/>
        </w:rPr>
        <w:t>ITP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1"/>
        </w:rPr>
        <w:t>孕妇的母乳喂养问题</w:t>
      </w:r>
    </w:p>
    <w:p>
      <w:pPr>
        <w:pStyle w:val="BodyText"/>
        <w:ind w:left="490" w:right="408" w:firstLine="458"/>
        <w:spacing w:before="60" w:line="220" w:lineRule="auto"/>
        <w:jc w:val="both"/>
        <w:rPr/>
      </w:pPr>
      <w:r>
        <w:rPr>
          <w:color w:val="231F20"/>
          <w:spacing w:val="14"/>
        </w:rPr>
        <w:t>目前认为，孕妇在妊娠期接受糖皮质激素或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IVIg</w:t>
      </w:r>
      <w:r>
        <w:rPr>
          <w:rFonts w:ascii="Times New Roman" w:hAnsi="Times New Roman" w:eastAsia="Times New Roman" w:cs="Times New Roman"/>
          <w:color w:val="231F20"/>
          <w:spacing w:val="-3"/>
        </w:rPr>
        <w:t xml:space="preserve"> </w:t>
      </w:r>
      <w:r>
        <w:rPr>
          <w:color w:val="231F20"/>
          <w:spacing w:val="5"/>
        </w:rPr>
        <w:t>治疗对产后哺乳影响较小，产后不需要限制哺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乳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。</w:t>
      </w:r>
      <w:r>
        <w:rPr>
          <w:rFonts w:ascii="Times New Roman" w:hAnsi="Times New Roman" w:eastAsia="Times New Roman" w:cs="Times New Roman"/>
          <w:color w:val="231F20"/>
          <w:spacing w:val="5"/>
        </w:rPr>
        <w:t>2020 </w:t>
      </w:r>
      <w:r>
        <w:rPr>
          <w:color w:val="231F20"/>
          <w:spacing w:val="5"/>
        </w:rPr>
        <w:t>年美国风湿病学会指南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35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5"/>
        </w:rPr>
        <w:t>认为，泼尼松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用量</w:t>
      </w:r>
      <w:r>
        <w:rPr>
          <w:rFonts w:ascii="Times New Roman" w:hAnsi="Times New Roman" w:eastAsia="Times New Roman" w:cs="Times New Roman"/>
          <w:color w:val="231F20"/>
          <w:spacing w:val="7"/>
        </w:rPr>
        <w:t>≤20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7"/>
        </w:rPr>
        <w:t>/d </w:t>
      </w:r>
      <w:r>
        <w:rPr>
          <w:color w:val="231F20"/>
          <w:spacing w:val="7"/>
        </w:rPr>
        <w:t>的产妇，母乳对新生儿的影响较</w:t>
      </w:r>
      <w:r>
        <w:rPr>
          <w:color w:val="231F20"/>
          <w:spacing w:val="6"/>
        </w:rPr>
        <w:t>小；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当泼尼松用量</w:t>
      </w:r>
      <w:r>
        <w:rPr>
          <w:rFonts w:ascii="Times New Roman" w:hAnsi="Times New Roman" w:eastAsia="Times New Roman" w:cs="Times New Roman"/>
          <w:color w:val="231F20"/>
          <w:spacing w:val="5"/>
        </w:rPr>
        <w:t>&gt;20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5"/>
        </w:rPr>
        <w:t>/d </w:t>
      </w:r>
      <w:r>
        <w:rPr>
          <w:color w:val="231F20"/>
          <w:spacing w:val="5"/>
        </w:rPr>
        <w:t>时，建议弃去服药后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4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h </w:t>
      </w:r>
      <w:r>
        <w:rPr>
          <w:color w:val="231F20"/>
          <w:spacing w:val="5"/>
        </w:rPr>
        <w:t>内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的乳汁，服药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4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h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6"/>
        </w:rPr>
        <w:t>后再哺乳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。如果母乳喂养新生儿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出现严重的血小板减少症且持续 </w:t>
      </w:r>
      <w:r>
        <w:rPr>
          <w:rFonts w:ascii="Times New Roman" w:hAnsi="Times New Roman" w:eastAsia="Times New Roman" w:cs="Times New Roman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5"/>
        </w:rPr>
        <w:t>周，建议暂停母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乳喂养一段时间以观察血小板有无上升趋势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3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6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4"/>
        </w:rPr>
        <w:t>。</w:t>
      </w:r>
    </w:p>
    <w:p>
      <w:pPr>
        <w:pStyle w:val="BodyText"/>
        <w:ind w:left="488" w:right="399" w:firstLine="420"/>
        <w:spacing w:before="11" w:line="226" w:lineRule="auto"/>
        <w:jc w:val="both"/>
        <w:rPr/>
      </w:pPr>
      <w:r>
        <w:rPr>
          <w:color w:val="231F20"/>
          <w:spacing w:val="7"/>
        </w:rPr>
        <w:t>基于妊娠合并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7"/>
        </w:rPr>
        <w:t>发病率低，目前缺乏大样本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量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、高质量的随机对照试验研究，证据等级尚低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因此，本共识内容仅在现状下为规范化管理妊娠合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并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ITP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4"/>
        </w:rPr>
        <w:t>提供参考。</w:t>
      </w:r>
    </w:p>
    <w:p>
      <w:pPr>
        <w:pStyle w:val="BodyText"/>
        <w:ind w:left="500" w:right="477" w:hanging="6"/>
        <w:spacing w:before="173" w:line="248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6"/>
        </w:rPr>
        <w:t>执笔专家：</w:t>
      </w:r>
      <w:r>
        <w:rPr>
          <w:sz w:val="15"/>
          <w:szCs w:val="15"/>
          <w:color w:val="231F20"/>
          <w:spacing w:val="6"/>
        </w:rPr>
        <w:t>梁梅英（北京大学人民医院）、徐雪（北京大学人</w:t>
      </w:r>
      <w:r>
        <w:rPr>
          <w:sz w:val="15"/>
          <w:szCs w:val="15"/>
          <w:color w:val="231F20"/>
          <w:spacing w:val="5"/>
        </w:rPr>
        <w:t>民医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院）、张晓辉（北京大学人民医院）、杨慧霞（北京大学第一医院）</w:t>
      </w:r>
    </w:p>
    <w:p>
      <w:pPr>
        <w:ind w:left="491"/>
        <w:spacing w:line="204" w:lineRule="exact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  <w:position w:val="1"/>
        </w:rPr>
        <w:t>参与本共识制定与讨论的专家：</w:t>
      </w:r>
    </w:p>
    <w:p>
      <w:pPr>
        <w:pStyle w:val="BodyText"/>
        <w:ind w:left="426" w:right="416" w:firstLine="60"/>
        <w:spacing w:before="64" w:line="248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7"/>
        </w:rPr>
        <w:t>产科专家</w:t>
      </w:r>
      <w:r>
        <w:rPr>
          <w:sz w:val="15"/>
          <w:szCs w:val="15"/>
          <w:color w:val="231F20"/>
          <w:spacing w:val="7"/>
        </w:rPr>
        <w:t>（按姓氏拼音排序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7"/>
        </w:rPr>
        <w:t>高劲松（中国医学科学院北</w:t>
      </w:r>
      <w:r>
        <w:rPr>
          <w:sz w:val="15"/>
          <w:szCs w:val="15"/>
          <w:color w:val="231F20"/>
          <w:spacing w:val="6"/>
        </w:rPr>
        <w:t>京协和医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院）、古航（海军军医大学长海医院）、贺晶（浙江大学医学院附属妇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2"/>
        </w:rPr>
        <w:t>产科医院）、胡娅莉（南京大学医学院附属鼓楼医院）、李力（陆军军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医大学大坪医院）、林建华（上海交通大学医学院附属仁济医院）、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2"/>
        </w:rPr>
        <w:t>蔺莉（北京大学国际医院）、刘兴会（四川大学华西第二医院）、刘喆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0"/>
        </w:rPr>
        <w:t>（北京大学第一医院）、马润玫（昆明医科大学第一附属医院）、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2"/>
        </w:rPr>
        <w:t>马玉燕（山东大学齐鲁医院）、王谢桐（山东省立医院）、时春艳（北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2"/>
        </w:rPr>
        <w:t>京大学第一医院）、杨京晶（北京大学人民医院）、张卫社（中南大学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9"/>
        </w:rPr>
        <w:t>湘雅医院）</w:t>
      </w:r>
    </w:p>
    <w:p>
      <w:pPr>
        <w:pStyle w:val="BodyText"/>
        <w:ind w:left="426" w:right="477" w:firstLine="66"/>
        <w:spacing w:before="1" w:line="248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1"/>
        </w:rPr>
        <w:t>血液科专家</w:t>
      </w:r>
      <w:r>
        <w:rPr>
          <w:sz w:val="15"/>
          <w:szCs w:val="15"/>
          <w:color w:val="231F20"/>
          <w:spacing w:val="1"/>
        </w:rPr>
        <w:t>（按姓氏拼音排序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1"/>
        </w:rPr>
        <w:t>付海霞（北京大学人民医院）、侯宇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（山东大学齐鲁医院）、王文生（北京大学第一医院）</w:t>
      </w:r>
    </w:p>
    <w:p>
      <w:pPr>
        <w:pStyle w:val="BodyText"/>
        <w:ind w:left="486" w:right="477" w:firstLine="4"/>
        <w:spacing w:before="1" w:line="248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1"/>
        </w:rPr>
        <w:t>新生儿科专家</w:t>
      </w:r>
      <w:r>
        <w:rPr>
          <w:sz w:val="15"/>
          <w:szCs w:val="15"/>
          <w:color w:val="231F20"/>
          <w:spacing w:val="1"/>
        </w:rPr>
        <w:t>（按姓氏拼音排序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1"/>
        </w:rPr>
        <w:t>侯新琳（北京大学第一医院）、刘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4"/>
        </w:rPr>
        <w:t>捷（北京大学人民医院）、严荔煌（北京大学人民医院）</w:t>
      </w:r>
    </w:p>
    <w:p>
      <w:pPr>
        <w:pStyle w:val="BodyText"/>
        <w:ind w:left="426" w:right="477" w:firstLine="65"/>
        <w:spacing w:line="211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6"/>
        </w:rPr>
        <w:t>麻醉科专家</w:t>
      </w:r>
      <w:r>
        <w:rPr>
          <w:sz w:val="15"/>
          <w:szCs w:val="15"/>
          <w:color w:val="231F20"/>
          <w:spacing w:val="6"/>
        </w:rPr>
        <w:t>（按姓氏拼音排序</w:t>
      </w:r>
      <w:r>
        <w:rPr>
          <w:sz w:val="15"/>
          <w:szCs w:val="15"/>
          <w:color w:val="231F20"/>
          <w:spacing w:val="-29"/>
          <w:w w:val="71"/>
        </w:rPr>
        <w:t>）：</w:t>
      </w:r>
      <w:r>
        <w:rPr>
          <w:sz w:val="15"/>
          <w:szCs w:val="15"/>
          <w:color w:val="231F20"/>
          <w:spacing w:val="6"/>
        </w:rPr>
        <w:t>丁婷（北大大学第一医院）、张红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6"/>
        </w:rPr>
        <w:t>（北京大学人民医院）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8" w:line="209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8"/>
        </w:rPr>
        <w:t>所有作者声明无利益冲突</w:t>
      </w:r>
    </w:p>
    <w:p>
      <w:pPr>
        <w:ind w:left="1637"/>
        <w:spacing w:before="250" w:line="230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ind w:left="559" w:right="14" w:hanging="410"/>
        <w:spacing w:before="151" w:line="29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Zufferey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Kapur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Semple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JW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Pathogenesis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therapeutic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mechanisms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immune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thrombocytopenia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</w:t>
      </w:r>
      <w:r>
        <w:rPr>
          <w:rFonts w:ascii="Cambria" w:hAnsi="Cambria" w:eastAsia="Cambria" w:cs="Cambria"/>
          <w:sz w:val="15"/>
          <w:szCs w:val="15"/>
          <w:color w:val="231F20"/>
        </w:rPr>
        <w:t>ITP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)[J].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2017,    6(2):16.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10.3390/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jcm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6020016.</w:t>
      </w:r>
    </w:p>
    <w:p>
      <w:pPr>
        <w:ind w:left="562" w:right="13" w:hanging="413"/>
        <w:spacing w:before="37" w:line="30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Provan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Arnold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Bussel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Updated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international  consensus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report  on  the  investigation  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primary   immune   thrombocytopenia[J].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Adv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2019,    3(22):   3780‑3817.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1182/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bloodadvances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.2019000812.</w:t>
      </w:r>
    </w:p>
    <w:p>
      <w:pPr>
        <w:ind w:left="562" w:right="4" w:hanging="413"/>
        <w:spacing w:before="8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[3]      </w:t>
      </w:r>
      <w:r>
        <w:rPr>
          <w:rFonts w:ascii="Cambria" w:hAnsi="Cambria" w:eastAsia="Cambria" w:cs="Cambria"/>
          <w:sz w:val="15"/>
          <w:szCs w:val="15"/>
          <w:color w:val="231F20"/>
        </w:rPr>
        <w:t>Loustau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Debouverie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Canoui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Poitrine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pregnancy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course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immune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thrombocytope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nia: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retrospective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118  </w:t>
      </w:r>
      <w:r>
        <w:rPr>
          <w:rFonts w:ascii="Cambria" w:hAnsi="Cambria" w:eastAsia="Cambria" w:cs="Cambria"/>
          <w:sz w:val="15"/>
          <w:szCs w:val="15"/>
          <w:color w:val="231F20"/>
        </w:rPr>
        <w:t>pregnancies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82  </w:t>
      </w:r>
      <w:r>
        <w:rPr>
          <w:rFonts w:ascii="Cambria" w:hAnsi="Cambria" w:eastAsia="Cambria" w:cs="Cambria"/>
          <w:sz w:val="15"/>
          <w:szCs w:val="15"/>
          <w:color w:val="231F20"/>
        </w:rPr>
        <w:t>women</w:t>
      </w:r>
      <w:r>
        <w:rPr>
          <w:rFonts w:ascii="Cambria" w:hAnsi="Cambria" w:eastAsia="Cambria" w:cs="Cambria"/>
          <w:sz w:val="15"/>
          <w:szCs w:val="15"/>
          <w:color w:val="231F20"/>
          <w:spacing w:val="-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   Haematol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2014,   166(6):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929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‑935.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1111/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bjh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.12976.</w:t>
      </w:r>
    </w:p>
    <w:p>
      <w:pPr>
        <w:ind w:left="565" w:right="14" w:hanging="416"/>
        <w:spacing w:before="39" w:line="29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[4]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Care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Pavord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Knight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Severe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primary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autoimmune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thrombocytopenia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pregnancy: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national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BJOG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2018,    125(5):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604‑612.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1111/1471‑0528.14697.</w:t>
      </w:r>
    </w:p>
    <w:p>
      <w:pPr>
        <w:ind w:left="565" w:right="13" w:hanging="416"/>
        <w:spacing w:before="38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[5]      </w:t>
      </w:r>
      <w:r>
        <w:rPr>
          <w:rFonts w:ascii="Cambria" w:hAnsi="Cambria" w:eastAsia="Cambria" w:cs="Cambria"/>
          <w:sz w:val="15"/>
          <w:szCs w:val="15"/>
          <w:color w:val="231F20"/>
        </w:rPr>
        <w:t>Xu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Liang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Dou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Evaluation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glucocorticoid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compared    with    immunoglobul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     therapy    of    severe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immune  thrombocytopenia  during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pregnancy: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response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rate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complication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Reprod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Immunol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2018,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80(4):e13000.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1111/</w:t>
      </w:r>
      <w:r>
        <w:rPr>
          <w:rFonts w:ascii="Cambria" w:hAnsi="Cambria" w:eastAsia="Cambria" w:cs="Cambria"/>
          <w:sz w:val="15"/>
          <w:szCs w:val="15"/>
          <w:color w:val="231F20"/>
        </w:rPr>
        <w:t>aji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.13000.</w:t>
      </w:r>
    </w:p>
    <w:p>
      <w:pPr>
        <w:ind w:left="561" w:right="9" w:hanging="412"/>
        <w:spacing w:before="39" w:line="29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[6]       Sun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D,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Shehata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N,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Ye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XY,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Cort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icosteroids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compared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intravenous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immunoglobulin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immune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thrombocytopenia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pregn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ancy[J].   Blood,   2016,   128(10):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1329‑1335.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10.1182/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‑2016‑04‑710285.</w:t>
      </w:r>
    </w:p>
    <w:p>
      <w:pPr>
        <w:ind w:left="565" w:right="14" w:hanging="416"/>
        <w:spacing w:before="37" w:line="29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[7]      Letsky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EA,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Greaves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inv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estigation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   of   thrombocytope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nia    in   pregnancy    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neonatal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alloimmune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thrombocytopenia.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Maternal   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Neonatal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Haemostasis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Working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arty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Haemostasis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Thrombosis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Task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Force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the   British   Society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Haematology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Haematol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1996,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95(1):21‑2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6.</w:t>
      </w:r>
    </w:p>
    <w:p>
      <w:pPr>
        <w:ind w:left="565" w:right="4" w:hanging="416"/>
        <w:spacing w:before="37" w:line="29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[8]     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investigation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idiopathic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thrombocyto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penic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purpura  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adults,  children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pregnancy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Br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Haematol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2003,    120(4):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574‑596.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1046/j.1365‑2141.2003.04131.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x.</w:t>
      </w:r>
    </w:p>
    <w:p>
      <w:pPr>
        <w:ind w:left="564" w:hanging="415"/>
        <w:spacing w:before="39" w:line="29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[9]       </w:t>
      </w:r>
      <w:r>
        <w:rPr>
          <w:rFonts w:ascii="Cambria" w:hAnsi="Cambria" w:eastAsia="Cambria" w:cs="Cambria"/>
          <w:sz w:val="15"/>
          <w:szCs w:val="15"/>
          <w:color w:val="231F20"/>
        </w:rPr>
        <w:t>Neunert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Lim W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Crowther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M,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The American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Hematology   2011    evidence‑based   practice    guideline   for  </w:t>
      </w:r>
      <w:r>
        <w:rPr>
          <w:rFonts w:ascii="Cambria" w:hAnsi="Cambria" w:eastAsia="Cambria" w:cs="Cambria"/>
          <w:sz w:val="15"/>
          <w:szCs w:val="15"/>
          <w:color w:val="231F20"/>
        </w:rPr>
        <w:t>immune     thrombocytopenia[J].      Blood,     2011,      11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7(16):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4190‑4207.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10.1182/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‑2010‑08‑302984.</w:t>
      </w:r>
    </w:p>
    <w:p>
      <w:pPr>
        <w:ind w:left="566" w:right="13" w:hanging="506"/>
        <w:spacing w:before="37" w:line="29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[10]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Provan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Stasi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Newland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International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consensus  report  on  the  investig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ation  and  management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primary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immune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thrombocytopenia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2010,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115(2):168‑186.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1182/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‑2009‑0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6‑225565.</w:t>
      </w:r>
    </w:p>
    <w:p>
      <w:pPr>
        <w:ind w:left="559" w:right="14" w:hanging="499"/>
        <w:spacing w:before="39" w:line="30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[11]      </w:t>
      </w:r>
      <w:r>
        <w:rPr>
          <w:rFonts w:ascii="Cambria" w:hAnsi="Cambria" w:eastAsia="Cambria" w:cs="Cambria"/>
          <w:sz w:val="15"/>
          <w:szCs w:val="15"/>
          <w:color w:val="231F20"/>
        </w:rPr>
        <w:t>Practice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Bulletin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No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166: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thrombocytopenia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pregnancy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2016,  128(3): e43‑53.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10.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1097/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AOG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.0000000000001641.</w:t>
      </w:r>
    </w:p>
    <w:p>
      <w:pPr>
        <w:ind w:left="561" w:right="13" w:hanging="501"/>
        <w:spacing w:before="7" w:line="29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[12]      </w:t>
      </w:r>
      <w:r>
        <w:rPr>
          <w:rFonts w:ascii="Cambria" w:hAnsi="Cambria" w:eastAsia="Cambria" w:cs="Cambria"/>
          <w:sz w:val="15"/>
          <w:szCs w:val="15"/>
          <w:color w:val="231F20"/>
        </w:rPr>
        <w:t>Neunert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Terrell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Arnold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American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Society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Hematology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2019      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immune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thrombocytopenia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Adv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3(23):3829‑3866.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1182/</w:t>
      </w:r>
      <w:r>
        <w:rPr>
          <w:rFonts w:ascii="Cambria" w:hAnsi="Cambria" w:eastAsia="Cambria" w:cs="Cambria"/>
          <w:sz w:val="15"/>
          <w:szCs w:val="15"/>
          <w:color w:val="231F20"/>
        </w:rPr>
        <w:t>bloodadvances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.2019000966.</w:t>
      </w:r>
    </w:p>
    <w:p>
      <w:pPr>
        <w:ind w:left="563" w:right="13" w:hanging="503"/>
        <w:spacing w:before="39" w:line="28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[13]      </w:t>
      </w:r>
      <w:r>
        <w:rPr>
          <w:rFonts w:ascii="Cambria" w:hAnsi="Cambria" w:eastAsia="Cambria" w:cs="Cambria"/>
          <w:sz w:val="15"/>
          <w:szCs w:val="15"/>
          <w:color w:val="231F20"/>
        </w:rPr>
        <w:t>ACOG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Practice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Bulletin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No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    207        </w:t>
      </w:r>
      <w:r>
        <w:rPr>
          <w:rFonts w:ascii="Cambria" w:hAnsi="Cambria" w:eastAsia="Cambria" w:cs="Cambria"/>
          <w:sz w:val="15"/>
          <w:szCs w:val="15"/>
          <w:color w:val="231F20"/>
        </w:rPr>
        <w:t>Summary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Thrombocytopenia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pregnancy</w:t>
      </w:r>
      <w:r>
        <w:rPr>
          <w:rFonts w:ascii="Cambria" w:hAnsi="Cambria" w:eastAsia="Cambria" w:cs="Cambria"/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133(3):589‑591.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1097/</w:t>
      </w:r>
      <w:r>
        <w:rPr>
          <w:rFonts w:ascii="Cambria" w:hAnsi="Cambria" w:eastAsia="Cambria" w:cs="Cambria"/>
          <w:sz w:val="15"/>
          <w:szCs w:val="15"/>
          <w:color w:val="231F20"/>
        </w:rPr>
        <w:t>AOG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0000000000003101.</w:t>
      </w:r>
    </w:p>
    <w:p>
      <w:pPr>
        <w:pStyle w:val="BodyText"/>
        <w:ind w:left="562" w:right="13" w:hanging="502"/>
        <w:spacing w:before="38" w:line="19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[14]       </w:t>
      </w:r>
      <w:r>
        <w:rPr>
          <w:sz w:val="15"/>
          <w:szCs w:val="15"/>
          <w:color w:val="231F20"/>
          <w:spacing w:val="7"/>
        </w:rPr>
        <w:t>中华医学会血液学分会血栓与止血学组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  <w:spacing w:val="7"/>
        </w:rPr>
        <w:t>成人原发免疫性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血小板减少症诊断与治疗中国指南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(2020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0"/>
        </w:rPr>
        <w:t>年版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)[J].</w:t>
      </w:r>
      <w:r>
        <w:rPr>
          <w:sz w:val="15"/>
          <w:szCs w:val="15"/>
          <w:color w:val="231F20"/>
          <w:spacing w:val="10"/>
        </w:rPr>
        <w:t>中华血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液 学 杂 志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2020,  41(8):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617‑623.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j.</w:t>
      </w:r>
    </w:p>
    <w:p>
      <w:pPr>
        <w:spacing w:line="199" w:lineRule="auto"/>
        <w:sectPr>
          <w:type w:val="continuous"/>
          <w:pgSz w:w="12246" w:h="16498"/>
          <w:pgMar w:top="1212" w:right="1289" w:bottom="0" w:left="819" w:header="971" w:footer="0" w:gutter="0"/>
          <w:cols w:equalWidth="0" w:num="2">
            <w:col w:w="5496" w:space="100"/>
            <w:col w:w="4542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65"/>
        <w:rPr/>
      </w:pPr>
      <w:r/>
    </w:p>
    <w:p>
      <w:pPr>
        <w:sectPr>
          <w:headerReference w:type="default" r:id="rId10"/>
          <w:pgSz w:w="12246" w:h="16498"/>
          <w:pgMar w:top="1212" w:right="1236" w:bottom="0" w:left="819" w:header="971" w:footer="0" w:gutter="0"/>
          <w:cols w:equalWidth="0" w:num="1">
            <w:col w:w="10189" w:space="0"/>
          </w:cols>
        </w:sectPr>
        <w:rPr/>
      </w:pPr>
    </w:p>
    <w:p>
      <w:pPr>
        <w:ind w:left="1058"/>
        <w:spacing w:before="36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.0253‑2727.2020.08.001.</w:t>
      </w:r>
    </w:p>
    <w:p>
      <w:pPr>
        <w:ind w:left="1058" w:right="536" w:hanging="505"/>
        <w:spacing w:before="40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[15]       </w:t>
      </w:r>
      <w:r>
        <w:rPr>
          <w:rFonts w:ascii="Cambria" w:hAnsi="Cambria" w:eastAsia="Cambria" w:cs="Cambria"/>
          <w:sz w:val="15"/>
          <w:szCs w:val="15"/>
          <w:color w:val="231F20"/>
        </w:rPr>
        <w:t>Miyakawa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Kashiwagi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Takafuta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Consensus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report  for  the  management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pregnancy  with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primary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immune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thrombocytopenia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Rinsho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Ketsueki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55(8):934‑947.</w:t>
      </w:r>
    </w:p>
    <w:p>
      <w:pPr>
        <w:pStyle w:val="BodyText"/>
        <w:ind w:left="1054" w:right="536" w:hanging="501"/>
        <w:spacing w:before="38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[16]       </w:t>
      </w:r>
      <w:r>
        <w:rPr>
          <w:sz w:val="15"/>
          <w:szCs w:val="15"/>
          <w:color w:val="231F20"/>
          <w:spacing w:val="-1"/>
        </w:rPr>
        <w:t>徐雪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梁梅英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1"/>
        </w:rPr>
        <w:t>郭天元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. 2014</w:t>
      </w:r>
      <w:r>
        <w:rPr>
          <w:sz w:val="15"/>
          <w:szCs w:val="15"/>
          <w:color w:val="231F20"/>
          <w:spacing w:val="-1"/>
        </w:rPr>
        <w:t>年日本“妊娠合并特发性血小板减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少性紫癜诊疗共识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”解读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[J].</w:t>
      </w:r>
      <w:r>
        <w:rPr>
          <w:sz w:val="15"/>
          <w:szCs w:val="15"/>
          <w:color w:val="231F20"/>
          <w:spacing w:val="1"/>
        </w:rPr>
        <w:t>中华围产医学杂志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, 2015, 18(4):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246‑251. DOI: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10.3760/cma.j.issn.1007‑9408.2015.04.001.</w:t>
      </w:r>
    </w:p>
    <w:p>
      <w:pPr>
        <w:ind w:left="1052" w:right="536" w:hanging="499"/>
        <w:spacing w:before="38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[17]      </w:t>
      </w:r>
      <w:r>
        <w:rPr>
          <w:rFonts w:ascii="Cambria" w:hAnsi="Cambria" w:eastAsia="Cambria" w:cs="Cambria"/>
          <w:sz w:val="15"/>
          <w:szCs w:val="15"/>
          <w:color w:val="231F20"/>
        </w:rPr>
        <w:t>Reese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Peck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Yu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Platelet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sequestration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</w:rPr>
        <w:t>consumption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placental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intervillous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space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contribute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  lower  platelet  counts  during  pregnancy</w:t>
      </w:r>
      <w:r>
        <w:rPr>
          <w:rFonts w:ascii="Cambria" w:hAnsi="Cambria" w:eastAsia="Cambria" w:cs="Cambria"/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Hematol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2019,    94(1):   E8‑E11.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1002/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ajh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.25321.</w:t>
      </w:r>
    </w:p>
    <w:p>
      <w:pPr>
        <w:ind w:left="1059" w:right="536" w:hanging="506"/>
        <w:spacing w:before="39" w:line="28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[18]      </w:t>
      </w:r>
      <w:r>
        <w:rPr>
          <w:rFonts w:ascii="Cambria" w:hAnsi="Cambria" w:eastAsia="Cambria" w:cs="Cambria"/>
          <w:sz w:val="15"/>
          <w:szCs w:val="15"/>
          <w:color w:val="231F20"/>
        </w:rPr>
        <w:t>Reese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Peck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Deschamps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Platelet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counts </w:t>
      </w:r>
      <w:r>
        <w:rPr>
          <w:rFonts w:ascii="Cambria" w:hAnsi="Cambria" w:eastAsia="Cambria" w:cs="Cambria"/>
          <w:sz w:val="15"/>
          <w:szCs w:val="15"/>
          <w:color w:val="231F20"/>
        </w:rPr>
        <w:t>during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pregnancy</w:t>
      </w:r>
      <w:r>
        <w:rPr>
          <w:rFonts w:ascii="Cambria" w:hAnsi="Cambria" w:eastAsia="Cambria" w:cs="Cambria"/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2018,  379(1): 32‑43.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1802897.</w:t>
      </w:r>
    </w:p>
    <w:p>
      <w:pPr>
        <w:ind w:left="1054" w:right="535" w:hanging="501"/>
        <w:spacing w:before="38" w:line="28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[19]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Gernsheimer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James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Stasi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How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treat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thrombocytopenia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pregnancy</w:t>
      </w:r>
      <w:r>
        <w:rPr>
          <w:rFonts w:ascii="Cambria" w:hAnsi="Cambria" w:eastAsia="Cambria" w:cs="Cambria"/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2013,  121(1):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38‑47.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1182/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‑2012‑08‑44894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4.</w:t>
      </w:r>
    </w:p>
    <w:p>
      <w:pPr>
        <w:ind w:left="1055" w:right="536" w:hanging="502"/>
        <w:spacing w:before="36" w:line="30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[20]       </w:t>
      </w:r>
      <w:r>
        <w:rPr>
          <w:rFonts w:ascii="Cambria" w:hAnsi="Cambria" w:eastAsia="Cambria" w:cs="Cambria"/>
          <w:sz w:val="15"/>
          <w:szCs w:val="15"/>
          <w:color w:val="231F20"/>
        </w:rPr>
        <w:t>Rodeghiero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 </w:t>
      </w:r>
      <w:r>
        <w:rPr>
          <w:rFonts w:ascii="Cambria" w:hAnsi="Cambria" w:eastAsia="Cambria" w:cs="Cambria"/>
          <w:sz w:val="15"/>
          <w:szCs w:val="15"/>
          <w:color w:val="231F20"/>
        </w:rPr>
        <w:t>Stasi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 </w:t>
      </w:r>
      <w:r>
        <w:rPr>
          <w:rFonts w:ascii="Cambria" w:hAnsi="Cambria" w:eastAsia="Cambria" w:cs="Cambria"/>
          <w:sz w:val="15"/>
          <w:szCs w:val="15"/>
          <w:color w:val="231F20"/>
        </w:rPr>
        <w:t>Gernsheimer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Standardization  of</w:t>
      </w:r>
      <w:r>
        <w:rPr>
          <w:rFonts w:ascii="Cambria" w:hAnsi="Cambria" w:eastAsia="Cambria" w:cs="Cambria"/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terminology,  definitions  and  outcome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criteria  in  immune  thromboc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ytopenic  purpura  of  adults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children: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report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international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working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group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2009,    113(11):  2386‑2393.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1182/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‑2008‑07‑162503.</w:t>
      </w:r>
    </w:p>
    <w:p>
      <w:pPr>
        <w:ind w:left="1054" w:right="536" w:hanging="501"/>
        <w:spacing w:before="6" w:line="29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[21]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Kong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Qin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Xiao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novel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recombinant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human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thrombopoietin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immune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thrombocytopenia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pregnancy</w:t>
      </w:r>
      <w:r>
        <w:rPr>
          <w:rFonts w:ascii="Cambria" w:hAnsi="Cambria" w:eastAsia="Cambria" w:cs="Cambria"/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2017,  130(9):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1097‑1103.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1182/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‑2017‑01‑761262.</w:t>
      </w:r>
    </w:p>
    <w:p>
      <w:pPr>
        <w:ind w:left="1052" w:right="531" w:hanging="499"/>
        <w:spacing w:before="38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[22]       Bauer  ME,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Arendt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K,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Beilin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Y,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Societ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Obstetric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Anesthesia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Perinatology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interdisciplinary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consensus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statement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neuraxial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procedures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obstetric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thrombocytopenia[J].      Anesth       Analg,       2021,       132(6):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1531‑1544.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10.1213/</w:t>
      </w:r>
      <w:r>
        <w:rPr>
          <w:rFonts w:ascii="Cambria" w:hAnsi="Cambria" w:eastAsia="Cambria" w:cs="Cambria"/>
          <w:sz w:val="15"/>
          <w:szCs w:val="15"/>
          <w:color w:val="231F20"/>
        </w:rPr>
        <w:t>ANE.0000000000005355.</w:t>
      </w:r>
    </w:p>
    <w:p>
      <w:pPr>
        <w:ind w:left="1054" w:right="536" w:hanging="501"/>
        <w:spacing w:before="37" w:line="28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[23]      </w:t>
      </w:r>
      <w:r>
        <w:rPr>
          <w:rFonts w:ascii="Cambria" w:hAnsi="Cambria" w:eastAsia="Cambria" w:cs="Cambria"/>
          <w:sz w:val="15"/>
          <w:szCs w:val="15"/>
          <w:color w:val="231F20"/>
        </w:rPr>
        <w:t>Roberts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Stanworth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Murray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Thrombocytopenia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neonate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Blood   Rev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2008,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22(4):  173‑186.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blre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.2008.03.004.</w:t>
      </w:r>
    </w:p>
    <w:p>
      <w:pPr>
        <w:ind w:left="1054" w:right="535" w:hanging="501"/>
        <w:spacing w:before="37" w:line="29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[24]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Elgendy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Durgham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Othman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Platelet </w:t>
      </w:r>
      <w:r>
        <w:rPr>
          <w:rFonts w:ascii="Cambria" w:hAnsi="Cambria" w:eastAsia="Cambria" w:cs="Cambria"/>
          <w:sz w:val="15"/>
          <w:szCs w:val="15"/>
          <w:color w:val="231F20"/>
        </w:rPr>
        <w:t>transfusion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preterm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infants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    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cross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sectional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Neonatology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  2021,    118(4):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425‑433.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1159/000515900.</w:t>
      </w:r>
    </w:p>
    <w:p>
      <w:pPr>
        <w:ind w:left="1058" w:right="536" w:hanging="505"/>
        <w:spacing w:before="37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[25]       </w:t>
      </w:r>
      <w:r>
        <w:rPr>
          <w:rFonts w:ascii="Cambria" w:hAnsi="Cambria" w:eastAsia="Cambria" w:cs="Cambria"/>
          <w:sz w:val="15"/>
          <w:szCs w:val="15"/>
          <w:color w:val="231F20"/>
        </w:rPr>
        <w:t>Bayhan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Tavil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Korkmaz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Neonates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born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to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mothers   with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immune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thrombocytopenic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purpura: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single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center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experience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20   </w:t>
      </w:r>
      <w:r>
        <w:rPr>
          <w:rFonts w:ascii="Cambria" w:hAnsi="Cambria" w:eastAsia="Cambria" w:cs="Cambria"/>
          <w:sz w:val="15"/>
          <w:szCs w:val="15"/>
          <w:color w:val="231F20"/>
        </w:rPr>
        <w:t>years</w:t>
      </w:r>
      <w:r>
        <w:rPr>
          <w:rFonts w:ascii="Cambria" w:hAnsi="Cambria" w:eastAsia="Cambria" w:cs="Cambria"/>
          <w:sz w:val="15"/>
          <w:szCs w:val="15"/>
          <w:color w:val="231F20"/>
          <w:spacing w:val="-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Coagul </w:t>
      </w:r>
      <w:r>
        <w:rPr>
          <w:rFonts w:ascii="Cambria" w:hAnsi="Cambria" w:eastAsia="Cambria" w:cs="Cambria"/>
          <w:sz w:val="15"/>
          <w:szCs w:val="15"/>
          <w:color w:val="231F20"/>
        </w:rPr>
        <w:t>Fibrinolysis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27(1):     19‑23.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10.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1097/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7"/>
        <w:spacing w:before="35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position w:val="1"/>
        </w:rPr>
        <w:t>MBC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1"/>
        </w:rPr>
        <w:t>.0000000000000378.</w:t>
      </w:r>
    </w:p>
    <w:p>
      <w:pPr>
        <w:ind w:left="500" w:right="66" w:hanging="501"/>
        <w:spacing w:before="40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[26]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Gill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KK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Kelton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JG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  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idiopathic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thrombocytopenic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purpura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pregnancy</w:t>
      </w:r>
      <w:r>
        <w:rPr>
          <w:rFonts w:ascii="Cambria" w:hAnsi="Cambria" w:eastAsia="Cambria" w:cs="Cambria"/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Semin </w:t>
      </w:r>
      <w:r>
        <w:rPr>
          <w:rFonts w:ascii="Cambria" w:hAnsi="Cambria" w:eastAsia="Cambria" w:cs="Cambria"/>
          <w:sz w:val="15"/>
          <w:szCs w:val="15"/>
          <w:color w:val="231F20"/>
        </w:rPr>
        <w:t>Hematol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2000,      37(3):     2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75‑289.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1016/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s0037‑1963(00)90106‑9.</w:t>
      </w:r>
    </w:p>
    <w:p>
      <w:pPr>
        <w:ind w:left="504" w:right="66" w:hanging="504"/>
        <w:spacing w:before="38" w:line="28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[27]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Bussel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Zabusky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Berkowitz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Fetal </w:t>
      </w:r>
      <w:r>
        <w:rPr>
          <w:rFonts w:ascii="Cambria" w:hAnsi="Cambria" w:eastAsia="Cambria" w:cs="Cambria"/>
          <w:sz w:val="15"/>
          <w:szCs w:val="15"/>
          <w:color w:val="231F20"/>
        </w:rPr>
        <w:t>alloimmune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thrombocytopenia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1997,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337(1):22‑26.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1056/</w:t>
      </w:r>
      <w:r>
        <w:rPr>
          <w:rFonts w:ascii="Cambria" w:hAnsi="Cambria" w:eastAsia="Cambria" w:cs="Cambria"/>
          <w:sz w:val="15"/>
          <w:szCs w:val="15"/>
          <w:color w:val="231F20"/>
        </w:rPr>
        <w:t>NEJM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19970703337010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4.</w:t>
      </w:r>
    </w:p>
    <w:p>
      <w:pPr>
        <w:ind w:left="504" w:right="61" w:hanging="504"/>
        <w:spacing w:before="38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[28]      American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College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 Obstetricians  and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Gynecologists.  ACOG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practice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bulletin: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thrombocytopenia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pregnancy.   Clinical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management guidelines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obstetrician‑gynecol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ogists[J].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Int 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Gynaecol Obstet,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1999, 67(2):117‑1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28.</w:t>
      </w:r>
    </w:p>
    <w:p>
      <w:pPr>
        <w:ind w:left="499" w:right="66" w:hanging="499"/>
        <w:spacing w:before="37" w:line="29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[29]      </w:t>
      </w:r>
      <w:r>
        <w:rPr>
          <w:rFonts w:ascii="Cambria" w:hAnsi="Cambria" w:eastAsia="Cambria" w:cs="Cambria"/>
          <w:sz w:val="15"/>
          <w:szCs w:val="15"/>
          <w:color w:val="231F20"/>
        </w:rPr>
        <w:t>Subbaiah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Kumar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Roy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KK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Pregnancy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outcome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idiopa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thic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thrombocytopenic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purpura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Arch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289(2):   269‑273.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1007/s00404‑013‑2958‑x.</w:t>
      </w:r>
    </w:p>
    <w:p>
      <w:pPr>
        <w:ind w:left="500" w:right="66" w:hanging="501"/>
        <w:spacing w:before="38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[30]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Donato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Neonatal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thrombocytopenia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I.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Definitions,     differentia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     diagnosis,     causes,     immune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thrombocytopenia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4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Arch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Argent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Pediatr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2021,  119(3):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e202‑e214.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10.5546/</w:t>
      </w:r>
      <w:r>
        <w:rPr>
          <w:rFonts w:ascii="Cambria" w:hAnsi="Cambria" w:eastAsia="Cambria" w:cs="Cambria"/>
          <w:sz w:val="15"/>
          <w:szCs w:val="15"/>
          <w:color w:val="231F20"/>
        </w:rPr>
        <w:t>aap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.2021.</w:t>
      </w:r>
      <w:r>
        <w:rPr>
          <w:rFonts w:ascii="Cambria" w:hAnsi="Cambria" w:eastAsia="Cambria" w:cs="Cambria"/>
          <w:sz w:val="15"/>
          <w:szCs w:val="15"/>
          <w:color w:val="231F20"/>
        </w:rPr>
        <w:t>eng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.e202.</w:t>
      </w:r>
    </w:p>
    <w:p>
      <w:pPr>
        <w:ind w:left="499" w:right="66" w:hanging="499"/>
        <w:spacing w:before="40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[31]      </w:t>
      </w:r>
      <w:r>
        <w:rPr>
          <w:rFonts w:ascii="Cambria" w:hAnsi="Cambria" w:eastAsia="Cambria" w:cs="Cambria"/>
          <w:sz w:val="15"/>
          <w:szCs w:val="15"/>
          <w:color w:val="231F20"/>
        </w:rPr>
        <w:t>van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Lugt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van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Kampen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Walther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Outcome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neonatal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thrombocytopenia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due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maternal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idiopat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hic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thrombocytopenic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purpura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Vox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Sang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2013,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105(3):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236‑243.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1111/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vox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.12036.</w:t>
      </w:r>
    </w:p>
    <w:p>
      <w:pPr>
        <w:ind w:left="500" w:right="65" w:hanging="500"/>
        <w:spacing w:before="8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[32]       </w:t>
      </w:r>
      <w:r>
        <w:rPr>
          <w:rFonts w:ascii="Cambria" w:hAnsi="Cambria" w:eastAsia="Cambria" w:cs="Cambria"/>
          <w:sz w:val="15"/>
          <w:szCs w:val="15"/>
          <w:color w:val="231F20"/>
        </w:rPr>
        <w:t>Kawaguchi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Matsubara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Takafuta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Factors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predictive   of   neonatal   thrombocytopenia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pregnant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women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immune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thrombocytopenia[J].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ematol,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2014, 99(5):570‑576.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1007/s12185‑014‑1562‑6.</w:t>
      </w:r>
    </w:p>
    <w:p>
      <w:pPr>
        <w:ind w:left="507" w:right="66" w:hanging="508"/>
        <w:spacing w:before="38" w:line="28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[33]       </w:t>
      </w:r>
      <w:r>
        <w:rPr>
          <w:rFonts w:ascii="Cambria" w:hAnsi="Cambria" w:eastAsia="Cambria" w:cs="Cambria"/>
          <w:sz w:val="15"/>
          <w:szCs w:val="15"/>
          <w:color w:val="231F20"/>
        </w:rPr>
        <w:t>Kimberlin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Brady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Jackson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book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>2018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report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Committee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Infectious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Diseases</w:t>
      </w:r>
      <w:r>
        <w:rPr>
          <w:rFonts w:ascii="Cambria" w:hAnsi="Cambria" w:eastAsia="Cambria" w:cs="Cambria"/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>[M].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31</w:t>
      </w:r>
      <w:r>
        <w:rPr>
          <w:rFonts w:ascii="Cambria" w:hAnsi="Cambria" w:eastAsia="Cambria" w:cs="Cambria"/>
          <w:sz w:val="15"/>
          <w:szCs w:val="15"/>
          <w:color w:val="231F20"/>
        </w:rPr>
        <w:t>st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Itasca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: </w:t>
      </w:r>
      <w:r>
        <w:rPr>
          <w:rFonts w:ascii="Cambria" w:hAnsi="Cambria" w:eastAsia="Cambria" w:cs="Cambria"/>
          <w:sz w:val="15"/>
          <w:szCs w:val="15"/>
          <w:color w:val="231F20"/>
        </w:rPr>
        <w:t>American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Academy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Pediatrics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2018: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39.</w:t>
      </w:r>
    </w:p>
    <w:p>
      <w:pPr>
        <w:pStyle w:val="BodyText"/>
        <w:ind w:left="502" w:right="66" w:hanging="502"/>
        <w:spacing w:before="39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[34]      </w:t>
      </w:r>
      <w:r>
        <w:rPr>
          <w:sz w:val="15"/>
          <w:szCs w:val="15"/>
          <w:color w:val="231F20"/>
          <w:spacing w:val="3"/>
        </w:rPr>
        <w:t>郑跃杰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</w:t>
      </w:r>
      <w:r>
        <w:rPr>
          <w:sz w:val="15"/>
          <w:szCs w:val="15"/>
          <w:color w:val="231F20"/>
          <w:spacing w:val="3"/>
        </w:rPr>
        <w:t>张丹霞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3"/>
        </w:rPr>
        <w:t>李永柏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</w:t>
      </w:r>
      <w:r>
        <w:rPr>
          <w:sz w:val="15"/>
          <w:szCs w:val="15"/>
          <w:color w:val="231F20"/>
          <w:spacing w:val="3"/>
        </w:rPr>
        <w:t>等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  <w:spacing w:val="3"/>
        </w:rPr>
        <w:t>儿童预防接种禁</w:t>
      </w:r>
      <w:r>
        <w:rPr>
          <w:sz w:val="15"/>
          <w:szCs w:val="15"/>
          <w:color w:val="231F20"/>
          <w:spacing w:val="2"/>
        </w:rPr>
        <w:t>忌证基层筛查及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转诊建议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(</w:t>
      </w:r>
      <w:r>
        <w:rPr>
          <w:sz w:val="15"/>
          <w:szCs w:val="15"/>
          <w:color w:val="231F20"/>
          <w:spacing w:val="7"/>
        </w:rPr>
        <w:t>深圳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)[J].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中华实用儿科临床杂志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36(1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1201‑1204.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: 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cn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101070‑20</w:t>
      </w:r>
      <w:r>
        <w:rPr>
          <w:rFonts w:ascii="Cambria" w:hAnsi="Cambria" w:eastAsia="Cambria" w:cs="Cambria"/>
          <w:sz w:val="15"/>
          <w:szCs w:val="15"/>
          <w:color w:val="231F20"/>
        </w:rPr>
        <w:t>210723‑00867.</w:t>
      </w:r>
    </w:p>
    <w:p>
      <w:pPr>
        <w:ind w:left="499" w:right="66" w:hanging="499"/>
        <w:spacing w:before="38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[35]      </w:t>
      </w:r>
      <w:r>
        <w:rPr>
          <w:rFonts w:ascii="Cambria" w:hAnsi="Cambria" w:eastAsia="Cambria" w:cs="Cambria"/>
          <w:sz w:val="15"/>
          <w:szCs w:val="15"/>
          <w:color w:val="231F20"/>
        </w:rPr>
        <w:t>Sammaritano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Bermas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Chakravarty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2020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American   College   of   Rheumatology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Guideline   for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reproductive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health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rheumatic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musculoskeletal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diseases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Arthritis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Rheumatol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   2020,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72(4):529‑556.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1002/</w:t>
      </w:r>
      <w:r>
        <w:rPr>
          <w:rFonts w:ascii="Cambria" w:hAnsi="Cambria" w:eastAsia="Cambria" w:cs="Cambria"/>
          <w:sz w:val="15"/>
          <w:szCs w:val="15"/>
          <w:color w:val="231F20"/>
        </w:rPr>
        <w:t>art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.41191.</w:t>
      </w:r>
    </w:p>
    <w:p>
      <w:pPr>
        <w:ind w:left="500" w:right="65" w:hanging="501"/>
        <w:spacing w:before="37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[36]      </w:t>
      </w:r>
      <w:r>
        <w:rPr>
          <w:rFonts w:ascii="Cambria" w:hAnsi="Cambria" w:eastAsia="Cambria" w:cs="Cambria"/>
          <w:sz w:val="15"/>
          <w:szCs w:val="15"/>
          <w:color w:val="231F20"/>
        </w:rPr>
        <w:t>Hauschner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Rosenberg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Seligsohn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U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Persistent </w:t>
      </w:r>
      <w:r>
        <w:rPr>
          <w:rFonts w:ascii="Cambria" w:hAnsi="Cambria" w:eastAsia="Cambria" w:cs="Cambria"/>
          <w:sz w:val="15"/>
          <w:szCs w:val="15"/>
          <w:color w:val="231F20"/>
        </w:rPr>
        <w:t>neonatal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thrombocytopenia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caused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IgA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antiplatelet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antibodies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breast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milk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immune </w:t>
      </w:r>
      <w:r>
        <w:rPr>
          <w:rFonts w:ascii="Cambria" w:hAnsi="Cambria" w:eastAsia="Cambria" w:cs="Cambria"/>
          <w:sz w:val="15"/>
          <w:szCs w:val="15"/>
          <w:color w:val="231F20"/>
        </w:rPr>
        <w:t>thrombocytopenic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mothers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 2015,     126(5):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661‑664.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1182/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‑2014‑12‑614446.</w:t>
      </w:r>
    </w:p>
    <w:p>
      <w:pPr>
        <w:spacing w:line="294" w:lineRule="auto"/>
        <w:sectPr>
          <w:type w:val="continuous"/>
          <w:pgSz w:w="12246" w:h="16498"/>
          <w:pgMar w:top="1212" w:right="1236" w:bottom="0" w:left="819" w:header="971" w:footer="0" w:gutter="0"/>
          <w:cols w:equalWidth="0" w:num="2">
            <w:col w:w="5557" w:space="100"/>
            <w:col w:w="4533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line="251" w:lineRule="auto"/>
        <w:rPr>
          <w:rFonts w:ascii="Arial"/>
          <w:sz w:val="21"/>
        </w:rPr>
      </w:pPr>
      <w:r>
        <w:pict>
          <v:shape id="_x0000_s58" style="position:absolute;margin-left:24.3858pt;margin-top:-517.79pt;mso-position-vertical-relative:text;mso-position-horizontal-relative:text;width:319.45pt;height:0.4pt;z-index:251694080;" filled="false" strokecolor="#231F20" strokeweight="0.37pt" coordsize="6389,8" coordorigin="0,0" path="m0,3l6388,3e">
            <v:stroke joinstyle="miter" miterlimit="4"/>
          </v:shape>
        </w:pict>
      </w:r>
      <w:r/>
    </w:p>
    <w:p>
      <w:pPr>
        <w:spacing w:line="251" w:lineRule="auto"/>
        <w:rPr>
          <w:rFonts w:ascii="Arial"/>
          <w:sz w:val="21"/>
        </w:rPr>
      </w:pPr>
      <w:r>
        <w:pict>
          <v:shape id="_x0000_s60" style="position:absolute;margin-left:24.4144pt;margin-top:9.53705pt;mso-position-vertical-relative:text;mso-position-horizontal-relative:text;width:481.9pt;height:0.45pt;z-index:251693056;" filled="false" strokecolor="#231F20" strokeweight="0.43pt" coordsize="9637,8" coordorigin="0,0" path="m0,4l9637,4e">
            <v:stroke joinstyle="miter" miterlimit="4"/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116" w:line="180" w:lineRule="auto"/>
        <w:jc w:val="right"/>
        <w:rPr>
          <w:sz w:val="27"/>
          <w:szCs w:val="27"/>
        </w:rPr>
      </w:pPr>
      <w:r>
        <w:rPr>
          <w:sz w:val="27"/>
          <w:szCs w:val="27"/>
          <w:color w:val="231F20"/>
          <w:spacing w:val="32"/>
          <w:w w:val="125"/>
        </w:rPr>
        <w:t>·启事</w:t>
      </w:r>
      <w:r>
        <w:rPr>
          <w:sz w:val="27"/>
          <w:szCs w:val="27"/>
          <w:color w:val="231F20"/>
          <w:spacing w:val="-27"/>
        </w:rPr>
        <w:t xml:space="preserve"> </w:t>
      </w:r>
      <w:r>
        <w:rPr>
          <w:sz w:val="27"/>
          <w:szCs w:val="27"/>
          <w:color w:val="231F20"/>
          <w:spacing w:val="32"/>
          <w:w w:val="125"/>
        </w:rPr>
        <w:t>·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492"/>
        <w:spacing w:before="89" w:line="358" w:lineRule="exact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231F20"/>
          <w:spacing w:val="9"/>
          <w:position w:val="1"/>
        </w:rPr>
        <w:t>本刊关于论文作者及署名的规定</w:t>
      </w:r>
    </w:p>
    <w:p>
      <w:pPr>
        <w:spacing w:before="71"/>
        <w:rPr/>
      </w:pPr>
      <w:r/>
    </w:p>
    <w:p>
      <w:pPr>
        <w:sectPr>
          <w:type w:val="continuous"/>
          <w:pgSz w:w="12246" w:h="16498"/>
          <w:pgMar w:top="1212" w:right="1236" w:bottom="0" w:left="819" w:header="971" w:footer="0" w:gutter="0"/>
          <w:cols w:equalWidth="0" w:num="1">
            <w:col w:w="10189" w:space="0"/>
          </w:cols>
        </w:sectPr>
        <w:rPr/>
      </w:pPr>
    </w:p>
    <w:p>
      <w:pPr>
        <w:pStyle w:val="BodyText"/>
        <w:ind w:left="486" w:right="417" w:firstLine="362"/>
        <w:spacing w:before="35" w:line="210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6"/>
        </w:rPr>
        <w:t>作者姓名应在文题下按序排列，排序应在投稿前确定，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在编排过程中不应再进行更改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5"/>
        </w:rPr>
        <w:t>。作者应是</w:t>
      </w:r>
      <w:r>
        <w:rPr>
          <w:sz w:val="17"/>
          <w:szCs w:val="17"/>
          <w:color w:val="231F20"/>
          <w:spacing w:val="-35"/>
          <w:w w:val="75"/>
        </w:rPr>
        <w:t>：（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1</w:t>
      </w:r>
      <w:r>
        <w:rPr>
          <w:sz w:val="17"/>
          <w:szCs w:val="17"/>
          <w:color w:val="231F20"/>
          <w:spacing w:val="5"/>
        </w:rPr>
        <w:t>）参与选题和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设计，或参与资料的分析和解释者</w:t>
      </w:r>
      <w:r>
        <w:rPr>
          <w:sz w:val="17"/>
          <w:szCs w:val="17"/>
          <w:color w:val="231F20"/>
          <w:spacing w:val="-27"/>
          <w:w w:val="65"/>
        </w:rPr>
        <w:t>；（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2</w:t>
      </w:r>
      <w:r>
        <w:rPr>
          <w:sz w:val="17"/>
          <w:szCs w:val="17"/>
          <w:color w:val="231F20"/>
          <w:spacing w:val="8"/>
        </w:rPr>
        <w:t>）起草或</w:t>
      </w:r>
      <w:r>
        <w:rPr>
          <w:sz w:val="17"/>
          <w:szCs w:val="17"/>
          <w:color w:val="231F20"/>
          <w:spacing w:val="7"/>
        </w:rPr>
        <w:t>修改论文中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关键性理论或其他主要内容者</w:t>
      </w:r>
      <w:r>
        <w:rPr>
          <w:sz w:val="17"/>
          <w:szCs w:val="17"/>
          <w:color w:val="231F20"/>
          <w:spacing w:val="-26"/>
          <w:w w:val="63"/>
        </w:rPr>
        <w:t>；（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3</w:t>
      </w:r>
      <w:r>
        <w:rPr>
          <w:sz w:val="17"/>
          <w:szCs w:val="17"/>
          <w:color w:val="231F20"/>
          <w:spacing w:val="8"/>
        </w:rPr>
        <w:t>）能对编辑部的修改意见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4"/>
        </w:rPr>
        <w:t>进行核对、修改，在学术界进行答辩，并最终同意该文发表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  <w:spacing w:val="8"/>
        </w:rPr>
        <w:t>者</w:t>
      </w:r>
      <w:r>
        <w:rPr>
          <w:sz w:val="17"/>
          <w:szCs w:val="17"/>
          <w:color w:val="231F20"/>
          <w:spacing w:val="-27"/>
          <w:w w:val="65"/>
        </w:rPr>
        <w:t>；（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4</w:t>
      </w:r>
      <w:r>
        <w:rPr>
          <w:sz w:val="17"/>
          <w:szCs w:val="17"/>
          <w:color w:val="231F20"/>
          <w:spacing w:val="8"/>
        </w:rPr>
        <w:t>）除了负责本人的研究贡献外，同意对研</w:t>
      </w:r>
      <w:r>
        <w:rPr>
          <w:sz w:val="17"/>
          <w:szCs w:val="17"/>
          <w:color w:val="231F20"/>
          <w:spacing w:val="7"/>
        </w:rPr>
        <w:t>究工作各方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8" w:firstLine="6"/>
        <w:spacing w:before="48" w:line="208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9"/>
        </w:rPr>
        <w:t>面的诚信问题负责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  <w:spacing w:val="9"/>
        </w:rPr>
        <w:t>。以上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4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  <w:spacing w:val="9"/>
        </w:rPr>
        <w:t>条须同时具备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9"/>
        </w:rPr>
        <w:t>。仅参与获得资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0"/>
        </w:rPr>
        <w:t>金或收集资料者不能列为作者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10"/>
        </w:rPr>
        <w:t>。集体署名的文稿应将对该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1"/>
        </w:rPr>
        <w:t>文负责的关键人物列为通信作者；其他对该研究有贡献的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9"/>
        </w:rPr>
        <w:t>人员应列入志谢部分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9"/>
        </w:rPr>
        <w:t>。全部作者均应签署论文授权书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9"/>
        </w:rPr>
        <w:t>。所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1"/>
        </w:rPr>
        <w:t>有文稿均应注出一位能对该论文全面负责的通信作者及其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7"/>
        </w:rPr>
        <w:t>电子邮箱地址。</w:t>
      </w:r>
    </w:p>
    <w:sectPr>
      <w:type w:val="continuous"/>
      <w:pgSz w:w="12246" w:h="16498"/>
      <w:pgMar w:top="1212" w:right="1236" w:bottom="0" w:left="819" w:header="971" w:footer="0" w:gutter="0"/>
      <w:cols w:equalWidth="0" w:num="2">
        <w:col w:w="5492" w:space="100"/>
        <w:col w:w="459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75pt;margin-top:260.882pt;mso-position-vertical-relative:page;mso-position-horizontal-relative:page;width:267pt;height:306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7" w:line="181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10" style="position:absolute;margin-left:175pt;margin-top:260.882pt;mso-position-vertical-relative:page;mso-position-horizontal-relative:page;width:267pt;height:306pt;z-index:-251657216;" o:allowincell="f" filled="false" stroked="false" type="#_x0000_t75">
          <v:imagedata o:title="" r:id="rId1"/>
        </v:shape>
      </w:pict>
    </w:r>
    <w:r>
      <w:pict>
        <v:shape id="_x0000_s12" style="position:absolute;margin-left:475.11pt;margin-top:2.51691pt;mso-position-vertical-relative:text;mso-position-horizontal-relative:text;width:33.95pt;height:10.8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64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1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21"/>
                  </w:rPr>
                  <w:t>171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1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中华妇产科杂志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2023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3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58 </w:t>
    </w:r>
    <w:r>
      <w:rPr>
        <w:shd w:val="clear" w:fill="FFFFFE"/>
        <w:sz w:val="15"/>
        <w:szCs w:val="15"/>
        <w:color w:val="231F20"/>
        <w:spacing w:val="4"/>
      </w:rPr>
      <w:t>卷</w:t>
    </w:r>
    <w:r>
      <w:rPr>
        <w:shd w:val="clear" w:fill="FFFFFE"/>
        <w:sz w:val="15"/>
        <w:szCs w:val="15"/>
        <w:color w:val="231F20"/>
        <w:spacing w:val="3"/>
      </w:rPr>
      <w:t>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6"/>
      </w:rPr>
      <w:t xml:space="preserve">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Obstet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Gynecol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March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2023,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58,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16" style="position:absolute;margin-left:175pt;margin-top:260.882pt;mso-position-vertical-relative:page;mso-position-horizontal-relative:page;width:267pt;height:306pt;z-index:-251655168;" o:allowincell="f" filled="false" stroked="false" type="#_x0000_t75">
          <v:imagedata o:title="" r:id="rId1"/>
        </v:shape>
      </w:pict>
    </w:r>
    <w:r>
      <w:pict>
        <v:shape id="_x0000_s18" style="position:absolute;margin-left:24.559pt;margin-top:2.50122pt;mso-position-vertical-relative:text;mso-position-horizontal-relative:text;width:33.95pt;height:10.8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64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7"/>
                    <w:w w:val="107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7"/>
                    <w:w w:val="107"/>
                  </w:rPr>
                  <w:t>172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1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7"/>
                    <w:w w:val="107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中华妇产科杂志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2023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5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3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5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8 </w:t>
    </w:r>
    <w:r>
      <w:rPr>
        <w:shd w:val="clear" w:fill="FFFFFE"/>
        <w:sz w:val="15"/>
        <w:szCs w:val="15"/>
        <w:color w:val="231F20"/>
        <w:spacing w:val="3"/>
      </w:rPr>
      <w:t>卷第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6"/>
      </w:rPr>
      <w:t xml:space="preserve">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1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Obstet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Gynecol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March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2023,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58,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7" w:line="181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22" style="position:absolute;margin-left:175pt;margin-top:260.882pt;mso-position-vertical-relative:page;mso-position-horizontal-relative:page;width:267pt;height:306pt;z-index:-251653120;" o:allowincell="f" filled="false" stroked="false" type="#_x0000_t75">
          <v:imagedata o:title="" r:id="rId1"/>
        </v:shape>
      </w:pict>
    </w:r>
    <w:r>
      <w:pict>
        <v:shape id="_x0000_s24" style="position:absolute;margin-left:475.11pt;margin-top:2.50122pt;mso-position-vertical-relative:text;mso-position-horizontal-relative:text;width:33.95pt;height:10.85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5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8"/>
                    <w:w w:val="10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8"/>
                    <w:w w:val="105"/>
                  </w:rPr>
                  <w:t>173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8"/>
                    <w:w w:val="105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中华妇产科杂志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2023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3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58 </w:t>
    </w:r>
    <w:r>
      <w:rPr>
        <w:shd w:val="clear" w:fill="FFFFFE"/>
        <w:sz w:val="15"/>
        <w:szCs w:val="15"/>
        <w:color w:val="231F20"/>
        <w:spacing w:val="4"/>
      </w:rPr>
      <w:t>卷</w:t>
    </w:r>
    <w:r>
      <w:rPr>
        <w:shd w:val="clear" w:fill="FFFFFE"/>
        <w:sz w:val="15"/>
        <w:szCs w:val="15"/>
        <w:color w:val="231F20"/>
        <w:spacing w:val="3"/>
      </w:rPr>
      <w:t>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6"/>
      </w:rPr>
      <w:t xml:space="preserve">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Obstet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Gynecol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March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2023,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58,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54"/>
      <w:spacing w:before="37" w:line="181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32" style="position:absolute;margin-left:175pt;margin-top:260.882pt;mso-position-vertical-relative:page;mso-position-horizontal-relative:page;width:267pt;height:306pt;z-index:-251651072;" o:allowincell="f" filled="false" stroked="false" type="#_x0000_t75">
          <v:imagedata o:title="" r:id="rId1"/>
        </v:shape>
      </w:pict>
    </w:r>
    <w:r>
      <w:pict>
        <v:shape id="_x0000_s34" style="position:absolute;margin-left:24.559pt;margin-top:2.51691pt;mso-position-vertical-relative:text;mso-position-horizontal-relative:text;width:33.95pt;height:10.8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64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7"/>
                    <w:w w:val="107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7"/>
                    <w:w w:val="107"/>
                  </w:rPr>
                  <w:t>174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1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7"/>
                    <w:w w:val="107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中华妇产科杂志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2023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3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58 </w:t>
    </w:r>
    <w:r>
      <w:rPr>
        <w:shd w:val="clear" w:fill="FFFFFE"/>
        <w:sz w:val="15"/>
        <w:szCs w:val="15"/>
        <w:color w:val="231F20"/>
        <w:spacing w:val="4"/>
      </w:rPr>
      <w:t>卷</w:t>
    </w:r>
    <w:r>
      <w:rPr>
        <w:shd w:val="clear" w:fill="FFFFFE"/>
        <w:sz w:val="15"/>
        <w:szCs w:val="15"/>
        <w:color w:val="231F20"/>
        <w:spacing w:val="3"/>
      </w:rPr>
      <w:t>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5"/>
      </w:rPr>
      <w:t xml:space="preserve">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1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Obstet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Gynecol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March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2023,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58,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7" w:line="181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38" style="position:absolute;margin-left:175pt;margin-top:260.882pt;mso-position-vertical-relative:page;mso-position-horizontal-relative:page;width:267pt;height:306pt;z-index:-251649024;" o:allowincell="f" filled="false" stroked="false" type="#_x0000_t75">
          <v:imagedata o:title="" r:id="rId1"/>
        </v:shape>
      </w:pict>
    </w:r>
    <w:r>
      <w:pict>
        <v:shape id="_x0000_s40" style="position:absolute;margin-left:475.11pt;margin-top:2.42279pt;mso-position-vertical-relative:text;mso-position-horizontal-relative:text;width:33.95pt;height:10.95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9"/>
                    <w:w w:val="103"/>
                  </w:rPr>
                  <w:t>175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1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中华妇产科杂志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2023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3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58 </w:t>
    </w:r>
    <w:r>
      <w:rPr>
        <w:shd w:val="clear" w:fill="FFFFFE"/>
        <w:sz w:val="15"/>
        <w:szCs w:val="15"/>
        <w:color w:val="231F20"/>
        <w:spacing w:val="4"/>
      </w:rPr>
      <w:t>卷</w:t>
    </w:r>
    <w:r>
      <w:rPr>
        <w:shd w:val="clear" w:fill="FFFFFE"/>
        <w:sz w:val="15"/>
        <w:szCs w:val="15"/>
        <w:color w:val="231F20"/>
        <w:spacing w:val="3"/>
      </w:rPr>
      <w:t>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6"/>
      </w:rPr>
      <w:t xml:space="preserve">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Obstet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Gynecol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March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2023,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58,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37" w:line="18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44" style="position:absolute;margin-left:175pt;margin-top:260.882pt;mso-position-vertical-relative:page;mso-position-horizontal-relative:page;width:267pt;height:306pt;z-index:-251645952;" o:allowincell="f" filled="false" stroked="false" type="#_x0000_t75">
          <v:imagedata o:title="" r:id="rId1"/>
        </v:shape>
      </w:pict>
    </w:r>
    <w:r>
      <w:pict>
        <v:shape id="WordPictureWatermark46" style="position:absolute;margin-left:40.9952pt;margin-top:761.949pt;mso-position-vertical-relative:page;mso-position-horizontal-relative:page;width:220.95pt;height:24pt;z-index:-251646976;" o:allowincell="f" filled="false" stroked="false" type="#_x0000_t75">
          <v:imagedata o:title="" r:id="rId2"/>
        </v:shape>
      </w:pict>
    </w:r>
    <w:r>
      <w:pict>
        <v:shape id="_x0000_s48" style="position:absolute;margin-left:24.559pt;margin-top:2.45416pt;mso-position-vertical-relative:text;mso-position-horizontal-relative:text;width:33.95pt;height:10.9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6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8"/>
                    <w:w w:val="10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8"/>
                    <w:w w:val="105"/>
                  </w:rPr>
                  <w:t>176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8"/>
                    <w:w w:val="105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中华妇产科杂志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2023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3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58 </w:t>
    </w:r>
    <w:r>
      <w:rPr>
        <w:shd w:val="clear" w:fill="FFFFFE"/>
        <w:sz w:val="15"/>
        <w:szCs w:val="15"/>
        <w:color w:val="231F20"/>
        <w:spacing w:val="4"/>
      </w:rPr>
      <w:t>卷</w:t>
    </w:r>
    <w:r>
      <w:rPr>
        <w:shd w:val="clear" w:fill="FFFFFE"/>
        <w:sz w:val="15"/>
        <w:szCs w:val="15"/>
        <w:color w:val="231F20"/>
        <w:spacing w:val="3"/>
      </w:rPr>
      <w:t>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5"/>
      </w:rPr>
      <w:t xml:space="preserve">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1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Obstet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Gynecol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March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2023,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58,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7" w:line="181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52" style="position:absolute;margin-left:175pt;margin-top:260.882pt;mso-position-vertical-relative:page;mso-position-horizontal-relative:page;width:267pt;height:306pt;z-index:-251643904;" o:allowincell="f" filled="false" stroked="false" type="#_x0000_t75">
          <v:imagedata o:title="" r:id="rId1"/>
        </v:shape>
      </w:pict>
    </w:r>
    <w:r>
      <w:pict>
        <v:shape id="WordPictureWatermark54" style="position:absolute;margin-left:40.9952pt;margin-top:761.949pt;mso-position-vertical-relative:page;mso-position-horizontal-relative:page;width:220.95pt;height:24pt;z-index:-251642880;" o:allowincell="f" filled="false" stroked="false" type="#_x0000_t75">
          <v:imagedata o:title="" r:id="rId2"/>
        </v:shape>
      </w:pict>
    </w:r>
    <w:r>
      <w:pict>
        <v:shape id="_x0000_s56" style="position:absolute;margin-left:475.11pt;margin-top:2.51691pt;mso-position-vertical-relative:text;mso-position-horizontal-relative:text;width:33.95pt;height:10.8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64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8"/>
                    <w:w w:val="10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8"/>
                    <w:w w:val="105"/>
                  </w:rPr>
                  <w:t>177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8"/>
                    <w:w w:val="105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中华妇产科杂志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2023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3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58 </w:t>
    </w:r>
    <w:r>
      <w:rPr>
        <w:shd w:val="clear" w:fill="FFFFFE"/>
        <w:sz w:val="15"/>
        <w:szCs w:val="15"/>
        <w:color w:val="231F20"/>
        <w:spacing w:val="4"/>
      </w:rPr>
      <w:t>卷</w:t>
    </w:r>
    <w:r>
      <w:rPr>
        <w:shd w:val="clear" w:fill="FFFFFE"/>
        <w:sz w:val="15"/>
        <w:szCs w:val="15"/>
        <w:color w:val="231F20"/>
        <w:spacing w:val="3"/>
      </w:rPr>
      <w:t>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6"/>
      </w:rPr>
      <w:t xml:space="preserve">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Obstet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Gynecol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March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2023,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58,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header" Target="header8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方正飞翔8.2 XML版 8.2.0.1730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原发免疫性血小板减少症妊娠期诊治专家共识</dc:title>
  <dc:subject>中华妇产科杂志2023年03期</dc:subject>
  <dc:creator>中华医学会妇产科学分会产科学组</dc:creator>
  <dcterms:created xsi:type="dcterms:W3CDTF">2023-03-21T10:20:53Z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2025-10-28T22:21:21</vt:filetime>
  </property>
</Properties>
</file>