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504"/>
        <w:spacing w:before="65" w:line="19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中华生殖与避孕杂志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2023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年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4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月第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43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卷第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4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期   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Chin J Reprod Contracep, April 2023, Vol. 43,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No.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4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                                          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·  </w:t>
      </w:r>
      <w:r>
        <w:rPr>
          <w:rFonts w:ascii="Arial" w:hAnsi="Arial" w:eastAsia="Arial" w:cs="Arial"/>
          <w:sz w:val="15"/>
          <w:szCs w:val="15"/>
          <w:color w:val="231F20"/>
        </w:rPr>
        <w:t>337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·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right="26"/>
        <w:spacing w:before="116" w:line="180" w:lineRule="auto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26"/>
        </w:rPr>
        <w:t>·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23"/>
          <w:w w:val="126"/>
        </w:rPr>
        <w:t>规范与标准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26"/>
        </w:rPr>
        <w:t>·</w:t>
      </w:r>
    </w:p>
    <w:p>
      <w:pPr>
        <w:ind w:left="507"/>
        <w:spacing w:before="332" w:line="180" w:lineRule="auto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7"/>
        </w:rPr>
        <w:t>多囊卵巢综合征诊治路径专家共识</w:t>
      </w:r>
    </w:p>
    <w:p>
      <w:pPr>
        <w:ind w:left="515"/>
        <w:spacing w:before="309" w:line="20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多囊卵巢综合征诊治路径专家共识编写组</w:t>
      </w:r>
    </w:p>
    <w:p>
      <w:pPr>
        <w:ind w:left="494"/>
        <w:spacing w:before="33" w:line="192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通信作者：李蓉，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：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>roseli001@sina.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，电话：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+86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>-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>-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>82265080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left="488" w:right="1899" w:firstLine="293"/>
        <w:spacing w:before="73" w:line="230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6"/>
        </w:rPr>
        <w:t>【摘要】</w:t>
      </w:r>
      <w:r>
        <w:rPr>
          <w:rFonts w:ascii="SimHei" w:hAnsi="SimHei" w:eastAsia="SimHei" w:cs="SimHei"/>
          <w:sz w:val="17"/>
          <w:szCs w:val="17"/>
          <w:color w:val="231F20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本文以多囊卵巢综合征（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polycystic ovary syndrome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，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PCOS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）国际指南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2018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版和中国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PCOS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诊治指南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2018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版为基础，结合中国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PCO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S</w:t>
      </w:r>
      <w:r>
        <w:rPr>
          <w:rFonts w:ascii="Arial" w:hAnsi="Arial" w:eastAsia="Arial" w:cs="Arial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人群疾病特征，从临床诊疗全过程进行重点阐述，如病史问询、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体格检查、辅助检查、临床诊断、从需求方面进行个体化治疗等。经专家组共同审定，形成具有充分循证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支持的标准化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>PCOS</w:t>
      </w:r>
      <w:r>
        <w:rPr>
          <w:rFonts w:ascii="Arial" w:hAnsi="Arial" w:eastAsia="Arial" w:cs="Arial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诊疗流程，便于临床一线工作者实施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，同时促进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PCOS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患者全生命周期管理。</w:t>
      </w:r>
    </w:p>
    <w:p>
      <w:pPr>
        <w:ind w:left="782"/>
        <w:spacing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【关键词】</w:t>
      </w:r>
      <w:r>
        <w:rPr>
          <w:rFonts w:ascii="SimHei" w:hAnsi="SimHei" w:eastAsia="SimHei" w:cs="SimHei"/>
          <w:sz w:val="17"/>
          <w:szCs w:val="17"/>
          <w:color w:val="231F2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多囊卵巢综合征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；  临床路径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诊治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94"/>
        <w:spacing w:before="51" w:line="207" w:lineRule="exact"/>
        <w:rPr/>
      </w:pPr>
      <w:r>
        <w:rPr>
          <w:b/>
          <w:bCs/>
          <w:color w:val="231F20"/>
          <w:spacing w:val="4"/>
          <w:position w:val="2"/>
        </w:rPr>
        <w:t>Expert consensus</w:t>
      </w:r>
      <w:r>
        <w:rPr>
          <w:b/>
          <w:bCs/>
          <w:color w:val="231F20"/>
          <w:spacing w:val="12"/>
          <w:w w:val="101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on the pathway of diagnosis and</w:t>
      </w:r>
      <w:r>
        <w:rPr>
          <w:b/>
          <w:bCs/>
          <w:color w:val="231F20"/>
          <w:spacing w:val="10"/>
          <w:w w:val="101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management</w:t>
      </w:r>
      <w:r>
        <w:rPr>
          <w:b/>
          <w:bCs/>
          <w:color w:val="231F20"/>
          <w:spacing w:val="9"/>
          <w:w w:val="102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of polycystic</w:t>
      </w:r>
      <w:r>
        <w:rPr>
          <w:b/>
          <w:bCs/>
          <w:color w:val="231F20"/>
          <w:spacing w:val="11"/>
          <w:w w:val="101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ovar</w:t>
      </w:r>
      <w:r>
        <w:rPr>
          <w:b/>
          <w:bCs/>
          <w:color w:val="231F20"/>
          <w:spacing w:val="3"/>
          <w:position w:val="2"/>
        </w:rPr>
        <w:t>y</w:t>
      </w:r>
      <w:r>
        <w:rPr>
          <w:b/>
          <w:bCs/>
          <w:color w:val="231F20"/>
          <w:spacing w:val="11"/>
          <w:position w:val="2"/>
        </w:rPr>
        <w:t xml:space="preserve"> </w:t>
      </w:r>
      <w:r>
        <w:rPr>
          <w:b/>
          <w:bCs/>
          <w:color w:val="231F20"/>
          <w:spacing w:val="3"/>
          <w:position w:val="2"/>
        </w:rPr>
        <w:t>syndrome</w:t>
      </w:r>
    </w:p>
    <w:p>
      <w:pPr>
        <w:pStyle w:val="BodyText"/>
        <w:ind w:left="497" w:right="1965" w:hanging="7"/>
        <w:spacing w:before="31" w:line="286" w:lineRule="auto"/>
        <w:rPr/>
      </w:pPr>
      <w:r>
        <w:rPr>
          <w:i/>
          <w:iCs/>
          <w:color w:val="231F20"/>
          <w:spacing w:val="4"/>
        </w:rPr>
        <w:t>Expert  Consensus  Compilation</w:t>
      </w:r>
      <w:r>
        <w:rPr>
          <w:i/>
          <w:iCs/>
          <w:color w:val="231F20"/>
          <w:spacing w:val="10"/>
        </w:rPr>
        <w:t xml:space="preserve">  </w:t>
      </w:r>
      <w:r>
        <w:rPr>
          <w:i/>
          <w:iCs/>
          <w:color w:val="231F20"/>
          <w:spacing w:val="4"/>
        </w:rPr>
        <w:t>Group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4"/>
        </w:rPr>
        <w:t>for  the</w:t>
      </w:r>
      <w:r>
        <w:rPr>
          <w:i/>
          <w:iCs/>
          <w:color w:val="231F20"/>
          <w:spacing w:val="6"/>
        </w:rPr>
        <w:t xml:space="preserve">  </w:t>
      </w:r>
      <w:r>
        <w:rPr>
          <w:i/>
          <w:iCs/>
          <w:color w:val="231F20"/>
          <w:spacing w:val="4"/>
        </w:rPr>
        <w:t>Pathway</w:t>
      </w:r>
      <w:r>
        <w:rPr>
          <w:i/>
          <w:iCs/>
          <w:color w:val="231F20"/>
          <w:spacing w:val="7"/>
        </w:rPr>
        <w:t xml:space="preserve">  </w:t>
      </w:r>
      <w:r>
        <w:rPr>
          <w:i/>
          <w:iCs/>
          <w:color w:val="231F20"/>
          <w:spacing w:val="4"/>
        </w:rPr>
        <w:t>of</w:t>
      </w:r>
      <w:r>
        <w:rPr>
          <w:i/>
          <w:iCs/>
          <w:color w:val="231F20"/>
          <w:spacing w:val="6"/>
        </w:rPr>
        <w:t xml:space="preserve">  </w:t>
      </w:r>
      <w:r>
        <w:rPr>
          <w:i/>
          <w:iCs/>
          <w:color w:val="231F20"/>
          <w:spacing w:val="4"/>
        </w:rPr>
        <w:t>Diagnosis</w:t>
      </w:r>
      <w:r>
        <w:rPr>
          <w:i/>
          <w:iCs/>
          <w:color w:val="231F20"/>
          <w:spacing w:val="7"/>
        </w:rPr>
        <w:t xml:space="preserve">  </w:t>
      </w:r>
      <w:r>
        <w:rPr>
          <w:i/>
          <w:iCs/>
          <w:color w:val="231F20"/>
          <w:spacing w:val="4"/>
        </w:rPr>
        <w:t>and</w:t>
      </w:r>
      <w:r>
        <w:rPr>
          <w:i/>
          <w:iCs/>
          <w:color w:val="231F20"/>
          <w:spacing w:val="6"/>
        </w:rPr>
        <w:t xml:space="preserve">  </w:t>
      </w:r>
      <w:r>
        <w:rPr>
          <w:i/>
          <w:iCs/>
          <w:color w:val="231F20"/>
          <w:spacing w:val="4"/>
        </w:rPr>
        <w:t>Management  of</w:t>
      </w:r>
      <w:r>
        <w:rPr>
          <w:i/>
          <w:iCs/>
          <w:color w:val="231F20"/>
          <w:spacing w:val="6"/>
        </w:rPr>
        <w:t xml:space="preserve">  </w:t>
      </w:r>
      <w:r>
        <w:rPr>
          <w:i/>
          <w:iCs/>
          <w:color w:val="231F20"/>
          <w:spacing w:val="4"/>
        </w:rPr>
        <w:t>Polycyst</w:t>
      </w:r>
      <w:r>
        <w:rPr>
          <w:i/>
          <w:iCs/>
          <w:color w:val="231F20"/>
          <w:spacing w:val="3"/>
        </w:rPr>
        <w:t>ic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3"/>
        </w:rPr>
        <w:t>Ovary Syndrome</w:t>
      </w:r>
    </w:p>
    <w:p>
      <w:pPr>
        <w:pStyle w:val="BodyText"/>
        <w:ind w:left="497"/>
        <w:spacing w:line="207" w:lineRule="exact"/>
        <w:rPr/>
      </w:pPr>
      <w:r>
        <w:rPr>
          <w:i/>
          <w:iCs/>
          <w:color w:val="231F20"/>
          <w:position w:val="2"/>
        </w:rPr>
        <w:t>Corresponding</w:t>
      </w:r>
      <w:r>
        <w:rPr>
          <w:i/>
          <w:iCs/>
          <w:color w:val="231F20"/>
          <w:spacing w:val="11"/>
          <w:w w:val="102"/>
          <w:position w:val="2"/>
        </w:rPr>
        <w:t xml:space="preserve"> </w:t>
      </w:r>
      <w:r>
        <w:rPr>
          <w:i/>
          <w:iCs/>
          <w:color w:val="231F20"/>
          <w:position w:val="2"/>
        </w:rPr>
        <w:t>author</w:t>
      </w:r>
      <w:r>
        <w:rPr>
          <w:i/>
          <w:iCs/>
          <w:color w:val="231F20"/>
          <w:spacing w:val="9"/>
          <w:position w:val="2"/>
        </w:rPr>
        <w:t>: </w:t>
      </w:r>
      <w:r>
        <w:rPr>
          <w:i/>
          <w:iCs/>
          <w:color w:val="231F20"/>
          <w:position w:val="2"/>
        </w:rPr>
        <w:t>Li</w:t>
      </w:r>
      <w:r>
        <w:rPr>
          <w:i/>
          <w:iCs/>
          <w:color w:val="231F20"/>
          <w:spacing w:val="9"/>
          <w:position w:val="2"/>
        </w:rPr>
        <w:t xml:space="preserve"> </w:t>
      </w:r>
      <w:r>
        <w:rPr>
          <w:i/>
          <w:iCs/>
          <w:color w:val="231F20"/>
          <w:position w:val="2"/>
        </w:rPr>
        <w:t>Rong</w:t>
      </w:r>
      <w:r>
        <w:rPr>
          <w:i/>
          <w:iCs/>
          <w:color w:val="231F20"/>
          <w:spacing w:val="9"/>
          <w:position w:val="2"/>
        </w:rPr>
        <w:t>, </w:t>
      </w:r>
      <w:r>
        <w:rPr>
          <w:i/>
          <w:iCs/>
          <w:color w:val="231F20"/>
          <w:position w:val="2"/>
        </w:rPr>
        <w:t>Email</w:t>
      </w:r>
      <w:r>
        <w:rPr>
          <w:i/>
          <w:iCs/>
          <w:color w:val="231F20"/>
          <w:spacing w:val="9"/>
          <w:position w:val="2"/>
        </w:rPr>
        <w:t>: </w:t>
      </w:r>
      <w:r>
        <w:rPr>
          <w:i/>
          <w:iCs/>
          <w:color w:val="231F20"/>
          <w:position w:val="2"/>
        </w:rPr>
        <w:t>roseli</w:t>
      </w:r>
      <w:r>
        <w:rPr>
          <w:i/>
          <w:iCs/>
          <w:color w:val="231F20"/>
          <w:spacing w:val="9"/>
          <w:position w:val="2"/>
        </w:rPr>
        <w:t>001@</w:t>
      </w:r>
      <w:r>
        <w:rPr>
          <w:i/>
          <w:iCs/>
          <w:color w:val="231F20"/>
          <w:position w:val="2"/>
        </w:rPr>
        <w:t>sina</w:t>
      </w:r>
      <w:r>
        <w:rPr>
          <w:i/>
          <w:iCs/>
          <w:color w:val="231F20"/>
          <w:spacing w:val="9"/>
          <w:position w:val="2"/>
        </w:rPr>
        <w:t>.</w:t>
      </w:r>
      <w:r>
        <w:rPr>
          <w:i/>
          <w:iCs/>
          <w:color w:val="231F20"/>
          <w:position w:val="2"/>
        </w:rPr>
        <w:t>com</w:t>
      </w:r>
      <w:r>
        <w:rPr>
          <w:i/>
          <w:iCs/>
          <w:color w:val="231F20"/>
          <w:spacing w:val="9"/>
          <w:position w:val="2"/>
        </w:rPr>
        <w:t>,</w:t>
      </w:r>
      <w:r>
        <w:rPr>
          <w:i/>
          <w:iCs/>
          <w:color w:val="231F20"/>
          <w:spacing w:val="19"/>
          <w:position w:val="2"/>
        </w:rPr>
        <w:t xml:space="preserve"> </w:t>
      </w:r>
      <w:r>
        <w:rPr>
          <w:i/>
          <w:iCs/>
          <w:color w:val="231F20"/>
          <w:position w:val="2"/>
        </w:rPr>
        <w:t>Tel</w:t>
      </w:r>
      <w:r>
        <w:rPr>
          <w:i/>
          <w:iCs/>
          <w:color w:val="231F20"/>
          <w:spacing w:val="9"/>
          <w:position w:val="2"/>
        </w:rPr>
        <w:t>:</w:t>
      </w:r>
      <w:r>
        <w:rPr>
          <w:i/>
          <w:iCs/>
          <w:color w:val="231F20"/>
          <w:spacing w:val="14"/>
          <w:w w:val="102"/>
          <w:position w:val="2"/>
        </w:rPr>
        <w:t xml:space="preserve"> </w:t>
      </w:r>
      <w:r>
        <w:rPr>
          <w:i/>
          <w:iCs/>
          <w:color w:val="231F20"/>
          <w:spacing w:val="9"/>
          <w:position w:val="2"/>
        </w:rPr>
        <w:t>+86-10-</w:t>
      </w:r>
      <w:r>
        <w:rPr>
          <w:i/>
          <w:iCs/>
          <w:color w:val="231F20"/>
          <w:spacing w:val="8"/>
          <w:position w:val="2"/>
        </w:rPr>
        <w:t>82265080</w:t>
      </w:r>
    </w:p>
    <w:p>
      <w:pPr>
        <w:pStyle w:val="BodyText"/>
        <w:ind w:left="490" w:right="1964" w:firstLine="350"/>
        <w:spacing w:before="33" w:line="266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17"/>
        </w:rPr>
        <w:t>【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b/>
          <w:bCs/>
          <w:color w:val="231F20"/>
        </w:rPr>
        <w:t>Abstract</w:t>
      </w:r>
      <w:r>
        <w:rPr>
          <w:b/>
          <w:bCs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】    </w:t>
      </w:r>
      <w:r>
        <w:rPr>
          <w:color w:val="231F20"/>
        </w:rPr>
        <w:t>Under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guidance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international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evidence</w:t>
      </w:r>
      <w:r>
        <w:rPr>
          <w:color w:val="231F20"/>
          <w:spacing w:val="17"/>
        </w:rPr>
        <w:t>-</w:t>
      </w:r>
      <w:r>
        <w:rPr>
          <w:color w:val="231F20"/>
        </w:rPr>
        <w:t>based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guideline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polycystic </w:t>
      </w:r>
      <w:r>
        <w:rPr>
          <w:color w:val="231F20"/>
        </w:rPr>
        <w:t>ovary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syndrome</w:t>
      </w:r>
      <w:r>
        <w:rPr>
          <w:color w:val="231F20"/>
          <w:spacing w:val="11"/>
        </w:rPr>
        <w:t xml:space="preserve">  (</w:t>
      </w:r>
      <w:r>
        <w:rPr>
          <w:color w:val="231F20"/>
        </w:rPr>
        <w:t>PCOS</w:t>
      </w:r>
      <w:r>
        <w:rPr>
          <w:color w:val="231F20"/>
          <w:spacing w:val="11"/>
        </w:rPr>
        <w:t>) 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Chinese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guideline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PCOS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diagnosis  and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management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 2018,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this </w:t>
      </w:r>
      <w:r>
        <w:rPr>
          <w:color w:val="231F20"/>
          <w:spacing w:val="3"/>
        </w:rPr>
        <w:t>paper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3"/>
        </w:rPr>
        <w:t>focused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on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3"/>
        </w:rPr>
        <w:t>whole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process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diagnosis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by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combining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disease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characteristics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of PCOS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China,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such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medical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history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collection,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physical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examination,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laboratory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examination,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diagnos</w:t>
      </w:r>
      <w:r>
        <w:rPr>
          <w:color w:val="231F20"/>
          <w:spacing w:val="3"/>
        </w:rPr>
        <w:t>is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different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stages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of life.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Through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agreement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of 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expert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group,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standardized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3"/>
        </w:rPr>
        <w:t>PCOS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diagnosis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protocol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sufficient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evidence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support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been  formed,  which  is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3"/>
        </w:rPr>
        <w:t>convenient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for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clinical  workers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implement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promots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life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cycle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management of PCOS patients.</w:t>
      </w:r>
    </w:p>
    <w:p>
      <w:pPr>
        <w:pStyle w:val="BodyText"/>
        <w:ind w:left="840"/>
        <w:spacing w:before="31" w:line="213" w:lineRule="auto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【</w:t>
      </w:r>
      <w:r>
        <w:rPr>
          <w:b/>
          <w:bCs/>
          <w:color w:val="231F20"/>
          <w:spacing w:val="4"/>
        </w:rPr>
        <w:t>Key words</w:t>
      </w:r>
      <w:r>
        <w:rPr>
          <w:rFonts w:ascii="Microsoft YaHei" w:hAnsi="Microsoft YaHei" w:eastAsia="Microsoft YaHei" w:cs="Microsoft YaHei"/>
          <w:color w:val="231F20"/>
          <w:spacing w:val="4"/>
        </w:rPr>
        <w:t>】</w:t>
      </w:r>
      <w:r>
        <w:rPr>
          <w:rFonts w:ascii="Microsoft YaHei" w:hAnsi="Microsoft YaHei" w:eastAsia="Microsoft YaHei" w:cs="Microsoft YaHei"/>
          <w:color w:val="231F20"/>
        </w:rPr>
        <w:t xml:space="preserve">    </w:t>
      </w:r>
      <w:r>
        <w:rPr>
          <w:color w:val="231F20"/>
          <w:spacing w:val="4"/>
        </w:rPr>
        <w:t>Polycystic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4"/>
        </w:rPr>
        <w:t>ovary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4"/>
        </w:rPr>
        <w:t>syn</w:t>
      </w:r>
      <w:r>
        <w:rPr>
          <w:color w:val="231F20"/>
          <w:spacing w:val="3"/>
        </w:rPr>
        <w:t>drome;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Clinical pathway;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Diagnosis 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management</w:t>
      </w:r>
    </w:p>
    <w:p>
      <w:pPr>
        <w:spacing w:before="26"/>
        <w:rPr/>
      </w:pPr>
      <w:r/>
    </w:p>
    <w:p>
      <w:pPr>
        <w:sectPr>
          <w:headerReference w:type="default" r:id="rId1"/>
          <w:pgSz w:w="12246" w:h="16498"/>
          <w:pgMar w:top="400" w:right="1227" w:bottom="0" w:left="819" w:header="0" w:footer="0" w:gutter="0"/>
          <w:cols w:equalWidth="0" w:num="1">
            <w:col w:w="10199" w:space="0"/>
          </w:cols>
        </w:sectPr>
        <w:rPr/>
      </w:pPr>
    </w:p>
    <w:p>
      <w:pPr>
        <w:ind w:left="491" w:right="298" w:firstLine="445"/>
        <w:spacing w:before="41" w:line="280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pict>
          <v:shape id="_x0000_s4" style="position:absolute;margin-left:24.2661pt;margin-top:240.28pt;mso-position-vertical-relative:text;mso-position-horizontal-relative:text;width:399.15pt;height:0.15pt;z-index:251661312;" filled="false" strokecolor="#231F20" strokeweight="0.14pt" coordsize="7982,3" coordorigin="0,0" path="m0,1l7982,1e">
            <v:stroke joinstyle="miter" miterlimit="4"/>
          </v:shape>
        </w:pic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多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囊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卵</w:t>
      </w:r>
      <w:r>
        <w:rPr>
          <w:rFonts w:ascii="FangSong" w:hAnsi="FangSong" w:eastAsia="FangSong" w:cs="FangSong"/>
          <w:sz w:val="20"/>
          <w:szCs w:val="20"/>
          <w:color w:val="231F20"/>
          <w:spacing w:val="-5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巢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综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合</w:t>
      </w:r>
      <w:r>
        <w:rPr>
          <w:rFonts w:ascii="FangSong" w:hAnsi="FangSong" w:eastAsia="FangSong" w:cs="FangSong"/>
          <w:sz w:val="20"/>
          <w:szCs w:val="20"/>
          <w:color w:val="231F20"/>
          <w:spacing w:val="-5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征（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polycystic</w:t>
      </w:r>
      <w:r>
        <w:rPr>
          <w:rFonts w:ascii="Arial" w:hAnsi="Arial" w:eastAsia="Arial" w:cs="Arial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ovary</w:t>
      </w:r>
      <w:r>
        <w:rPr>
          <w:rFonts w:ascii="Arial" w:hAnsi="Arial" w:eastAsia="Arial" w:cs="Arial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syn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>drome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>PCOS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）常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见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于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育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龄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期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妇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女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，群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体</w:t>
      </w:r>
      <w:r>
        <w:rPr>
          <w:rFonts w:ascii="FangSong" w:hAnsi="FangSong" w:eastAsia="FangSong" w:cs="FangSong"/>
          <w:sz w:val="20"/>
          <w:szCs w:val="20"/>
          <w:color w:val="231F20"/>
          <w:spacing w:val="-4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患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病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率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为</w:t>
      </w:r>
      <w:r>
        <w:rPr>
          <w:rFonts w:ascii="FangSong" w:hAnsi="FangSong" w:eastAsia="FangSong" w:cs="FangSong"/>
          <w:sz w:val="20"/>
          <w:szCs w:val="20"/>
          <w:color w:val="231F20"/>
          <w:spacing w:val="-3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>6%~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20%</w:t>
      </w:r>
      <w:r>
        <w:rPr>
          <w:rFonts w:ascii="FangSong" w:hAnsi="FangSong" w:eastAsia="FangSong" w:cs="FangSong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-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4</w:t>
      </w:r>
      <w:r>
        <w:rPr>
          <w:rFonts w:ascii="FangSong" w:hAnsi="FangSong" w:eastAsia="FangSong" w:cs="FangSong"/>
          <w:sz w:val="10"/>
          <w:szCs w:val="10"/>
          <w:color w:val="231F20"/>
          <w:spacing w:val="-1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33"/>
          <w:w w:val="61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</w:rPr>
        <w:t>可危害机体多个系统的健康稳态，如生殖、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内分泌、代谢和心理特征的异常，严重影响女性整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体健康，需重视准确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及时地诊断和干预治疗。但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研究显示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70%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的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患者未被诊断</w:t>
      </w:r>
      <w:r>
        <w:rPr>
          <w:rFonts w:ascii="FangSong" w:hAnsi="FangSong" w:eastAsia="FangSong" w:cs="FangSong"/>
          <w:sz w:val="10"/>
          <w:szCs w:val="10"/>
          <w:color w:val="231F20"/>
          <w:spacing w:val="-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8"/>
        </w:rPr>
        <w:t>4</w:t>
      </w:r>
      <w:r>
        <w:rPr>
          <w:rFonts w:ascii="FangSong" w:hAnsi="FangSong" w:eastAsia="FangSong" w:cs="FangSong"/>
          <w:sz w:val="10"/>
          <w:szCs w:val="10"/>
          <w:color w:val="231F20"/>
          <w:spacing w:val="7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30"/>
          <w:w w:val="56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超过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1/3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的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患者诊断延迟</w:t>
      </w:r>
      <w:r>
        <w:rPr>
          <w:rFonts w:ascii="FangSong" w:hAnsi="FangSong" w:eastAsia="FangSong" w:cs="FangSong"/>
          <w:sz w:val="10"/>
          <w:szCs w:val="10"/>
          <w:color w:val="231F20"/>
          <w:spacing w:val="-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8"/>
        </w:rPr>
        <w:t>5</w:t>
      </w:r>
      <w:r>
        <w:rPr>
          <w:rFonts w:ascii="FangSong" w:hAnsi="FangSong" w:eastAsia="FangSong" w:cs="FangSong"/>
          <w:sz w:val="10"/>
          <w:szCs w:val="10"/>
          <w:color w:val="231F20"/>
          <w:spacing w:val="-3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。鉴于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病因尚不明确，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发病机制也不完全明了，且目前无法彻底治愈的特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17"/>
        </w:rPr>
        <w:t>点，难以制定以问题为导向的诊疗路径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7"/>
        </w:rPr>
        <w:t>。此外，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PCOS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作为复杂的多系统异常疾病，生活方式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调整、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心理评估及干预、药物长期管理、多学科合作等治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疗干预策略越来越被认可及关注。基于此，本路径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结合中国指南及以循证为基础的国际</w:t>
      </w:r>
      <w:r>
        <w:rPr>
          <w:rFonts w:ascii="FangSong" w:hAnsi="FangSong" w:eastAsia="FangSong" w:cs="FangSong"/>
          <w:sz w:val="20"/>
          <w:szCs w:val="20"/>
          <w:color w:val="231F20"/>
          <w:spacing w:val="-5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PCOS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指南，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旨在形成具有充分循证支持的标准化</w:t>
      </w:r>
      <w:r>
        <w:rPr>
          <w:rFonts w:ascii="Arial" w:hAnsi="Arial" w:eastAsia="Arial" w:cs="Arial"/>
          <w:sz w:val="20"/>
          <w:szCs w:val="20"/>
          <w:color w:val="231F20"/>
        </w:rPr>
        <w:t>PCOS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诊疗流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程，便于临床一线工作者实施，同时促进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患者</w:t>
      </w:r>
    </w:p>
    <w:p>
      <w:pPr>
        <w:spacing w:line="5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2"/>
        <w:spacing w:before="45" w:line="267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6"/>
          <w:position w:val="1"/>
        </w:rPr>
        <w:t>全生命周期管理。</w:t>
      </w:r>
    </w:p>
    <w:p>
      <w:pPr>
        <w:ind w:left="534"/>
        <w:spacing w:before="43" w:line="267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3"/>
          <w:position w:val="1"/>
        </w:rPr>
        <w:t>一、病史采集</w:t>
      </w:r>
    </w:p>
    <w:p>
      <w:pPr>
        <w:ind w:left="109" w:right="77" w:firstLine="323"/>
        <w:spacing w:before="42" w:line="273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（一）基本信息：患者年龄、就诊的主要原因，并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关注患者现有需求，进一步评估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PCOS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患者远期需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求，利于制定疾病长期管理方案。</w:t>
      </w:r>
    </w:p>
    <w:p>
      <w:pPr>
        <w:ind w:left="432"/>
        <w:spacing w:before="43" w:line="268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3"/>
          <w:position w:val="1"/>
        </w:rPr>
        <w:t>（二）现病史</w:t>
      </w:r>
    </w:p>
    <w:p>
      <w:pPr>
        <w:ind w:firstLine="534"/>
        <w:spacing w:before="45" w:line="285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pict>
          <v:shape id="_x0000_s6" style="position:absolute;margin-left:163.165pt;margin-top:148.069pt;mso-position-vertical-relative:text;mso-position-horizontal-relative:text;width:68.2pt;height:68.2pt;z-index:251660288;" filled="false" strokecolor="#231F20" strokeweight="0.25pt" coordsize="1363,1363" coordorigin="0,0" path="m,l0,1363l1363,1363l1363,0l0,0e">
            <v:stroke joinstyle="miter" miterlimit="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2071520</wp:posOffset>
            </wp:positionH>
            <wp:positionV relativeFrom="paragraph">
              <wp:posOffset>1879795</wp:posOffset>
            </wp:positionV>
            <wp:extent cx="863993" cy="86399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993" cy="86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1.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月经状况：在常规月经史的基础上着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重询问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0"/>
        </w:rPr>
        <w:t>月经异常的具体情况以及既往及近期检查结果与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8"/>
        </w:rPr>
        <w:t>治疗史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8"/>
        </w:rPr>
        <w:t>。月经异常的判断标准建议参照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>2018 </w:t>
      </w:r>
      <w:r>
        <w:rPr>
          <w:rFonts w:ascii="FangSong" w:hAnsi="FangSong" w:eastAsia="FangSong" w:cs="FangSong"/>
          <w:sz w:val="20"/>
          <w:szCs w:val="20"/>
          <w:color w:val="231F20"/>
          <w:spacing w:val="18"/>
        </w:rPr>
        <w:t>年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《多囊卵巢综合征评估和管理的国际循证指南》</w:t>
      </w:r>
      <w:r>
        <w:rPr>
          <w:rFonts w:ascii="FangSong" w:hAnsi="FangSong" w:eastAsia="FangSong" w:cs="FangSong"/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4</w:t>
      </w:r>
      <w:r>
        <w:rPr>
          <w:rFonts w:ascii="FangSong" w:hAnsi="FangSong" w:eastAsia="FangSong" w:cs="FangSong"/>
          <w:sz w:val="10"/>
          <w:szCs w:val="10"/>
          <w:color w:val="231F20"/>
          <w:spacing w:val="1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>月经异常的定义：在初潮后第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>年青春过渡期发生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属正常现象；初潮后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1~3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年月经周期</w:t>
      </w:r>
      <w:r>
        <w:rPr>
          <w:rFonts w:ascii="Arial" w:hAnsi="Arial" w:eastAsia="Arial" w:cs="Arial"/>
          <w:sz w:val="20"/>
          <w:szCs w:val="20"/>
          <w:color w:val="231F20"/>
        </w:rPr>
        <w:t>&lt;21 d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或</w:t>
      </w:r>
      <w:r>
        <w:rPr>
          <w:rFonts w:ascii="Arial" w:hAnsi="Arial" w:eastAsia="Arial" w:cs="Arial"/>
          <w:sz w:val="20"/>
          <w:szCs w:val="20"/>
          <w:color w:val="231F20"/>
        </w:rPr>
        <w:t>&gt;45 d</w:t>
      </w:r>
      <w:r>
        <w:rPr>
          <w:rFonts w:ascii="FangSong" w:hAnsi="FangSong" w:eastAsia="FangSong" w:cs="FangSong"/>
          <w:sz w:val="20"/>
          <w:szCs w:val="20"/>
          <w:color w:val="231F20"/>
        </w:rPr>
        <w:t>；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0"/>
        </w:rPr>
        <w:t>月经初潮后</w:t>
      </w:r>
      <w:r>
        <w:rPr>
          <w:rFonts w:ascii="FangSong" w:hAnsi="FangSong" w:eastAsia="FangSong" w:cs="FangSong"/>
          <w:sz w:val="20"/>
          <w:szCs w:val="20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>3 </w:t>
      </w:r>
      <w:r>
        <w:rPr>
          <w:rFonts w:ascii="FangSong" w:hAnsi="FangSong" w:eastAsia="FangSong" w:cs="FangSong"/>
          <w:sz w:val="20"/>
          <w:szCs w:val="20"/>
          <w:color w:val="231F20"/>
          <w:spacing w:val="20"/>
        </w:rPr>
        <w:t>年至围绝经期月经周期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>&lt;21</w:t>
      </w:r>
      <w:r>
        <w:rPr>
          <w:rFonts w:ascii="Arial" w:hAnsi="Arial" w:eastAsia="Arial" w:cs="Arial"/>
          <w:sz w:val="20"/>
          <w:szCs w:val="20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>d </w:t>
      </w:r>
      <w:r>
        <w:rPr>
          <w:rFonts w:ascii="FangSong" w:hAnsi="FangSong" w:eastAsia="FangSong" w:cs="FangSong"/>
          <w:sz w:val="20"/>
          <w:szCs w:val="20"/>
          <w:color w:val="231F20"/>
          <w:spacing w:val="20"/>
        </w:rPr>
        <w:t>或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>&gt;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35</w:t>
      </w:r>
      <w:r>
        <w:rPr>
          <w:rFonts w:ascii="Arial" w:hAnsi="Arial" w:eastAsia="Arial" w:cs="Arial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d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，或</w:t>
      </w:r>
      <w:r>
        <w:rPr>
          <w:rFonts w:ascii="FangSong" w:hAnsi="FangSong" w:eastAsia="FangSong" w:cs="FangSong"/>
          <w:sz w:val="20"/>
          <w:szCs w:val="20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1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年内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&lt;8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个月经周期；初潮</w:t>
      </w:r>
      <w:r>
        <w:rPr>
          <w:rFonts w:ascii="FangSong" w:hAnsi="FangSong" w:eastAsia="FangSong" w:cs="FangSong"/>
          <w:sz w:val="20"/>
          <w:szCs w:val="20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1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年后任何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&gt;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90 d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的月经周期；年龄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&gt;15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岁的原发性闭经，或者是</w:t>
      </w:r>
    </w:p>
    <w:p>
      <w:pPr>
        <w:spacing w:line="285" w:lineRule="auto"/>
        <w:sectPr>
          <w:type w:val="continuous"/>
          <w:pgSz w:w="12246" w:h="16498"/>
          <w:pgMar w:top="400" w:right="1227" w:bottom="0" w:left="819" w:header="0" w:footer="0" w:gutter="0"/>
          <w:cols w:equalWidth="0" w:num="2">
            <w:col w:w="5398" w:space="100"/>
            <w:col w:w="4701" w:space="0"/>
          </w:cols>
        </w:sectPr>
        <w:rPr>
          <w:rFonts w:ascii="FangSong" w:hAnsi="FangSong" w:eastAsia="FangSong" w:cs="FangSong"/>
          <w:sz w:val="20"/>
          <w:szCs w:val="20"/>
        </w:rPr>
      </w:pPr>
    </w:p>
    <w:p>
      <w:pPr>
        <w:spacing w:line="381" w:lineRule="auto"/>
        <w:rPr>
          <w:rFonts w:ascii="Arial"/>
          <w:sz w:val="21"/>
        </w:rPr>
      </w:pPr>
      <w:r/>
    </w:p>
    <w:p>
      <w:pPr>
        <w:ind w:left="492" w:right="6086" w:hanging="4"/>
        <w:spacing w:before="73" w:line="23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5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10.3760/cma.j.cn101441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-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20220927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-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00417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 xml:space="preserve">   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6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2022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-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09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-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29          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李天琦</w:t>
      </w:r>
    </w:p>
    <w:p>
      <w:pPr>
        <w:ind w:left="502"/>
        <w:spacing w:before="1" w:line="19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引用本文：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多囊卵巢综合征诊治路径专家共识编写组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多囊卵巢综合征诊治路径专家共识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[J].</w:t>
      </w:r>
      <w:r>
        <w:rPr>
          <w:rFonts w:ascii="Arial" w:hAnsi="Arial" w:eastAsia="Arial" w:cs="Arial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中华生殖</w:t>
      </w:r>
    </w:p>
    <w:p>
      <w:pPr>
        <w:ind w:left="494"/>
        <w:spacing w:before="51" w:line="189" w:lineRule="exact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89890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与避孕杂志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, 2023, 43(4): 337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-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345. DOI:</w:t>
      </w:r>
      <w:r>
        <w:rPr>
          <w:rFonts w:ascii="Arial" w:hAnsi="Arial" w:eastAsia="Arial" w:cs="Arial"/>
          <w:sz w:val="17"/>
          <w:szCs w:val="17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10.3760/cma.j.cn101441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-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20220927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-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00417.</w:t>
      </w:r>
    </w:p>
    <w:p>
      <w:pPr>
        <w:spacing w:line="189" w:lineRule="exact"/>
        <w:sectPr>
          <w:type w:val="continuous"/>
          <w:pgSz w:w="12246" w:h="16498"/>
          <w:pgMar w:top="400" w:right="1227" w:bottom="0" w:left="819" w:header="0" w:footer="0" w:gutter="0"/>
          <w:cols w:equalWidth="0" w:num="1">
            <w:col w:w="10199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57"/>
        <w:rPr/>
      </w:pPr>
      <w:r/>
    </w:p>
    <w:p>
      <w:pPr>
        <w:sectPr>
          <w:headerReference w:type="default" r:id="rId4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ind w:left="501"/>
        <w:spacing w:before="46" w:line="210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乳房发育后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年仍无月经来潮者。</w:t>
      </w:r>
    </w:p>
    <w:p>
      <w:pPr>
        <w:ind w:left="496" w:right="476" w:firstLine="415"/>
        <w:spacing w:before="10" w:line="264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与高雄激素血症相关的临床表现及高雄激素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血症的进展变化：如多毛、痤疮、脂溢性皮炎、脱发等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症状及发生的时间，注意高雄激素相关临床表现各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类评分及实验室指标的变化趋势。无论临床症状严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重与否，应重视患者表达的对多毛、痤疮等相关问题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的不满，以及由此可能产生的负面心理影响。</w:t>
      </w:r>
    </w:p>
    <w:p>
      <w:pPr>
        <w:ind w:left="503" w:right="476" w:firstLine="412"/>
        <w:spacing w:before="43" w:line="245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3.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其他相关情况：注意询问是否使用影响排卵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的药品（例如类固醇激素、镇静药、抗抑郁药、抗癫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痫药</w:t>
      </w:r>
      <w:r>
        <w:rPr>
          <w:rFonts w:ascii="FangSong" w:hAnsi="FangSong" w:eastAsia="FangSong" w:cs="FangSong"/>
          <w:sz w:val="20"/>
          <w:szCs w:val="20"/>
          <w:color w:val="231F20"/>
          <w:spacing w:val="-36"/>
          <w:w w:val="65"/>
        </w:rPr>
        <w:t>）；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生活环境中是否存在内分泌干扰物，如双酚</w:t>
      </w:r>
    </w:p>
    <w:p>
      <w:pPr>
        <w:ind w:left="502" w:right="476" w:hanging="11"/>
        <w:spacing w:before="43" w:line="245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A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、有机污染物如多氯联苯等；是否缺乏运动，是否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有体质量、饮食和生活习惯的变化等。</w:t>
      </w:r>
    </w:p>
    <w:p>
      <w:pPr>
        <w:ind w:left="493" w:right="410" w:firstLine="415"/>
        <w:spacing w:before="2" w:line="231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4.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情绪及心理问询：注意评估患者是否因不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孕、外形改变等导致的抑郁、焦虑、自卑、性功能降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低等问题，推荐使用焦虑抑郁量表、多囊卵巢综合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征生活质量问卷修订版（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modified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polycystic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ovary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syndrome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health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related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quality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life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questionnaire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MPCOSQ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）、女性性功能指数（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female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sexual function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index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FSFI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）评分量表等进行筛查评估。</w:t>
      </w:r>
    </w:p>
    <w:p>
      <w:pPr>
        <w:ind w:left="503" w:right="410" w:firstLine="409"/>
        <w:spacing w:before="9" w:line="229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5.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既往用药：现病史中各种异常的治疗情况，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如有用药，需明确药物的种类及剂量。</w:t>
      </w:r>
    </w:p>
    <w:p>
      <w:pPr>
        <w:ind w:left="498" w:right="476" w:firstLine="329"/>
        <w:spacing w:before="43" w:line="27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（三）婚育史及避孕史：常规婚育史基础上还需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询问患者的生育计划及需求，如有不孕，需询问不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孕年限及诊疗情况。</w:t>
      </w:r>
    </w:p>
    <w:p>
      <w:pPr>
        <w:ind w:left="827"/>
        <w:spacing w:before="41" w:line="268" w:lineRule="exact"/>
        <w:rPr>
          <w:rFonts w:ascii="FangSong" w:hAnsi="FangSong" w:eastAsia="FangSong" w:cs="FangSong"/>
          <w:sz w:val="20"/>
          <w:szCs w:val="20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757400</wp:posOffset>
            </wp:positionH>
            <wp:positionV relativeFrom="paragraph">
              <wp:posOffset>304289</wp:posOffset>
            </wp:positionV>
            <wp:extent cx="5219914" cy="341723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914" cy="341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20"/>
          <w:szCs w:val="20"/>
          <w:color w:val="231F20"/>
          <w:spacing w:val="-1"/>
          <w:position w:val="1"/>
        </w:rPr>
        <w:t>（四）既往史和手术史：了解全身健康状况，注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81" w:firstLine="9"/>
        <w:spacing w:before="45" w:line="263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>意有无心血管疾病及血糖异常史，治疗措施及疗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效。一方面评估疾病发展阶段，另一方面初步评估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由于其他疾病引起月经异常或生化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/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临床高雄激素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血症的可能性。</w:t>
      </w:r>
    </w:p>
    <w:p>
      <w:pPr>
        <w:ind w:right="80" w:firstLine="335"/>
        <w:spacing w:before="3" w:line="268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（五）家族史和药物过敏史：询问患者家属中有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无高血压、肥胖、糖尿病、肾上腺疾病、先天性或遗</w:t>
      </w:r>
      <w:r>
        <w:rPr>
          <w:rFonts w:ascii="FangSong" w:hAnsi="FangSong" w:eastAsia="FangSong" w:cs="FangSong"/>
          <w:sz w:val="20"/>
          <w:szCs w:val="20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传性疾病、体毛过多等相关疾病，女性亲属需询问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月经周期、生育状况、有无妇科肿瘤病史、有无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阳性家族史等，详见图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1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。</w:t>
      </w:r>
    </w:p>
    <w:p>
      <w:pPr>
        <w:ind w:left="435"/>
        <w:spacing w:line="265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2"/>
          <w:position w:val="1"/>
        </w:rPr>
        <w:t>二、体格检查</w:t>
      </w:r>
    </w:p>
    <w:p>
      <w:pPr>
        <w:ind w:left="5" w:right="80" w:firstLine="330"/>
        <w:spacing w:before="42" w:line="238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（一）一般情况：注意患者生长发育情况和营养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状况。身高、血压、腰围、臀围、体质量及体质量指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数（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body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mass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index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BMI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）均不可忽视。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合并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8"/>
        </w:rPr>
        <w:t>肥胖（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BMI≥28 kg/m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2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）在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患者占比较高，以腰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≥85 cm 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的腹型肥胖为主</w:t>
      </w:r>
      <w:r>
        <w:rPr>
          <w:rFonts w:ascii="FangSong" w:hAnsi="FangSong" w:eastAsia="FangSong" w:cs="FangSong"/>
          <w:sz w:val="10"/>
          <w:szCs w:val="10"/>
          <w:color w:val="231F20"/>
          <w:spacing w:val="-8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8"/>
        </w:rPr>
        <w:t>6</w:t>
      </w:r>
      <w:r>
        <w:rPr>
          <w:rFonts w:ascii="FangSong" w:hAnsi="FangSong" w:eastAsia="FangSong" w:cs="FangSong"/>
          <w:sz w:val="10"/>
          <w:szCs w:val="10"/>
          <w:color w:val="231F20"/>
          <w:spacing w:val="-8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。</w:t>
      </w:r>
    </w:p>
    <w:p>
      <w:pPr>
        <w:ind w:left="6" w:right="81" w:firstLine="328"/>
        <w:spacing w:before="6" w:line="265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（二）全身检查：注意查找异常体征，例如甲状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腺、心肺情况、乳房有无挤压溢乳等。</w:t>
      </w:r>
    </w:p>
    <w:p>
      <w:pPr>
        <w:ind w:left="5" w:firstLine="329"/>
        <w:spacing w:before="45" w:line="27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（三）高雄激素血症相关临床表现检查：最常见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</w:rPr>
        <w:t>的表现是痤疮和多毛，此外可伴皮脂溢、毛孔增大、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黑棘皮征、女性雄激素性脱发、声音低沉等。如存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在高雄激素血症的体征，注意评估严重程度，注意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随访，记录变化趋势。</w:t>
      </w:r>
    </w:p>
    <w:p>
      <w:pPr>
        <w:ind w:left="436"/>
        <w:spacing w:before="42" w:line="209" w:lineRule="auto"/>
        <w:rPr>
          <w:rFonts w:ascii="FangSong" w:hAnsi="FangSong" w:eastAsia="FangSong" w:cs="FangSong"/>
          <w:sz w:val="20"/>
          <w:szCs w:val="20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-1850745</wp:posOffset>
            </wp:positionH>
            <wp:positionV relativeFrom="paragraph">
              <wp:posOffset>-1967333</wp:posOffset>
            </wp:positionV>
            <wp:extent cx="3390900" cy="388620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痤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疮</w:t>
      </w:r>
      <w:r>
        <w:rPr>
          <w:rFonts w:ascii="FangSong" w:hAnsi="FangSong" w:eastAsia="FangSong" w:cs="FangSong"/>
          <w:sz w:val="20"/>
          <w:szCs w:val="20"/>
          <w:color w:val="231F20"/>
          <w:spacing w:val="-5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：按</w:t>
      </w:r>
      <w:r>
        <w:rPr>
          <w:rFonts w:ascii="FangSong" w:hAnsi="FangSong" w:eastAsia="FangSong" w:cs="FangSong"/>
          <w:sz w:val="20"/>
          <w:szCs w:val="20"/>
          <w:color w:val="231F20"/>
          <w:spacing w:val="-4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照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皮</w:t>
      </w:r>
      <w:r>
        <w:rPr>
          <w:rFonts w:ascii="FangSong" w:hAnsi="FangSong" w:eastAsia="FangSong" w:cs="FangSong"/>
          <w:sz w:val="20"/>
          <w:szCs w:val="20"/>
          <w:color w:val="231F20"/>
          <w:spacing w:val="-5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损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性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质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的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不</w:t>
      </w:r>
      <w:r>
        <w:rPr>
          <w:rFonts w:ascii="FangSong" w:hAnsi="FangSong" w:eastAsia="FangSong" w:cs="FangSong"/>
          <w:sz w:val="20"/>
          <w:szCs w:val="20"/>
          <w:color w:val="231F20"/>
          <w:spacing w:val="-3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同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将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痤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疮</w:t>
      </w:r>
      <w:r>
        <w:rPr>
          <w:rFonts w:ascii="FangSong" w:hAnsi="FangSong" w:eastAsia="FangSong" w:cs="FangSong"/>
          <w:sz w:val="20"/>
          <w:szCs w:val="20"/>
          <w:color w:val="231F20"/>
          <w:spacing w:val="-5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分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为</w:t>
      </w:r>
    </w:p>
    <w:p>
      <w:pPr>
        <w:ind w:left="2" w:right="17"/>
        <w:spacing w:before="10" w:line="216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3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度、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4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级。轻度(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级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  <w:w w:val="73"/>
        </w:rPr>
        <w:t>）：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粉刺为主，非炎性，小于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个；中度(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Ⅱ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级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  <w:w w:val="74"/>
        </w:rPr>
        <w:t>）：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炎性丘疹，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30~50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个；中度(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Ⅲ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级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  <w:w w:val="74"/>
        </w:rPr>
        <w:t>）：</w:t>
      </w:r>
    </w:p>
    <w:p>
      <w:pPr>
        <w:spacing w:line="216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95" w:space="100"/>
            <w:col w:w="4607" w:space="0"/>
          </w:cols>
        </w:sectPr>
        <w:rPr>
          <w:rFonts w:ascii="FangSong" w:hAnsi="FangSong" w:eastAsia="FangSong" w:cs="FangSong"/>
          <w:sz w:val="20"/>
          <w:szCs w:val="20"/>
        </w:rPr>
      </w:pPr>
    </w:p>
    <w:p>
      <w:pPr>
        <w:spacing w:line="250" w:lineRule="auto"/>
        <w:rPr>
          <w:rFonts w:ascii="Arial"/>
          <w:sz w:val="21"/>
        </w:rPr>
      </w:pPr>
      <w:r>
        <w:pict>
          <v:shape id="_x0000_s10" style="position:absolute;margin-left:165.549pt;margin-top:-404.411pt;mso-position-vertical-relative:text;mso-position-horizontal-relative:text;width:340.75pt;height:0.4pt;z-index:251664384;" filled="false" strokecolor="#231F20" strokeweight="0.37pt" coordsize="6815,8" coordorigin="0,0" path="m0,3l6814,3e">
            <v:stroke joinstyle="miter" miterlimit="4"/>
          </v:shape>
        </w:pict>
      </w: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265"/>
        <w:spacing w:before="64" w:line="21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注：AUB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示异常子宫出血；PCOS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示多囊卵巢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综合征</w:t>
      </w:r>
    </w:p>
    <w:p>
      <w:pPr>
        <w:spacing w:before="42" w:line="19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position w:val="-41"/>
        </w:rPr>
        <w:drawing>
          <wp:inline distT="0" distB="0" distL="0" distR="0">
            <wp:extent cx="2805668" cy="30421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5"/>
          <w:szCs w:val="15"/>
          <w:color w:val="231F20"/>
          <w:spacing w:val="63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231F20"/>
          <w:spacing w:val="3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病史采集流程图</w:t>
      </w:r>
    </w:p>
    <w:p>
      <w:pPr>
        <w:spacing w:line="193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57"/>
        <w:rPr/>
      </w:pPr>
      <w:r/>
    </w:p>
    <w:p>
      <w:pPr>
        <w:sectPr>
          <w:headerReference w:type="default" r:id="rId8"/>
          <w:pgSz w:w="12246" w:h="16498"/>
          <w:pgMar w:top="1221" w:right="1223" w:bottom="0" w:left="819" w:header="971" w:footer="0" w:gutter="0"/>
          <w:cols w:equalWidth="0" w:num="1">
            <w:col w:w="10203" w:space="0"/>
          </w:cols>
        </w:sectPr>
        <w:rPr/>
      </w:pPr>
    </w:p>
    <w:p>
      <w:pPr>
        <w:ind w:left="496" w:right="326" w:firstLine="27"/>
        <w:spacing w:before="46" w:line="228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出现脓疱，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50~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100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个；重度(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Ⅳ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级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  <w:w w:val="67"/>
        </w:rPr>
        <w:t>）：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有结节、囊肿，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大于</w:t>
      </w:r>
      <w:r>
        <w:rPr>
          <w:rFonts w:ascii="FangSong" w:hAnsi="FangSong" w:eastAsia="FangSong" w:cs="FangSong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100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个。与高雄激素相关的痤疮皮损常分布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于面下</w:t>
      </w:r>
      <w:r>
        <w:rPr>
          <w:rFonts w:ascii="FangSong" w:hAnsi="FangSong" w:eastAsia="FangSong" w:cs="FangSong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1/3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中部位置。也可累及颈部、前胸和上背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部，部分月经前期加重</w:t>
      </w:r>
      <w:r>
        <w:rPr>
          <w:rFonts w:ascii="FangSong" w:hAnsi="FangSong" w:eastAsia="FangSong" w:cs="FangSong"/>
          <w:sz w:val="10"/>
          <w:szCs w:val="10"/>
          <w:color w:val="231F20"/>
          <w:spacing w:val="-7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7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7"/>
          <w:position w:val="8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8</w:t>
      </w:r>
      <w:r>
        <w:rPr>
          <w:rFonts w:ascii="FangSong" w:hAnsi="FangSong" w:eastAsia="FangSong" w:cs="FangSong"/>
          <w:sz w:val="10"/>
          <w:szCs w:val="10"/>
          <w:color w:val="231F20"/>
          <w:spacing w:val="-7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。</w:t>
      </w:r>
    </w:p>
    <w:p>
      <w:pPr>
        <w:ind w:left="492" w:right="389" w:firstLine="420"/>
        <w:spacing w:before="3" w:line="225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2.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多毛：主要为男性样的末端终毛生长过多，主</w:t>
      </w:r>
      <w:r>
        <w:rPr>
          <w:rFonts w:ascii="FangSong" w:hAnsi="FangSong" w:eastAsia="FangSong" w:cs="FangSong"/>
          <w:sz w:val="20"/>
          <w:szCs w:val="20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要</w:t>
      </w:r>
      <w:r>
        <w:rPr>
          <w:rFonts w:ascii="FangSong" w:hAnsi="FangSong" w:eastAsia="FangSong" w:cs="FangSong"/>
          <w:sz w:val="20"/>
          <w:szCs w:val="20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分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布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于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身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体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中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线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位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置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根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据</w:t>
      </w:r>
      <w:r>
        <w:rPr>
          <w:rFonts w:ascii="FangSong" w:hAnsi="FangSong" w:eastAsia="FangSong" w:cs="FangSong"/>
          <w:sz w:val="20"/>
          <w:szCs w:val="20"/>
          <w:color w:val="231F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改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良</w:t>
      </w:r>
      <w:r>
        <w:rPr>
          <w:rFonts w:ascii="FangSong" w:hAnsi="FangSong" w:eastAsia="FangSong" w:cs="FangSong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Ferriman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Gallway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评分（简称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评分</w:t>
      </w:r>
      <w:r>
        <w:rPr>
          <w:rFonts w:ascii="FangSong" w:hAnsi="FangSong" w:eastAsia="FangSong" w:cs="FangSong"/>
          <w:sz w:val="20"/>
          <w:szCs w:val="20"/>
          <w:color w:val="231F20"/>
          <w:spacing w:val="-39"/>
          <w:w w:val="69"/>
        </w:rPr>
        <w:t>），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对全身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个部位进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行评估，中国女性的评分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≥4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分将被诊断为多毛，或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者包括上唇、下腹及大腿内侧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个部位总和评分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分亦可诊断</w:t>
      </w:r>
      <w:r>
        <w:rPr>
          <w:rFonts w:ascii="FangSong" w:hAnsi="FangSong" w:eastAsia="FangSong" w:cs="FangSong"/>
          <w:sz w:val="10"/>
          <w:szCs w:val="10"/>
          <w:color w:val="231F20"/>
          <w:spacing w:val="-4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9</w:t>
      </w:r>
      <w:r>
        <w:rPr>
          <w:rFonts w:ascii="FangSong" w:hAnsi="FangSong" w:eastAsia="FangSong" w:cs="FangSong"/>
          <w:sz w:val="10"/>
          <w:szCs w:val="10"/>
          <w:color w:val="231F20"/>
          <w:spacing w:val="-4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。乳晕、脐部周围可见粗毛则高度怀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疑多毛症可能</w:t>
      </w:r>
      <w:r>
        <w:rPr>
          <w:rFonts w:ascii="FangSong" w:hAnsi="FangSong" w:eastAsia="FangSong" w:cs="FangSong"/>
          <w:sz w:val="10"/>
          <w:szCs w:val="10"/>
          <w:color w:val="231F20"/>
          <w:spacing w:val="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8</w:t>
      </w:r>
      <w:r>
        <w:rPr>
          <w:rFonts w:ascii="FangSong" w:hAnsi="FangSong" w:eastAsia="FangSong" w:cs="FangSong"/>
          <w:sz w:val="10"/>
          <w:szCs w:val="10"/>
          <w:color w:val="231F20"/>
          <w:spacing w:val="2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。特别注意，如果患者对体毛采取</w:t>
      </w:r>
      <w:r>
        <w:rPr>
          <w:rFonts w:ascii="FangSong" w:hAnsi="FangSong" w:eastAsia="FangSong" w:cs="FangSong"/>
          <w:sz w:val="20"/>
          <w:szCs w:val="20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过治疗措施，将会影响对多毛症的评估结果。</w:t>
      </w:r>
    </w:p>
    <w:p>
      <w:pPr>
        <w:ind w:left="407" w:right="327" w:firstLine="508"/>
        <w:spacing w:before="46" w:line="225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3.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雄激素性脱发（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androgenic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alopecia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AGA</w:t>
      </w:r>
      <w:r>
        <w:rPr>
          <w:rFonts w:ascii="FangSong" w:hAnsi="FangSong" w:eastAsia="FangSong" w:cs="FangSong"/>
          <w:sz w:val="20"/>
          <w:szCs w:val="20"/>
          <w:color w:val="231F20"/>
          <w:spacing w:val="-52"/>
          <w:w w:val="91"/>
        </w:rPr>
        <w:t>）：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一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般出现在青春期或青春后期，是一种伴有进行性毛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囊微小化的最常见的脱发类型。女性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AGA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常见病变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部位为头顶部与发际缘之间</w:t>
      </w:r>
      <w:r>
        <w:rPr>
          <w:rFonts w:ascii="FangSong" w:hAnsi="FangSong" w:eastAsia="FangSong" w:cs="FangSong"/>
          <w:sz w:val="10"/>
          <w:szCs w:val="10"/>
          <w:color w:val="231F20"/>
          <w:spacing w:val="-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10</w:t>
      </w:r>
      <w:r>
        <w:rPr>
          <w:rFonts w:ascii="FangSong" w:hAnsi="FangSong" w:eastAsia="FangSong" w:cs="FangSong"/>
          <w:sz w:val="10"/>
          <w:szCs w:val="10"/>
          <w:color w:val="231F20"/>
          <w:spacing w:val="-2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Ludwig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视觉评分将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AGA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分为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级，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级（轻度脱发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  <w:w w:val="64"/>
        </w:rPr>
        <w:t>）：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主要影响头顶冠状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区域，前额发际线保留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1~3 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宽；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Ⅱ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级（中度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脱发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  <w:w w:val="95"/>
        </w:rPr>
        <w:t>）：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头顶冠状区域的头发在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级的基础上更为稀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疏；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Ⅲ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级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（重度脱发</w:t>
      </w:r>
      <w:r>
        <w:rPr>
          <w:rFonts w:ascii="FangSong" w:hAnsi="FangSong" w:eastAsia="FangSong" w:cs="FangSong"/>
          <w:sz w:val="20"/>
          <w:szCs w:val="20"/>
          <w:color w:val="231F20"/>
          <w:spacing w:val="-34"/>
          <w:w w:val="60"/>
        </w:rPr>
        <w:t>）：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头顶冠状区域的头发全部脱落</w:t>
      </w:r>
      <w:r>
        <w:rPr>
          <w:rFonts w:ascii="FangSong" w:hAnsi="FangSong" w:eastAsia="FangSong" w:cs="FangSong"/>
          <w:sz w:val="10"/>
          <w:szCs w:val="10"/>
          <w:color w:val="231F20"/>
          <w:spacing w:val="-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11</w:t>
      </w:r>
      <w:r>
        <w:rPr>
          <w:rFonts w:ascii="FangSong" w:hAnsi="FangSong" w:eastAsia="FangSong" w:cs="FangSong"/>
          <w:sz w:val="10"/>
          <w:szCs w:val="10"/>
          <w:color w:val="231F20"/>
          <w:spacing w:val="-2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。</w:t>
      </w:r>
    </w:p>
    <w:p>
      <w:pPr>
        <w:ind w:left="499" w:right="392" w:firstLine="327"/>
        <w:spacing w:before="41" w:line="263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（四）妇科检查：评估第二性征、阴毛分布、外生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殖器（阴蒂大小）和盆腔的双合诊检查，注意生殖器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3"/>
        </w:rPr>
        <w:t>官发育情况</w:t>
      </w:r>
      <w:r>
        <w:rPr>
          <w:rFonts w:ascii="FangSong" w:hAnsi="FangSong" w:eastAsia="FangSong" w:cs="FangSong"/>
          <w:sz w:val="20"/>
          <w:szCs w:val="20"/>
          <w:color w:val="231F20"/>
          <w:spacing w:val="-4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3"/>
        </w:rPr>
        <w:t>。部分患者可触及增大的卵巢，详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。</w:t>
      </w:r>
    </w:p>
    <w:p>
      <w:pPr>
        <w:ind w:left="929"/>
        <w:spacing w:line="266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3"/>
          <w:position w:val="1"/>
        </w:rPr>
        <w:t>三、辅助检查</w:t>
      </w:r>
    </w:p>
    <w:p>
      <w:pPr>
        <w:ind w:left="491" w:right="390" w:firstLine="335"/>
        <w:spacing w:before="38" w:line="254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（一）盆腔超声：超声检查于已有月经异常和高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6"/>
        </w:rPr>
        <w:t>雄激素血症或相关表现的患者的诊断为非必需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的</w:t>
      </w:r>
      <w:r>
        <w:rPr>
          <w:rFonts w:ascii="FangSong" w:hAnsi="FangSong" w:eastAsia="FangSong" w:cs="FangSong"/>
          <w:sz w:val="10"/>
          <w:szCs w:val="10"/>
          <w:color w:val="231F20"/>
          <w:spacing w:val="-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12</w:t>
      </w:r>
      <w:r>
        <w:rPr>
          <w:rFonts w:ascii="FangSong" w:hAnsi="FangSong" w:eastAsia="FangSong" w:cs="FangSong"/>
          <w:sz w:val="10"/>
          <w:szCs w:val="10"/>
          <w:color w:val="231F20"/>
          <w:spacing w:val="-2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阴道超声检查于有性生活的患者是首选；无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性生活者，可选用经腹部或直肠超声检查。检查前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需停服性激素类药物。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以下特征提示多囊卵巢形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态（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polycystic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ovary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morphology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PCOM</w:t>
      </w:r>
      <w:r>
        <w:rPr>
          <w:rFonts w:ascii="FangSong" w:hAnsi="FangSong" w:eastAsia="FangSong" w:cs="FangSong"/>
          <w:sz w:val="20"/>
          <w:szCs w:val="20"/>
          <w:color w:val="231F20"/>
          <w:spacing w:val="-39"/>
          <w:w w:val="70"/>
        </w:rPr>
        <w:t>），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又称卵巢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多囊样改变：一侧或双侧卵巢内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≥12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个直径为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2~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9 mm 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的卵泡（《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2018 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年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PCO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S 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治疗和管理国际循证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3" w:right="18" w:firstLine="8"/>
        <w:spacing w:before="42" w:line="237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25"/>
          <w:w w:val="94"/>
        </w:rPr>
        <w:t>指南》</w:t>
      </w:r>
      <w:r>
        <w:rPr>
          <w:rFonts w:ascii="FangSong" w:hAnsi="FangSong" w:eastAsia="FangSong" w:cs="FangSong"/>
          <w:sz w:val="10"/>
          <w:szCs w:val="10"/>
          <w:color w:val="231F20"/>
          <w:spacing w:val="-25"/>
          <w:w w:val="94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5"/>
          <w:w w:val="94"/>
          <w:position w:val="8"/>
        </w:rPr>
        <w:t>4</w:t>
      </w:r>
      <w:r>
        <w:rPr>
          <w:rFonts w:ascii="FangSong" w:hAnsi="FangSong" w:eastAsia="FangSong" w:cs="FangSong"/>
          <w:sz w:val="10"/>
          <w:szCs w:val="10"/>
          <w:color w:val="231F20"/>
          <w:spacing w:val="-25"/>
          <w:w w:val="94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使用包含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8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MHz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探头的经阴道超声要求一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侧或双侧卵巢内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≥20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个直径为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2~9 mm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的卵泡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  <w:w w:val="67"/>
        </w:rPr>
        <w:t>），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或卵巢体积</w:t>
      </w:r>
      <w:r>
        <w:rPr>
          <w:rFonts w:ascii="FangSong" w:hAnsi="FangSong" w:eastAsia="FangSong" w:cs="FangSong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≥10 cm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3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mL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  <w:w w:val="67"/>
        </w:rPr>
        <w:t>）［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卵巢体积的计算公式：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0.5×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横径（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cm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×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长径（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cm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×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前后径（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cm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  <w:w w:val="66"/>
        </w:rPr>
        <w:t>）］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-2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有黄体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的稀发排卵患者或卵泡直径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&gt;1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的患者应考虑在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下个周期复查。此外还需要注意子宫内膜回声情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况、血流信号以及厚度是否不均等，排除子宫内膜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增生、子宫内膜癌等病变。</w:t>
      </w:r>
    </w:p>
    <w:p>
      <w:pPr>
        <w:ind w:left="97" w:right="82" w:firstLine="415"/>
        <w:spacing w:before="3" w:line="215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青春期女性月经初潮后</w:t>
      </w:r>
      <w:r>
        <w:rPr>
          <w:rFonts w:ascii="FangSong" w:hAnsi="FangSong" w:eastAsia="FangSong" w:cs="FangSong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8 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年内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较为常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见，故此年龄段不建议使用盆腔超声诊断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。</w:t>
      </w:r>
    </w:p>
    <w:p>
      <w:pPr>
        <w:ind w:left="419"/>
        <w:spacing w:line="265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7"/>
          <w:position w:val="1"/>
        </w:rPr>
        <w:t>（二）实验室检查</w:t>
      </w:r>
    </w:p>
    <w:p>
      <w:pPr>
        <w:ind w:left="84" w:right="81" w:firstLine="437"/>
        <w:spacing w:before="46" w:line="241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高雄激素血症：缺乏相关表现时高雄激素血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症的生化检查对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的诊断有重要意义。高雄激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素血症的评估包括何种激素的测定，数值标准如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何，目前尚无国际统一的共识</w:t>
      </w:r>
      <w:r>
        <w:rPr>
          <w:rFonts w:ascii="FangSong" w:hAnsi="FangSong" w:eastAsia="FangSong" w:cs="FangSong"/>
          <w:sz w:val="10"/>
          <w:szCs w:val="10"/>
          <w:color w:val="231F2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4</w:t>
      </w:r>
      <w:r>
        <w:rPr>
          <w:rFonts w:ascii="FangSong" w:hAnsi="FangSong" w:eastAsia="FangSong" w:cs="FangSong"/>
          <w:sz w:val="10"/>
          <w:szCs w:val="10"/>
          <w:color w:val="231F20"/>
          <w:position w:val="8"/>
        </w:rPr>
        <w:t>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13</w:t>
      </w:r>
      <w:r>
        <w:rPr>
          <w:rFonts w:ascii="FangSong" w:hAnsi="FangSong" w:eastAsia="FangSong" w:cs="FangSong"/>
          <w:sz w:val="10"/>
          <w:szCs w:val="10"/>
          <w:color w:val="231F20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-5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因睾酮测定方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法方便，常为临床所应用。睾酮的测定包括游离睾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酮和总睾酮的测定，计算生物有效性睾酮。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患者表现如下：血清总睾酮正常或轻度升高，一般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不超过正常范围上限的</w:t>
      </w:r>
      <w:r>
        <w:rPr>
          <w:rFonts w:ascii="FangSong" w:hAnsi="FangSong" w:eastAsia="FangSong" w:cs="FangSong"/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倍；也可有硫酸脱氢表雄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酮（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dehydroepiandrosterone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sulfate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DHEA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S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）轻度升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高或正常，雄烯二酮水平升高。有条件者可以检测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总睾酮和性激素结合球蛋白（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sex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hor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mone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binding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globulin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SHBG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）后</w:t>
      </w:r>
      <w:r>
        <w:rPr>
          <w:rFonts w:ascii="FangSong" w:hAnsi="FangSong" w:eastAsia="FangSong" w:cs="FangSong"/>
          <w:sz w:val="20"/>
          <w:szCs w:val="20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计</w:t>
      </w:r>
      <w:r>
        <w:rPr>
          <w:rFonts w:ascii="FangSong" w:hAnsi="FangSong" w:eastAsia="FangSong" w:cs="FangSong"/>
          <w:sz w:val="20"/>
          <w:szCs w:val="20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算</w:t>
      </w:r>
      <w:r>
        <w:rPr>
          <w:rFonts w:ascii="FangSong" w:hAnsi="FangSong" w:eastAsia="FangSong" w:cs="FangSong"/>
          <w:sz w:val="20"/>
          <w:szCs w:val="20"/>
          <w:color w:val="231F20"/>
          <w:spacing w:val="-3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游</w:t>
      </w:r>
      <w:r>
        <w:rPr>
          <w:rFonts w:ascii="FangSong" w:hAnsi="FangSong" w:eastAsia="FangSong" w:cs="FangSong"/>
          <w:sz w:val="20"/>
          <w:szCs w:val="20"/>
          <w:color w:val="231F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离</w:t>
      </w:r>
      <w:r>
        <w:rPr>
          <w:rFonts w:ascii="FangSong" w:hAnsi="FangSong" w:eastAsia="FangSong" w:cs="FangSong"/>
          <w:sz w:val="20"/>
          <w:szCs w:val="20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雄</w:t>
      </w:r>
      <w:r>
        <w:rPr>
          <w:rFonts w:ascii="FangSong" w:hAnsi="FangSong" w:eastAsia="FangSong" w:cs="FangSong"/>
          <w:sz w:val="20"/>
          <w:szCs w:val="20"/>
          <w:color w:val="231F20"/>
          <w:spacing w:val="-3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激</w:t>
      </w:r>
      <w:r>
        <w:rPr>
          <w:rFonts w:ascii="FangSong" w:hAnsi="FangSong" w:eastAsia="FangSong" w:cs="FangSong"/>
          <w:sz w:val="20"/>
          <w:szCs w:val="20"/>
          <w:color w:val="231F20"/>
          <w:spacing w:val="-2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素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指</w:t>
      </w:r>
      <w:r>
        <w:rPr>
          <w:rFonts w:ascii="FangSong" w:hAnsi="FangSong" w:eastAsia="FangSong" w:cs="FangSong"/>
          <w:sz w:val="20"/>
          <w:szCs w:val="20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数（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free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androgen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index</w:t>
      </w:r>
      <w:r>
        <w:rPr>
          <w:rFonts w:ascii="FangSong" w:hAnsi="FangSong" w:eastAsia="FangSong" w:cs="FangSong"/>
          <w:sz w:val="20"/>
          <w:szCs w:val="20"/>
          <w:color w:val="231F20"/>
          <w:spacing w:val="-1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FAI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  <w:w w:val="8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FAI=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8"/>
        </w:rPr>
        <w:t>总睾酮（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nmol/L</w:t>
      </w:r>
      <w:r>
        <w:rPr>
          <w:rFonts w:ascii="FangSong" w:hAnsi="FangSong" w:eastAsia="FangSong" w:cs="FangSong"/>
          <w:sz w:val="20"/>
          <w:szCs w:val="20"/>
          <w:color w:val="231F20"/>
          <w:spacing w:val="-18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×100/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性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激素结合球蛋白（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nmol/L</w:t>
      </w:r>
      <w:r>
        <w:rPr>
          <w:rFonts w:ascii="FangSong" w:hAnsi="FangSong" w:eastAsia="FangSong" w:cs="FangSong"/>
          <w:sz w:val="20"/>
          <w:szCs w:val="20"/>
          <w:color w:val="231F20"/>
          <w:spacing w:val="-39"/>
          <w:w w:val="69"/>
        </w:rPr>
        <w:t>），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正常范围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0.7~6.4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（仅供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6"/>
        </w:rPr>
        <w:t>参考</w:t>
      </w:r>
      <w:r>
        <w:rPr>
          <w:rFonts w:ascii="FangSong" w:hAnsi="FangSong" w:eastAsia="FangSong" w:cs="FangSong"/>
          <w:sz w:val="20"/>
          <w:szCs w:val="20"/>
          <w:color w:val="231F20"/>
          <w:spacing w:val="-39"/>
          <w:w w:val="70"/>
        </w:rPr>
        <w:t>），</w:t>
      </w:r>
      <w:r>
        <w:rPr>
          <w:rFonts w:ascii="FangSong" w:hAnsi="FangSong" w:eastAsia="FangSong" w:cs="FangSong"/>
          <w:sz w:val="20"/>
          <w:szCs w:val="20"/>
          <w:color w:val="231F20"/>
          <w:spacing w:val="16"/>
        </w:rPr>
        <w:t>可作为首选检查内容。高雄激素临床表现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的严重程度与血清总睾酮水平不成正比。注意排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除其他原因引起的高雄激素血症。</w:t>
      </w:r>
    </w:p>
    <w:p>
      <w:pPr>
        <w:ind w:firstLine="505"/>
        <w:spacing w:before="38" w:line="215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2.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其</w:t>
      </w:r>
      <w:r>
        <w:rPr>
          <w:rFonts w:ascii="FangSong" w:hAnsi="FangSong" w:eastAsia="FangSong" w:cs="FangSong"/>
          <w:sz w:val="20"/>
          <w:szCs w:val="20"/>
          <w:color w:val="231F20"/>
          <w:spacing w:val="-4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他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生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殖</w:t>
      </w:r>
      <w:r>
        <w:rPr>
          <w:rFonts w:ascii="FangSong" w:hAnsi="FangSong" w:eastAsia="FangSong" w:cs="FangSong"/>
          <w:sz w:val="20"/>
          <w:szCs w:val="20"/>
          <w:color w:val="231F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内</w:t>
      </w:r>
      <w:r>
        <w:rPr>
          <w:rFonts w:ascii="FangSong" w:hAnsi="FangSong" w:eastAsia="FangSong" w:cs="FangSong"/>
          <w:sz w:val="20"/>
          <w:szCs w:val="20"/>
          <w:color w:val="231F20"/>
          <w:spacing w:val="-5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分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泌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相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关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激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素</w:t>
      </w:r>
      <w:r>
        <w:rPr>
          <w:rFonts w:ascii="FangSong" w:hAnsi="FangSong" w:eastAsia="FangSong" w:cs="FangSong"/>
          <w:sz w:val="20"/>
          <w:szCs w:val="20"/>
          <w:color w:val="231F20"/>
          <w:spacing w:val="-5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：血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清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催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乳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素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prolactin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PRL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）水平轻度增高的患者占</w:t>
      </w:r>
      <w:r>
        <w:rPr>
          <w:rFonts w:ascii="FangSong" w:hAnsi="FangSong" w:eastAsia="FangSong" w:cs="FangSong"/>
          <w:sz w:val="20"/>
          <w:szCs w:val="20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患者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20%~35%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。黄体生成素（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luteinizing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hormone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LH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卵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泡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刺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激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素（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follicle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stimulating   hormo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ne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FSH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）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比值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≥2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常见于非肥胖型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患者。血清抗苗勒管</w:t>
      </w:r>
    </w:p>
    <w:p>
      <w:pPr>
        <w:spacing w:line="215" w:lineRule="auto"/>
        <w:sectPr>
          <w:type w:val="continuous"/>
          <w:pgSz w:w="12246" w:h="16498"/>
          <w:pgMar w:top="1221" w:right="1223" w:bottom="0" w:left="819" w:header="971" w:footer="0" w:gutter="0"/>
          <w:cols w:equalWidth="0" w:num="2">
            <w:col w:w="5410" w:space="100"/>
            <w:col w:w="4693" w:space="0"/>
          </w:cols>
        </w:sectPr>
        <w:rPr>
          <w:rFonts w:ascii="FangSong" w:hAnsi="FangSong" w:eastAsia="FangSong" w:cs="FangSong"/>
          <w:sz w:val="20"/>
          <w:szCs w:val="20"/>
        </w:rPr>
      </w:pPr>
    </w:p>
    <w:p>
      <w:pPr>
        <w:ind w:firstLine="1163"/>
        <w:spacing w:before="132" w:line="2930" w:lineRule="exact"/>
        <w:rPr/>
      </w:pPr>
      <w:r>
        <w:pict>
          <v:shape id="_x0000_s16" style="position:absolute;margin-left:24.3856pt;margin-top:-526.897pt;mso-position-vertical-relative:text;mso-position-horizontal-relative:text;width:340.75pt;height:0.4pt;z-index:251668480;" filled="false" strokecolor="#231F20" strokeweight="0.37pt" coordsize="6815,8" coordorigin="0,0" path="m0,3l6814,3e">
            <v:stroke joinstyle="miter" miterlimit="4"/>
          </v:shape>
        </w:pict>
      </w:r>
      <w:r>
        <w:rPr>
          <w:position w:val="-58"/>
        </w:rPr>
        <w:drawing>
          <wp:inline distT="0" distB="0" distL="0" distR="0">
            <wp:extent cx="5256489" cy="186015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6489" cy="186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58"/>
        <w:spacing w:before="105" w:line="19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注：AUB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示异常子宫出血；HA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示高雄激素血症；mF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示改良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Ferriman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Ga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llway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评分；BMI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示体质量指数</w:t>
      </w:r>
    </w:p>
    <w:p>
      <w:pPr>
        <w:ind w:left="4550"/>
        <w:spacing w:before="56" w:line="151" w:lineRule="exact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80750</wp:posOffset>
            </wp:positionV>
            <wp:extent cx="2805668" cy="30421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7"/>
          <w:position w:val="-1"/>
        </w:rPr>
        <w:t>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  <w:position w:val="-1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  <w:w w:val="101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  <w:position w:val="-1"/>
        </w:rPr>
        <w:t>体格检查流程图</w:t>
      </w:r>
    </w:p>
    <w:p>
      <w:pPr>
        <w:spacing w:line="151" w:lineRule="exact"/>
        <w:sectPr>
          <w:type w:val="continuous"/>
          <w:pgSz w:w="12246" w:h="16498"/>
          <w:pgMar w:top="1221" w:right="1223" w:bottom="0" w:left="819" w:header="971" w:footer="0" w:gutter="0"/>
          <w:cols w:equalWidth="0" w:num="1">
            <w:col w:w="10203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56"/>
        <w:rPr/>
      </w:pPr>
      <w:r/>
    </w:p>
    <w:p>
      <w:pPr>
        <w:sectPr>
          <w:headerReference w:type="default" r:id="rId10"/>
          <w:pgSz w:w="12246" w:h="16498"/>
          <w:pgMar w:top="1221" w:right="1228" w:bottom="0" w:left="819" w:header="971" w:footer="0" w:gutter="0"/>
          <w:cols w:equalWidth="0" w:num="1">
            <w:col w:w="10198" w:space="0"/>
          </w:cols>
        </w:sectPr>
        <w:rPr/>
      </w:pPr>
    </w:p>
    <w:p>
      <w:pPr>
        <w:ind w:left="499" w:right="476" w:firstLine="4"/>
        <w:spacing w:before="48" w:line="248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20"/>
        </w:rPr>
        <w:t>激素（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anti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Müllerian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hormone</w:t>
      </w:r>
      <w:r>
        <w:rPr>
          <w:rFonts w:ascii="FangSong" w:hAnsi="FangSong" w:eastAsia="FangSong" w:cs="FangSong"/>
          <w:sz w:val="20"/>
          <w:szCs w:val="20"/>
          <w:color w:val="231F20"/>
          <w:spacing w:val="-2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AMH</w:t>
      </w:r>
      <w:r>
        <w:rPr>
          <w:rFonts w:ascii="FangSong" w:hAnsi="FangSong" w:eastAsia="FangSong" w:cs="FangSong"/>
          <w:sz w:val="20"/>
          <w:szCs w:val="20"/>
          <w:color w:val="231F20"/>
          <w:spacing w:val="-20"/>
        </w:rPr>
        <w:t>）水平在</w:t>
      </w:r>
      <w:r>
        <w:rPr>
          <w:rFonts w:ascii="FangSong" w:hAnsi="FangSong" w:eastAsia="FangSong" w:cs="FangSong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0"/>
        </w:rPr>
        <w:t>患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者中常明显增高，但正常值无统一标准。</w:t>
      </w:r>
    </w:p>
    <w:p>
      <w:pPr>
        <w:ind w:left="406" w:right="410" w:firstLine="508"/>
        <w:spacing w:before="9" w:line="234" w:lineRule="auto"/>
        <w:tabs>
          <w:tab w:val="left" w:pos="489"/>
        </w:tabs>
        <w:jc w:val="both"/>
        <w:rPr>
          <w:rFonts w:ascii="FangSong" w:hAnsi="FangSong" w:eastAsia="FangSong" w:cs="FangSong"/>
          <w:sz w:val="20"/>
          <w:szCs w:val="20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1926545</wp:posOffset>
            </wp:positionV>
            <wp:extent cx="3390900" cy="388620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3.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>代谢水平的评估：首选检查为口服葡萄糖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耐量试验（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oral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glucose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tolerance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test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OGTT</w:t>
      </w:r>
      <w:r>
        <w:rPr>
          <w:rFonts w:ascii="FangSong" w:hAnsi="FangSong" w:eastAsia="FangSong" w:cs="FangSong"/>
          <w:sz w:val="20"/>
          <w:szCs w:val="20"/>
          <w:color w:val="231F20"/>
          <w:spacing w:val="-40"/>
          <w:w w:val="72"/>
        </w:rPr>
        <w:t>），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详见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表</w:t>
      </w:r>
      <w:r>
        <w:rPr>
          <w:rFonts w:ascii="FangSong" w:hAnsi="FangSong" w:eastAsia="FangSong" w:cs="FangSong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。检测患者空腹血糖（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fasting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plasma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glu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cose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FPG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空腹胰岛素（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fasting insu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lin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FINS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  <w:w w:val="87"/>
        </w:rPr>
        <w:t>），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以及餐后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30 min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 h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 h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的血糖和胰岛素水平，计算胰岛素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抵</w:t>
      </w:r>
      <w:r>
        <w:rPr>
          <w:rFonts w:ascii="FangSong" w:hAnsi="FangSong" w:eastAsia="FangSong" w:cs="FangSong"/>
          <w:sz w:val="20"/>
          <w:szCs w:val="20"/>
          <w:color w:val="231F20"/>
          <w:spacing w:val="-3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抗</w:t>
      </w:r>
      <w:r>
        <w:rPr>
          <w:rFonts w:ascii="FangSong" w:hAnsi="FangSong" w:eastAsia="FangSong" w:cs="FangSong"/>
          <w:sz w:val="20"/>
          <w:szCs w:val="20"/>
          <w:color w:val="231F20"/>
          <w:spacing w:val="-2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指</w:t>
      </w:r>
      <w:r>
        <w:rPr>
          <w:rFonts w:ascii="FangSong" w:hAnsi="FangSong" w:eastAsia="FangSong" w:cs="FangSong"/>
          <w:sz w:val="20"/>
          <w:szCs w:val="20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数（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homeostasis  model  assessment  insul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resistance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HOMA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IR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  <w:w w:val="98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HOMA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IR=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空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腹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血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糖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水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平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mmol/L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×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空腹胰岛素水平(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μU/mL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/22.5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，评估患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9"/>
        </w:rPr>
        <w:t>者胰岛素抵抗情况。此外还可对患者的肝肾功能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进行检查以及测定血脂指标来评估代谢。条件允许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可进行人体成分分析。</w:t>
      </w:r>
    </w:p>
    <w:p>
      <w:pPr>
        <w:ind w:left="1448"/>
        <w:spacing w:before="134" w:line="204" w:lineRule="auto"/>
        <w:outlineLvl w:val="0"/>
        <w:rPr>
          <w:rFonts w:ascii="Microsoft YaHei" w:hAnsi="Microsoft YaHei" w:eastAsia="Microsoft YaHei" w:cs="Microsoft YaHei"/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OGTT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评判标准(非妊娠期)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1"/>
          <w:position w:val="7"/>
        </w:rPr>
        <w:t>[14]</w:t>
      </w:r>
    </w:p>
    <w:p>
      <w:pPr>
        <w:spacing w:line="35" w:lineRule="exact"/>
        <w:rPr/>
      </w:pPr>
      <w:r/>
    </w:p>
    <w:tbl>
      <w:tblPr>
        <w:tblStyle w:val="TableNormal"/>
        <w:tblW w:w="4535" w:type="dxa"/>
        <w:tblInd w:w="48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16"/>
        <w:gridCol w:w="1453"/>
        <w:gridCol w:w="1766"/>
      </w:tblGrid>
      <w:tr>
        <w:trPr>
          <w:trHeight w:val="422" w:hRule="atLeast"/>
        </w:trPr>
        <w:tc>
          <w:tcPr>
            <w:tcW w:w="13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"/>
              <w:spacing w:before="134" w:line="185" w:lineRule="auto"/>
              <w:rPr/>
            </w:pPr>
            <w:r>
              <w:rPr>
                <w:color w:val="231F20"/>
                <w:spacing w:val="5"/>
              </w:rPr>
              <w:t>指标</w:t>
            </w:r>
          </w:p>
        </w:tc>
        <w:tc>
          <w:tcPr>
            <w:tcW w:w="145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9"/>
              <w:spacing w:before="54" w:line="156" w:lineRule="exact"/>
              <w:rPr/>
            </w:pPr>
            <w:r>
              <w:rPr>
                <w:color w:val="231F20"/>
                <w:spacing w:val="8"/>
                <w:position w:val="-1"/>
              </w:rPr>
              <w:t>空腹血糖水平</w:t>
            </w:r>
          </w:p>
          <w:p>
            <w:pPr>
              <w:pStyle w:val="TableText"/>
              <w:ind w:left="404"/>
              <w:spacing w:line="187" w:lineRule="auto"/>
              <w:rPr/>
            </w:pPr>
            <w:r>
              <w:rPr>
                <w:color w:val="231F20"/>
                <w:spacing w:val="-12"/>
              </w:rPr>
              <w:t>（mmol/L）</w:t>
            </w:r>
          </w:p>
        </w:tc>
        <w:tc>
          <w:tcPr>
            <w:tcW w:w="176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0" w:right="14" w:firstLine="138"/>
              <w:spacing w:before="53" w:line="167" w:lineRule="auto"/>
              <w:rPr/>
            </w:pPr>
            <w:r>
              <w:rPr>
                <w:color w:val="231F20"/>
                <w:spacing w:val="1"/>
              </w:rPr>
              <w:t>口服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1"/>
              </w:rPr>
              <w:t>75g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葡萄糖后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-11"/>
              </w:rPr>
              <w:t>2 h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1"/>
              </w:rPr>
              <w:t>血糖水平（mmol/L）</w:t>
            </w:r>
          </w:p>
        </w:tc>
      </w:tr>
      <w:tr>
        <w:trPr>
          <w:trHeight w:val="265" w:hRule="atLeast"/>
        </w:trPr>
        <w:tc>
          <w:tcPr>
            <w:tcW w:w="13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60" w:line="181" w:lineRule="auto"/>
              <w:rPr/>
            </w:pPr>
            <w:r>
              <w:rPr>
                <w:color w:val="231F20"/>
                <w:spacing w:val="8"/>
              </w:rPr>
              <w:t>正常糖耐量</w:t>
            </w:r>
          </w:p>
        </w:tc>
        <w:tc>
          <w:tcPr>
            <w:tcW w:w="14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46"/>
              <w:spacing w:before="59" w:line="182" w:lineRule="auto"/>
              <w:rPr/>
            </w:pPr>
            <w:r>
              <w:rPr>
                <w:color w:val="231F20"/>
                <w:spacing w:val="-9"/>
              </w:rPr>
              <w:t>&lt;6.1</w:t>
            </w:r>
          </w:p>
        </w:tc>
        <w:tc>
          <w:tcPr>
            <w:tcW w:w="17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49"/>
              <w:spacing w:before="59" w:line="182" w:lineRule="auto"/>
              <w:rPr/>
            </w:pPr>
            <w:r>
              <w:rPr>
                <w:color w:val="231F20"/>
                <w:spacing w:val="-9"/>
              </w:rPr>
              <w:t>&lt;7.8</w:t>
            </w:r>
          </w:p>
        </w:tc>
      </w:tr>
      <w:tr>
        <w:trPr>
          <w:trHeight w:val="270" w:hRule="atLeast"/>
        </w:trPr>
        <w:tc>
          <w:tcPr>
            <w:tcW w:w="1316" w:type="dxa"/>
            <w:vAlign w:val="top"/>
          </w:tcPr>
          <w:p>
            <w:pPr>
              <w:pStyle w:val="TableText"/>
              <w:ind w:left="64"/>
              <w:spacing w:before="69" w:line="178" w:lineRule="auto"/>
              <w:rPr/>
            </w:pPr>
            <w:r>
              <w:rPr>
                <w:color w:val="231F20"/>
                <w:spacing w:val="8"/>
              </w:rPr>
              <w:t>空腹血糖受损</w:t>
            </w:r>
          </w:p>
        </w:tc>
        <w:tc>
          <w:tcPr>
            <w:tcW w:w="1453" w:type="dxa"/>
            <w:vAlign w:val="top"/>
          </w:tcPr>
          <w:p>
            <w:pPr>
              <w:pStyle w:val="TableText"/>
              <w:ind w:left="357"/>
              <w:spacing w:before="68" w:line="179" w:lineRule="auto"/>
              <w:rPr/>
            </w:pPr>
            <w:r>
              <w:rPr>
                <w:color w:val="231F20"/>
                <w:spacing w:val="-8"/>
              </w:rPr>
              <w:t>6.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8"/>
              </w:rPr>
              <w:t>1≤FPG&lt;7.0</w:t>
            </w:r>
          </w:p>
        </w:tc>
        <w:tc>
          <w:tcPr>
            <w:tcW w:w="1766" w:type="dxa"/>
            <w:vAlign w:val="top"/>
          </w:tcPr>
          <w:p>
            <w:pPr>
              <w:pStyle w:val="TableText"/>
              <w:ind w:left="849"/>
              <w:spacing w:before="68" w:line="179" w:lineRule="auto"/>
              <w:rPr/>
            </w:pPr>
            <w:r>
              <w:rPr>
                <w:color w:val="231F20"/>
                <w:spacing w:val="-9"/>
              </w:rPr>
              <w:t>&lt;7.8</w:t>
            </w:r>
          </w:p>
        </w:tc>
      </w:tr>
      <w:tr>
        <w:trPr>
          <w:trHeight w:val="271" w:hRule="atLeast"/>
        </w:trPr>
        <w:tc>
          <w:tcPr>
            <w:tcW w:w="1316" w:type="dxa"/>
            <w:vAlign w:val="top"/>
          </w:tcPr>
          <w:p>
            <w:pPr>
              <w:pStyle w:val="TableText"/>
              <w:ind w:left="60"/>
              <w:spacing w:before="72" w:line="176" w:lineRule="auto"/>
              <w:rPr/>
            </w:pPr>
            <w:r>
              <w:rPr>
                <w:color w:val="231F20"/>
                <w:spacing w:val="8"/>
              </w:rPr>
              <w:t>糖耐量受损</w:t>
            </w:r>
          </w:p>
        </w:tc>
        <w:tc>
          <w:tcPr>
            <w:tcW w:w="1453" w:type="dxa"/>
            <w:vAlign w:val="top"/>
          </w:tcPr>
          <w:p>
            <w:pPr>
              <w:pStyle w:val="TableText"/>
              <w:ind w:left="646"/>
              <w:spacing w:before="72" w:line="176" w:lineRule="auto"/>
              <w:rPr/>
            </w:pPr>
            <w:r>
              <w:rPr>
                <w:color w:val="231F20"/>
                <w:spacing w:val="-9"/>
              </w:rPr>
              <w:t>&lt;7.0</w:t>
            </w:r>
          </w:p>
        </w:tc>
        <w:tc>
          <w:tcPr>
            <w:tcW w:w="1766" w:type="dxa"/>
            <w:vAlign w:val="top"/>
          </w:tcPr>
          <w:p>
            <w:pPr>
              <w:pStyle w:val="TableText"/>
              <w:ind w:left="847"/>
              <w:spacing w:before="72" w:line="176" w:lineRule="auto"/>
              <w:rPr/>
            </w:pPr>
            <w:r>
              <w:rPr>
                <w:color w:val="231F20"/>
                <w:spacing w:val="-9"/>
              </w:rPr>
              <w:t>≥7.8</w:t>
            </w:r>
          </w:p>
        </w:tc>
      </w:tr>
      <w:tr>
        <w:trPr>
          <w:trHeight w:val="279" w:hRule="atLeast"/>
        </w:trPr>
        <w:tc>
          <w:tcPr>
            <w:tcW w:w="13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0"/>
              <w:spacing w:before="74" w:line="181" w:lineRule="auto"/>
              <w:rPr/>
            </w:pPr>
            <w:r>
              <w:rPr>
                <w:color w:val="231F20"/>
                <w:spacing w:val="8"/>
              </w:rPr>
              <w:t>糖尿病</w:t>
            </w:r>
          </w:p>
        </w:tc>
        <w:tc>
          <w:tcPr>
            <w:tcW w:w="145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45"/>
              <w:spacing w:before="73" w:line="182" w:lineRule="auto"/>
              <w:rPr/>
            </w:pPr>
            <w:r>
              <w:rPr>
                <w:color w:val="231F20"/>
                <w:spacing w:val="-9"/>
              </w:rPr>
              <w:t>≥7.0</w:t>
            </w:r>
          </w:p>
        </w:tc>
        <w:tc>
          <w:tcPr>
            <w:tcW w:w="176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68"/>
              <w:spacing w:before="74" w:line="181" w:lineRule="auto"/>
              <w:rPr/>
            </w:pPr>
            <w:r>
              <w:rPr>
                <w:color w:val="231F20"/>
                <w:spacing w:val="-9"/>
              </w:rPr>
              <w:t>≥11.1</w:t>
            </w:r>
          </w:p>
        </w:tc>
      </w:tr>
    </w:tbl>
    <w:p>
      <w:pPr>
        <w:ind w:left="811"/>
        <w:spacing w:before="77" w:line="21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注：OGTT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示口服葡萄糖耐量试验；FPG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示空腹血糖</w:t>
      </w:r>
    </w:p>
    <w:p>
      <w:pPr>
        <w:ind w:left="406" w:right="395" w:firstLine="501"/>
        <w:spacing w:before="171" w:line="249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4.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其他内分泌激素测定：病情需要的患者可酌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情检测胰岛素释放试验、肾上腺皮质激素释放激素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adreno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cortico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tro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pic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hormone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ACTH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17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>-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羟孕酮、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甲状腺功能、皮质醇等。</w:t>
      </w:r>
    </w:p>
    <w:p>
      <w:pPr>
        <w:ind w:left="504" w:right="475" w:firstLine="321"/>
        <w:spacing w:before="5" w:line="233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757400</wp:posOffset>
            </wp:positionH>
            <wp:positionV relativeFrom="paragraph">
              <wp:posOffset>880387</wp:posOffset>
            </wp:positionV>
            <wp:extent cx="5219914" cy="225725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914" cy="2257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（三）心理健康相关筛查：应重视关注</w:t>
      </w:r>
      <w:r>
        <w:rPr>
          <w:rFonts w:ascii="FangSong" w:hAnsi="FangSong" w:eastAsia="FangSong" w:cs="FangSong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患者的心理健康，包括生活质量、焦虑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/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抑郁、进食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5"/>
        </w:rPr>
        <w:t>障碍和饮食紊乱、身体形象和性心理功能等方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面。可选用相应的筛查工具如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MPCOSQ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量表等进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" w:right="78" w:hanging="6"/>
        <w:spacing w:before="45" w:line="24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32"/>
        </w:rPr>
        <w:t>行测试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32"/>
        </w:rPr>
        <w:t>，并对发现的问题及时进行干预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32"/>
        </w:rPr>
        <w:t>，详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见图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3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。</w:t>
      </w:r>
    </w:p>
    <w:p>
      <w:pPr>
        <w:ind w:left="453"/>
        <w:spacing w:line="266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27"/>
          <w:position w:val="1"/>
        </w:rPr>
        <w:t>四、诊断</w:t>
      </w:r>
    </w:p>
    <w:p>
      <w:pPr>
        <w:ind w:left="3" w:right="77" w:firstLine="331"/>
        <w:spacing w:before="39" w:line="244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（一）成人诊断标准：采用鹿特丹标准</w:t>
      </w:r>
      <w:r>
        <w:rPr>
          <w:rFonts w:ascii="FangSong" w:hAnsi="FangSong" w:eastAsia="FangSong" w:cs="FangSong"/>
          <w:sz w:val="10"/>
          <w:szCs w:val="10"/>
          <w:color w:val="231F20"/>
          <w:spacing w:val="-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15</w:t>
      </w:r>
      <w:r>
        <w:rPr>
          <w:rFonts w:ascii="FangSong" w:hAnsi="FangSong" w:eastAsia="FangSong" w:cs="FangSong"/>
          <w:sz w:val="10"/>
          <w:szCs w:val="10"/>
          <w:color w:val="231F20"/>
          <w:spacing w:val="14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29"/>
          <w:w w:val="5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①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月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经异常如稀发排卵或无排卵；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②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高雄激素血症的临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床表现和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/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或高雄激素血症；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③PCOM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。符合上述其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中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条，排除其他引起排卵障碍的疾病（包括甲状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腺功能异常、卵巢早衰、下丘脑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垂体闭经、高催乳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素血症等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>），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以及引起高雄激素血症的疾病（包括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Cushing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综合征、非经典型肾上腺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生殖器综合征、分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泌雄激素的内分泌肿瘤等</w:t>
      </w:r>
      <w:r>
        <w:rPr>
          <w:rFonts w:ascii="FangSong" w:hAnsi="FangSong" w:eastAsia="FangSong" w:cs="FangSong"/>
          <w:sz w:val="20"/>
          <w:szCs w:val="20"/>
          <w:color w:val="231F20"/>
          <w:spacing w:val="-56"/>
          <w:w w:val="99"/>
        </w:rPr>
        <w:t>），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即可诊断</w:t>
      </w:r>
      <w:r>
        <w:rPr>
          <w:rFonts w:ascii="FangSong" w:hAnsi="FangSong" w:eastAsia="FangSong" w:cs="FangSong"/>
          <w:sz w:val="10"/>
          <w:szCs w:val="10"/>
          <w:color w:val="231F20"/>
          <w:spacing w:val="8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8</w:t>
      </w:r>
      <w:r>
        <w:rPr>
          <w:rFonts w:ascii="FangSong" w:hAnsi="FangSong" w:eastAsia="FangSong" w:cs="FangSong"/>
          <w:sz w:val="10"/>
          <w:szCs w:val="10"/>
          <w:color w:val="231F20"/>
          <w:spacing w:val="8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。如果患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者已出现高雄激素血症和稀发排卵或无排卵，超声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检查不是一项必需检查项目。</w:t>
      </w:r>
    </w:p>
    <w:p>
      <w:pPr>
        <w:ind w:right="77" w:firstLine="336"/>
        <w:spacing w:before="44" w:line="231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（二）青春期诊断标准：对于青春期女性，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PCOM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在月经初潮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年内的女性中较为常见，此期不建议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根据超声检查出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来诊断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。诊断青春期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的必要条件是高雄激素血症和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/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或高雄激素血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症相关临床表现和月经不规律以及排卵障碍。排除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其他导致排卵障碍及雄激素过多的疾病。</w:t>
      </w:r>
    </w:p>
    <w:p>
      <w:pPr>
        <w:ind w:left="5" w:right="11" w:firstLine="305"/>
        <w:spacing w:before="45" w:line="217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高风险</w:t>
      </w:r>
      <w:r>
        <w:rPr>
          <w:rFonts w:ascii="FangSong" w:hAnsi="FangSong" w:eastAsia="FangSong" w:cs="FangSong"/>
          <w:sz w:val="20"/>
          <w:szCs w:val="20"/>
          <w:color w:val="231F20"/>
          <w:spacing w:val="-5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”人群也要引起重视，其指的是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不符合诊断标准但存在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特征的青春期人群，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>建议在初潮后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>年或之前对这类人群进行再次评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估，尽早予以干预治疗，见图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4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。</w:t>
      </w:r>
    </w:p>
    <w:p>
      <w:pPr>
        <w:ind w:left="431"/>
        <w:spacing w:line="268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2"/>
          <w:position w:val="1"/>
        </w:rPr>
        <w:t>五、治疗原则</w:t>
      </w:r>
    </w:p>
    <w:p>
      <w:pPr>
        <w:ind w:left="8" w:firstLine="410"/>
        <w:spacing w:before="46" w:line="269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的治疗应根据患者的治疗诉求和生育状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况、症状及严重程度、病因等情况实行个体化治疗。</w:t>
      </w:r>
      <w:r>
        <w:rPr>
          <w:rFonts w:ascii="FangSong" w:hAnsi="FangSong" w:eastAsia="FangSong" w:cs="FangSong"/>
          <w:sz w:val="20"/>
          <w:szCs w:val="20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对于临床症状或体征已得到缓解的患者，仍应关注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远期风险，建议开展多学科合作，制定系统的长期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管理规划。</w:t>
      </w:r>
    </w:p>
    <w:p>
      <w:pPr>
        <w:spacing w:line="269" w:lineRule="auto"/>
        <w:sectPr>
          <w:type w:val="continuous"/>
          <w:pgSz w:w="12246" w:h="16498"/>
          <w:pgMar w:top="1221" w:right="1228" w:bottom="0" w:left="819" w:header="971" w:footer="0" w:gutter="0"/>
          <w:cols w:equalWidth="0" w:num="2">
            <w:col w:w="5494" w:space="100"/>
            <w:col w:w="4604" w:space="0"/>
          </w:cols>
        </w:sectPr>
        <w:rPr>
          <w:rFonts w:ascii="FangSong" w:hAnsi="FangSong" w:eastAsia="FangSong" w:cs="FangSong"/>
          <w:sz w:val="20"/>
          <w:szCs w:val="20"/>
        </w:rPr>
      </w:pPr>
    </w:p>
    <w:p>
      <w:pPr>
        <w:spacing w:line="246" w:lineRule="auto"/>
        <w:rPr>
          <w:rFonts w:ascii="Arial"/>
          <w:sz w:val="21"/>
        </w:rPr>
      </w:pPr>
      <w:r>
        <w:pict>
          <v:shape id="_x0000_s20" style="position:absolute;margin-left:165.549pt;margin-top:-469.265pt;mso-position-vertical-relative:text;mso-position-horizontal-relative:text;width:340.75pt;height:0.4pt;z-index:251674624;" filled="false" strokecolor="#231F20" strokeweight="0.37pt" coordsize="6815,8" coordorigin="0,0" path="m0,3l6814,3e">
            <v:stroke joinstyle="miter" miterlimit="4"/>
          </v:shape>
        </w:pict>
      </w: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802" w:right="393" w:firstLine="4"/>
        <w:spacing w:before="65" w:line="248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注：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PCOM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示卵巢多囊样改变；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示高雄激素血症；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TT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示总睾酮；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FT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游离睾酮；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SHBG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示性激素结合球蛋白；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FAI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示游离雄激素指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数；A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示雄烯二酮；DHEA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示脱氢表雄酮；DHE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示硫酸脱氢表雄酮；LH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示黄体生成素；FSH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示卵泡刺激素；PRL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示泌乳素；AMH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示抗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苗勒管激素；OGTT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示口服葡萄糖耐量；FPG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示空腹血糖；FINS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示空腹胰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岛素；HOMA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IR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示胰岛素抵抗指数</w:t>
      </w:r>
    </w:p>
    <w:p>
      <w:pPr>
        <w:ind w:left="4549"/>
        <w:spacing w:line="148" w:lineRule="exact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43666</wp:posOffset>
            </wp:positionV>
            <wp:extent cx="2805668" cy="30421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7"/>
          <w:position w:val="-1"/>
        </w:rPr>
        <w:t>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  <w:position w:val="-1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  <w:w w:val="101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  <w:position w:val="-1"/>
        </w:rPr>
        <w:t>辅助检查汇总图</w:t>
      </w:r>
    </w:p>
    <w:p>
      <w:pPr>
        <w:spacing w:line="148" w:lineRule="exact"/>
        <w:sectPr>
          <w:type w:val="continuous"/>
          <w:pgSz w:w="12246" w:h="16498"/>
          <w:pgMar w:top="1221" w:right="1228" w:bottom="0" w:left="819" w:header="971" w:footer="0" w:gutter="0"/>
          <w:cols w:equalWidth="0" w:num="1">
            <w:col w:w="10198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56"/>
        <w:rPr/>
      </w:pPr>
      <w:r>
        <w:pict>
          <v:shape id="_x0000_s26" style="position:absolute;margin-left:65.1968pt;margin-top:59.6176pt;mso-position-vertical-relative:page;mso-position-horizontal-relative:page;width:340.75pt;height:0.4pt;z-index:251678720;" o:allowincell="f" filled="false" strokecolor="#231F20" strokeweight="0.37pt" coordsize="6815,8" coordorigin="0,0" path="m0,3l6814,3e">
            <v:stroke joinstyle="miter" miterlimit="4"/>
          </v:shape>
        </w:pict>
      </w:r>
      <w:r/>
    </w:p>
    <w:p>
      <w:pPr>
        <w:sectPr>
          <w:headerReference w:type="default" r:id="rId12"/>
          <w:pgSz w:w="12246" w:h="16498"/>
          <w:pgMar w:top="1221" w:right="1224" w:bottom="0" w:left="819" w:header="971" w:footer="0" w:gutter="0"/>
          <w:cols w:equalWidth="0" w:num="1">
            <w:col w:w="10201" w:space="0"/>
          </w:cols>
        </w:sectPr>
        <w:rPr/>
      </w:pPr>
    </w:p>
    <w:p>
      <w:pPr>
        <w:ind w:firstLine="486"/>
        <w:spacing w:before="51" w:line="3299" w:lineRule="exact"/>
        <w:rPr/>
      </w:pPr>
      <w:r>
        <w:rPr>
          <w:position w:val="-65"/>
        </w:rPr>
        <w:drawing>
          <wp:inline distT="0" distB="0" distL="0" distR="0">
            <wp:extent cx="2879051" cy="209527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051" cy="209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93" w:right="578" w:firstLine="3"/>
        <w:spacing w:before="105" w:line="24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注：</w:t>
      </w:r>
      <w:r>
        <w:rPr>
          <w:rFonts w:ascii="Arial" w:hAnsi="Arial" w:eastAsia="Arial" w:cs="Arial"/>
          <w:sz w:val="15"/>
          <w:szCs w:val="15"/>
          <w:color w:val="231F20"/>
        </w:rPr>
        <w:t>PCOS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示多囊卵巢综合征；</w:t>
      </w:r>
      <w:r>
        <w:rPr>
          <w:rFonts w:ascii="Arial" w:hAnsi="Arial" w:eastAsia="Arial" w:cs="Arial"/>
          <w:sz w:val="15"/>
          <w:szCs w:val="15"/>
          <w:color w:val="231F20"/>
        </w:rPr>
        <w:t>AUB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示异常子宫出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血；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HA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示高雄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激素血症；</w:t>
      </w:r>
      <w:r>
        <w:rPr>
          <w:rFonts w:ascii="Arial" w:hAnsi="Arial" w:eastAsia="Arial" w:cs="Arial"/>
          <w:sz w:val="15"/>
          <w:szCs w:val="15"/>
          <w:color w:val="231F20"/>
        </w:rPr>
        <w:t>PCOM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示卵巢多囊样改变</w:t>
      </w:r>
    </w:p>
    <w:p>
      <w:pPr>
        <w:ind w:left="2044"/>
        <w:spacing w:before="6" w:line="184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2"/>
        </w:rPr>
        <w:t>图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4    PCOS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诊断步骤</w:t>
      </w:r>
    </w:p>
    <w:p>
      <w:pPr>
        <w:ind w:left="495" w:right="477" w:firstLine="331"/>
        <w:spacing w:before="212" w:line="282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（一）无生育需求患者的治疗：对于无生育需求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的患者，应重视基础、综合治疗，基于患者的诉求及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代谢紊乱程度不同，采取个体化治疗。首先应以健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康生活方式指导为主，必要时给予药物治疗，也可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同时联合其他辅助治疗。</w:t>
      </w:r>
    </w:p>
    <w:p>
      <w:pPr>
        <w:ind w:left="496" w:right="411" w:firstLine="433"/>
        <w:spacing w:before="1" w:line="283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2"/>
        </w:rPr>
        <w:t>1.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调整生活方式：国内外指南所提倡的</w:t>
      </w:r>
      <w:r>
        <w:rPr>
          <w:rFonts w:ascii="FangSong" w:hAnsi="FangSong" w:eastAsia="FangSong" w:cs="FangSong"/>
          <w:sz w:val="20"/>
          <w:szCs w:val="20"/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PCOS 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患者的基础治疗均为生活方式干预，包括合理运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动、饮食控制和行为干预等多元化策略。体质量减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轻对于肥胖型</w:t>
      </w:r>
      <w:r>
        <w:rPr>
          <w:rFonts w:ascii="FangSong" w:hAnsi="FangSong" w:eastAsia="FangSong" w:cs="FangSong"/>
          <w:sz w:val="20"/>
          <w:szCs w:val="20"/>
          <w:color w:val="231F20"/>
          <w:spacing w:val="-5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PCOS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的治疗效果已得到有效验证，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体质量减轻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5%~10%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后，患者排卵、月经周期、胰岛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素抵抗均可得到改善。须注意减重也应循序渐进，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一般以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个月完成减重目标为宜。</w:t>
      </w:r>
    </w:p>
    <w:p>
      <w:pPr>
        <w:ind w:left="492" w:right="476" w:firstLine="334"/>
        <w:spacing w:line="283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1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）饮食控制：要点是总能量的控制及膳食结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构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的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合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理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化</w:t>
      </w:r>
      <w:r>
        <w:rPr>
          <w:rFonts w:ascii="FangSong" w:hAnsi="FangSong" w:eastAsia="FangSong" w:cs="FangSong"/>
          <w:sz w:val="20"/>
          <w:szCs w:val="20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建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议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食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用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低</w:t>
      </w:r>
      <w:r>
        <w:rPr>
          <w:rFonts w:ascii="FangSong" w:hAnsi="FangSong" w:eastAsia="FangSong" w:cs="FangSong"/>
          <w:sz w:val="20"/>
          <w:szCs w:val="20"/>
          <w:color w:val="231F20"/>
          <w:spacing w:val="-4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升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糖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指</w:t>
      </w:r>
      <w:r>
        <w:rPr>
          <w:rFonts w:ascii="FangSong" w:hAnsi="FangSong" w:eastAsia="FangSong" w:cs="FangSong"/>
          <w:sz w:val="20"/>
          <w:szCs w:val="20"/>
          <w:color w:val="231F20"/>
          <w:spacing w:val="-4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数（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glycemic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index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GI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）食物，多食不饱和脂肪酸，同时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要摄入丰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富的维生素、矿物质及膳食纤维，改变不良的饮食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习惯。</w:t>
      </w:r>
    </w:p>
    <w:p>
      <w:pPr>
        <w:ind w:left="496" w:right="477" w:firstLine="423"/>
        <w:spacing w:before="2" w:line="282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所有</w:t>
      </w:r>
      <w:r>
        <w:rPr>
          <w:rFonts w:ascii="Arial" w:hAnsi="Arial" w:eastAsia="Arial" w:cs="Arial"/>
          <w:sz w:val="20"/>
          <w:szCs w:val="20"/>
          <w:color w:val="231F20"/>
        </w:rPr>
        <w:t>PCOS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患者都应遵循一般人群的健康均衡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饮食原则，目前没有足够证据表明有任何一种特殊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饮食类型更优。合并超重或者肥胖的患者，可以限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定</w:t>
      </w:r>
      <w:r>
        <w:rPr>
          <w:rFonts w:ascii="FangSong" w:hAnsi="FangSong" w:eastAsia="FangSong" w:cs="FangSong"/>
          <w:sz w:val="20"/>
          <w:szCs w:val="20"/>
          <w:color w:val="231F20"/>
          <w:spacing w:val="-4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能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量摄</w:t>
      </w:r>
      <w:r>
        <w:rPr>
          <w:rFonts w:ascii="FangSong" w:hAnsi="FangSong" w:eastAsia="FangSong" w:cs="FangSong"/>
          <w:sz w:val="20"/>
          <w:szCs w:val="20"/>
          <w:color w:val="231F20"/>
          <w:spacing w:val="-5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入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量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比标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准摄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入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量</w:t>
      </w:r>
      <w:r>
        <w:rPr>
          <w:rFonts w:ascii="FangSong" w:hAnsi="FangSong" w:eastAsia="FangSong" w:cs="FangSong"/>
          <w:sz w:val="20"/>
          <w:szCs w:val="20"/>
          <w:color w:val="231F20"/>
          <w:spacing w:val="-5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减</w:t>
      </w:r>
      <w:r>
        <w:rPr>
          <w:rFonts w:ascii="FangSong" w:hAnsi="FangSong" w:eastAsia="FangSong" w:cs="FangSong"/>
          <w:sz w:val="20"/>
          <w:szCs w:val="20"/>
          <w:color w:val="231F20"/>
          <w:spacing w:val="-5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少</w:t>
      </w:r>
      <w:r>
        <w:rPr>
          <w:rFonts w:ascii="FangSong" w:hAnsi="FangSong" w:eastAsia="FangSong" w:cs="FangSong"/>
          <w:sz w:val="20"/>
          <w:szCs w:val="20"/>
          <w:color w:val="231F20"/>
          <w:spacing w:val="-3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30%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，或</w:t>
      </w:r>
      <w:r>
        <w:rPr>
          <w:rFonts w:ascii="FangSong" w:hAnsi="FangSong" w:eastAsia="FangSong" w:cs="FangSong"/>
          <w:sz w:val="20"/>
          <w:szCs w:val="20"/>
          <w:color w:val="231F20"/>
          <w:spacing w:val="-5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减</w:t>
      </w:r>
      <w:r>
        <w:rPr>
          <w:rFonts w:ascii="FangSong" w:hAnsi="FangSong" w:eastAsia="FangSong" w:cs="FangSong"/>
          <w:sz w:val="20"/>
          <w:szCs w:val="20"/>
          <w:color w:val="231F20"/>
          <w:spacing w:val="-5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少</w:t>
      </w:r>
    </w:p>
    <w:p>
      <w:pPr>
        <w:ind w:left="497" w:right="477" w:hanging="5"/>
        <w:spacing w:before="5" w:line="270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4"/>
        </w:rPr>
        <w:t>2</w:t>
      </w:r>
      <w:r>
        <w:rPr>
          <w:rFonts w:ascii="Arial" w:hAnsi="Arial" w:eastAsia="Arial" w:cs="Arial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100~3</w:t>
      </w:r>
      <w:r>
        <w:rPr>
          <w:rFonts w:ascii="Arial" w:hAnsi="Arial" w:eastAsia="Arial" w:cs="Arial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100</w:t>
      </w:r>
      <w:r>
        <w:rPr>
          <w:rFonts w:ascii="Arial" w:hAnsi="Arial" w:eastAsia="Arial" w:cs="Arial"/>
          <w:sz w:val="20"/>
          <w:szCs w:val="20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kJ/d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5</w:t>
      </w:r>
      <w:r>
        <w:rPr>
          <w:rFonts w:ascii="Arial" w:hAnsi="Arial" w:eastAsia="Arial" w:cs="Arial"/>
          <w:sz w:val="20"/>
          <w:szCs w:val="20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000~6</w:t>
      </w:r>
      <w:r>
        <w:rPr>
          <w:rFonts w:ascii="Arial" w:hAnsi="Arial" w:eastAsia="Arial" w:cs="Arial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300</w:t>
      </w:r>
      <w:r>
        <w:rPr>
          <w:rFonts w:ascii="Arial" w:hAnsi="Arial" w:eastAsia="Arial" w:cs="Arial"/>
          <w:sz w:val="20"/>
          <w:szCs w:val="20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kJ/d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  <w:w w:val="66"/>
        </w:rPr>
        <w:t>），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在考虑体质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量、身体代谢率、活动量等多因素的情况下，综合制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定饮食方案，同时应避免过度限制和营养不均衡。</w:t>
      </w:r>
    </w:p>
    <w:p>
      <w:pPr>
        <w:ind w:left="495" w:right="477" w:firstLine="331"/>
        <w:spacing w:before="38" w:line="27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2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）合理运动：若以预防体质量增加并维持健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康为目标，建议中等强度运动至少</w:t>
      </w:r>
      <w:r>
        <w:rPr>
          <w:rFonts w:ascii="FangSong" w:hAnsi="FangSong" w:eastAsia="FangSong" w:cs="FangSong"/>
          <w:sz w:val="20"/>
          <w:szCs w:val="20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150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min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/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周，适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用于</w:t>
      </w:r>
      <w:r>
        <w:rPr>
          <w:rFonts w:ascii="FangSong" w:hAnsi="FangSong" w:eastAsia="FangSong" w:cs="FangSong"/>
          <w:sz w:val="20"/>
          <w:szCs w:val="20"/>
          <w:color w:val="231F20"/>
          <w:spacing w:val="-4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18~64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岁的成年人；或身体素质允许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者可进行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高强度运动，至少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75 </w:t>
      </w:r>
      <w:r>
        <w:rPr>
          <w:rFonts w:ascii="Arial" w:hAnsi="Arial" w:eastAsia="Arial" w:cs="Arial"/>
          <w:sz w:val="20"/>
          <w:szCs w:val="20"/>
          <w:color w:val="231F20"/>
        </w:rPr>
        <w:t>min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/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周；或中高等强度运动换</w:t>
      </w:r>
      <w:r>
        <w:rPr>
          <w:rFonts w:ascii="FangSong" w:hAnsi="FangSong" w:eastAsia="FangSong" w:cs="FangSong"/>
          <w:sz w:val="20"/>
          <w:szCs w:val="20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比等效组合。这些运动应包括每周至少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2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d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的非连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续的增强肌肉力量的活动。推荐青少年进行中等</w:t>
      </w:r>
    </w:p>
    <w:p>
      <w:pPr>
        <w:ind w:left="509"/>
        <w:spacing w:before="39" w:line="267" w:lineRule="exact"/>
        <w:rPr>
          <w:rFonts w:ascii="FangSong" w:hAnsi="FangSong" w:eastAsia="FangSong" w:cs="FangSong"/>
          <w:sz w:val="20"/>
          <w:szCs w:val="20"/>
        </w:rPr>
      </w:pP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106484</wp:posOffset>
            </wp:positionV>
            <wp:extent cx="2805668" cy="304216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20"/>
          <w:szCs w:val="20"/>
          <w:color w:val="231F20"/>
          <w:spacing w:val="2"/>
          <w:position w:val="1"/>
        </w:rPr>
        <w:t>至高强度的体能运动，每天至少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  <w:position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1"/>
        </w:rPr>
        <w:t>60 </w:t>
      </w:r>
      <w:r>
        <w:rPr>
          <w:rFonts w:ascii="Arial" w:hAnsi="Arial" w:eastAsia="Arial" w:cs="Arial"/>
          <w:sz w:val="20"/>
          <w:szCs w:val="20"/>
          <w:color w:val="231F20"/>
          <w:position w:val="1"/>
        </w:rPr>
        <w:t>min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  <w:position w:val="1"/>
        </w:rPr>
        <w:t>，每周至少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/>
        <w:spacing w:before="44" w:line="269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5"/>
          <w:position w:val="1"/>
        </w:rPr>
        <w:t>3</w:t>
      </w:r>
      <w:r>
        <w:rPr>
          <w:rFonts w:ascii="Arial" w:hAnsi="Arial" w:eastAsia="Arial" w:cs="Arial"/>
          <w:sz w:val="20"/>
          <w:szCs w:val="20"/>
          <w:color w:val="231F20"/>
          <w:spacing w:val="-10"/>
          <w:position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  <w:position w:val="1"/>
        </w:rPr>
        <w:t>次增强肌肉力量的活动。</w:t>
      </w:r>
    </w:p>
    <w:p>
      <w:pPr>
        <w:ind w:left="6" w:right="11" w:firstLine="419"/>
        <w:spacing w:before="39" w:line="283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若以适度减脂、预防体质量反弹和获得更多健康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益处为目标，建议中等强度运动至少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250 min/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周；或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身体素质允许者可进行高强度运动，至少</w:t>
      </w:r>
      <w:r>
        <w:rPr>
          <w:rFonts w:ascii="FangSong" w:hAnsi="FangSong" w:eastAsia="FangSong" w:cs="FangSong"/>
          <w:sz w:val="20"/>
          <w:szCs w:val="20"/>
          <w:color w:val="231F20"/>
          <w:spacing w:val="-5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150 min/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周；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或两者的换比等效组合。每周至少非连续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2 d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有大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肌群参与的增强肌肉力量的活动。避免久坐。</w:t>
      </w:r>
    </w:p>
    <w:p>
      <w:pPr>
        <w:ind w:left="1" w:firstLine="333"/>
        <w:spacing w:before="1" w:line="283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3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）行为干预：包括建立目标、自我监督与管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理、克服外界刺激、提高问题解决能力、持续评估和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</w:rPr>
        <w:t>监测、树立自信等，在综合治疗中起着重要的作用。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通过行为干预，达到优化体成分组成、降低体质量、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促进健康的生活方式和保持积极情绪的目标。</w:t>
      </w:r>
    </w:p>
    <w:p>
      <w:pPr>
        <w:ind w:left="419"/>
        <w:spacing w:before="4" w:line="269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3"/>
          <w:position w:val="1"/>
        </w:rPr>
        <w:t>2.</w:t>
      </w:r>
      <w:r>
        <w:rPr>
          <w:rFonts w:ascii="Arial" w:hAnsi="Arial" w:eastAsia="Arial" w:cs="Arial"/>
          <w:sz w:val="20"/>
          <w:szCs w:val="20"/>
          <w:color w:val="231F20"/>
          <w:spacing w:val="-15"/>
          <w:position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  <w:position w:val="1"/>
        </w:rPr>
        <w:t>调整月经周期</w:t>
      </w:r>
    </w:p>
    <w:p>
      <w:pPr>
        <w:ind w:right="79" w:firstLine="334"/>
        <w:spacing w:before="41" w:line="279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1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）短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效</w:t>
      </w:r>
      <w:r>
        <w:rPr>
          <w:rFonts w:ascii="FangSong" w:hAnsi="FangSong" w:eastAsia="FangSong" w:cs="FangSong"/>
          <w:sz w:val="20"/>
          <w:szCs w:val="20"/>
          <w:color w:val="231F20"/>
          <w:spacing w:val="-1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复</w:t>
      </w:r>
      <w:r>
        <w:rPr>
          <w:rFonts w:ascii="FangSong" w:hAnsi="FangSong" w:eastAsia="FangSong" w:cs="FangSong"/>
          <w:sz w:val="20"/>
          <w:szCs w:val="20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方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口</w:t>
      </w:r>
      <w:r>
        <w:rPr>
          <w:rFonts w:ascii="FangSong" w:hAnsi="FangSong" w:eastAsia="FangSong" w:cs="FangSong"/>
          <w:sz w:val="20"/>
          <w:szCs w:val="20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服</w:t>
      </w:r>
      <w:r>
        <w:rPr>
          <w:rFonts w:ascii="FangSong" w:hAnsi="FangSong" w:eastAsia="FangSong" w:cs="FangSong"/>
          <w:sz w:val="20"/>
          <w:szCs w:val="20"/>
          <w:color w:val="231F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避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孕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药（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combined  or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>al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contraceptive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COC</w:t>
      </w:r>
      <w:r>
        <w:rPr>
          <w:rFonts w:ascii="FangSong" w:hAnsi="FangSong" w:eastAsia="FangSong" w:cs="FangSong"/>
          <w:sz w:val="20"/>
          <w:szCs w:val="20"/>
          <w:color w:val="231F20"/>
          <w:spacing w:val="-33"/>
          <w:w w:val="58"/>
        </w:rPr>
        <w:t>）：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育龄期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PCOS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女性，若暂无生育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需求，推荐首选短效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COC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治疗。青春期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女性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可综合评估获益和风险后决定是否应用。没有血栓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形成风险的围绝经期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患者，不作为首选，需谨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慎选用。肥胖、有吸烟史或高血压、糖尿病、凝血功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能异常的</w:t>
      </w:r>
      <w:r>
        <w:rPr>
          <w:rFonts w:ascii="Arial" w:hAnsi="Arial" w:eastAsia="Arial" w:cs="Arial"/>
          <w:sz w:val="20"/>
          <w:szCs w:val="20"/>
          <w:color w:val="231F20"/>
        </w:rPr>
        <w:t>PCOS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患者应慎用。权衡利弊后可以选用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短效</w:t>
      </w:r>
      <w:r>
        <w:rPr>
          <w:rFonts w:ascii="Arial" w:hAnsi="Arial" w:eastAsia="Arial" w:cs="Arial"/>
          <w:sz w:val="20"/>
          <w:szCs w:val="20"/>
          <w:color w:val="231F20"/>
        </w:rPr>
        <w:t>COC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的患者建议选择雌激素含量较低的剂型。</w:t>
      </w:r>
    </w:p>
    <w:p>
      <w:pPr>
        <w:ind w:left="2" w:right="80" w:firstLine="331"/>
        <w:spacing w:before="40" w:line="280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2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）孕激素治疗：对于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BMI&gt;30 k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g/m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2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及围绝经期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的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PCOS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患者，可优先选择周期性应用孕激素治疗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或使用左炔诺孕酮宫内缓释系统。此方案也适用于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雄激素水平不高或有短效</w:t>
      </w:r>
      <w:r>
        <w:rPr>
          <w:rFonts w:ascii="FangSong" w:hAnsi="FangSong" w:eastAsia="FangSong" w:cs="FangSong"/>
          <w:sz w:val="20"/>
          <w:szCs w:val="20"/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COC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禁忌证的患者。周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期性孕激素方案包括地屈孕酮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10~20 mg/d</w:t>
      </w:r>
      <w:r>
        <w:rPr>
          <w:rFonts w:ascii="FangSong" w:hAnsi="FangSong" w:eastAsia="FangSong" w:cs="FangSong"/>
          <w:sz w:val="20"/>
          <w:szCs w:val="20"/>
          <w:color w:val="231F20"/>
        </w:rPr>
        <w:t>、微粒化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黄体酮</w:t>
      </w:r>
      <w:r>
        <w:rPr>
          <w:rFonts w:ascii="FangSong" w:hAnsi="FangSong" w:eastAsia="FangSong" w:cs="FangSong"/>
          <w:sz w:val="20"/>
          <w:szCs w:val="20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100~200 mg/d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、醋酸甲羟孕酮</w:t>
      </w:r>
      <w:r>
        <w:rPr>
          <w:rFonts w:ascii="FangSong" w:hAnsi="FangSong" w:eastAsia="FangSong" w:cs="FangSong"/>
          <w:sz w:val="20"/>
          <w:szCs w:val="20"/>
          <w:color w:val="231F20"/>
          <w:spacing w:val="-3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10 mg/d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，每周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期用药</w:t>
      </w:r>
      <w:r>
        <w:rPr>
          <w:rFonts w:ascii="FangSong" w:hAnsi="FangSong" w:eastAsia="FangSong" w:cs="FangSong"/>
          <w:sz w:val="20"/>
          <w:szCs w:val="20"/>
          <w:color w:val="231F20"/>
          <w:spacing w:val="-4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10~</w:t>
      </w:r>
      <w:r>
        <w:rPr>
          <w:rFonts w:ascii="Arial" w:hAnsi="Arial" w:eastAsia="Arial" w:cs="Arial"/>
          <w:sz w:val="20"/>
          <w:szCs w:val="20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14 d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。或肌内注射黄体酮</w:t>
      </w:r>
      <w:r>
        <w:rPr>
          <w:rFonts w:ascii="FangSong" w:hAnsi="FangSong" w:eastAsia="FangSong" w:cs="FangSong"/>
          <w:sz w:val="20"/>
          <w:szCs w:val="20"/>
          <w:color w:val="231F20"/>
          <w:spacing w:val="-5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20 mg/d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（每月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3~5 d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）。建议首选口服制剂。</w:t>
      </w:r>
    </w:p>
    <w:p>
      <w:pPr>
        <w:ind w:right="3" w:firstLine="334"/>
        <w:spacing w:before="38" w:line="27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3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）雌孕激素周期序贯治疗：适用于少数由于内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源性雌激素不足致子宫内膜薄的</w:t>
      </w:r>
      <w:r>
        <w:rPr>
          <w:rFonts w:ascii="Arial" w:hAnsi="Arial" w:eastAsia="Arial" w:cs="Arial"/>
          <w:sz w:val="20"/>
          <w:szCs w:val="20"/>
          <w:color w:val="231F20"/>
        </w:rPr>
        <w:t>PCOS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患者。常用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治疗方案为口服雌二醇</w:t>
      </w:r>
      <w:r>
        <w:rPr>
          <w:rFonts w:ascii="FangSong" w:hAnsi="FangSong" w:eastAsia="FangSong" w:cs="FangSong"/>
          <w:sz w:val="20"/>
          <w:szCs w:val="20"/>
          <w:color w:val="231F20"/>
          <w:spacing w:val="-3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1~2 mg/d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，每周期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21~28 d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，在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后半周期的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10~14 d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加用孕激素，孕激素用法同前。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该治疗也适用于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PCOS</w:t>
      </w:r>
      <w:r>
        <w:rPr>
          <w:rFonts w:ascii="Arial" w:hAnsi="Arial" w:eastAsia="Arial" w:cs="Arial"/>
          <w:sz w:val="20"/>
          <w:szCs w:val="20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合并围绝经期症状的患者。</w:t>
      </w:r>
    </w:p>
    <w:p>
      <w:pPr>
        <w:ind w:left="10" w:right="82" w:firstLine="411"/>
        <w:spacing w:before="43" w:line="284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3"/>
        </w:rPr>
        <w:t>3.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高雄激素的治疗：主要治疗目标为缓解高雄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激素症状。</w:t>
      </w:r>
    </w:p>
    <w:p>
      <w:pPr>
        <w:ind w:right="2" w:firstLine="334"/>
        <w:spacing w:before="2" w:line="284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1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）短效</w:t>
      </w:r>
      <w:r>
        <w:rPr>
          <w:rFonts w:ascii="FangSong" w:hAnsi="FangSong" w:eastAsia="FangSong" w:cs="FangSong"/>
          <w:sz w:val="20"/>
          <w:szCs w:val="20"/>
          <w:color w:val="231F20"/>
          <w:spacing w:val="-5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>COC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：推荐有多毛、痤疮等高雄激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素临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床表现或高雄激素血症的青春期及有避孕需求的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>育龄期女性首选短效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COC</w:t>
      </w:r>
      <w:r>
        <w:rPr>
          <w:rFonts w:ascii="Arial" w:hAnsi="Arial" w:eastAsia="Arial" w:cs="Arial"/>
          <w:sz w:val="20"/>
          <w:szCs w:val="20"/>
          <w:color w:val="231F20"/>
          <w:spacing w:val="-3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>治疗痤疮需用药</w:t>
      </w:r>
      <w:r>
        <w:rPr>
          <w:rFonts w:ascii="FangSong" w:hAnsi="FangSong" w:eastAsia="FangSong" w:cs="FangSong"/>
          <w:sz w:val="20"/>
          <w:szCs w:val="20"/>
          <w:color w:val="231F20"/>
          <w:spacing w:val="-4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>3~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个月见效，应在皮损完全控制后巩固</w:t>
      </w:r>
      <w:r>
        <w:rPr>
          <w:rFonts w:ascii="FangSong" w:hAnsi="FangSong" w:eastAsia="FangSong" w:cs="FangSong"/>
          <w:sz w:val="20"/>
          <w:szCs w:val="20"/>
          <w:color w:val="231F20"/>
          <w:spacing w:val="-4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1~2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个月再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停药</w:t>
      </w:r>
      <w:r>
        <w:rPr>
          <w:rFonts w:ascii="FangSong" w:hAnsi="FangSong" w:eastAsia="FangSong" w:cs="FangSong"/>
          <w:sz w:val="10"/>
          <w:szCs w:val="10"/>
          <w:color w:val="231F20"/>
          <w:spacing w:val="-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8"/>
        </w:rPr>
        <w:t>7</w:t>
      </w:r>
      <w:r>
        <w:rPr>
          <w:rFonts w:ascii="FangSong" w:hAnsi="FangSong" w:eastAsia="FangSong" w:cs="FangSong"/>
          <w:sz w:val="10"/>
          <w:szCs w:val="10"/>
          <w:color w:val="231F20"/>
          <w:spacing w:val="-1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34"/>
          <w:w w:val="63"/>
        </w:rPr>
        <w:t>；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治疗多毛需用药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6~</w:t>
      </w:r>
      <w:r>
        <w:rPr>
          <w:rFonts w:ascii="Arial" w:hAnsi="Arial" w:eastAsia="Arial" w:cs="Arial"/>
          <w:sz w:val="20"/>
          <w:szCs w:val="20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12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个月，停药可能复发。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6"/>
        </w:rPr>
        <w:t>临床上常使用含醋酸环丙孕酮或屈螺酮的短效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COC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，在临床抗雄激素疗效方面无明显差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异</w:t>
      </w:r>
      <w:r>
        <w:rPr>
          <w:rFonts w:ascii="FangSong" w:hAnsi="FangSong" w:eastAsia="FangSong" w:cs="FangSong"/>
          <w:sz w:val="10"/>
          <w:szCs w:val="10"/>
          <w:color w:val="231F20"/>
          <w:spacing w:val="-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8"/>
        </w:rPr>
        <w:t>16</w:t>
      </w:r>
      <w:r>
        <w:rPr>
          <w:rFonts w:ascii="FangSong" w:hAnsi="FangSong" w:eastAsia="FangSong" w:cs="FangSong"/>
          <w:sz w:val="10"/>
          <w:szCs w:val="10"/>
          <w:color w:val="231F20"/>
          <w:spacing w:val="-2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。针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对中重度痤疮或性毛过多患者，如短效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COC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治疗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无效可至皮肤科在专科医师建议下进行物理治疗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或药物治疗。</w:t>
      </w:r>
    </w:p>
    <w:p>
      <w:pPr>
        <w:spacing w:line="284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95" w:space="100"/>
            <w:col w:w="4606" w:space="0"/>
          </w:cols>
        </w:sectPr>
        <w:rPr>
          <w:rFonts w:ascii="FangSong" w:hAnsi="FangSong" w:eastAsia="FangSong" w:cs="FangSong"/>
          <w:sz w:val="20"/>
          <w:szCs w:val="20"/>
        </w:rPr>
      </w:pPr>
    </w:p>
    <w:p>
      <w:pPr>
        <w:spacing w:before="57"/>
        <w:rPr/>
      </w:pPr>
      <w:r/>
    </w:p>
    <w:p>
      <w:pPr>
        <w:sectPr>
          <w:headerReference w:type="default" r:id="rId14"/>
          <w:pgSz w:w="12246" w:h="16498"/>
          <w:pgMar w:top="1221" w:right="1228" w:bottom="0" w:left="819" w:header="971" w:footer="0" w:gutter="0"/>
          <w:cols w:equalWidth="0" w:num="1">
            <w:col w:w="10198" w:space="0"/>
          </w:cols>
        </w:sectPr>
        <w:rPr/>
      </w:pPr>
    </w:p>
    <w:p>
      <w:pPr>
        <w:ind w:left="493" w:right="312" w:firstLine="333"/>
        <w:spacing w:before="45" w:line="281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2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）螺内酯：短效</w:t>
      </w:r>
      <w:r>
        <w:rPr>
          <w:rFonts w:ascii="FangSong" w:hAnsi="FangSong" w:eastAsia="FangSong" w:cs="FangSong"/>
          <w:sz w:val="20"/>
          <w:szCs w:val="20"/>
          <w:color w:val="231F20"/>
          <w:spacing w:val="-4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COC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疗效欠佳或有短效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COC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使用禁忌、使用不耐受等情况时，可使用螺内酯进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行治疗，剂量为</w:t>
      </w:r>
      <w:r>
        <w:rPr>
          <w:rFonts w:ascii="FangSong" w:hAnsi="FangSong" w:eastAsia="FangSong" w:cs="FangSong"/>
          <w:sz w:val="20"/>
          <w:szCs w:val="20"/>
          <w:color w:val="231F20"/>
          <w:spacing w:val="-2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50~200 mg/d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，推荐</w:t>
      </w:r>
      <w:r>
        <w:rPr>
          <w:rFonts w:ascii="FangSong" w:hAnsi="FangSong" w:eastAsia="FangSong" w:cs="FangSong"/>
          <w:sz w:val="20"/>
          <w:szCs w:val="20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>100 mg/d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，见效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需使用至少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6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个月。螺内酯为保钾利尿药，使用期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间应监测血钾水平，大剂量使用需警惕高钾血症。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同类抗雄激素药物，包括氟他胺、非那雄胺等，具有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肝毒性或致畸作用，在短效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COC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疗效欠佳时可选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用，应用过程中应监测肝功能，注意严格避孕，避免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男性胎儿男性化不足</w:t>
      </w:r>
      <w:r>
        <w:rPr>
          <w:rFonts w:ascii="FangSong" w:hAnsi="FangSong" w:eastAsia="FangSong" w:cs="FangSong"/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4</w:t>
      </w:r>
      <w:r>
        <w:rPr>
          <w:rFonts w:ascii="FangSong" w:hAnsi="FangSong" w:eastAsia="FangSong" w:cs="FangSong"/>
          <w:sz w:val="10"/>
          <w:szCs w:val="10"/>
          <w:color w:val="231F20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</w:rPr>
        <w:t>。</w:t>
      </w:r>
    </w:p>
    <w:p>
      <w:pPr>
        <w:ind w:left="498" w:right="312" w:firstLine="410"/>
        <w:spacing w:before="6" w:line="280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2"/>
        </w:rPr>
        <w:t>4.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代谢调整：适用于有代谢异常的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患者。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当患者出现心血管及代谢相关疾病时，应依据相关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指南给予管理，合理选择不同专科介入的多学科合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作的综合治疗。</w:t>
      </w:r>
    </w:p>
    <w:p>
      <w:pPr>
        <w:ind w:left="496" w:right="390" w:firstLine="330"/>
        <w:spacing w:before="6" w:line="269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1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）改善生活方式及减脂：肥胖型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患者首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选积极减脂、改善生活方式，若疗效欠佳可使用减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少脂肪吸收的奥利司他进行治疗。</w:t>
      </w:r>
    </w:p>
    <w:p>
      <w:pPr>
        <w:ind w:left="491" w:right="390" w:firstLine="335"/>
        <w:spacing w:before="35" w:line="276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</w:rPr>
        <w:t>（</w:t>
      </w:r>
      <w:r>
        <w:rPr>
          <w:rFonts w:ascii="Arial" w:hAnsi="Arial" w:eastAsia="Arial" w:cs="Arial"/>
          <w:sz w:val="20"/>
          <w:szCs w:val="20"/>
          <w:color w:val="231F20"/>
        </w:rPr>
        <w:t>2</w:t>
      </w:r>
      <w:r>
        <w:rPr>
          <w:rFonts w:ascii="FangSong" w:hAnsi="FangSong" w:eastAsia="FangSong" w:cs="FangSong"/>
          <w:sz w:val="20"/>
          <w:szCs w:val="20"/>
          <w:color w:val="231F20"/>
        </w:rPr>
        <w:t>）二甲双胍：适用于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</w:rPr>
        <w:t>合并有胰岛素抵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抗、糖调节受损（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>impaired glucose regulation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>IGR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）或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糖尿病，且通过生活方式干预效果欠佳的患者。对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于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BMI≥25 kg/m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2</w:t>
      </w:r>
      <w:r>
        <w:rPr>
          <w:rFonts w:ascii="Arial" w:hAnsi="Arial" w:eastAsia="Arial" w:cs="Arial"/>
          <w:sz w:val="10"/>
          <w:szCs w:val="10"/>
          <w:color w:val="231F20"/>
          <w:spacing w:val="19"/>
          <w:w w:val="102"/>
          <w:position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的成年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患者以及确诊青春期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患者，除生活方式外，还应考虑使用二甲双胍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来管理体质量和代谢水平。</w:t>
      </w:r>
    </w:p>
    <w:p>
      <w:pPr>
        <w:ind w:left="494" w:right="389" w:firstLine="425"/>
        <w:spacing w:before="37" w:line="281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577135</wp:posOffset>
            </wp:positionH>
            <wp:positionV relativeFrom="paragraph">
              <wp:posOffset>1077317</wp:posOffset>
            </wp:positionV>
            <wp:extent cx="5580443" cy="3088053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0443" cy="3088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-1916365</wp:posOffset>
            </wp:positionV>
            <wp:extent cx="3390900" cy="388620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青春期患者推荐剂量不超过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1 500 mg/d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，至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少使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用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3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个月；育龄期患者中，非肥胖者推荐剂量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1 000~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1 500 mg/d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，肥胖者推荐剂量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2 000~2 500 mg/d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疗程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3~6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个月及以上。治疗期间可有腹胀腹泻、恶心等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不良反应，推荐餐中服用，从小剂量开始逐渐增加</w:t>
      </w:r>
    </w:p>
    <w:p>
      <w:pPr>
        <w:spacing w:line="3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6"/>
        <w:spacing w:before="44" w:line="266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8"/>
          <w:position w:val="1"/>
        </w:rPr>
        <w:t>耐受性。酗酒者及严重心肝肾功能不全者禁用。</w:t>
      </w:r>
    </w:p>
    <w:p>
      <w:pPr>
        <w:ind w:left="92" w:firstLine="328"/>
        <w:spacing w:before="38" w:line="273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3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）噻唑烷二酮类药物：是一种胰岛素增敏剂。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有二甲双胍使用禁忌或对二甲双胍不敏感的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患者，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若无生育要求可选用此类药物。不良反应包括水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钠潴留、体质量增加等。</w:t>
      </w:r>
    </w:p>
    <w:p>
      <w:pPr>
        <w:ind w:left="101" w:right="78" w:firstLine="319"/>
        <w:spacing w:before="36" w:line="270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4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）阿卡波糖：可缓解餐后高血糖，调整脂质异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>常、增加胰岛素敏感性。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>常见不良反应包括肠胀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气、便秘等，建议从小剂量开始服用，逐渐加量。</w:t>
      </w:r>
    </w:p>
    <w:p>
      <w:pPr>
        <w:ind w:right="77" w:firstLine="420"/>
        <w:spacing w:before="37" w:line="273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>5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）他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汀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类</w:t>
      </w:r>
      <w:r>
        <w:rPr>
          <w:rFonts w:ascii="FangSong" w:hAnsi="FangSong" w:eastAsia="FangSong" w:cs="FangSong"/>
          <w:sz w:val="20"/>
          <w:szCs w:val="20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药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物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：为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羟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甲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基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戊</w:t>
      </w:r>
      <w:r>
        <w:rPr>
          <w:rFonts w:ascii="FangSong" w:hAnsi="FangSong" w:eastAsia="FangSong" w:cs="FangSong"/>
          <w:sz w:val="20"/>
          <w:szCs w:val="20"/>
          <w:color w:val="231F20"/>
          <w:spacing w:val="-3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二</w:t>
      </w:r>
      <w:r>
        <w:rPr>
          <w:rFonts w:ascii="FangSong" w:hAnsi="FangSong" w:eastAsia="FangSong" w:cs="FangSong"/>
          <w:sz w:val="20"/>
          <w:szCs w:val="20"/>
          <w:color w:val="231F20"/>
          <w:spacing w:val="-4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酰</w:t>
      </w:r>
      <w:r>
        <w:rPr>
          <w:rFonts w:ascii="FangSong" w:hAnsi="FangSong" w:eastAsia="FangSong" w:cs="FangSong"/>
          <w:sz w:val="20"/>
          <w:szCs w:val="20"/>
          <w:color w:val="231F20"/>
          <w:spacing w:val="-4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辅</w:t>
      </w:r>
      <w:r>
        <w:rPr>
          <w:rFonts w:ascii="FangSong" w:hAnsi="FangSong" w:eastAsia="FangSong" w:cs="FangSong"/>
          <w:sz w:val="20"/>
          <w:szCs w:val="20"/>
          <w:color w:val="231F20"/>
          <w:spacing w:val="-4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酶</w:t>
      </w:r>
      <w:r>
        <w:rPr>
          <w:rFonts w:ascii="FangSong" w:hAnsi="FangSong" w:eastAsia="FangSong" w:cs="FangSong"/>
          <w:sz w:val="20"/>
          <w:szCs w:val="20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7"/>
        </w:rPr>
        <w:t>A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hydroxymethylglutaryl</w:t>
      </w:r>
      <w:r>
        <w:rPr>
          <w:rFonts w:ascii="Arial" w:hAnsi="Arial" w:eastAsia="Arial" w:cs="Arial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coenzyme A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HMG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>-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CoA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）还原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酶抑制剂，推荐有血脂代谢异常且生活方式干预无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效的</w:t>
      </w:r>
      <w:r>
        <w:rPr>
          <w:rFonts w:ascii="Arial" w:hAnsi="Arial" w:eastAsia="Arial" w:cs="Arial"/>
          <w:sz w:val="20"/>
          <w:szCs w:val="20"/>
          <w:color w:val="231F20"/>
        </w:rPr>
        <w:t>PCOS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患者首选。</w:t>
      </w:r>
    </w:p>
    <w:p>
      <w:pPr>
        <w:ind w:left="96" w:right="79" w:firstLine="408"/>
        <w:spacing w:before="35" w:line="281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3"/>
        </w:rPr>
        <w:t>5.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心理因素调整：在诊疗过程中，增强与患者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沟通，关注患者身心健康，保护患者隐私，给予积极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引导，必要时可转诊至心理医学科等相关学科进一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步干预治疗。</w:t>
      </w:r>
    </w:p>
    <w:p>
      <w:pPr>
        <w:ind w:left="419"/>
        <w:spacing w:before="2" w:line="268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position w:val="1"/>
        </w:rPr>
        <w:t>（二）有生育计划的患者的治疗</w:t>
      </w:r>
    </w:p>
    <w:p>
      <w:pPr>
        <w:ind w:left="89" w:right="79" w:firstLine="432"/>
        <w:spacing w:before="38" w:line="27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3"/>
        </w:rPr>
        <w:t>1.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基础治疗：对于有生育计划但未诊断不孕症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或生育计划不急迫的患者，应遵循一般</w:t>
      </w:r>
      <w:r>
        <w:rPr>
          <w:rFonts w:ascii="FangSong" w:hAnsi="FangSong" w:eastAsia="FangSong" w:cs="FangSong"/>
          <w:sz w:val="20"/>
          <w:szCs w:val="20"/>
          <w:color w:val="231F20"/>
          <w:spacing w:val="-4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PCOS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人群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的治疗建议。待症状改善后可期待自然妊娠或促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排卵治疗。推荐有高雄激素症状或高雄激素血症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的患者连续应用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COC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抗雄激素治疗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3~6</w:t>
      </w:r>
      <w:r>
        <w:rPr>
          <w:rFonts w:ascii="Arial" w:hAnsi="Arial" w:eastAsia="Arial" w:cs="Arial"/>
          <w:sz w:val="20"/>
          <w:szCs w:val="20"/>
          <w:color w:val="231F20"/>
          <w:spacing w:val="-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个月以减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少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患者妊娠并发症（如妊娠期糖尿病、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妊娠期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3"/>
        </w:rPr>
        <w:t>高血压疾病等）和不良妊娠结局（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3"/>
        </w:rPr>
        <w:t>如流产及早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  <w:position w:val="-1"/>
        </w:rPr>
        <w:t>产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  <w:w w:val="92"/>
          <w:position w:val="-1"/>
        </w:rPr>
        <w:t>）</w:t>
      </w:r>
      <w:r>
        <w:rPr>
          <w:rFonts w:ascii="FangSong" w:hAnsi="FangSong" w:eastAsia="FangSong" w:cs="FangSong"/>
          <w:sz w:val="10"/>
          <w:szCs w:val="10"/>
          <w:color w:val="231F20"/>
          <w:spacing w:val="-21"/>
          <w:w w:val="78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7"/>
        </w:rPr>
        <w:t>17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7"/>
        </w:rPr>
        <w:t>-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7"/>
        </w:rPr>
        <w:t>19</w:t>
      </w:r>
      <w:r>
        <w:rPr>
          <w:rFonts w:ascii="FangSong" w:hAnsi="FangSong" w:eastAsia="FangSong" w:cs="FangSong"/>
          <w:sz w:val="10"/>
          <w:szCs w:val="10"/>
          <w:color w:val="231F20"/>
          <w:spacing w:val="-21"/>
          <w:w w:val="78"/>
          <w:position w:val="7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31"/>
          <w:w w:val="58"/>
          <w:position w:val="-1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  <w:position w:val="-1"/>
        </w:rPr>
        <w:t>详见图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-1"/>
        </w:rPr>
        <w:t>5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  <w:position w:val="-1"/>
        </w:rPr>
        <w:t>。</w:t>
      </w:r>
    </w:p>
    <w:p>
      <w:pPr>
        <w:ind w:left="92" w:right="78" w:firstLine="414"/>
        <w:spacing w:before="37" w:line="264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3"/>
        </w:rPr>
        <w:t>2.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不孕症的治疗：不孕患者应判断是否存在其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他不孕因素，如男方因素、输卵管因素等。单纯无</w:t>
      </w:r>
    </w:p>
    <w:p>
      <w:pPr>
        <w:spacing w:line="264" w:lineRule="auto"/>
        <w:sectPr>
          <w:type w:val="continuous"/>
          <w:pgSz w:w="12246" w:h="16498"/>
          <w:pgMar w:top="1221" w:right="1228" w:bottom="0" w:left="819" w:header="971" w:footer="0" w:gutter="0"/>
          <w:cols w:equalWidth="0" w:num="2">
            <w:col w:w="5409" w:space="100"/>
            <w:col w:w="4690" w:space="0"/>
          </w:cols>
        </w:sectPr>
        <w:rPr>
          <w:rFonts w:ascii="FangSong" w:hAnsi="FangSong" w:eastAsia="FangSong" w:cs="FangSong"/>
          <w:sz w:val="20"/>
          <w:szCs w:val="20"/>
        </w:rPr>
      </w:pPr>
    </w:p>
    <w:p>
      <w:pPr>
        <w:spacing w:line="250" w:lineRule="auto"/>
        <w:rPr>
          <w:rFonts w:ascii="Arial"/>
          <w:sz w:val="21"/>
        </w:rPr>
      </w:pPr>
      <w:r>
        <w:pict>
          <v:shape id="_x0000_s30" style="position:absolute;margin-left:165.549pt;margin-top:-430.055pt;mso-position-vertical-relative:text;mso-position-horizontal-relative:text;width:340.75pt;height:0.4pt;z-index:251684864;" filled="false" strokecolor="#231F20" strokeweight="0.37pt" coordsize="6815,8" coordorigin="0,0" path="m0,3l6814,3e">
            <v:stroke joinstyle="miter" miterlimit="4"/>
          </v:shape>
        </w:pict>
      </w: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807"/>
        <w:spacing w:before="65" w:line="21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注：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PCOS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示多囊卵巢综合征；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COC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示复方口服避孕药；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IR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示胰岛素抵抗；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DM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示糖耐量受损；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IGT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示糖耐量受损</w:t>
      </w:r>
    </w:p>
    <w:p>
      <w:pPr>
        <w:ind w:left="3953"/>
        <w:spacing w:before="37" w:line="168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70234</wp:posOffset>
            </wp:positionV>
            <wp:extent cx="2805668" cy="30421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-4"/>
        </w:rPr>
        <w:t>图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5    PCOS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患者（非不孕症）治疗流程图</w:t>
      </w:r>
    </w:p>
    <w:p>
      <w:pPr>
        <w:spacing w:line="168" w:lineRule="auto"/>
        <w:sectPr>
          <w:type w:val="continuous"/>
          <w:pgSz w:w="12246" w:h="16498"/>
          <w:pgMar w:top="1221" w:right="1228" w:bottom="0" w:left="819" w:header="971" w:footer="0" w:gutter="0"/>
          <w:cols w:equalWidth="0" w:num="1">
            <w:col w:w="10198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57"/>
        <w:rPr/>
      </w:pPr>
      <w:r/>
    </w:p>
    <w:p>
      <w:pPr>
        <w:sectPr>
          <w:headerReference w:type="default" r:id="rId16"/>
          <w:pgSz w:w="12246" w:h="16498"/>
          <w:pgMar w:top="1221" w:right="1227" w:bottom="0" w:left="819" w:header="971" w:footer="0" w:gutter="0"/>
          <w:cols w:equalWidth="0" w:num="1">
            <w:col w:w="10199" w:space="0"/>
          </w:cols>
        </w:sectPr>
        <w:rPr/>
      </w:pPr>
    </w:p>
    <w:p>
      <w:pPr>
        <w:ind w:left="499"/>
        <w:spacing w:before="46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</w:rPr>
        <w:t>排卵性不孕的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</w:rPr>
        <w:t>患者的治疗如下，详见图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6。</w:t>
      </w:r>
    </w:p>
    <w:p>
      <w:pPr>
        <w:ind w:left="497" w:right="395" w:firstLine="330"/>
        <w:spacing w:before="8" w:line="243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1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）孕前咨询：在诱导排卵之前，应对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患者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夫妇双方进行检查，评估、优化并纠正可能影响生育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</w:rPr>
        <w:t>或妊娠结局的因素，如肥胖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</w:rPr>
        <w:t>血糖和血脂水平异常、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精神情绪不良、性健康异常等。在改善代谢、精神心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理等问题后仍未排卵的患者，可用药物诱导排卵。</w:t>
      </w:r>
    </w:p>
    <w:p>
      <w:pPr>
        <w:ind w:left="500" w:right="476" w:firstLine="327"/>
        <w:spacing w:before="38" w:line="228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2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）改善生活方式：具体方式同“无生育要求患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者的治疗”。</w:t>
      </w:r>
    </w:p>
    <w:p>
      <w:pPr>
        <w:ind w:left="407" w:right="476" w:firstLine="420"/>
        <w:spacing w:before="39" w:line="230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3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）诱导排卵：治疗前需排除如男方因素等其他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不孕因素以及不宜妊娠的疾病。常用药物中，来曲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唑（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letrozole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LE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）是</w:t>
      </w:r>
      <w:r>
        <w:rPr>
          <w:rFonts w:ascii="FangSong" w:hAnsi="FangSong" w:eastAsia="FangSong" w:cs="FangSong"/>
          <w:sz w:val="20"/>
          <w:szCs w:val="20"/>
          <w:color w:val="231F20"/>
          <w:spacing w:val="-2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一</w:t>
      </w:r>
      <w:r>
        <w:rPr>
          <w:rFonts w:ascii="FangSong" w:hAnsi="FangSong" w:eastAsia="FangSong" w:cs="FangSong"/>
          <w:sz w:val="20"/>
          <w:szCs w:val="20"/>
          <w:color w:val="231F20"/>
          <w:spacing w:val="-3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线</w:t>
      </w:r>
      <w:r>
        <w:rPr>
          <w:rFonts w:ascii="FangSong" w:hAnsi="FangSong" w:eastAsia="FangSong" w:cs="FangSong"/>
          <w:sz w:val="20"/>
          <w:szCs w:val="20"/>
          <w:color w:val="231F20"/>
          <w:spacing w:val="-2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治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疗</w:t>
      </w:r>
      <w:r>
        <w:rPr>
          <w:rFonts w:ascii="FangSong" w:hAnsi="FangSong" w:eastAsia="FangSong" w:cs="FangSong"/>
          <w:sz w:val="20"/>
          <w:szCs w:val="20"/>
          <w:color w:val="231F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药</w:t>
      </w:r>
      <w:r>
        <w:rPr>
          <w:rFonts w:ascii="FangSong" w:hAnsi="FangSong" w:eastAsia="FangSong" w:cs="FangSong"/>
          <w:sz w:val="20"/>
          <w:szCs w:val="20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物</w:t>
      </w:r>
      <w:r>
        <w:rPr>
          <w:rFonts w:ascii="FangSong" w:hAnsi="FangSong" w:eastAsia="FangSong" w:cs="FangSong"/>
          <w:sz w:val="20"/>
          <w:szCs w:val="20"/>
          <w:color w:val="231F20"/>
          <w:spacing w:val="-4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，克</w:t>
      </w:r>
      <w:r>
        <w:rPr>
          <w:rFonts w:ascii="FangSong" w:hAnsi="FangSong" w:eastAsia="FangSong" w:cs="FangSong"/>
          <w:sz w:val="20"/>
          <w:szCs w:val="20"/>
          <w:color w:val="231F20"/>
          <w:spacing w:val="-2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罗</w:t>
      </w:r>
      <w:r>
        <w:rPr>
          <w:rFonts w:ascii="FangSong" w:hAnsi="FangSong" w:eastAsia="FangSong" w:cs="FangSong"/>
          <w:sz w:val="20"/>
          <w:szCs w:val="20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米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芬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clomiphene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citrate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CC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）和二甲双胍有单独和联合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9"/>
        </w:rPr>
        <w:t>作用。</w:t>
      </w:r>
    </w:p>
    <w:p>
      <w:pPr>
        <w:ind w:left="493" w:right="477" w:firstLine="416"/>
        <w:spacing w:before="40" w:line="21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LE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：单纯无排卵性不孕的</w:t>
      </w:r>
      <w:r>
        <w:rPr>
          <w:rFonts w:ascii="FangSong" w:hAnsi="FangSong" w:eastAsia="FangSong" w:cs="FangSong"/>
          <w:sz w:val="20"/>
          <w:szCs w:val="20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患者，首选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LE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诱导排卵。</w:t>
      </w:r>
    </w:p>
    <w:p>
      <w:pPr>
        <w:ind w:left="492" w:right="476" w:firstLine="437"/>
        <w:spacing w:before="3" w:line="232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-587300</wp:posOffset>
            </wp:positionV>
            <wp:extent cx="3390900" cy="388620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常用方案如下：月经第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2~5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天开始连续用药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5 d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2.5 mg/d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持续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5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。监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测无排卵则每周期剂量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增加</w:t>
      </w:r>
      <w:r>
        <w:rPr>
          <w:rFonts w:ascii="FangSong" w:hAnsi="FangSong" w:eastAsia="FangSong" w:cs="FangSong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2.5 mg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，最高可增加至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5.0~7.5 mg/d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。疗程尚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>无国内外推荐。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LE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>常见的不良反应主要为由雌激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素水平降低引起的潮红、疲劳以及恶心等。肝肾功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能异常患者慎用。</w:t>
      </w:r>
    </w:p>
    <w:p>
      <w:pPr>
        <w:ind w:left="493" w:right="477" w:firstLine="416"/>
        <w:spacing w:before="1" w:line="214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②CC</w:t>
      </w:r>
      <w:r>
        <w:rPr>
          <w:rFonts w:ascii="FangSong" w:hAnsi="FangSong" w:eastAsia="FangSong" w:cs="FangSong"/>
          <w:sz w:val="20"/>
          <w:szCs w:val="20"/>
          <w:color w:val="231F20"/>
        </w:rPr>
        <w:t>：单纯无排卵性不孕的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</w:rPr>
        <w:t>患者，可单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独使用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诱导排卵、改善妊娠结局。排卵率达到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60%~85%</w:t>
      </w:r>
      <w:r>
        <w:rPr>
          <w:rFonts w:ascii="FangSong" w:hAnsi="FangSong" w:eastAsia="FangSong" w:cs="FangSong"/>
          <w:sz w:val="10"/>
          <w:szCs w:val="10"/>
          <w:color w:val="231F20"/>
          <w:spacing w:val="-8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8"/>
        </w:rPr>
        <w:t>20</w:t>
      </w:r>
      <w:r>
        <w:rPr>
          <w:rFonts w:ascii="FangSong" w:hAnsi="FangSong" w:eastAsia="FangSong" w:cs="FangSong"/>
          <w:sz w:val="10"/>
          <w:szCs w:val="10"/>
          <w:color w:val="231F20"/>
          <w:spacing w:val="-1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30"/>
          <w:w w:val="56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妊娠率约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25%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，活产率约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18%</w:t>
      </w:r>
      <w:r>
        <w:rPr>
          <w:rFonts w:ascii="FangSong" w:hAnsi="FangSong" w:eastAsia="FangSong" w:cs="FangSong"/>
          <w:sz w:val="10"/>
          <w:szCs w:val="10"/>
          <w:color w:val="231F20"/>
          <w:spacing w:val="-14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position w:val="8"/>
        </w:rPr>
        <w:t>21</w:t>
      </w:r>
      <w:r>
        <w:rPr>
          <w:rFonts w:ascii="FangSong" w:hAnsi="FangSong" w:eastAsia="FangSong" w:cs="FangSong"/>
          <w:sz w:val="10"/>
          <w:szCs w:val="10"/>
          <w:color w:val="231F20"/>
          <w:spacing w:val="-14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。</w:t>
      </w:r>
    </w:p>
    <w:p>
      <w:pPr>
        <w:ind w:left="492" w:right="476" w:firstLine="437"/>
        <w:spacing w:before="2" w:line="231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667598</wp:posOffset>
            </wp:positionH>
            <wp:positionV relativeFrom="paragraph">
              <wp:posOffset>668475</wp:posOffset>
            </wp:positionV>
            <wp:extent cx="5399527" cy="3081523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527" cy="3081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常用方案如下：月经第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2~5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天开始连续用药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5 d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50 mg/d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，最高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150 mg/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。剂量不足时可能出现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卵泡期长或黄体期短，建议视情况增加剂量。剂量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78" w:firstLine="7"/>
        <w:spacing w:before="46" w:line="227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25"/>
        </w:rPr>
        <w:t>过高时可能出现卵巢刺激过大，建议剂量减至</w:t>
      </w:r>
      <w:r>
        <w:rPr>
          <w:rFonts w:ascii="FangSong" w:hAnsi="FangSong" w:eastAsia="FangSong" w:cs="FangSong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25 mg/d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当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B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超监测到至少</w:t>
      </w:r>
      <w:r>
        <w:rPr>
          <w:rFonts w:ascii="FangSong" w:hAnsi="FangSong" w:eastAsia="FangSong" w:cs="FangSong"/>
          <w:sz w:val="20"/>
          <w:szCs w:val="20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个直径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≥14 mm 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的优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势卵泡时建议取消该周期。单独使用</w:t>
      </w:r>
      <w:r>
        <w:rPr>
          <w:rFonts w:ascii="FangSong" w:hAnsi="FangSong" w:eastAsia="FangSong" w:cs="FangSong"/>
          <w:sz w:val="20"/>
          <w:szCs w:val="20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应小于等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个周期。</w:t>
      </w:r>
    </w:p>
    <w:p>
      <w:pPr>
        <w:ind w:left="6" w:right="78" w:firstLine="429"/>
        <w:spacing w:line="280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患者出现以下情况时禁用此药：原因不明的不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规则阴道出血、肝功能损害、影像学提示子宫或附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件性质不明的占位、血栓性静脉炎及精神抑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郁等。</w:t>
      </w:r>
    </w:p>
    <w:p>
      <w:pPr>
        <w:ind w:left="6" w:firstLine="412"/>
        <w:spacing w:before="2" w:line="243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促性腺激素（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gonadotropin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Gn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  <w:w w:val="95"/>
        </w:rPr>
        <w:t>）：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可配合</w:t>
      </w:r>
      <w:r>
        <w:rPr>
          <w:rFonts w:ascii="FangSong" w:hAnsi="FangSong" w:eastAsia="FangSong" w:cs="FangSong"/>
          <w:sz w:val="20"/>
          <w:szCs w:val="20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CC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或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LE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使用，也可作为二线治疗。应在有条件进行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卵泡监测及有能力处理相关并发症的医疗中心进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行，推荐采用小剂量递增方案，以降低卵巢过度刺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8"/>
        </w:rPr>
        <w:t>激综合征（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ovarian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hyperstimulation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syn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drome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OHSS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）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发生率和多胎妊娠率。</w:t>
      </w:r>
    </w:p>
    <w:p>
      <w:pPr>
        <w:ind w:left="3" w:firstLine="423"/>
        <w:spacing w:line="232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适应证包括：存在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LE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CC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抵抗；在使用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LE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或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进行卵泡刺激时，触发日内膜发育不良（内膜厚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≤6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mm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  <w:w w:val="68"/>
        </w:rPr>
        <w:t>）；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没有合并如输卵管因素等其他不孕因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素，且在连续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LE</w:t>
      </w:r>
      <w:r>
        <w:rPr>
          <w:rFonts w:ascii="FangSong" w:hAnsi="FangSong" w:eastAsia="FangSong" w:cs="FangSong"/>
          <w:sz w:val="20"/>
          <w:szCs w:val="20"/>
          <w:color w:val="231F2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促排卵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个周期后未孕患者。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禁忌证包括：存在卵巢肿瘤者；存在垂体肿瘤者；肾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上腺功能异常或甲状腺功能亢进患者。</w:t>
      </w:r>
    </w:p>
    <w:p>
      <w:pPr>
        <w:ind w:right="75" w:firstLine="438"/>
        <w:spacing w:before="9" w:line="21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常用方案：月经第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3~5 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天以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37.5~75 U/d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开始用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药，若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超检查显示每日卵泡生长缓慢，则每</w:t>
      </w:r>
      <w:r>
        <w:rPr>
          <w:rFonts w:ascii="FangSong" w:hAnsi="FangSong" w:eastAsia="FangSong" w:cs="FangSong"/>
          <w:sz w:val="20"/>
          <w:szCs w:val="20"/>
          <w:color w:val="231F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5~7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增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加</w:t>
      </w:r>
      <w:r>
        <w:rPr>
          <w:rFonts w:ascii="FangSong" w:hAnsi="FangSong" w:eastAsia="FangSong" w:cs="FangSong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37.5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U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或</w:t>
      </w:r>
      <w:r>
        <w:rPr>
          <w:rFonts w:ascii="FangSong" w:hAnsi="FangSong" w:eastAsia="FangSong" w:cs="FangSong"/>
          <w:sz w:val="20"/>
          <w:szCs w:val="20"/>
          <w:color w:val="231F20"/>
          <w:spacing w:val="-5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每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7~14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增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加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75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U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，最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高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不</w:t>
      </w:r>
      <w:r>
        <w:rPr>
          <w:rFonts w:ascii="FangSong" w:hAnsi="FangSong" w:eastAsia="FangSong" w:cs="FangSong"/>
          <w:sz w:val="20"/>
          <w:szCs w:val="20"/>
          <w:color w:val="231F20"/>
          <w:spacing w:val="-5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超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过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225 U/d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，如果</w:t>
      </w:r>
      <w:r>
        <w:rPr>
          <w:rFonts w:ascii="FangSong" w:hAnsi="FangSong" w:eastAsia="FangSong" w:cs="FangSong"/>
          <w:sz w:val="20"/>
          <w:szCs w:val="20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B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超显示卵泡每日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增长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1~2 mm 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则不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用加量。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当</w:t>
      </w:r>
      <w:r>
        <w:rPr>
          <w:rFonts w:ascii="FangSong" w:hAnsi="FangSong" w:eastAsia="FangSong" w:cs="FangSong"/>
          <w:sz w:val="20"/>
          <w:szCs w:val="20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超发现</w:t>
      </w:r>
      <w:r>
        <w:rPr>
          <w:rFonts w:ascii="FangSong" w:hAnsi="FangSong" w:eastAsia="FangSong" w:cs="FangSong"/>
          <w:sz w:val="20"/>
          <w:szCs w:val="20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个及以下优势卵泡后，不再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增</w:t>
      </w:r>
      <w:r>
        <w:rPr>
          <w:rFonts w:ascii="FangSong" w:hAnsi="FangSong" w:eastAsia="FangSong" w:cs="FangSong"/>
          <w:sz w:val="20"/>
          <w:szCs w:val="20"/>
          <w:color w:val="231F20"/>
          <w:spacing w:val="-3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加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剂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量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并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注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射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人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绒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毛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膜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促</w:t>
      </w:r>
      <w:r>
        <w:rPr>
          <w:rFonts w:ascii="FangSong" w:hAnsi="FangSong" w:eastAsia="FangSong" w:cs="FangSong"/>
          <w:sz w:val="20"/>
          <w:szCs w:val="20"/>
          <w:color w:val="231F20"/>
          <w:spacing w:val="-4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性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腺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激</w:t>
      </w:r>
      <w:r>
        <w:rPr>
          <w:rFonts w:ascii="FangSong" w:hAnsi="FangSong" w:eastAsia="FangSong" w:cs="FangSong"/>
          <w:sz w:val="20"/>
          <w:szCs w:val="20"/>
          <w:color w:val="231F20"/>
          <w:spacing w:val="-4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素（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human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chorionic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gonadotropin</w:t>
      </w:r>
      <w:r>
        <w:rPr>
          <w:rFonts w:ascii="FangSong" w:hAnsi="FangSong" w:eastAsia="FangSong" w:cs="FangSong"/>
          <w:sz w:val="20"/>
          <w:szCs w:val="20"/>
          <w:color w:val="231F20"/>
          <w:spacing w:val="-2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CG</w:t>
      </w:r>
      <w:r>
        <w:rPr>
          <w:rFonts w:ascii="FangSong" w:hAnsi="FangSong" w:eastAsia="FangSong" w:cs="FangSong"/>
          <w:sz w:val="20"/>
          <w:szCs w:val="20"/>
          <w:color w:val="231F20"/>
          <w:spacing w:val="-2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000~10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000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U</w:t>
      </w:r>
      <w:r>
        <w:rPr>
          <w:rFonts w:ascii="FangSong" w:hAnsi="FangSong" w:eastAsia="FangSong" w:cs="FangSong"/>
          <w:sz w:val="20"/>
          <w:szCs w:val="20"/>
          <w:color w:val="231F20"/>
          <w:spacing w:val="-21"/>
        </w:rPr>
        <w:t>，在</w:t>
      </w:r>
      <w:r>
        <w:rPr>
          <w:rFonts w:ascii="FangSong" w:hAnsi="FangSong" w:eastAsia="FangSong" w:cs="FangSong"/>
          <w:sz w:val="20"/>
          <w:szCs w:val="20"/>
          <w:color w:val="231F20"/>
          <w:spacing w:val="-5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1"/>
        </w:rPr>
        <w:t>排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卵后进行黄体支持。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当出现至少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个直径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&gt;17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mm</w:t>
      </w:r>
    </w:p>
    <w:p>
      <w:pPr>
        <w:spacing w:line="213" w:lineRule="auto"/>
        <w:sectPr>
          <w:type w:val="continuous"/>
          <w:pgSz w:w="12246" w:h="16498"/>
          <w:pgMar w:top="1221" w:right="1227" w:bottom="0" w:left="819" w:header="971" w:footer="0" w:gutter="0"/>
          <w:cols w:equalWidth="0" w:num="2">
            <w:col w:w="5495" w:space="100"/>
            <w:col w:w="460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49" w:lineRule="auto"/>
        <w:rPr>
          <w:rFonts w:ascii="Arial"/>
          <w:sz w:val="21"/>
        </w:rPr>
      </w:pPr>
      <w:r>
        <w:pict>
          <v:shape id="_x0000_s34" style="position:absolute;margin-left:24.3856pt;margin-top:-430.593pt;mso-position-vertical-relative:text;mso-position-horizontal-relative:text;width:340.75pt;height:0.4pt;z-index:251691008;" filled="false" strokecolor="#231F20" strokeweight="0.37pt" coordsize="6815,8" coordorigin="0,0" path="m0,3l6814,3e">
            <v:stroke joinstyle="miter" miterlimit="4"/>
          </v:shape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164"/>
        <w:spacing w:before="64" w:line="21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注：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PCOS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示多囊卵巢综合征；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IVF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示体外受精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胚胎移植；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ICSI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示卵胞质内单精子注射</w:t>
      </w:r>
    </w:p>
    <w:p>
      <w:pPr>
        <w:ind w:left="4193"/>
        <w:spacing w:before="42" w:line="150" w:lineRule="exact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70295</wp:posOffset>
            </wp:positionV>
            <wp:extent cx="2805668" cy="30421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4"/>
          <w:position w:val="-1"/>
        </w:rPr>
        <w:t>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  <w:position w:val="-1"/>
        </w:rPr>
        <w:t>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  <w:w w:val="101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position w:val="-1"/>
        </w:rPr>
        <w:t>PCOS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  <w:position w:val="-1"/>
        </w:rPr>
        <w:t>不孕症患者的治疗图</w:t>
      </w:r>
    </w:p>
    <w:p>
      <w:pPr>
        <w:spacing w:line="150" w:lineRule="exact"/>
        <w:sectPr>
          <w:type w:val="continuous"/>
          <w:pgSz w:w="12246" w:h="16498"/>
          <w:pgMar w:top="1221" w:right="1227" w:bottom="0" w:left="819" w:header="971" w:footer="0" w:gutter="0"/>
          <w:cols w:equalWidth="0" w:num="1">
            <w:col w:w="10199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57"/>
        <w:rPr/>
      </w:pPr>
      <w:r>
        <w:pict>
          <v:shape id="_x0000_s40" style="position:absolute;margin-left:206.36pt;margin-top:59.6176pt;mso-position-vertical-relative:page;mso-position-horizontal-relative:page;width:340.75pt;height:0.4pt;z-index:251695104;" o:allowincell="f" filled="false" strokecolor="#231F20" strokeweight="0.37pt" coordsize="6815,8" coordorigin="0,0" path="m0,3l6814,3e">
            <v:stroke joinstyle="miter" miterlimit="4"/>
          </v:shape>
        </w:pict>
      </w:r>
      <w:r/>
    </w:p>
    <w:p>
      <w:pPr>
        <w:sectPr>
          <w:headerReference w:type="default" r:id="rId18"/>
          <w:pgSz w:w="12246" w:h="16498"/>
          <w:pgMar w:top="1221" w:right="1235" w:bottom="0" w:left="819" w:header="971" w:footer="0" w:gutter="0"/>
          <w:cols w:equalWidth="0" w:num="1">
            <w:col w:w="10191" w:space="0"/>
          </w:cols>
        </w:sectPr>
        <w:rPr/>
      </w:pPr>
    </w:p>
    <w:p>
      <w:pPr>
        <w:ind w:left="516"/>
        <w:spacing w:before="46" w:line="267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5"/>
          <w:position w:val="1"/>
        </w:rPr>
        <w:t>的卵泡时应取消周期。</w:t>
      </w:r>
    </w:p>
    <w:p>
      <w:pPr>
        <w:ind w:left="491" w:right="400" w:firstLine="419"/>
        <w:spacing w:before="41" w:line="215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④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二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甲</w:t>
      </w:r>
      <w:r>
        <w:rPr>
          <w:rFonts w:ascii="FangSong" w:hAnsi="FangSong" w:eastAsia="FangSong" w:cs="FangSong"/>
          <w:sz w:val="20"/>
          <w:szCs w:val="20"/>
          <w:color w:val="231F20"/>
          <w:spacing w:val="-5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双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胍：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2018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年</w:t>
      </w:r>
      <w:r>
        <w:rPr>
          <w:rFonts w:ascii="FangSong" w:hAnsi="FangSong" w:eastAsia="FangSong" w:cs="FangSong"/>
          <w:sz w:val="20"/>
          <w:szCs w:val="20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国</w:t>
      </w:r>
      <w:r>
        <w:rPr>
          <w:rFonts w:ascii="FangSong" w:hAnsi="FangSong" w:eastAsia="FangSong" w:cs="FangSong"/>
          <w:sz w:val="20"/>
          <w:szCs w:val="20"/>
          <w:color w:val="231F20"/>
          <w:spacing w:val="-4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际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指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南</w:t>
      </w:r>
      <w:r>
        <w:rPr>
          <w:rFonts w:ascii="FangSong" w:hAnsi="FangSong" w:eastAsia="FangSong" w:cs="FangSong"/>
          <w:sz w:val="20"/>
          <w:szCs w:val="20"/>
          <w:color w:val="231F20"/>
          <w:spacing w:val="-5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认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为该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药</w:t>
      </w:r>
      <w:r>
        <w:rPr>
          <w:rFonts w:ascii="FangSong" w:hAnsi="FangSong" w:eastAsia="FangSong" w:cs="FangSong"/>
          <w:sz w:val="20"/>
          <w:szCs w:val="20"/>
          <w:color w:val="231F20"/>
          <w:spacing w:val="-5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是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</w:rPr>
        <w:t>患者一线治疗药物之一</w:t>
      </w:r>
      <w:r>
        <w:rPr>
          <w:rFonts w:ascii="FangSong" w:hAnsi="FangSong" w:eastAsia="FangSong" w:cs="FangSong"/>
          <w:sz w:val="10"/>
          <w:szCs w:val="10"/>
          <w:color w:val="231F2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4</w:t>
      </w:r>
      <w:r>
        <w:rPr>
          <w:rFonts w:ascii="FangSong" w:hAnsi="FangSong" w:eastAsia="FangSong" w:cs="FangSong"/>
          <w:sz w:val="10"/>
          <w:szCs w:val="10"/>
          <w:color w:val="231F20"/>
          <w:spacing w:val="11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-33"/>
          <w:w w:val="61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</w:rPr>
        <w:t>也可以与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 </w:t>
      </w:r>
      <w:r>
        <w:rPr>
          <w:rFonts w:ascii="FangSong" w:hAnsi="FangSong" w:eastAsia="FangSong" w:cs="FangSong"/>
          <w:sz w:val="20"/>
          <w:szCs w:val="20"/>
          <w:color w:val="231F20"/>
        </w:rPr>
        <w:t>配合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使用。药物剂量从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500 mg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bid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到</w:t>
      </w:r>
      <w:r>
        <w:rPr>
          <w:rFonts w:ascii="FangSong" w:hAnsi="FangSong" w:eastAsia="FangSong" w:cs="FangSong"/>
          <w:sz w:val="20"/>
          <w:szCs w:val="20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850 mg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tid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不等，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一般不超过</w:t>
      </w:r>
      <w:r>
        <w:rPr>
          <w:rFonts w:ascii="FangSong" w:hAnsi="FangSong" w:eastAsia="FangSong" w:cs="FangSong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1 500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/d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，可持续使用至确</w:t>
      </w:r>
      <w:r>
        <w:rPr>
          <w:rFonts w:ascii="FangSong" w:hAnsi="FangSong" w:eastAsia="FangSong" w:cs="FangSong"/>
          <w:sz w:val="20"/>
          <w:szCs w:val="20"/>
          <w:color w:val="231F20"/>
        </w:rPr>
        <w:t>定妊娠。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3"/>
        </w:rPr>
        <w:t>合并肥胖（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BMI≥30 kg/m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2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）的单纯无排卵性不孕的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患者，可联合应用</w:t>
      </w:r>
      <w:r>
        <w:rPr>
          <w:rFonts w:ascii="FangSong" w:hAnsi="FangSong" w:eastAsia="FangSong" w:cs="FangSong"/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CC+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二甲双胍。</w:t>
      </w:r>
    </w:p>
    <w:p>
      <w:pPr>
        <w:ind w:left="510" w:right="478" w:firstLine="400"/>
        <w:spacing w:before="2" w:line="223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⑤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中医药促排卵：肾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天癸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冲任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胞宫生殖轴失</w:t>
      </w:r>
      <w:r>
        <w:rPr>
          <w:rFonts w:ascii="FangSong" w:hAnsi="FangSong" w:eastAsia="FangSong" w:cs="FangSong"/>
          <w:sz w:val="20"/>
          <w:szCs w:val="20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常是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患者排卵障碍的主要中医病机。可在中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医医师建议下使用相关中药进行调理。</w:t>
      </w:r>
    </w:p>
    <w:p>
      <w:pPr>
        <w:ind w:left="493" w:right="474" w:firstLine="334"/>
        <w:spacing w:before="42" w:line="220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4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）腹</w:t>
      </w:r>
      <w:r>
        <w:rPr>
          <w:rFonts w:ascii="FangSong" w:hAnsi="FangSong" w:eastAsia="FangSong" w:cs="FangSong"/>
          <w:sz w:val="20"/>
          <w:szCs w:val="20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腔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镜</w:t>
      </w:r>
      <w:r>
        <w:rPr>
          <w:rFonts w:ascii="FangSong" w:hAnsi="FangSong" w:eastAsia="FangSong" w:cs="FangSong"/>
          <w:sz w:val="20"/>
          <w:szCs w:val="20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卵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巢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打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孔</w:t>
      </w:r>
      <w:r>
        <w:rPr>
          <w:rFonts w:ascii="FangSong" w:hAnsi="FangSong" w:eastAsia="FangSong" w:cs="FangSong"/>
          <w:sz w:val="20"/>
          <w:szCs w:val="20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术（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laparoscopic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ovarian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drilling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LOD</w:t>
      </w:r>
      <w:r>
        <w:rPr>
          <w:rFonts w:ascii="FangSong" w:hAnsi="FangSong" w:eastAsia="FangSong" w:cs="FangSong"/>
          <w:sz w:val="20"/>
          <w:szCs w:val="20"/>
          <w:color w:val="231F20"/>
          <w:spacing w:val="-35"/>
          <w:w w:val="62"/>
        </w:rPr>
        <w:t>）：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CC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存在抵抗或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LE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治疗无效的患者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可以选择该治疗。建议治疗对象为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BMI≤34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kg/m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2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  <w:w w:val="94"/>
        </w:rPr>
        <w:t>、基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LH&gt;10 U/L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、高游离睾酮的患者。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LOD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治疗可能无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效，并可能有盆腔粘连、卵巢功能不全等不良反应。</w:t>
      </w:r>
    </w:p>
    <w:p>
      <w:pPr>
        <w:ind w:left="493" w:right="474" w:firstLine="334"/>
        <w:spacing w:before="45" w:line="22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5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）体外受精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-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胚胎移植（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in vitro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fertilization 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embryo transfer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IVF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ET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  <w:w w:val="82"/>
        </w:rPr>
        <w:t>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不孕患者，若合并如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输卵管因素、男方因素、高龄等其他不孕因素，或者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在经过其他治疗方案无效后，可选择进行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IVF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ET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。</w:t>
      </w:r>
    </w:p>
    <w:p>
      <w:pPr>
        <w:ind w:left="496" w:right="412" w:firstLine="414"/>
        <w:spacing w:before="10" w:line="224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①</w:t>
      </w:r>
      <w:r>
        <w:rPr>
          <w:rFonts w:ascii="FangSong" w:hAnsi="FangSong" w:eastAsia="FangSong" w:cs="FangSong"/>
          <w:sz w:val="20"/>
          <w:szCs w:val="20"/>
          <w:color w:val="231F20"/>
          <w:spacing w:val="-18"/>
        </w:rPr>
        <w:t>控制性卵巢刺激（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controlled ovarian stimulation</w:t>
      </w:r>
      <w:r>
        <w:rPr>
          <w:rFonts w:ascii="FangSong" w:hAnsi="FangSong" w:eastAsia="FangSong" w:cs="FangSong"/>
          <w:sz w:val="20"/>
          <w:szCs w:val="20"/>
          <w:color w:val="231F20"/>
          <w:spacing w:val="-18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COS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）方案：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患者易发生</w:t>
      </w:r>
      <w:r>
        <w:rPr>
          <w:rFonts w:ascii="FangSong" w:hAnsi="FangSong" w:eastAsia="FangSong" w:cs="FangSong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OHSS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，首选拮抗剂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方案。</w:t>
      </w:r>
    </w:p>
    <w:p>
      <w:pPr>
        <w:ind w:left="491" w:right="411" w:firstLine="423"/>
        <w:spacing w:before="44" w:line="215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促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性</w:t>
      </w:r>
      <w:r>
        <w:rPr>
          <w:rFonts w:ascii="FangSong" w:hAnsi="FangSong" w:eastAsia="FangSong" w:cs="FangSong"/>
          <w:sz w:val="20"/>
          <w:szCs w:val="20"/>
          <w:color w:val="231F20"/>
          <w:spacing w:val="-5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腺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激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素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释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放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激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素</w:t>
      </w:r>
      <w:r>
        <w:rPr>
          <w:rFonts w:ascii="FangSong" w:hAnsi="FangSong" w:eastAsia="FangSong" w:cs="FangSong"/>
          <w:sz w:val="20"/>
          <w:szCs w:val="20"/>
          <w:color w:val="231F20"/>
          <w:spacing w:val="-5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拮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抗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剂（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gonado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tropin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releasing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hormone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antagonist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GnRH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A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）方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案：卵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泡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期</w:t>
      </w:r>
      <w:r>
        <w:rPr>
          <w:rFonts w:ascii="FangSong" w:hAnsi="FangSong" w:eastAsia="FangSong" w:cs="FangSong"/>
          <w:sz w:val="20"/>
          <w:szCs w:val="20"/>
          <w:color w:val="231F20"/>
          <w:spacing w:val="-5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开始使用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Gn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，灵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活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方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案在优势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卵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泡</w:t>
      </w:r>
      <w:r>
        <w:rPr>
          <w:rFonts w:ascii="FangSong" w:hAnsi="FangSong" w:eastAsia="FangSong" w:cs="FangSong"/>
          <w:sz w:val="20"/>
          <w:szCs w:val="20"/>
          <w:color w:val="231F20"/>
          <w:spacing w:val="-6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直径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&gt;12~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14 mm 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或血清雌二醇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&gt;1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830 pmol/L 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时，固定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方案在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Gn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使用的第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5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天或第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6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天开始使用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GnRH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A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，之后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Gn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和</w:t>
      </w:r>
      <w:r>
        <w:rPr>
          <w:rFonts w:ascii="FangSong" w:hAnsi="FangSong" w:eastAsia="FangSong" w:cs="FangSong"/>
          <w:sz w:val="20"/>
          <w:szCs w:val="20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GnRH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一起用药至“触发（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trigger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）”日。为预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防</w:t>
      </w:r>
      <w:r>
        <w:rPr>
          <w:rFonts w:ascii="FangSong" w:hAnsi="FangSong" w:eastAsia="FangSong" w:cs="FangSong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OHSS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GnRH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A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方案可使用促性腺激素释放激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素</w:t>
      </w:r>
      <w:r>
        <w:rPr>
          <w:rFonts w:ascii="FangSong" w:hAnsi="FangSong" w:eastAsia="FangSong" w:cs="FangSong"/>
          <w:sz w:val="20"/>
          <w:szCs w:val="20"/>
          <w:color w:val="231F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激</w:t>
      </w:r>
      <w:r>
        <w:rPr>
          <w:rFonts w:ascii="FangSong" w:hAnsi="FangSong" w:eastAsia="FangSong" w:cs="FangSong"/>
          <w:sz w:val="20"/>
          <w:szCs w:val="20"/>
          <w:color w:val="231F20"/>
          <w:spacing w:val="-2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动</w:t>
      </w:r>
      <w:r>
        <w:rPr>
          <w:rFonts w:ascii="FangSong" w:hAnsi="FangSong" w:eastAsia="FangSong" w:cs="FangSong"/>
          <w:sz w:val="20"/>
          <w:szCs w:val="20"/>
          <w:color w:val="231F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9"/>
        </w:rPr>
        <w:t>剂（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gonadotropin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releasing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 hormone  agonist</w:t>
      </w:r>
      <w:r>
        <w:rPr>
          <w:rFonts w:ascii="FangSong" w:hAnsi="FangSong" w:eastAsia="FangSong" w:cs="FangSong"/>
          <w:sz w:val="20"/>
          <w:szCs w:val="20"/>
          <w:color w:val="231F20"/>
          <w:spacing w:val="-20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GnRH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a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）进行触发。</w:t>
      </w:r>
    </w:p>
    <w:p>
      <w:pPr>
        <w:ind w:left="497" w:right="477" w:firstLine="431"/>
        <w:spacing w:before="1" w:line="215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温和刺激方案：小剂量</w:t>
      </w:r>
      <w:r>
        <w:rPr>
          <w:rFonts w:ascii="FangSong" w:hAnsi="FangSong" w:eastAsia="FangSong" w:cs="FangSong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LE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，也可添加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GnRH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A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LH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升高以降低周期取消率。</w:t>
      </w:r>
    </w:p>
    <w:p>
      <w:pPr>
        <w:ind w:left="500" w:right="476" w:firstLine="416"/>
        <w:spacing w:before="3" w:line="215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GnRH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长方案：前一周期的黄体中期开始使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用</w:t>
      </w:r>
      <w:r>
        <w:rPr>
          <w:rFonts w:ascii="FangSong" w:hAnsi="FangSong" w:eastAsia="FangSong" w:cs="FangSong"/>
          <w:sz w:val="20"/>
          <w:szCs w:val="20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GnRH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进行垂体降调节，卵泡期开始添加外源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性</w:t>
      </w:r>
      <w:r>
        <w:rPr>
          <w:rFonts w:ascii="FangSong" w:hAnsi="FangSong" w:eastAsia="FangSong" w:cs="FangSong"/>
          <w:sz w:val="20"/>
          <w:szCs w:val="20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。建议适当减少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用量或减量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hCG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扳机以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预防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OHSS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的发生。</w:t>
      </w:r>
    </w:p>
    <w:p>
      <w:pPr>
        <w:ind w:left="518" w:right="476" w:firstLine="393"/>
        <w:spacing w:before="1" w:line="213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②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全胚冷冻策略：可避免新鲜周期移植妊娠后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的晚发型</w:t>
      </w:r>
      <w:r>
        <w:rPr>
          <w:rFonts w:ascii="FangSong" w:hAnsi="FangSong" w:eastAsia="FangSong" w:cs="FangSong"/>
          <w:sz w:val="20"/>
          <w:szCs w:val="20"/>
          <w:color w:val="231F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OHSS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。</w:t>
      </w:r>
    </w:p>
    <w:p>
      <w:pPr>
        <w:ind w:left="494" w:right="408" w:firstLine="417"/>
        <w:spacing w:before="6" w:line="214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③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未成熟卵体外培养（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2"/>
        </w:rPr>
        <w:t>in vitro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maturation</w:t>
      </w:r>
      <w:r>
        <w:rPr>
          <w:rFonts w:ascii="FangSong" w:hAnsi="FangSong" w:eastAsia="FangSong" w:cs="FangSong"/>
          <w:sz w:val="20"/>
          <w:szCs w:val="20"/>
          <w:color w:val="231F20"/>
          <w:spacing w:val="-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IVM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  <w:w w:val="96"/>
        </w:rPr>
        <w:t>）：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IVM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治疗的妊娠率和活产率可与普通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IVF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/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卵胞质内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单精子注射（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intracytoplasmic sperm injection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ICSI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>）持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平，并且无发生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OHSS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风险。但目前针对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患者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在辅助生殖治疗中应用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IVM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技术仍有争议。主要适</w:t>
      </w:r>
    </w:p>
    <w:p>
      <w:pPr>
        <w:ind w:left="504"/>
        <w:spacing w:before="9" w:line="21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85985</wp:posOffset>
            </wp:positionV>
            <wp:extent cx="2805668" cy="30421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应证包括：对促排卵药物不敏感，例如对低剂量</w:t>
      </w:r>
      <w:r>
        <w:rPr>
          <w:rFonts w:ascii="FangSong" w:hAnsi="FangSong" w:eastAsia="FangSong" w:cs="FangSong"/>
          <w:sz w:val="20"/>
          <w:szCs w:val="20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68" w:firstLine="8"/>
        <w:spacing w:before="44" w:line="216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</w:rPr>
        <w:t>不反应，对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存在抵抗使卵泡发育迟缓或生长时间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6"/>
        </w:rPr>
        <w:t>过长；以往常规低剂量</w:t>
      </w:r>
      <w:r>
        <w:rPr>
          <w:rFonts w:ascii="FangSong" w:hAnsi="FangSong" w:eastAsia="FangSong" w:cs="FangSong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6"/>
        </w:rPr>
        <w:t>治疗下发生中至重度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OHSS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者。</w:t>
      </w:r>
    </w:p>
    <w:p>
      <w:pPr>
        <w:ind w:left="8" w:right="68" w:firstLine="326"/>
        <w:spacing w:before="4" w:line="251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（三）随访与预防远期并发症：应对患者进行长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期生活方式干预、预防代谢失调、调整月经周期，定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期复查相关并发症的检查指标，可考虑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6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个月到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年评估</w:t>
      </w:r>
      <w:r>
        <w:rPr>
          <w:rFonts w:ascii="FangSong" w:hAnsi="FangSong" w:eastAsia="FangSong" w:cs="FangSong"/>
          <w:sz w:val="20"/>
          <w:szCs w:val="20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1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次以便于及时调整管理策略，将疾病治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疗与预防并发症相融合。</w:t>
      </w:r>
    </w:p>
    <w:p>
      <w:pPr>
        <w:ind w:left="2" w:right="66" w:firstLine="422"/>
        <w:spacing w:before="2" w:line="216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建议合并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IGR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的</w:t>
      </w:r>
      <w:r>
        <w:rPr>
          <w:rFonts w:ascii="FangSong" w:hAnsi="FangSong" w:eastAsia="FangSong" w:cs="FangSong"/>
          <w:sz w:val="20"/>
          <w:szCs w:val="20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女性每年行</w:t>
      </w:r>
      <w:r>
        <w:rPr>
          <w:rFonts w:ascii="FangSong" w:hAnsi="FangSong" w:eastAsia="FangSong" w:cs="FangSong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1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次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OGTT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检查。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已诊断为</w:t>
      </w:r>
      <w:r>
        <w:rPr>
          <w:rFonts w:ascii="FangSong" w:hAnsi="FangSong" w:eastAsia="FangSong" w:cs="FangSong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2 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型糖尿病的患者应在内分泌科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进行规范治疗。合并有血脂代谢紊乱的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女性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应每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3~6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个月复查，合并中心性肥胖及糖尿病其他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高危因素的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女性应缩短复查间隔时间。</w:t>
      </w:r>
    </w:p>
    <w:p>
      <w:pPr>
        <w:ind w:left="4" w:right="66" w:firstLine="414"/>
        <w:spacing w:before="4" w:line="253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PCOS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患者为子宫内膜癌的高危人群，对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患者进行长期的月经管理对于预防子宫内膜病变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尤为重要。对于青春期伴有高雄激素表现且无生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育要求的育龄女性，可以选择低雌激素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COC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，不使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用</w:t>
      </w:r>
      <w:r>
        <w:rPr>
          <w:rFonts w:ascii="FangSong" w:hAnsi="FangSong" w:eastAsia="FangSong" w:cs="FangSong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COC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的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患者建议定期使用孕激素管理月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经。对于暂无生育需求且无高雄激素血症或高雄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激素临床表现的患者，推荐采用左炔诺孕酮宫内释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放系统，可在避孕的同时保护子宫内膜。</w:t>
      </w:r>
    </w:p>
    <w:p>
      <w:pPr>
        <w:ind w:right="4" w:firstLine="416"/>
        <w:spacing w:before="8" w:line="263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患者孕期母儿并发症风险高，应对患者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的孕前、孕期、产前、分娩期以及产后各个阶段均予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以重视。在孕前及孕早期充分评估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患者的健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康状态，对已有明显代谢异常的患者进行宣教，提高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患者对疾病以及相关并发症的认识。对妊娠期全过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程进行体质量管理，提供饮食、运动的建议。此外，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还应重视血糖、血压以及胎儿发育等方面，积极进行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产后宣教及随诊，关注警惕近远期并发症的发生。</w:t>
      </w:r>
    </w:p>
    <w:p>
      <w:pPr>
        <w:ind w:left="6" w:right="69" w:firstLine="419"/>
        <w:spacing w:before="5" w:line="245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对于曾在育龄期诊断为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，同时有长期月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经失调、高雄激素血症和（或）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PCOM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病史的绝经期</w:t>
      </w:r>
      <w:r>
        <w:rPr>
          <w:rFonts w:ascii="FangSong" w:hAnsi="FangSong" w:eastAsia="FangSong" w:cs="FangSong"/>
          <w:sz w:val="20"/>
          <w:szCs w:val="20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女性可考虑诊断为绝经后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PCOS</w:t>
      </w:r>
      <w:r>
        <w:rPr>
          <w:rFonts w:ascii="FangSong" w:hAnsi="FangSong" w:eastAsia="FangSong" w:cs="FangSong"/>
          <w:sz w:val="10"/>
          <w:szCs w:val="10"/>
          <w:color w:val="231F2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4</w:t>
      </w:r>
      <w:r>
        <w:rPr>
          <w:rFonts w:ascii="FangSong" w:hAnsi="FangSong" w:eastAsia="FangSong" w:cs="FangSong"/>
          <w:sz w:val="10"/>
          <w:szCs w:val="10"/>
          <w:color w:val="231F20"/>
          <w:spacing w:val="3"/>
          <w:position w:val="8"/>
        </w:rPr>
        <w:t>］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。绝经后新出现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的包含多毛症的高雄激素血症或相关症状加重恶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化的患者，应警惕卵泡膜细胞增殖症和分泌雄激素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的肿瘤。</w:t>
      </w:r>
    </w:p>
    <w:p>
      <w:pPr>
        <w:ind w:left="8" w:right="70" w:hanging="7"/>
        <w:spacing w:before="5" w:line="301" w:lineRule="auto"/>
        <w:jc w:val="both"/>
        <w:rPr>
          <w:rFonts w:ascii="FangSong" w:hAnsi="FangSong" w:eastAsia="FangSong" w:cs="FangSong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执笔专家（按姓氏汉语拼音排序</w:t>
      </w:r>
      <w:r>
        <w:rPr>
          <w:rFonts w:ascii="SimHei" w:hAnsi="SimHei" w:eastAsia="SimHei" w:cs="SimHei"/>
          <w:sz w:val="17"/>
          <w:szCs w:val="17"/>
          <w:color w:val="231F20"/>
          <w:spacing w:val="-37"/>
          <w:w w:val="73"/>
        </w:rPr>
        <w:t>）：</w:t>
      </w:r>
      <w:r>
        <w:rPr>
          <w:rFonts w:ascii="FangSong" w:hAnsi="FangSong" w:eastAsia="FangSong" w:cs="FangSong"/>
          <w:sz w:val="17"/>
          <w:szCs w:val="17"/>
          <w:color w:val="231F20"/>
          <w:spacing w:val="11"/>
        </w:rPr>
        <w:t>段洁（湖北省妇幼保健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9"/>
        </w:rPr>
        <w:t>院）、古健（中山大学附属第三医院）、顾卓伟（上海交通大学</w:t>
      </w:r>
      <w:r>
        <w:rPr>
          <w:rFonts w:ascii="FangSong" w:hAnsi="FangSong" w:eastAsia="FangSong" w:cs="FangSong"/>
          <w:sz w:val="17"/>
          <w:szCs w:val="17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0"/>
        </w:rPr>
        <w:t>医学院附属仁济医院）、林仙华（复旦大学附属妇产科医</w:t>
      </w:r>
      <w:r>
        <w:rPr>
          <w:rFonts w:ascii="FangSong" w:hAnsi="FangSong" w:eastAsia="FangSong" w:cs="FangSong"/>
          <w:sz w:val="17"/>
          <w:szCs w:val="17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9"/>
        </w:rPr>
        <w:t>院）、刘琰（郑州大学第三附属医院）、欧阳运薇（四川大学华</w:t>
      </w:r>
      <w:r>
        <w:rPr>
          <w:rFonts w:ascii="FangSong" w:hAnsi="FangSong" w:eastAsia="FangSong" w:cs="FangSong"/>
          <w:sz w:val="17"/>
          <w:szCs w:val="17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9"/>
        </w:rPr>
        <w:t>西第二医院）、杨蕊（北京大学第三医院）、周远征（北京协和</w:t>
      </w:r>
      <w:r>
        <w:rPr>
          <w:rFonts w:ascii="FangSong" w:hAnsi="FangSong" w:eastAsia="FangSong" w:cs="FangSong"/>
          <w:sz w:val="17"/>
          <w:szCs w:val="17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医院）</w:t>
      </w:r>
    </w:p>
    <w:p>
      <w:pPr>
        <w:ind w:firstLine="2"/>
        <w:spacing w:before="4" w:line="301" w:lineRule="auto"/>
        <w:jc w:val="both"/>
        <w:rPr>
          <w:rFonts w:ascii="FangSong" w:hAnsi="FangSong" w:eastAsia="FangSong" w:cs="FangSong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共识编写专家组成员（按姓氏汉语拼音排序</w:t>
      </w:r>
      <w:r>
        <w:rPr>
          <w:rFonts w:ascii="SimHei" w:hAnsi="SimHei" w:eastAsia="SimHei" w:cs="SimHei"/>
          <w:sz w:val="17"/>
          <w:szCs w:val="17"/>
          <w:color w:val="231F20"/>
          <w:spacing w:val="-32"/>
          <w:w w:val="63"/>
        </w:rPr>
        <w:t>）：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段洁（湖北省妇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 </w:t>
      </w:r>
      <w:r>
        <w:rPr>
          <w:rFonts w:ascii="FangSong" w:hAnsi="FangSong" w:eastAsia="FangSong" w:cs="FangSong"/>
          <w:sz w:val="17"/>
          <w:szCs w:val="17"/>
          <w:color w:val="231F20"/>
          <w:spacing w:val="-14"/>
        </w:rPr>
        <w:t>幼保健院）、古健（中山大学附属第三医院）、顾卓伟（上海</w:t>
      </w:r>
      <w:r>
        <w:rPr>
          <w:rFonts w:ascii="FangSong" w:hAnsi="FangSong" w:eastAsia="FangSong" w:cs="FangSong"/>
          <w:sz w:val="17"/>
          <w:szCs w:val="17"/>
          <w:color w:val="231F20"/>
          <w:spacing w:val="-15"/>
        </w:rPr>
        <w:t>交通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 </w:t>
      </w:r>
      <w:r>
        <w:rPr>
          <w:rFonts w:ascii="FangSong" w:hAnsi="FangSong" w:eastAsia="FangSong" w:cs="FangSong"/>
          <w:sz w:val="17"/>
          <w:szCs w:val="17"/>
          <w:color w:val="231F20"/>
          <w:spacing w:val="6"/>
        </w:rPr>
        <w:t>大学医学院附属仁济医院）、李蓉（北京大学第三医院）、</w:t>
      </w:r>
      <w:r>
        <w:rPr>
          <w:rFonts w:ascii="FangSong" w:hAnsi="FangSong" w:eastAsia="FangSong" w:cs="FangSong"/>
          <w:sz w:val="17"/>
          <w:szCs w:val="17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9"/>
        </w:rPr>
        <w:t>林仙华（复旦大学附属妇产科医院）、刘琰（郑州大学第三附属</w:t>
      </w:r>
      <w:r>
        <w:rPr>
          <w:rFonts w:ascii="FangSong" w:hAnsi="FangSong" w:eastAsia="FangSong" w:cs="FangSong"/>
          <w:sz w:val="17"/>
          <w:szCs w:val="17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17"/>
          <w:szCs w:val="17"/>
          <w:color w:val="231F20"/>
          <w:spacing w:val="-14"/>
        </w:rPr>
        <w:t>医院）、马晓欣（中国医科大学附属盛京医院）、欧阳运薇（</w:t>
      </w:r>
      <w:r>
        <w:rPr>
          <w:rFonts w:ascii="FangSong" w:hAnsi="FangSong" w:eastAsia="FangSong" w:cs="FangSong"/>
          <w:sz w:val="17"/>
          <w:szCs w:val="17"/>
          <w:color w:val="231F20"/>
          <w:spacing w:val="-15"/>
        </w:rPr>
        <w:t>四川</w:t>
      </w:r>
    </w:p>
    <w:p>
      <w:pPr>
        <w:spacing w:line="301" w:lineRule="auto"/>
        <w:sectPr>
          <w:type w:val="continuous"/>
          <w:pgSz w:w="12246" w:h="16498"/>
          <w:pgMar w:top="1221" w:right="1235" w:bottom="0" w:left="819" w:header="971" w:footer="0" w:gutter="0"/>
          <w:cols w:equalWidth="0" w:num="2">
            <w:col w:w="5497" w:space="100"/>
            <w:col w:w="4594" w:space="0"/>
          </w:cols>
        </w:sectPr>
        <w:rPr>
          <w:rFonts w:ascii="FangSong" w:hAnsi="FangSong" w:eastAsia="FangSong" w:cs="FangSong"/>
          <w:sz w:val="17"/>
          <w:szCs w:val="17"/>
        </w:rPr>
      </w:pPr>
    </w:p>
    <w:p>
      <w:pPr>
        <w:spacing w:before="54"/>
        <w:rPr/>
      </w:pPr>
      <w:r>
        <w:pict>
          <v:shape id="_x0000_s48" style="position:absolute;margin-left:65.1968pt;margin-top:59.6176pt;mso-position-vertical-relative:page;mso-position-horizontal-relative:page;width:340.75pt;height:0.4pt;z-index:251698176;" o:allowincell="f" filled="false" strokecolor="#231F20" strokeweight="0.37pt" coordsize="6815,8" coordorigin="0,0" path="m0,3l6814,3e">
            <v:stroke joinstyle="miter" miterlimit="4"/>
          </v:shape>
        </w:pict>
      </w:r>
      <w:r/>
    </w:p>
    <w:p>
      <w:pPr>
        <w:sectPr>
          <w:headerReference w:type="default" r:id="rId19"/>
          <w:pgSz w:w="12246" w:h="16498"/>
          <w:pgMar w:top="1221" w:right="1265" w:bottom="0" w:left="819" w:header="971" w:footer="0" w:gutter="0"/>
          <w:cols w:equalWidth="0" w:num="1">
            <w:col w:w="10161" w:space="0"/>
          </w:cols>
        </w:sectPr>
        <w:rPr/>
      </w:pPr>
    </w:p>
    <w:p>
      <w:pPr>
        <w:ind w:left="495" w:right="467" w:firstLine="6"/>
        <w:spacing w:before="48" w:line="299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大学华西第二医院）、阮祥燕（首都医科大学附属北京妇产医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 xml:space="preserve">  </w:t>
      </w:r>
      <w:r>
        <w:rPr>
          <w:rFonts w:ascii="FangSong" w:hAnsi="FangSong" w:eastAsia="FangSong" w:cs="FangSong"/>
          <w:sz w:val="17"/>
          <w:szCs w:val="17"/>
          <w:color w:val="231F20"/>
          <w:spacing w:val="-14"/>
        </w:rPr>
        <w:t>院）、谭世桥（四川大学华西第二医院）、徐阳（北京大学</w:t>
      </w:r>
      <w:r>
        <w:rPr>
          <w:rFonts w:ascii="FangSong" w:hAnsi="FangSong" w:eastAsia="FangSong" w:cs="FangSong"/>
          <w:sz w:val="17"/>
          <w:szCs w:val="17"/>
          <w:color w:val="231F20"/>
          <w:spacing w:val="-15"/>
        </w:rPr>
        <w:t>第一医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 </w:t>
      </w:r>
      <w:r>
        <w:rPr>
          <w:rFonts w:ascii="FangSong" w:hAnsi="FangSong" w:eastAsia="FangSong" w:cs="FangSong"/>
          <w:sz w:val="17"/>
          <w:szCs w:val="17"/>
          <w:color w:val="231F20"/>
          <w:spacing w:val="-12"/>
        </w:rPr>
        <w:t>院）、杨蕊（北京大学第三医院）、叶虹（重庆市妇幼保健院）、</w:t>
      </w:r>
      <w:r>
        <w:rPr>
          <w:rFonts w:ascii="FangSong" w:hAnsi="FangSong" w:eastAsia="FangSong" w:cs="FangSong"/>
          <w:sz w:val="17"/>
          <w:szCs w:val="17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</w:rPr>
        <w:t>郁琦（北京协和医院）、张炜（复旦大学附属妇产科医院）、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周远征（北京协和医院）</w:t>
      </w:r>
    </w:p>
    <w:p>
      <w:pPr>
        <w:ind w:left="492"/>
        <w:spacing w:line="21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所有作者均声明不存在利益冲突</w:t>
      </w:r>
    </w:p>
    <w:p>
      <w:pPr>
        <w:ind w:left="487" w:right="537" w:firstLine="3"/>
        <w:spacing w:before="31" w:line="24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1"/>
        </w:rPr>
        <w:t>作者贡献声明</w:t>
      </w:r>
      <w:r>
        <w:rPr>
          <w:rFonts w:ascii="SimHei" w:hAnsi="SimHei" w:eastAsia="SimHei" w:cs="SimHei"/>
          <w:sz w:val="15"/>
          <w:szCs w:val="15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段洁、古健、顾卓伟、林仙华、刘琰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、欧阳运薇、杨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蕊、周远征负责完成共识的撰写；李蓉负责对文章的知识性内容作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批评性审阅、研究指导；共识专家组成员均参与了共识的讨论、修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改并提出意见</w:t>
      </w:r>
    </w:p>
    <w:p>
      <w:pPr>
        <w:ind w:left="2130"/>
        <w:spacing w:before="293" w:line="230" w:lineRule="exact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057" w:right="520" w:hanging="415"/>
        <w:spacing w:before="44" w:line="282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[1]       March  WA,  Moore  VM,  Willson  KJ, </w:t>
      </w:r>
      <w:r>
        <w:rPr>
          <w:sz w:val="15"/>
          <w:szCs w:val="15"/>
          <w:color w:val="231F20"/>
          <w:spacing w:val="-1"/>
        </w:rPr>
        <w:t xml:space="preserve"> et  al.  The  prevalence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"/>
        </w:rPr>
        <w:t>polycystic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"/>
        </w:rPr>
        <w:t>ovary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syndrome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in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community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sample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"/>
        </w:rPr>
        <w:t>assessed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under  contrasting  diagnosti</w:t>
      </w:r>
      <w:r>
        <w:rPr>
          <w:sz w:val="15"/>
          <w:szCs w:val="15"/>
          <w:color w:val="231F20"/>
          <w:spacing w:val="-1"/>
        </w:rPr>
        <w:t>c  criteria[J].  Hum  Reprod,  2010,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25(2):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544-551. DOI: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10.1093/humrep/</w:t>
      </w:r>
      <w:r>
        <w:rPr>
          <w:sz w:val="15"/>
          <w:szCs w:val="15"/>
          <w:color w:val="231F20"/>
          <w:spacing w:val="-1"/>
        </w:rPr>
        <w:t>dep399.</w:t>
      </w:r>
    </w:p>
    <w:p>
      <w:pPr>
        <w:pStyle w:val="BodyText"/>
        <w:ind w:left="1057" w:right="531" w:hanging="415"/>
        <w:spacing w:before="26" w:line="2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[2]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Dumesic</w:t>
      </w:r>
      <w:r>
        <w:rPr>
          <w:sz w:val="15"/>
          <w:szCs w:val="15"/>
          <w:color w:val="231F20"/>
          <w:spacing w:val="10"/>
          <w:w w:val="102"/>
        </w:rPr>
        <w:t xml:space="preserve">   </w:t>
      </w:r>
      <w:r>
        <w:rPr>
          <w:sz w:val="15"/>
          <w:szCs w:val="15"/>
          <w:color w:val="231F20"/>
        </w:rPr>
        <w:t>DA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</w:rPr>
        <w:t>Oberfield</w:t>
      </w:r>
      <w:r>
        <w:rPr>
          <w:sz w:val="15"/>
          <w:szCs w:val="15"/>
          <w:color w:val="231F20"/>
          <w:spacing w:val="10"/>
          <w:w w:val="102"/>
        </w:rPr>
        <w:t xml:space="preserve">   </w:t>
      </w:r>
      <w:r>
        <w:rPr>
          <w:sz w:val="15"/>
          <w:szCs w:val="15"/>
          <w:color w:val="231F20"/>
        </w:rPr>
        <w:t>SE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 </w:t>
      </w:r>
      <w:r>
        <w:rPr>
          <w:sz w:val="15"/>
          <w:szCs w:val="15"/>
          <w:color w:val="231F20"/>
        </w:rPr>
        <w:t>Stener</w:t>
      </w:r>
      <w:r>
        <w:rPr>
          <w:sz w:val="15"/>
          <w:szCs w:val="15"/>
          <w:color w:val="231F20"/>
          <w:spacing w:val="12"/>
        </w:rPr>
        <w:t>-</w:t>
      </w:r>
      <w:r>
        <w:rPr>
          <w:sz w:val="15"/>
          <w:szCs w:val="15"/>
          <w:color w:val="231F20"/>
        </w:rPr>
        <w:t>Victorin</w:t>
      </w:r>
      <w:r>
        <w:rPr>
          <w:sz w:val="15"/>
          <w:szCs w:val="15"/>
          <w:color w:val="231F20"/>
          <w:spacing w:val="10"/>
          <w:w w:val="102"/>
        </w:rPr>
        <w:t xml:space="preserve"> 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2"/>
        </w:rPr>
        <w:t xml:space="preserve"> 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Scientific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statement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diagnostic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criteria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epidemiology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pathophysiology,   and   molecular   genetics   of   polycys</w:t>
      </w:r>
      <w:r>
        <w:rPr>
          <w:sz w:val="15"/>
          <w:szCs w:val="15"/>
          <w:color w:val="231F20"/>
          <w:spacing w:val="2"/>
        </w:rPr>
        <w:t>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ovary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Endocr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Rev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2015,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36(5):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487-525.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1210/</w:t>
      </w:r>
      <w:r>
        <w:rPr>
          <w:sz w:val="15"/>
          <w:szCs w:val="15"/>
          <w:color w:val="231F20"/>
        </w:rPr>
        <w:t>er</w:t>
      </w:r>
      <w:r>
        <w:rPr>
          <w:sz w:val="15"/>
          <w:szCs w:val="15"/>
          <w:color w:val="231F20"/>
          <w:spacing w:val="3"/>
        </w:rPr>
        <w:t>.2015-1018.</w:t>
      </w:r>
    </w:p>
    <w:p>
      <w:pPr>
        <w:pStyle w:val="BodyText"/>
        <w:ind w:left="1057" w:right="531" w:hanging="415"/>
        <w:spacing w:before="29" w:line="278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[3]       Escobar-Morreale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HF.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Polycystic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ovary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syndrome: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definit</w:t>
      </w:r>
      <w:r>
        <w:rPr>
          <w:sz w:val="15"/>
          <w:szCs w:val="15"/>
          <w:color w:val="231F20"/>
          <w:spacing w:val="-1"/>
        </w:rPr>
        <w:t>ion,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aetiology,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diagnosis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3"/>
        </w:rPr>
        <w:t>[</w:t>
      </w:r>
      <w:r>
        <w:rPr>
          <w:sz w:val="15"/>
          <w:szCs w:val="15"/>
          <w:color w:val="231F20"/>
          <w:spacing w:val="2"/>
        </w:rPr>
        <w:t>J].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Nat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Rev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Endocrinol,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2018,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14(5):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270-284.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1038/</w:t>
      </w:r>
      <w:r>
        <w:rPr>
          <w:sz w:val="15"/>
          <w:szCs w:val="15"/>
          <w:color w:val="231F20"/>
        </w:rPr>
        <w:t>nrendo</w:t>
      </w:r>
      <w:r>
        <w:rPr>
          <w:sz w:val="15"/>
          <w:szCs w:val="15"/>
          <w:color w:val="231F20"/>
          <w:spacing w:val="4"/>
        </w:rPr>
        <w:t>.2018.</w:t>
      </w:r>
      <w:r>
        <w:rPr>
          <w:sz w:val="15"/>
          <w:szCs w:val="15"/>
          <w:color w:val="231F20"/>
          <w:spacing w:val="3"/>
        </w:rPr>
        <w:t>24.</w:t>
      </w:r>
    </w:p>
    <w:p>
      <w:pPr>
        <w:pStyle w:val="BodyText"/>
        <w:ind w:left="1057" w:right="535" w:hanging="415"/>
        <w:spacing w:before="29" w:line="28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[4]      </w:t>
      </w:r>
      <w:r>
        <w:rPr>
          <w:sz w:val="15"/>
          <w:szCs w:val="15"/>
          <w:color w:val="231F20"/>
        </w:rPr>
        <w:t>Teede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HJ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Misso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ML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Costello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MF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Recommendations </w:t>
      </w:r>
      <w:r>
        <w:rPr>
          <w:sz w:val="15"/>
          <w:szCs w:val="15"/>
          <w:color w:val="231F20"/>
          <w:spacing w:val="4"/>
        </w:rPr>
        <w:t>from  the  international  evidence</w:t>
      </w:r>
      <w:r>
        <w:rPr>
          <w:sz w:val="15"/>
          <w:szCs w:val="15"/>
          <w:color w:val="231F20"/>
          <w:spacing w:val="3"/>
        </w:rPr>
        <w:t>-based  guideline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for  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assessment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polycystic</w:t>
      </w:r>
      <w:r>
        <w:rPr>
          <w:sz w:val="15"/>
          <w:szCs w:val="15"/>
          <w:color w:val="231F20"/>
          <w:spacing w:val="7"/>
        </w:rPr>
        <w:t xml:space="preserve">      </w:t>
      </w:r>
      <w:r>
        <w:rPr>
          <w:sz w:val="15"/>
          <w:szCs w:val="15"/>
          <w:color w:val="231F20"/>
        </w:rPr>
        <w:t>ovary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</w:rPr>
        <w:t>Fertil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Steril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2018,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110(3):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5"/>
        </w:rPr>
        <w:t>364-379.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1016/j.</w:t>
      </w:r>
      <w:r>
        <w:rPr>
          <w:sz w:val="15"/>
          <w:szCs w:val="15"/>
          <w:color w:val="231F20"/>
        </w:rPr>
        <w:t>fertnstert</w:t>
      </w:r>
      <w:r>
        <w:rPr>
          <w:sz w:val="15"/>
          <w:szCs w:val="15"/>
          <w:color w:val="231F20"/>
          <w:spacing w:val="5"/>
        </w:rPr>
        <w:t>.2018.05.004.</w:t>
      </w:r>
    </w:p>
    <w:p>
      <w:pPr>
        <w:pStyle w:val="BodyText"/>
        <w:ind w:left="1052" w:right="532" w:hanging="411"/>
        <w:spacing w:before="30" w:line="28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[5]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Gibson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Helm</w:t>
      </w:r>
      <w:r>
        <w:rPr>
          <w:sz w:val="15"/>
          <w:szCs w:val="15"/>
          <w:color w:val="231F20"/>
          <w:spacing w:val="11"/>
          <w:w w:val="101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Teede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Dunaif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 </w:t>
      </w:r>
      <w:r>
        <w:rPr>
          <w:sz w:val="15"/>
          <w:szCs w:val="15"/>
          <w:color w:val="231F20"/>
        </w:rPr>
        <w:t>Delayed </w:t>
      </w:r>
      <w:r>
        <w:rPr>
          <w:sz w:val="15"/>
          <w:szCs w:val="15"/>
          <w:color w:val="231F20"/>
          <w:spacing w:val="4"/>
        </w:rPr>
        <w:t>diagnosis   and   a   lack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4"/>
        </w:rPr>
        <w:t>of  </w:t>
      </w:r>
      <w:r>
        <w:rPr>
          <w:sz w:val="15"/>
          <w:szCs w:val="15"/>
          <w:color w:val="231F20"/>
          <w:spacing w:val="3"/>
        </w:rPr>
        <w:t xml:space="preserve"> information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3"/>
        </w:rPr>
        <w:t>associated  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dissatisfaction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women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polycystic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ovary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Endocrinol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Metab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6"/>
        </w:rPr>
        <w:t>2017,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6"/>
        </w:rPr>
        <w:t>102(2):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604-61</w:t>
      </w:r>
      <w:r>
        <w:rPr>
          <w:sz w:val="15"/>
          <w:szCs w:val="15"/>
          <w:color w:val="231F20"/>
          <w:spacing w:val="5"/>
        </w:rPr>
        <w:t>2.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4"/>
        </w:rPr>
        <w:t>1210/</w:t>
      </w:r>
      <w:r>
        <w:rPr>
          <w:sz w:val="15"/>
          <w:szCs w:val="15"/>
          <w:color w:val="231F20"/>
        </w:rPr>
        <w:t>jc</w:t>
      </w:r>
      <w:r>
        <w:rPr>
          <w:sz w:val="15"/>
          <w:szCs w:val="15"/>
          <w:color w:val="231F20"/>
          <w:spacing w:val="4"/>
        </w:rPr>
        <w:t>.2016-2963.</w:t>
      </w:r>
    </w:p>
    <w:p>
      <w:pPr>
        <w:pStyle w:val="BodyText"/>
        <w:ind w:left="1056" w:right="536" w:hanging="415"/>
        <w:spacing w:before="29" w:line="22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[6]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中华人民共和国卫生行业标准《成人体重判定》</w:t>
      </w:r>
      <w:r>
        <w:rPr>
          <w:sz w:val="15"/>
          <w:szCs w:val="15"/>
          <w:color w:val="231F20"/>
          <w:spacing w:val="12"/>
        </w:rPr>
        <w:t>(</w:t>
      </w:r>
      <w:r>
        <w:rPr>
          <w:sz w:val="15"/>
          <w:szCs w:val="15"/>
          <w:color w:val="231F20"/>
        </w:rPr>
        <w:t>WS</w:t>
      </w:r>
      <w:r>
        <w:rPr>
          <w:sz w:val="15"/>
          <w:szCs w:val="15"/>
          <w:color w:val="231F20"/>
          <w:spacing w:val="12"/>
        </w:rPr>
        <w:t>/T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428-2013).</w:t>
      </w:r>
    </w:p>
    <w:p>
      <w:pPr>
        <w:pStyle w:val="BodyText"/>
        <w:ind w:left="1056" w:right="535" w:hanging="415"/>
        <w:spacing w:before="29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[7]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中国痤疮治疗指南专家组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中国痤疮治疗指南</w:t>
      </w:r>
      <w:r>
        <w:rPr>
          <w:sz w:val="15"/>
          <w:szCs w:val="15"/>
          <w:color w:val="231F20"/>
          <w:spacing w:val="7"/>
        </w:rPr>
        <w:t>(2019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修订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版</w:t>
      </w:r>
      <w:r>
        <w:rPr>
          <w:sz w:val="15"/>
          <w:szCs w:val="15"/>
          <w:color w:val="231F20"/>
          <w:spacing w:val="3"/>
        </w:rPr>
        <w:t>)[J].</w:t>
      </w:r>
      <w:r>
        <w:rPr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床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皮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肤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2019,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48(9):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583-588.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2"/>
        </w:rPr>
        <w:t>10.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16761/j.</w:t>
      </w:r>
      <w:r>
        <w:rPr>
          <w:sz w:val="15"/>
          <w:szCs w:val="15"/>
          <w:color w:val="231F20"/>
        </w:rPr>
        <w:t>cnki</w:t>
      </w:r>
      <w:r>
        <w:rPr>
          <w:sz w:val="15"/>
          <w:szCs w:val="15"/>
          <w:color w:val="231F20"/>
          <w:spacing w:val="5"/>
        </w:rPr>
        <w:t>.1000-4963.2019.09.020.</w:t>
      </w:r>
    </w:p>
    <w:p>
      <w:pPr>
        <w:pStyle w:val="BodyText"/>
        <w:ind w:left="1057" w:right="536" w:firstLine="2"/>
        <w:spacing w:before="70" w:line="26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Chinese    Acne    Treatment     Guidelines</w:t>
      </w:r>
      <w:r>
        <w:rPr>
          <w:sz w:val="15"/>
          <w:szCs w:val="15"/>
          <w:color w:val="231F20"/>
          <w:spacing w:val="9"/>
          <w:w w:val="101"/>
        </w:rPr>
        <w:t xml:space="preserve">    </w:t>
      </w:r>
      <w:r>
        <w:rPr>
          <w:sz w:val="15"/>
          <w:szCs w:val="15"/>
          <w:color w:val="231F20"/>
          <w:spacing w:val="3"/>
        </w:rPr>
        <w:t>Expert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  <w:spacing w:val="3"/>
        </w:rPr>
        <w:t>Group.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Guideline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and   treatment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acne</w:t>
      </w:r>
      <w:r>
        <w:rPr>
          <w:sz w:val="15"/>
          <w:szCs w:val="15"/>
          <w:color w:val="231F20"/>
          <w:spacing w:val="11"/>
        </w:rPr>
        <w:t xml:space="preserve">   (2019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revised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edition</w:t>
      </w:r>
      <w:r>
        <w:rPr>
          <w:sz w:val="15"/>
          <w:szCs w:val="15"/>
          <w:color w:val="231F20"/>
          <w:spacing w:val="6"/>
        </w:rPr>
        <w:t>)[J].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Dermatol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2019,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48(9):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583-588.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16761/j.</w:t>
      </w:r>
      <w:r>
        <w:rPr>
          <w:sz w:val="15"/>
          <w:szCs w:val="15"/>
          <w:color w:val="231F20"/>
        </w:rPr>
        <w:t>cnki</w:t>
      </w:r>
      <w:r>
        <w:rPr>
          <w:sz w:val="15"/>
          <w:szCs w:val="15"/>
          <w:color w:val="231F20"/>
          <w:spacing w:val="5"/>
        </w:rPr>
        <w:t>.1000-49</w:t>
      </w:r>
      <w:r>
        <w:rPr>
          <w:sz w:val="15"/>
          <w:szCs w:val="15"/>
          <w:color w:val="231F20"/>
          <w:spacing w:val="4"/>
        </w:rPr>
        <w:t>63.2019.09.020.</w:t>
      </w:r>
    </w:p>
    <w:p>
      <w:pPr>
        <w:pStyle w:val="BodyText"/>
        <w:ind w:left="1052" w:right="526" w:hanging="410"/>
        <w:spacing w:before="29" w:line="2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[8]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中华医学会妇产科学分会内分泌学组及指南专家组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多囊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卵巢综合征中国诊疗指南</w:t>
      </w:r>
      <w:r>
        <w:rPr>
          <w:sz w:val="15"/>
          <w:szCs w:val="15"/>
          <w:color w:val="231F20"/>
          <w:spacing w:val="11"/>
        </w:rPr>
        <w:t>[J].</w:t>
      </w:r>
      <w:r>
        <w:rPr>
          <w:sz w:val="15"/>
          <w:szCs w:val="15"/>
          <w:color w:val="231F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中华妇产科杂志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2018,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53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(1):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2-6.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.0529-567x</w:t>
      </w:r>
      <w:r>
        <w:rPr>
          <w:sz w:val="15"/>
          <w:szCs w:val="15"/>
          <w:color w:val="231F20"/>
          <w:spacing w:val="4"/>
        </w:rPr>
        <w:t>.2018.01.002.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Endocrinology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Group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Guidance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Expert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Group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Obstetrics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Gynecol</w:t>
      </w:r>
      <w:r>
        <w:rPr>
          <w:sz w:val="15"/>
          <w:szCs w:val="15"/>
          <w:color w:val="231F20"/>
          <w:spacing w:val="3"/>
        </w:rPr>
        <w:t>ogy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Branch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Medical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Association.   Guideline   for   diagnosis   and   treatment   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polycystic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ovary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7"/>
        </w:rPr>
        <w:t>[J].  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Obstet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Gynecol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2018,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53(1):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2-6.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.0529-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567x.2018.01.002.</w:t>
      </w:r>
    </w:p>
    <w:p>
      <w:pPr>
        <w:pStyle w:val="BodyText"/>
        <w:ind w:left="1053" w:right="530" w:hanging="412"/>
        <w:spacing w:before="1" w:line="28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[9]       Li  R,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Qiao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J,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Yang  D,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"/>
        </w:rPr>
        <w:t>Epidemiology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of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"/>
        </w:rPr>
        <w:t>hirsutism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</w:t>
      </w:r>
      <w:r>
        <w:rPr>
          <w:sz w:val="15"/>
          <w:szCs w:val="15"/>
          <w:color w:val="231F20"/>
          <w:spacing w:val="-2"/>
        </w:rPr>
        <w:t>mong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women  of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reproductive  age  in  the  co</w:t>
      </w:r>
      <w:r>
        <w:rPr>
          <w:sz w:val="15"/>
          <w:szCs w:val="15"/>
          <w:color w:val="231F20"/>
          <w:spacing w:val="-1"/>
        </w:rPr>
        <w:t>mmunity:  a  simplified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scoring  system[J].  Eur  </w:t>
      </w:r>
      <w:r>
        <w:rPr>
          <w:sz w:val="15"/>
          <w:szCs w:val="15"/>
          <w:color w:val="231F20"/>
          <w:spacing w:val="-1"/>
        </w:rPr>
        <w:t>J  Obstet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"/>
        </w:rPr>
        <w:t>Gynecol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"/>
        </w:rPr>
        <w:t>Reprod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"/>
        </w:rPr>
        <w:t>Biol,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"/>
        </w:rPr>
        <w:t>2012,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163(2):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165-169.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10.1</w:t>
      </w:r>
      <w:r>
        <w:rPr>
          <w:sz w:val="15"/>
          <w:szCs w:val="15"/>
          <w:color w:val="231F20"/>
          <w:spacing w:val="-1"/>
        </w:rPr>
        <w:t>016/j.ejogrb.2012.03.023.</w:t>
      </w:r>
    </w:p>
    <w:p>
      <w:pPr>
        <w:pStyle w:val="BodyText"/>
        <w:ind w:left="1055" w:right="537" w:hanging="502"/>
        <w:spacing w:before="29" w:line="18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[10]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中国医师协会美容与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整形医师分会毛发整形美容专业委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中国人雄激素性脱发诊疗指南</w:t>
      </w:r>
      <w:r>
        <w:rPr>
          <w:sz w:val="15"/>
          <w:szCs w:val="15"/>
          <w:color w:val="231F20"/>
          <w:spacing w:val="11"/>
        </w:rPr>
        <w:t>[J]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中国美容整形外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12" w:right="38" w:hanging="11"/>
        <w:spacing w:before="39" w:line="23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科杂志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2019,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30(1):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前插 </w:t>
      </w:r>
      <w:r>
        <w:rPr>
          <w:sz w:val="15"/>
          <w:szCs w:val="15"/>
          <w:color w:val="231F20"/>
          <w:spacing w:val="6"/>
        </w:rPr>
        <w:t>2</w:t>
      </w:r>
      <w:r>
        <w:rPr>
          <w:sz w:val="15"/>
          <w:szCs w:val="15"/>
          <w:color w:val="231F20"/>
          <w:spacing w:val="5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前插 </w:t>
      </w:r>
      <w:r>
        <w:rPr>
          <w:sz w:val="15"/>
          <w:szCs w:val="15"/>
          <w:color w:val="231F20"/>
          <w:spacing w:val="5"/>
        </w:rPr>
        <w:t>6.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10.3969/j.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1673-7040.2019.01.001.</w:t>
      </w:r>
    </w:p>
    <w:p>
      <w:pPr>
        <w:pStyle w:val="BodyText"/>
        <w:ind w:left="499" w:right="30" w:firstLine="8"/>
        <w:spacing w:before="1" w:line="282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Hair   Plastic   an</w:t>
      </w:r>
      <w:r>
        <w:rPr>
          <w:sz w:val="15"/>
          <w:szCs w:val="15"/>
          <w:color w:val="231F20"/>
          <w:spacing w:val="3"/>
        </w:rPr>
        <w:t>d   Cosmetic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3"/>
        </w:rPr>
        <w:t>Professional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3"/>
        </w:rPr>
        <w:t>Committee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Beauty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Plastic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Sur</w:t>
      </w:r>
      <w:r>
        <w:rPr>
          <w:sz w:val="15"/>
          <w:szCs w:val="15"/>
          <w:color w:val="231F20"/>
          <w:spacing w:val="3"/>
        </w:rPr>
        <w:t>gery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Branch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of  Chinese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Medical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Doctor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8"/>
        </w:rPr>
        <w:t>.    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of  androgenic   alopecia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3"/>
        </w:rPr>
        <w:t>[</w:t>
      </w:r>
      <w:r>
        <w:rPr>
          <w:sz w:val="15"/>
          <w:szCs w:val="15"/>
          <w:color w:val="231F20"/>
          <w:spacing w:val="2"/>
        </w:rPr>
        <w:t>J].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Chin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Aesth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Plast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2019,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8"/>
        </w:rPr>
        <w:t>30(1):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Front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insert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2-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Front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insert</w:t>
      </w:r>
    </w:p>
    <w:p>
      <w:pPr>
        <w:pStyle w:val="BodyText"/>
        <w:ind w:left="509"/>
        <w:spacing w:before="28" w:line="183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4"/>
          <w:position w:val="2"/>
        </w:rPr>
        <w:t>6.</w:t>
      </w:r>
      <w:r>
        <w:rPr>
          <w:sz w:val="15"/>
          <w:szCs w:val="15"/>
          <w:color w:val="231F20"/>
          <w:spacing w:val="28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DOI</w:t>
      </w:r>
      <w:r>
        <w:rPr>
          <w:sz w:val="15"/>
          <w:szCs w:val="15"/>
          <w:color w:val="231F20"/>
          <w:spacing w:val="4"/>
          <w:position w:val="2"/>
        </w:rPr>
        <w:t>:</w:t>
      </w:r>
      <w:r>
        <w:rPr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4"/>
          <w:position w:val="2"/>
        </w:rPr>
        <w:t>10.3969/j.</w:t>
      </w:r>
      <w:r>
        <w:rPr>
          <w:sz w:val="15"/>
          <w:szCs w:val="15"/>
          <w:color w:val="231F20"/>
          <w:position w:val="2"/>
        </w:rPr>
        <w:t>issn</w:t>
      </w:r>
      <w:r>
        <w:rPr>
          <w:sz w:val="15"/>
          <w:szCs w:val="15"/>
          <w:color w:val="231F20"/>
          <w:spacing w:val="4"/>
          <w:position w:val="2"/>
        </w:rPr>
        <w:t>.1673-7040.2019.01.001.</w:t>
      </w:r>
    </w:p>
    <w:p>
      <w:pPr>
        <w:pStyle w:val="BodyText"/>
        <w:ind w:left="498" w:right="35" w:hanging="498"/>
        <w:spacing w:before="30" w:line="28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[11]      </w:t>
      </w:r>
      <w:r>
        <w:rPr>
          <w:sz w:val="15"/>
          <w:szCs w:val="15"/>
          <w:color w:val="231F20"/>
        </w:rPr>
        <w:t>Ludwig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7"/>
        </w:rPr>
        <w:t>.   </w:t>
      </w:r>
      <w:r>
        <w:rPr>
          <w:sz w:val="15"/>
          <w:szCs w:val="15"/>
          <w:color w:val="231F20"/>
        </w:rPr>
        <w:t>Classification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types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androgenetic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alopecia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(</w:t>
      </w:r>
      <w:r>
        <w:rPr>
          <w:sz w:val="15"/>
          <w:szCs w:val="15"/>
          <w:color w:val="231F20"/>
        </w:rPr>
        <w:t>common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baldness</w:t>
      </w:r>
      <w:r>
        <w:rPr>
          <w:sz w:val="15"/>
          <w:szCs w:val="15"/>
          <w:color w:val="231F20"/>
          <w:spacing w:val="3"/>
        </w:rPr>
        <w:t>)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occurring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female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sex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Br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Dermatol</w:t>
      </w:r>
      <w:r>
        <w:rPr>
          <w:sz w:val="15"/>
          <w:szCs w:val="15"/>
          <w:color w:val="231F20"/>
          <w:spacing w:val="4"/>
        </w:rPr>
        <w:t>,   1977,   97(3):   247-2</w:t>
      </w:r>
      <w:r>
        <w:rPr>
          <w:sz w:val="15"/>
          <w:szCs w:val="15"/>
          <w:color w:val="231F20"/>
          <w:spacing w:val="3"/>
        </w:rPr>
        <w:t>54.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3"/>
        </w:rPr>
        <w:t>10.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1111/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j.1365-2133.1977.</w:t>
      </w:r>
      <w:r>
        <w:rPr>
          <w:sz w:val="15"/>
          <w:szCs w:val="15"/>
          <w:color w:val="231F20"/>
        </w:rPr>
        <w:t>tb</w:t>
      </w:r>
      <w:r>
        <w:rPr>
          <w:sz w:val="15"/>
          <w:szCs w:val="15"/>
          <w:color w:val="231F20"/>
          <w:spacing w:val="5"/>
        </w:rPr>
        <w:t>151</w:t>
      </w:r>
      <w:r>
        <w:rPr>
          <w:sz w:val="15"/>
          <w:szCs w:val="15"/>
          <w:color w:val="231F20"/>
          <w:spacing w:val="4"/>
        </w:rPr>
        <w:t>79.x.</w:t>
      </w:r>
    </w:p>
    <w:p>
      <w:pPr>
        <w:pStyle w:val="BodyText"/>
        <w:ind w:left="500" w:right="39" w:hanging="500"/>
        <w:spacing w:before="27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[12]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郭薇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王琳琳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多囊卵巢综合征评估和管理的国际循证指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南的建议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中华生殖与避孕杂志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20</w:t>
      </w:r>
      <w:r>
        <w:rPr>
          <w:sz w:val="15"/>
          <w:szCs w:val="15"/>
          <w:color w:val="231F20"/>
          <w:spacing w:val="6"/>
        </w:rPr>
        <w:t>19,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39(4):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6"/>
        </w:rPr>
        <w:t>259-268.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.2096-2916.2019.04.001.</w:t>
      </w:r>
    </w:p>
    <w:p>
      <w:pPr>
        <w:pStyle w:val="BodyText"/>
        <w:ind w:left="504" w:right="40" w:firstLine="2"/>
        <w:spacing w:before="26" w:line="283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Guo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8"/>
        </w:rPr>
        <w:t>, 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LL</w:t>
      </w:r>
      <w:r>
        <w:rPr>
          <w:sz w:val="15"/>
          <w:szCs w:val="15"/>
          <w:color w:val="231F20"/>
          <w:spacing w:val="8"/>
        </w:rPr>
        <w:t>.    </w:t>
      </w:r>
      <w:r>
        <w:rPr>
          <w:sz w:val="15"/>
          <w:szCs w:val="15"/>
          <w:color w:val="231F20"/>
        </w:rPr>
        <w:t>Recommendations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international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evidence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based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eval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uation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polycystic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ovary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9"/>
        </w:rPr>
        <w:t>[J].   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J </w:t>
      </w:r>
      <w:r>
        <w:rPr>
          <w:sz w:val="15"/>
          <w:szCs w:val="15"/>
          <w:color w:val="231F20"/>
        </w:rPr>
        <w:t>Reprod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Contracep</w:t>
      </w:r>
      <w:r>
        <w:rPr>
          <w:sz w:val="15"/>
          <w:szCs w:val="15"/>
          <w:color w:val="231F20"/>
          <w:spacing w:val="4"/>
        </w:rPr>
        <w:t>,  2019,  39(4):  259-268.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10.3760/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.2096-2916.2019.04.001.</w:t>
      </w:r>
    </w:p>
    <w:p>
      <w:pPr>
        <w:pStyle w:val="BodyText"/>
        <w:ind w:left="504" w:right="38" w:hanging="503"/>
        <w:spacing w:before="27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[13]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中国医师协会内分泌代谢科医师分会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多囊卵巢综合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征诊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治内分泌专家共识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中华内分泌代谢杂志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2018,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8"/>
        </w:rPr>
        <w:t>34(1):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1-7.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.1000-6699.2018.01.00</w:t>
      </w:r>
      <w:r>
        <w:rPr>
          <w:sz w:val="15"/>
          <w:szCs w:val="15"/>
          <w:color w:val="231F20"/>
          <w:spacing w:val="4"/>
        </w:rPr>
        <w:t>1.</w:t>
      </w:r>
    </w:p>
    <w:p>
      <w:pPr>
        <w:pStyle w:val="BodyText"/>
        <w:ind w:left="500" w:right="24" w:firstLine="8"/>
        <w:spacing w:before="29" w:line="28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Endocrine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Metabolism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Branch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of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"/>
        </w:rPr>
        <w:t>Chinese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1"/>
        </w:rPr>
        <w:t>Medical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1"/>
        </w:rPr>
        <w:t>Doctor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Association.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Expert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consensus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-1"/>
        </w:rPr>
        <w:t>iagnosis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and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treatment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polycystic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ovary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"/>
        </w:rPr>
        <w:t>syndrome[J].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"/>
        </w:rPr>
        <w:t>Chin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Endocrinol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"/>
        </w:rPr>
        <w:t>Metab,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"/>
        </w:rPr>
        <w:t>2018,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34(1):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1-7.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10.3760/cm</w:t>
      </w:r>
      <w:r>
        <w:rPr>
          <w:sz w:val="15"/>
          <w:szCs w:val="15"/>
          <w:color w:val="231F20"/>
          <w:spacing w:val="-1"/>
        </w:rPr>
        <w:t>a.j.issn.1000-6699.2018.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"/>
        </w:rPr>
        <w:t>01.001.</w:t>
      </w:r>
    </w:p>
    <w:p>
      <w:pPr>
        <w:pStyle w:val="BodyText"/>
        <w:ind w:left="503" w:right="29" w:hanging="502"/>
        <w:spacing w:before="29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[14]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钱荣立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6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关于糖尿病的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新诊断标准与分型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中国糖尿病杂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志</w:t>
      </w:r>
      <w:r>
        <w:rPr>
          <w:sz w:val="15"/>
          <w:szCs w:val="15"/>
          <w:color w:val="231F20"/>
          <w:spacing w:val="-3"/>
        </w:rPr>
        <w:t>, 2000, 8(1): 5-6. DOI: 10.3321/j.issn:1006-61</w:t>
      </w:r>
      <w:r>
        <w:rPr>
          <w:sz w:val="15"/>
          <w:szCs w:val="15"/>
          <w:color w:val="231F20"/>
          <w:spacing w:val="-4"/>
        </w:rPr>
        <w:t>87.2000.01.001.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Qian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RL.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New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diagnostic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criteria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classification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4"/>
        </w:rPr>
        <w:t>[J].    </w:t>
      </w:r>
      <w:r>
        <w:rPr>
          <w:sz w:val="15"/>
          <w:szCs w:val="15"/>
          <w:color w:val="231F20"/>
        </w:rPr>
        <w:t>Chin    J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4"/>
        </w:rPr>
        <w:t>,    2000,    8(1):    5-</w:t>
      </w:r>
      <w:r>
        <w:rPr>
          <w:sz w:val="15"/>
          <w:szCs w:val="15"/>
          <w:color w:val="231F20"/>
          <w:spacing w:val="3"/>
        </w:rPr>
        <w:t>6.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5"/>
        </w:rPr>
        <w:t>10.3321/j.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:1006-6187.2000.01.001.</w:t>
      </w:r>
    </w:p>
    <w:p>
      <w:pPr>
        <w:pStyle w:val="BodyText"/>
        <w:ind w:left="501" w:right="38" w:hanging="500"/>
        <w:spacing w:before="26" w:line="28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[15]      </w:t>
      </w:r>
      <w:r>
        <w:rPr>
          <w:sz w:val="15"/>
          <w:szCs w:val="15"/>
          <w:color w:val="231F20"/>
        </w:rPr>
        <w:t>Rotterdam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ESHRE</w:t>
      </w:r>
      <w:r>
        <w:rPr>
          <w:sz w:val="15"/>
          <w:szCs w:val="15"/>
          <w:color w:val="231F20"/>
          <w:spacing w:val="8"/>
        </w:rPr>
        <w:t>/</w:t>
      </w:r>
      <w:r>
        <w:rPr>
          <w:sz w:val="15"/>
          <w:szCs w:val="15"/>
          <w:color w:val="231F20"/>
        </w:rPr>
        <w:t>ASRM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Sponsored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PCOS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consensus </w:t>
      </w:r>
      <w:r>
        <w:rPr>
          <w:sz w:val="15"/>
          <w:szCs w:val="15"/>
          <w:color w:val="231F20"/>
        </w:rPr>
        <w:t>workshop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group</w:t>
      </w:r>
      <w:r>
        <w:rPr>
          <w:sz w:val="15"/>
          <w:szCs w:val="15"/>
          <w:color w:val="231F20"/>
          <w:spacing w:val="12"/>
        </w:rPr>
        <w:t>.  </w:t>
      </w:r>
      <w:r>
        <w:rPr>
          <w:sz w:val="15"/>
          <w:szCs w:val="15"/>
          <w:color w:val="231F20"/>
        </w:rPr>
        <w:t>Revised</w:t>
      </w:r>
      <w:r>
        <w:rPr>
          <w:sz w:val="15"/>
          <w:szCs w:val="15"/>
          <w:color w:val="231F20"/>
          <w:spacing w:val="12"/>
        </w:rPr>
        <w:t xml:space="preserve">  2003  </w:t>
      </w:r>
      <w:r>
        <w:rPr>
          <w:sz w:val="15"/>
          <w:szCs w:val="15"/>
          <w:color w:val="231F20"/>
        </w:rPr>
        <w:t>consensus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diagnostic </w:t>
      </w:r>
      <w:r>
        <w:rPr>
          <w:sz w:val="15"/>
          <w:szCs w:val="15"/>
          <w:color w:val="231F20"/>
          <w:spacing w:val="3"/>
        </w:rPr>
        <w:t>criteria  and  long-term  health  risks  related  to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polycystic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ovary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(</w:t>
      </w:r>
      <w:r>
        <w:rPr>
          <w:sz w:val="15"/>
          <w:szCs w:val="15"/>
          <w:color w:val="231F20"/>
        </w:rPr>
        <w:t>PCOS</w:t>
      </w:r>
      <w:r>
        <w:rPr>
          <w:sz w:val="15"/>
          <w:szCs w:val="15"/>
          <w:color w:val="231F20"/>
          <w:spacing w:val="6"/>
        </w:rPr>
        <w:t>)[J].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Hum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Reprod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6"/>
        </w:rPr>
        <w:t>2004,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19(1):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41-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47.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6"/>
        </w:rPr>
        <w:t>1093/</w:t>
      </w:r>
      <w:r>
        <w:rPr>
          <w:sz w:val="15"/>
          <w:szCs w:val="15"/>
          <w:color w:val="231F20"/>
        </w:rPr>
        <w:t>humrep</w:t>
      </w:r>
      <w:r>
        <w:rPr>
          <w:sz w:val="15"/>
          <w:szCs w:val="15"/>
          <w:color w:val="231F20"/>
          <w:spacing w:val="6"/>
        </w:rPr>
        <w:t>/</w:t>
      </w:r>
      <w:r>
        <w:rPr>
          <w:sz w:val="15"/>
          <w:szCs w:val="15"/>
          <w:color w:val="231F20"/>
        </w:rPr>
        <w:t>deh</w:t>
      </w:r>
      <w:r>
        <w:rPr>
          <w:sz w:val="15"/>
          <w:szCs w:val="15"/>
          <w:color w:val="231F20"/>
          <w:spacing w:val="6"/>
        </w:rPr>
        <w:t>098.</w:t>
      </w:r>
    </w:p>
    <w:p>
      <w:pPr>
        <w:pStyle w:val="BodyText"/>
        <w:ind w:left="502" w:right="38" w:hanging="501"/>
        <w:spacing w:before="28" w:line="27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[16]      Zouboulis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CC,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Rabe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T.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Hormonal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antiandrogens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2"/>
        </w:rPr>
        <w:t>acne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Dtsch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Dermatol</w:t>
      </w:r>
      <w:r>
        <w:rPr>
          <w:sz w:val="15"/>
          <w:szCs w:val="15"/>
          <w:color w:val="231F20"/>
          <w:spacing w:val="24"/>
          <w:w w:val="103"/>
        </w:rPr>
        <w:t xml:space="preserve"> </w:t>
      </w:r>
      <w:r>
        <w:rPr>
          <w:sz w:val="15"/>
          <w:szCs w:val="15"/>
          <w:color w:val="231F20"/>
        </w:rPr>
        <w:t>Ges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6"/>
        </w:rPr>
        <w:t>2010,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8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Suppl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S60-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S74.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1111/j.1610-0387.2009.0717</w:t>
      </w:r>
      <w:r>
        <w:rPr>
          <w:sz w:val="15"/>
          <w:szCs w:val="15"/>
          <w:color w:val="231F20"/>
          <w:spacing w:val="3"/>
        </w:rPr>
        <w:t>1.x.</w:t>
      </w:r>
    </w:p>
    <w:p>
      <w:pPr>
        <w:pStyle w:val="BodyText"/>
        <w:ind w:left="505" w:right="39" w:hanging="505"/>
        <w:spacing w:before="29" w:line="28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[17]      </w:t>
      </w:r>
      <w:r>
        <w:rPr>
          <w:sz w:val="15"/>
          <w:szCs w:val="15"/>
          <w:color w:val="231F20"/>
        </w:rPr>
        <w:t>Mancini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Cianciosi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Persico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Drospirenone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cardiovascular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risk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lean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obes</w:t>
      </w:r>
      <w:r>
        <w:rPr>
          <w:sz w:val="15"/>
          <w:szCs w:val="15"/>
          <w:color w:val="231F20"/>
          <w:spacing w:val="2"/>
        </w:rPr>
        <w:t>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2"/>
        </w:rPr>
        <w:t>polycystic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2"/>
        </w:rPr>
        <w:t>ovary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syndrome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patients: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pilot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study[J].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Am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Obstet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Gynecol,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2010,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1"/>
        </w:rPr>
        <w:t>202(2):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169.e1-e8.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10.101</w:t>
      </w:r>
      <w:r>
        <w:rPr>
          <w:sz w:val="15"/>
          <w:szCs w:val="15"/>
          <w:color w:val="231F20"/>
        </w:rPr>
        <w:t>6/j.ajog.2009.09.038.</w:t>
      </w:r>
    </w:p>
    <w:p>
      <w:pPr>
        <w:pStyle w:val="BodyText"/>
        <w:ind w:left="503" w:right="39" w:hanging="503"/>
        <w:spacing w:before="29" w:line="2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[18]    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Ruan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Comparing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adverse </w:t>
      </w:r>
      <w:r>
        <w:rPr>
          <w:sz w:val="15"/>
          <w:szCs w:val="15"/>
          <w:color w:val="231F20"/>
          <w:spacing w:val="3"/>
        </w:rPr>
        <w:t>pregnancy  outcomes  of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Chinese  patients  with  polycystic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ovary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without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antiandrogenic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pretreatment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</w:rPr>
        <w:t>Fertil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Steril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2018,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109(4):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720-727.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5"/>
        </w:rPr>
        <w:t>1016/j.</w:t>
      </w:r>
      <w:r>
        <w:rPr>
          <w:sz w:val="15"/>
          <w:szCs w:val="15"/>
          <w:color w:val="231F20"/>
        </w:rPr>
        <w:t>fertnstert</w:t>
      </w:r>
      <w:r>
        <w:rPr>
          <w:sz w:val="15"/>
          <w:szCs w:val="15"/>
          <w:color w:val="231F20"/>
          <w:spacing w:val="5"/>
        </w:rPr>
        <w:t>.2017.12.023.</w:t>
      </w:r>
    </w:p>
    <w:p>
      <w:pPr>
        <w:pStyle w:val="BodyText"/>
        <w:ind w:left="502" w:right="38" w:hanging="503"/>
        <w:spacing w:before="29" w:line="2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[19]       </w:t>
      </w:r>
      <w:r>
        <w:rPr>
          <w:sz w:val="15"/>
          <w:szCs w:val="15"/>
          <w:color w:val="231F20"/>
        </w:rPr>
        <w:t>Pan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JX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Ke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ZH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</w:t>
      </w:r>
      <w:r>
        <w:rPr>
          <w:sz w:val="15"/>
          <w:szCs w:val="15"/>
          <w:color w:val="231F20"/>
        </w:rPr>
        <w:t>Successive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cyclic </w:t>
      </w:r>
      <w:r>
        <w:rPr>
          <w:sz w:val="15"/>
          <w:szCs w:val="15"/>
          <w:color w:val="231F20"/>
        </w:rPr>
        <w:t>oral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contraceptive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pill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pretreatment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improves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IVF</w:t>
      </w:r>
      <w:r>
        <w:rPr>
          <w:sz w:val="15"/>
          <w:szCs w:val="15"/>
          <w:color w:val="231F20"/>
          <w:spacing w:val="7"/>
        </w:rPr>
        <w:t>/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ICSI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PCOS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ameliorates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hyperandrogenism  and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antral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folli</w:t>
      </w:r>
      <w:r>
        <w:rPr>
          <w:sz w:val="15"/>
          <w:szCs w:val="15"/>
          <w:color w:val="231F20"/>
          <w:spacing w:val="2"/>
        </w:rPr>
        <w:t>cle   excess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2"/>
        </w:rPr>
        <w:t>Gynecol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Endocrinol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4"/>
        </w:rPr>
        <w:t>2015,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4"/>
        </w:rPr>
        <w:t>31(4):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4"/>
        </w:rPr>
        <w:t>332-336.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   10.3109/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09513590.2014.995621.</w:t>
      </w:r>
    </w:p>
    <w:p>
      <w:pPr>
        <w:pStyle w:val="BodyText"/>
        <w:ind w:left="506" w:right="38" w:hanging="505"/>
        <w:spacing w:before="2" w:line="28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[20]      </w:t>
      </w:r>
      <w:r>
        <w:rPr>
          <w:sz w:val="15"/>
          <w:szCs w:val="15"/>
          <w:color w:val="231F20"/>
        </w:rPr>
        <w:t>SOGC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Reproductive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Endocrinology</w:t>
      </w:r>
      <w:r>
        <w:rPr>
          <w:sz w:val="15"/>
          <w:szCs w:val="15"/>
          <w:color w:val="231F20"/>
          <w:spacing w:val="6"/>
        </w:rPr>
        <w:t xml:space="preserve">  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5"/>
        </w:rPr>
        <w:t xml:space="preserve">      </w:t>
      </w:r>
      <w:r>
        <w:rPr>
          <w:sz w:val="15"/>
          <w:szCs w:val="15"/>
          <w:color w:val="231F20"/>
        </w:rPr>
        <w:t>Infertility </w:t>
      </w:r>
      <w:r>
        <w:rPr>
          <w:sz w:val="15"/>
          <w:szCs w:val="15"/>
          <w:color w:val="231F20"/>
        </w:rPr>
        <w:t>Committee</w:t>
      </w:r>
      <w:r>
        <w:rPr>
          <w:sz w:val="15"/>
          <w:szCs w:val="15"/>
          <w:color w:val="231F20"/>
          <w:spacing w:val="9"/>
        </w:rPr>
        <w:t>.    </w:t>
      </w:r>
      <w:r>
        <w:rPr>
          <w:sz w:val="15"/>
          <w:szCs w:val="15"/>
          <w:color w:val="231F20"/>
        </w:rPr>
        <w:t>Ovulation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induction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polycystic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ovary </w:t>
      </w:r>
      <w:r>
        <w:rPr>
          <w:sz w:val="15"/>
          <w:szCs w:val="15"/>
          <w:color w:val="231F20"/>
        </w:rPr>
        <w:t>syndrome</w:t>
      </w:r>
      <w:r>
        <w:rPr>
          <w:sz w:val="15"/>
          <w:szCs w:val="15"/>
          <w:color w:val="231F20"/>
          <w:spacing w:val="7"/>
        </w:rPr>
        <w:t>[J].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Obstet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Gynaecol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Can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2010,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32(5):  495-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502.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1016/S1701-2163(16)34778-8.</w:t>
      </w:r>
    </w:p>
    <w:p>
      <w:pPr>
        <w:pStyle w:val="BodyText"/>
        <w:ind w:left="505" w:right="34" w:hanging="504"/>
        <w:spacing w:before="28" w:line="28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[21]</w:t>
      </w:r>
      <w:r>
        <w:rPr>
          <w:sz w:val="15"/>
          <w:szCs w:val="15"/>
          <w:color w:val="231F20"/>
          <w:spacing w:val="3"/>
        </w:rPr>
        <w:t xml:space="preserve">       </w:t>
      </w:r>
      <w:r>
        <w:rPr>
          <w:sz w:val="15"/>
          <w:szCs w:val="15"/>
          <w:color w:val="231F20"/>
        </w:rPr>
        <w:t>Roque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  Tostes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AC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Valle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Letrozole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versus </w:t>
      </w:r>
      <w:r>
        <w:rPr>
          <w:sz w:val="15"/>
          <w:szCs w:val="15"/>
          <w:color w:val="231F20"/>
          <w:spacing w:val="-1"/>
        </w:rPr>
        <w:t>clomiphene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"/>
        </w:rPr>
        <w:t>citrate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in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polycystic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ovary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"/>
        </w:rPr>
        <w:t>syndrome: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</w:t>
      </w:r>
      <w:r>
        <w:rPr>
          <w:sz w:val="15"/>
          <w:szCs w:val="15"/>
          <w:color w:val="231F20"/>
          <w:spacing w:val="-2"/>
        </w:rPr>
        <w:t>ystematic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10"/>
        </w:rPr>
        <w:t>[J].   </w:t>
      </w:r>
      <w:r>
        <w:rPr>
          <w:sz w:val="15"/>
          <w:szCs w:val="15"/>
          <w:color w:val="231F20"/>
        </w:rPr>
        <w:t>Gynecol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Endocrinol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10"/>
        </w:rPr>
        <w:t>2015,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31(12): 917-921. DOI: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10.3109/09513590.2015.1096337.</w:t>
      </w:r>
    </w:p>
    <w:sectPr>
      <w:type w:val="continuous"/>
      <w:pgSz w:w="12246" w:h="16498"/>
      <w:pgMar w:top="1221" w:right="1265" w:bottom="0" w:left="819" w:header="971" w:footer="0" w:gutter="0"/>
      <w:cols w:equalWidth="0" w:num="2">
        <w:col w:w="5555" w:space="100"/>
        <w:col w:w="450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75pt;margin-top:260.882pt;mso-position-vertical-relative:page;mso-position-horizontal-relative:page;width:267pt;height:30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27"/>
      <w:spacing w:before="36" w:line="18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_x0000_s8" style="position:absolute;margin-left:24.5598pt;margin-top:1.25724pt;mso-position-vertical-relative:text;mso-position-horizontal-relative:text;width:33.95pt;height:13.8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40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338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中华生殖与避孕杂志 2023 年 4 月第 43 卷第 4 期    Chin J Reprod Contracep, April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2023,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43,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2" style="position:absolute;margin-left:175pt;margin-top:260.882pt;mso-position-vertical-relative:page;mso-position-horizontal-relative:page;width:267pt;height:306pt;z-index:-251656192;" o:allowincell="f" filled="false" stroked="false" type="#_x0000_t75">
          <v:imagedata o:title="" r:id="rId1"/>
        </v:shape>
      </w:pict>
    </w:r>
    <w:r>
      <w:pict>
        <v:shape id="_x0000_s14" style="position:absolute;margin-left:475.111pt;margin-top:1.25724pt;mso-position-vertical-relative:text;mso-position-horizontal-relative:text;width:33.95pt;height:13.8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40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339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中华生殖与避孕杂志 2023 年 4 月第 43 卷第 4 期    Chin J Reprod Contracep, April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2023,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43,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27"/>
      <w:spacing w:before="36" w:line="18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_x0000_s18" style="position:absolute;margin-left:24.5598pt;margin-top:1.25724pt;mso-position-vertical-relative:text;mso-position-horizontal-relative:text;width:33.95pt;height:13.8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40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340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中华生殖与避孕杂志 2023 年 4 月第 43 卷第 4 期    Chin J Reprod Contracep, April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2023,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43,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22" style="position:absolute;margin-left:175pt;margin-top:260.882pt;mso-position-vertical-relative:page;mso-position-horizontal-relative:page;width:267pt;height:306pt;z-index:-251653120;" o:allowincell="f" filled="false" stroked="false" type="#_x0000_t75">
          <v:imagedata o:title="" r:id="rId1"/>
        </v:shape>
      </w:pict>
    </w:r>
    <w:r>
      <w:pict>
        <v:shape id="_x0000_s24" style="position:absolute;margin-left:475.111pt;margin-top:1.25484pt;mso-position-vertical-relative:text;mso-position-horizontal-relative:text;width:33.95pt;height:13.8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6"/>
                    <w:w w:val="103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9"/>
                    <w:w w:val="10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6"/>
                    <w:w w:val="103"/>
                  </w:rPr>
                  <w:t>341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6"/>
                    <w:w w:val="103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中华生殖与避孕杂志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年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0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4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43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卷第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4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Chin J Reprod Contracep,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April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Vol. 43,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4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27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_x0000_s28" style="position:absolute;margin-left:24.5598pt;margin-top:1.25484pt;mso-position-vertical-relative:text;mso-position-horizontal-relative:text;width:33.95pt;height:13.8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1"/>
                    <w:w w:val="111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9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1"/>
                    <w:w w:val="111"/>
                  </w:rPr>
                  <w:t>342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1"/>
                    <w:w w:val="11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中华生殖与避孕杂志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年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0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4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43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卷第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4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Chin J Reprod Contracep,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April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Vol. 43,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_x0000_s32" style="position:absolute;margin-left:475.111pt;margin-top:1.25724pt;mso-position-vertical-relative:text;mso-position-horizontal-relative:text;width:33.95pt;height:13.8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40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343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中华生殖与避孕杂志 2023 年 4 月第 43 卷第 4 期    Chin J Reprod Contracep, April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2023,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43,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4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27"/>
      <w:spacing w:before="36" w:line="18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6" style="position:absolute;margin-left:175pt;margin-top:260.882pt;mso-position-vertical-relative:page;mso-position-horizontal-relative:page;width:267pt;height:306pt;z-index:-251649024;" o:allowincell="f" filled="false" stroked="false" type="#_x0000_t75">
          <v:imagedata o:title="" r:id="rId1"/>
        </v:shape>
      </w:pict>
    </w:r>
    <w:r>
      <w:pict>
        <v:shape id="_x0000_s38" style="position:absolute;margin-left:24.5598pt;margin-top:1.25724pt;mso-position-vertical-relative:text;mso-position-horizontal-relative:text;width:33.95pt;height:13.8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40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344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中华生殖与避孕杂志 2023 年 4 月第 43 卷第 4 期    Chin J Reprod Contracep, April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2023,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43,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4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42" style="position:absolute;margin-left:175pt;margin-top:260.882pt;mso-position-vertical-relative:page;mso-position-horizontal-relative:page;width:267pt;height:306pt;z-index:-251646976;" o:allowincell="f" filled="false" stroked="false" type="#_x0000_t75">
          <v:imagedata o:title="" r:id="rId1"/>
        </v:shape>
      </w:pict>
    </w:r>
    <w:r>
      <w:pict>
        <v:shape id="WordPictureWatermark44" style="position:absolute;margin-left:40.9952pt;margin-top:761.949pt;mso-position-vertical-relative:page;mso-position-horizontal-relative:page;width:220.95pt;height:24pt;z-index:-251645952;" o:allowincell="f" filled="false" stroked="false" type="#_x0000_t75">
          <v:imagedata o:title="" r:id="rId2"/>
        </v:shape>
      </w:pict>
    </w:r>
    <w:r>
      <w:pict>
        <v:shape id="_x0000_s46" style="position:absolute;margin-left:475.111pt;margin-top:1.25484pt;mso-position-vertical-relative:text;mso-position-horizontal-relative:text;width:33.95pt;height:13.8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2"/>
                    <w:w w:val="109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40"/>
                    <w:w w:val="10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2"/>
                    <w:w w:val="109"/>
                  </w:rPr>
                  <w:t>345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2"/>
                    <w:w w:val="109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中华生殖与避孕杂志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年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0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4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43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卷第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4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1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Chin J Reprod Contracep,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April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Vol. 43,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mbria" w:hAnsi="Cambria" w:eastAsia="Cambria" w:cs="Cambria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header" Target="header3.xml"/><Relationship Id="rId7" Type="http://schemas.openxmlformats.org/officeDocument/2006/relationships/image" Target="media/image5.png"/><Relationship Id="rId6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2" Type="http://schemas.openxmlformats.org/officeDocument/2006/relationships/image" Target="media/image2.png"/><Relationship Id="rId19" Type="http://schemas.openxmlformats.org/officeDocument/2006/relationships/header" Target="header9.xml"/><Relationship Id="rId18" Type="http://schemas.openxmlformats.org/officeDocument/2006/relationships/header" Target="header8.xml"/><Relationship Id="rId17" Type="http://schemas.openxmlformats.org/officeDocument/2006/relationships/image" Target="media/image10.png"/><Relationship Id="rId16" Type="http://schemas.openxmlformats.org/officeDocument/2006/relationships/header" Target="header7.xml"/><Relationship Id="rId15" Type="http://schemas.openxmlformats.org/officeDocument/2006/relationships/image" Target="media/image9.png"/><Relationship Id="rId14" Type="http://schemas.openxmlformats.org/officeDocument/2006/relationships/header" Target="header6.xml"/><Relationship Id="rId13" Type="http://schemas.openxmlformats.org/officeDocument/2006/relationships/image" Target="media/image8.png"/><Relationship Id="rId12" Type="http://schemas.openxmlformats.org/officeDocument/2006/relationships/header" Target="header5.xml"/><Relationship Id="rId11" Type="http://schemas.openxmlformats.org/officeDocument/2006/relationships/image" Target="media/image7.png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多囊卵巢综合征诊治路径专家共识</dc:title>
  <dc:subject>中华生殖与避孕杂志2023年04期</dc:subject>
  <dc:creator>多囊卵巢综合征诊治路径专家共识编写组</dc:creator>
  <cp:keywords>多囊卵巢综合征; 临床路径; 诊治</cp:keywords>
  <dcterms:created xsi:type="dcterms:W3CDTF">2023-04-23T09:39:53Z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2025-10-28T22:20:55</vt:filetime>
  </property>
</Properties>
</file>