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spacing w:before="65" w:line="188" w:lineRule="auto"/>
        <w:jc w:val="right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u w:val="single" w:color="auto"/>
          <w:color w:val="231F20"/>
          <w:spacing w:val="-1"/>
        </w:rPr>
        <w:t>中国实用妇科与产科杂志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"/>
        </w:rPr>
        <w:t>2023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6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年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"/>
        </w:rPr>
        <w:t>12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6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月第</w:t>
      </w:r>
      <w:r>
        <w:rPr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"/>
        </w:rPr>
        <w:t>39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卷 第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"/>
        </w:rPr>
        <w:t>12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期</w:t>
      </w:r>
      <w:r>
        <w:rPr>
          <w:sz w:val="15"/>
          <w:szCs w:val="15"/>
          <w:color w:val="231F20"/>
          <w:spacing w:val="-1"/>
        </w:rPr>
        <w:t xml:space="preserve">                                                                                                                   </w:t>
      </w:r>
      <w:r>
        <w:rPr>
          <w:sz w:val="15"/>
          <w:szCs w:val="15"/>
          <w:color w:val="231F20"/>
          <w:spacing w:val="-2"/>
        </w:rPr>
        <w:t xml:space="preserve">  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·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1201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·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8966"/>
        <w:spacing w:before="86" w:line="188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13"/>
          <w:w w:val="150"/>
        </w:rPr>
        <w:t>临床指南</w:t>
      </w:r>
    </w:p>
    <w:p>
      <w:pPr>
        <w:ind w:left="874"/>
        <w:spacing w:before="11" w:line="200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5"/>
          <w:position w:val="2"/>
        </w:rPr>
        <w:t>DOI</w:t>
      </w:r>
      <w:r>
        <w:rPr>
          <w:rFonts w:ascii="SimHei" w:hAnsi="SimHei" w:eastAsia="SimHei" w:cs="SimHei"/>
          <w:sz w:val="15"/>
          <w:szCs w:val="15"/>
          <w:color w:val="231F20"/>
          <w:spacing w:val="-5"/>
          <w:position w:val="2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5"/>
          <w:position w:val="2"/>
        </w:rPr>
        <w:t>10.</w:t>
      </w:r>
      <w:r>
        <w:rPr>
          <w:rFonts w:ascii="Arial" w:hAnsi="Arial" w:eastAsia="Arial" w:cs="Arial"/>
          <w:sz w:val="15"/>
          <w:szCs w:val="15"/>
          <w:color w:val="231F20"/>
          <w:spacing w:val="-2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  <w:position w:val="2"/>
        </w:rPr>
        <w:t>19538/j.fk2023120113</w:t>
      </w:r>
    </w:p>
    <w:p>
      <w:pPr>
        <w:pStyle w:val="BodyText"/>
        <w:ind w:right="6"/>
        <w:spacing w:before="359" w:line="205" w:lineRule="auto"/>
        <w:jc w:val="right"/>
        <w:rPr>
          <w:sz w:val="41"/>
          <w:szCs w:val="41"/>
        </w:rPr>
      </w:pPr>
      <w:r>
        <w:rPr>
          <w:sz w:val="41"/>
          <w:szCs w:val="41"/>
          <w:color w:val="231F20"/>
          <w:spacing w:val="-5"/>
        </w:rPr>
        <w:t>子宫颈癌抗血管生成药物临床应用指南（</w:t>
      </w:r>
      <w:r>
        <w:rPr>
          <w:rFonts w:ascii="Arial" w:hAnsi="Arial" w:eastAsia="Arial" w:cs="Arial"/>
          <w:sz w:val="41"/>
          <w:szCs w:val="41"/>
          <w:color w:val="231F20"/>
          <w:spacing w:val="-5"/>
        </w:rPr>
        <w:t>2023</w:t>
      </w:r>
      <w:r>
        <w:rPr>
          <w:rFonts w:ascii="Arial" w:hAnsi="Arial" w:eastAsia="Arial" w:cs="Arial"/>
          <w:sz w:val="41"/>
          <w:szCs w:val="41"/>
          <w:color w:val="231F20"/>
          <w:spacing w:val="-31"/>
        </w:rPr>
        <w:t xml:space="preserve"> </w:t>
      </w:r>
      <w:r>
        <w:rPr>
          <w:sz w:val="41"/>
          <w:szCs w:val="41"/>
          <w:color w:val="231F20"/>
          <w:spacing w:val="-5"/>
        </w:rPr>
        <w:t>年版）</w:t>
      </w:r>
    </w:p>
    <w:p>
      <w:pPr>
        <w:pStyle w:val="BodyText"/>
        <w:ind w:left="4109"/>
        <w:spacing w:before="200" w:line="204" w:lineRule="auto"/>
        <w:outlineLvl w:val="0"/>
        <w:rPr>
          <w:sz w:val="20"/>
          <w:szCs w:val="20"/>
        </w:rPr>
      </w:pPr>
      <w:r>
        <w:rPr>
          <w:sz w:val="20"/>
          <w:szCs w:val="20"/>
          <w:color w:val="231F20"/>
          <w:spacing w:val="7"/>
        </w:rPr>
        <w:t>中国抗癌协会宫颈癌专业委员会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1241"/>
        <w:spacing w:before="73" w:line="205" w:lineRule="auto"/>
        <w:rPr/>
      </w:pPr>
      <w:r>
        <w:rPr>
          <w:rFonts w:ascii="SimHei" w:hAnsi="SimHei" w:eastAsia="SimHei" w:cs="SimHei"/>
          <w:color w:val="231F20"/>
          <w:spacing w:val="-7"/>
        </w:rPr>
        <w:t>关键词：</w:t>
      </w:r>
      <w:r>
        <w:rPr>
          <w:color w:val="231F20"/>
          <w:spacing w:val="-7"/>
        </w:rPr>
        <w:t>子宫颈癌；抗血管生成；指南</w:t>
      </w:r>
    </w:p>
    <w:p>
      <w:pPr>
        <w:pStyle w:val="BodyText"/>
        <w:ind w:left="1232"/>
        <w:spacing w:before="10" w:line="22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231F20"/>
          <w:spacing w:val="-7"/>
        </w:rPr>
        <w:t>Keywords</w:t>
      </w:r>
      <w:r>
        <w:rPr>
          <w:color w:val="231F20"/>
          <w:spacing w:val="-7"/>
        </w:rPr>
        <w:t>：</w:t>
      </w:r>
      <w:r>
        <w:rPr>
          <w:rFonts w:ascii="Arial" w:hAnsi="Arial" w:eastAsia="Arial" w:cs="Arial"/>
          <w:color w:val="231F20"/>
          <w:spacing w:val="-7"/>
        </w:rPr>
        <w:t>cervical cancer</w:t>
      </w:r>
      <w:r>
        <w:rPr>
          <w:color w:val="231F20"/>
          <w:spacing w:val="-7"/>
        </w:rPr>
        <w:t>；</w:t>
      </w:r>
      <w:r>
        <w:rPr>
          <w:rFonts w:ascii="Arial" w:hAnsi="Arial" w:eastAsia="Arial" w:cs="Arial"/>
          <w:color w:val="231F20"/>
          <w:spacing w:val="-7"/>
        </w:rPr>
        <w:t>angiogenesis inhibitors</w:t>
      </w:r>
      <w:r>
        <w:rPr>
          <w:color w:val="231F20"/>
          <w:spacing w:val="-7"/>
        </w:rPr>
        <w:t>；</w:t>
      </w:r>
      <w:r>
        <w:rPr>
          <w:rFonts w:ascii="Arial" w:hAnsi="Arial" w:eastAsia="Arial" w:cs="Arial"/>
          <w:color w:val="231F20"/>
          <w:spacing w:val="-7"/>
        </w:rPr>
        <w:t>guideline</w:t>
      </w:r>
    </w:p>
    <w:p>
      <w:pPr>
        <w:ind w:left="1248"/>
        <w:spacing w:before="50" w:line="229" w:lineRule="auto"/>
        <w:rPr>
          <w:rFonts w:ascii="Arial" w:hAnsi="Arial" w:eastAsia="Arial" w:cs="Arial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5"/>
        </w:rPr>
        <w:t>中图分类号：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R737.3        </w:t>
      </w:r>
      <w:r>
        <w:rPr>
          <w:rFonts w:ascii="SimHei" w:hAnsi="SimHei" w:eastAsia="SimHei" w:cs="SimHei"/>
          <w:sz w:val="17"/>
          <w:szCs w:val="17"/>
          <w:color w:val="231F20"/>
          <w:spacing w:val="-5"/>
        </w:rPr>
        <w:t>文献标志码：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A</w:t>
      </w:r>
    </w:p>
    <w:p>
      <w:pPr>
        <w:spacing w:line="207" w:lineRule="exact"/>
        <w:rPr/>
      </w:pPr>
      <w:r/>
    </w:p>
    <w:p>
      <w:pPr>
        <w:spacing w:line="207" w:lineRule="exact"/>
        <w:sectPr>
          <w:headerReference w:type="default" r:id="rId1"/>
          <w:pgSz w:w="11906" w:h="16838"/>
          <w:pgMar w:top="400" w:right="1100" w:bottom="0" w:left="407" w:header="0" w:footer="0" w:gutter="0"/>
          <w:cols w:equalWidth="0" w:num="1">
            <w:col w:w="10397" w:space="0"/>
          </w:cols>
        </w:sectPr>
        <w:rPr/>
      </w:pPr>
    </w:p>
    <w:p>
      <w:pPr>
        <w:ind w:left="883"/>
        <w:spacing w:before="42" w:line="231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5"/>
        </w:rPr>
        <w:t>1</w:t>
      </w:r>
      <w:r>
        <w:rPr>
          <w:rFonts w:ascii="SimHei" w:hAnsi="SimHei" w:eastAsia="SimHei" w:cs="SimHei"/>
          <w:sz w:val="17"/>
          <w:szCs w:val="17"/>
          <w:color w:val="231F20"/>
          <w:spacing w:val="17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5"/>
        </w:rPr>
        <w:t>引言</w:t>
      </w:r>
    </w:p>
    <w:p>
      <w:pPr>
        <w:pStyle w:val="BodyText"/>
        <w:ind w:left="871" w:right="174" w:firstLine="306"/>
        <w:spacing w:before="102" w:line="237" w:lineRule="auto"/>
        <w:jc w:val="both"/>
        <w:rPr/>
      </w:pPr>
      <w:r>
        <w:rPr>
          <w:color w:val="231F20"/>
          <w:spacing w:val="12"/>
        </w:rPr>
        <w:t>在全球范围内，子宫颈癌的发病率和死亡率位居女性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恶性肿瘤的第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7"/>
        </w:rPr>
        <w:t>4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7"/>
        </w:rPr>
        <w:t>位</w:t>
      </w:r>
      <w:r>
        <w:rPr>
          <w:sz w:val="9"/>
          <w:szCs w:val="9"/>
          <w:color w:val="231F20"/>
          <w:spacing w:val="7"/>
          <w:position w:val="6"/>
        </w:rPr>
        <w:t>［1］</w:t>
      </w:r>
      <w:r>
        <w:rPr>
          <w:color w:val="231F20"/>
          <w:spacing w:val="7"/>
        </w:rPr>
        <w:t>。随着人乳头瘤病毒疫苗接种的普及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和规范化筛查的开展，在欧美等发达国家子宫颈癌的发病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7"/>
        </w:rPr>
        <w:t>率已显著下降，而在包括我国在内等一些相对欠发达国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家，子宫颈癌仍是最常见的女性生殖道恶性肿瘤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4"/>
        </w:rPr>
        <w:t>。2022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4"/>
        </w:rPr>
        <w:t>年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我国新发子宫颈癌 111 820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例，死亡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61579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例，严重影响了</w:t>
      </w:r>
      <w:r>
        <w:rPr>
          <w:color w:val="231F20"/>
        </w:rPr>
        <w:t xml:space="preserve"> </w:t>
      </w:r>
      <w:r>
        <w:rPr>
          <w:color w:val="231F20"/>
          <w:position w:val="-1"/>
        </w:rPr>
        <w:t>女性的身心健康</w:t>
      </w:r>
      <w:r>
        <w:rPr>
          <w:sz w:val="9"/>
          <w:szCs w:val="9"/>
          <w:color w:val="231F20"/>
          <w:position w:val="6"/>
        </w:rPr>
        <w:t>［2］</w:t>
      </w:r>
      <w:r>
        <w:rPr>
          <w:color w:val="231F20"/>
          <w:position w:val="-1"/>
        </w:rPr>
        <w:t>。</w:t>
      </w:r>
    </w:p>
    <w:p>
      <w:pPr>
        <w:pStyle w:val="BodyText"/>
        <w:ind w:left="868" w:right="174" w:firstLine="358"/>
        <w:spacing w:before="10" w:line="235" w:lineRule="auto"/>
        <w:jc w:val="both"/>
        <w:rPr/>
      </w:pPr>
      <w:r>
        <w:rPr>
          <w:color w:val="231F20"/>
          <w:spacing w:val="2"/>
        </w:rPr>
        <w:t>早期子宫颈癌预后好，但转移和复发患者预后极差，中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1"/>
        </w:rPr>
        <w:t>位总生存期（overall survival，mOS）约为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1"/>
        </w:rPr>
        <w:t>7~12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1"/>
        </w:rPr>
        <w:t>个月，5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1"/>
        </w:rPr>
        <w:t>年总生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存率仅为 17%</w:t>
      </w:r>
      <w:r>
        <w:rPr>
          <w:sz w:val="9"/>
          <w:szCs w:val="9"/>
          <w:color w:val="231F20"/>
          <w:spacing w:val="-3"/>
          <w:position w:val="6"/>
        </w:rPr>
        <w:t>［3-4］</w:t>
      </w:r>
      <w:r>
        <w:rPr>
          <w:color w:val="231F20"/>
          <w:spacing w:val="-9"/>
        </w:rPr>
        <w:t>。新生血管（neovascularization）在子宫颈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0"/>
        </w:rPr>
        <w:t>癌的发生发展中发挥了重要作用，也成为子</w:t>
      </w:r>
      <w:r>
        <w:rPr>
          <w:color w:val="231F20"/>
          <w:spacing w:val="9"/>
        </w:rPr>
        <w:t>宫颈癌靶向治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疗的重要靶点之一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。抗血管生成药物的干预，</w:t>
      </w:r>
      <w:r>
        <w:rPr>
          <w:color w:val="231F20"/>
          <w:spacing w:val="8"/>
        </w:rPr>
        <w:t>可使肿瘤新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生血管正常化或降低新生血管密度，从而延</w:t>
      </w:r>
      <w:r>
        <w:rPr>
          <w:color w:val="231F20"/>
          <w:spacing w:val="9"/>
        </w:rPr>
        <w:t>缓肿瘤生长甚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至杀灭肿瘤，已成为治疗子宫颈癌的重要方法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。已有证据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显示，抗血管生成药物与其他系统治疗药物</w:t>
      </w:r>
      <w:r>
        <w:rPr>
          <w:color w:val="231F20"/>
          <w:spacing w:val="9"/>
        </w:rPr>
        <w:t>，包括化疗和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免疫治疗联合具有协同作用。</w:t>
      </w:r>
    </w:p>
    <w:p>
      <w:pPr>
        <w:pStyle w:val="BodyText"/>
        <w:ind w:left="869" w:right="110" w:firstLine="396"/>
        <w:spacing w:before="1" w:line="237" w:lineRule="auto"/>
        <w:jc w:val="both"/>
        <w:rPr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550882</wp:posOffset>
            </wp:positionH>
            <wp:positionV relativeFrom="paragraph">
              <wp:posOffset>1891563</wp:posOffset>
            </wp:positionV>
            <wp:extent cx="1259988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998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4"/>
        </w:rPr>
        <w:t>目前，靶向肿瘤血管新生的药物可分为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4"/>
        </w:rPr>
        <w:t>3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类</w:t>
      </w:r>
      <w:r>
        <w:rPr>
          <w:sz w:val="9"/>
          <w:szCs w:val="9"/>
          <w:color w:val="231F20"/>
          <w:spacing w:val="4"/>
          <w:position w:val="6"/>
        </w:rPr>
        <w:t>［5</w:t>
      </w:r>
      <w:r>
        <w:rPr>
          <w:sz w:val="9"/>
          <w:szCs w:val="9"/>
          <w:color w:val="231F20"/>
          <w:spacing w:val="13"/>
          <w:position w:val="6"/>
        </w:rPr>
        <w:t>］</w:t>
      </w:r>
      <w:r>
        <w:rPr>
          <w:color w:val="231F20"/>
          <w:spacing w:val="-14"/>
          <w:w w:val="22"/>
        </w:rPr>
        <w:t>：</w:t>
      </w:r>
      <w:r>
        <w:rPr>
          <w:color w:val="231F20"/>
          <w:spacing w:val="4"/>
        </w:rPr>
        <w:t>靶向血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管内皮生长因子（vascular endothelial gro</w:t>
      </w:r>
      <w:r>
        <w:rPr>
          <w:color w:val="231F20"/>
          <w:spacing w:val="-10"/>
        </w:rPr>
        <w:t>wth factor receptor，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VEGF）及其受体（vascular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1"/>
        </w:rPr>
        <w:t>endothelial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1"/>
        </w:rPr>
        <w:t>growth f</w:t>
      </w:r>
      <w:r>
        <w:rPr>
          <w:color w:val="231F20"/>
          <w:spacing w:val="-12"/>
        </w:rPr>
        <w:t>actor receptor，</w:t>
      </w:r>
      <w:r>
        <w:rPr>
          <w:color w:val="231F20"/>
        </w:rPr>
        <w:t xml:space="preserve"> </w:t>
      </w:r>
      <w:r>
        <w:rPr>
          <w:color w:val="231F20"/>
        </w:rPr>
        <w:t>VEGFR</w:t>
      </w:r>
      <w:r>
        <w:rPr>
          <w:color w:val="231F20"/>
          <w:spacing w:val="5"/>
        </w:rPr>
        <w:t>）的大分子单克隆抗体、靶点包括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VEGFR</w:t>
      </w:r>
      <w:r>
        <w:rPr>
          <w:color w:val="231F20"/>
          <w:spacing w:val="5"/>
        </w:rPr>
        <w:t xml:space="preserve"> 的多靶点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小分子酪氨酸激酶抑制剂（tyrosine kinase inhibit</w:t>
      </w:r>
      <w:r>
        <w:rPr>
          <w:color w:val="231F20"/>
          <w:spacing w:val="-7"/>
        </w:rPr>
        <w:t>or，TKI）和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重组人血管内皮抑制素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6"/>
        </w:rPr>
        <w:t>。贝伐（珠）单抗是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VEGFR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6"/>
        </w:rPr>
        <w:t>类药物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的经典代表，已在我国获批用于晚期、复发和转移性子宫  </w:t>
      </w:r>
      <w:r>
        <w:rPr>
          <w:color w:val="231F20"/>
          <w:spacing w:val="16"/>
        </w:rPr>
        <w:t>颈癌的治疗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6"/>
        </w:rPr>
        <w:t>。阿帕替尼等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TKIs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6"/>
        </w:rPr>
        <w:t>也证实对子宫颈癌有效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6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有研究初步证实重组人血管内皮抑制素对子宫颈癌有效，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3"/>
        </w:rPr>
        <w:t>但缺少高质量证据，本指南不做推荐。</w:t>
      </w:r>
    </w:p>
    <w:p>
      <w:pPr>
        <w:pStyle w:val="BodyText"/>
        <w:ind w:left="870" w:right="119" w:firstLine="325"/>
        <w:spacing w:before="266" w:line="250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基金项目：广州市重大技术项目（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>2023P-</w:t>
      </w:r>
      <w:r>
        <w:rPr>
          <w:rFonts w:ascii="Arial" w:hAnsi="Arial" w:eastAsia="Arial" w:cs="Arial"/>
          <w:sz w:val="15"/>
          <w:szCs w:val="15"/>
          <w:color w:val="231F20"/>
        </w:rPr>
        <w:t>ZD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>12</w:t>
      </w:r>
      <w:r>
        <w:rPr>
          <w:sz w:val="15"/>
          <w:szCs w:val="15"/>
          <w:color w:val="231F20"/>
          <w:spacing w:val="-24"/>
          <w:w w:val="67"/>
        </w:rPr>
        <w:t>）；</w:t>
      </w:r>
      <w:r>
        <w:rPr>
          <w:sz w:val="15"/>
          <w:szCs w:val="15"/>
          <w:color w:val="231F20"/>
          <w:spacing w:val="6"/>
        </w:rPr>
        <w:t>广东省基础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3"/>
        </w:rPr>
        <w:t>与 应 用 基 础 研 究 基 金（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2023A1515012647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2021A1515111177</w:t>
      </w:r>
      <w:r>
        <w:rPr>
          <w:sz w:val="15"/>
          <w:szCs w:val="15"/>
          <w:color w:val="231F20"/>
          <w:spacing w:val="-3"/>
        </w:rPr>
        <w:t>，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>021A1515220142</w:t>
      </w:r>
      <w:r>
        <w:rPr>
          <w:sz w:val="15"/>
          <w:szCs w:val="15"/>
          <w:color w:val="231F20"/>
          <w:spacing w:val="-29"/>
          <w:w w:val="81"/>
        </w:rPr>
        <w:t>）；</w:t>
      </w:r>
      <w:r>
        <w:rPr>
          <w:sz w:val="15"/>
          <w:szCs w:val="15"/>
          <w:color w:val="231F20"/>
          <w:spacing w:val="6"/>
        </w:rPr>
        <w:t>广东省医学科学技术研</w:t>
      </w:r>
      <w:r>
        <w:rPr>
          <w:sz w:val="15"/>
          <w:szCs w:val="15"/>
          <w:color w:val="231F20"/>
          <w:spacing w:val="5"/>
        </w:rPr>
        <w:t>究基金（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>A2022285</w:t>
      </w:r>
      <w:r>
        <w:rPr>
          <w:sz w:val="15"/>
          <w:szCs w:val="15"/>
          <w:color w:val="231F20"/>
          <w:spacing w:val="-29"/>
          <w:w w:val="81"/>
        </w:rPr>
        <w:t>）；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1"/>
        </w:rPr>
        <w:t>逸仙临床研究培育项目（</w:t>
      </w:r>
      <w:r>
        <w:rPr>
          <w:rFonts w:ascii="Arial" w:hAnsi="Arial" w:eastAsia="Arial" w:cs="Arial"/>
          <w:sz w:val="15"/>
          <w:szCs w:val="15"/>
          <w:color w:val="231F20"/>
        </w:rPr>
        <w:t>SYS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>-Q-202203</w:t>
      </w:r>
      <w:r>
        <w:rPr>
          <w:sz w:val="15"/>
          <w:szCs w:val="15"/>
          <w:color w:val="231F20"/>
          <w:spacing w:val="1"/>
        </w:rPr>
        <w:t>，</w:t>
      </w:r>
      <w:r>
        <w:rPr>
          <w:rFonts w:ascii="Arial" w:hAnsi="Arial" w:eastAsia="Arial" w:cs="Arial"/>
          <w:sz w:val="15"/>
          <w:szCs w:val="15"/>
          <w:color w:val="231F20"/>
        </w:rPr>
        <w:t>SYS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>-Q-202207</w:t>
      </w:r>
      <w:r>
        <w:rPr>
          <w:sz w:val="15"/>
          <w:szCs w:val="15"/>
          <w:color w:val="231F20"/>
          <w:spacing w:val="-20"/>
          <w:w w:val="56"/>
        </w:rPr>
        <w:t>）；</w:t>
      </w:r>
      <w:r>
        <w:rPr>
          <w:sz w:val="15"/>
          <w:szCs w:val="15"/>
          <w:color w:val="231F20"/>
          <w:spacing w:val="1"/>
        </w:rPr>
        <w:t>希思科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>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</w:rPr>
        <w:t>桐树基因肿瘤研究基金项目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2021</w:t>
      </w:r>
      <w:r>
        <w:rPr>
          <w:rFonts w:ascii="Arial" w:hAnsi="Arial" w:eastAsia="Arial" w:cs="Arial"/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</w:rPr>
        <w:t>年度（</w:t>
      </w:r>
      <w:r>
        <w:rPr>
          <w:rFonts w:ascii="Arial" w:hAnsi="Arial" w:eastAsia="Arial" w:cs="Arial"/>
          <w:sz w:val="15"/>
          <w:szCs w:val="15"/>
          <w:color w:val="231F20"/>
        </w:rPr>
        <w:t>Y-tongshu2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021/ms-0133</w:t>
      </w:r>
      <w:r>
        <w:rPr>
          <w:sz w:val="15"/>
          <w:szCs w:val="15"/>
          <w:color w:val="231F20"/>
          <w:spacing w:val="-1"/>
        </w:rPr>
        <w:t>）</w:t>
      </w:r>
    </w:p>
    <w:p>
      <w:pPr>
        <w:pStyle w:val="BodyText"/>
        <w:ind w:left="870" w:right="121" w:firstLine="329"/>
        <w:spacing w:before="1" w:line="230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12"/>
        </w:rPr>
        <w:t>通讯作者：李晶，中山大学孙逸仙纪念医院妇科肿瘤专科，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2"/>
        </w:rPr>
        <w:t>广东 广州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510120</w:t>
      </w:r>
      <w:r>
        <w:rPr>
          <w:sz w:val="15"/>
          <w:szCs w:val="15"/>
          <w:color w:val="231F20"/>
          <w:spacing w:val="-2"/>
        </w:rPr>
        <w:t>，电子信箱：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lijing228@mail.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sysu.edu.cn</w:t>
      </w:r>
      <w:r>
        <w:rPr>
          <w:sz w:val="15"/>
          <w:szCs w:val="15"/>
          <w:color w:val="231F20"/>
          <w:spacing w:val="-3"/>
        </w:rPr>
        <w:t>；林仲秋，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中山大学孙逸仙纪念医院妇科肿瘤专科，广东 广州 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>510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120</w:t>
      </w:r>
      <w:r>
        <w:rPr>
          <w:sz w:val="15"/>
          <w:szCs w:val="15"/>
          <w:color w:val="231F20"/>
          <w:spacing w:val="4"/>
        </w:rPr>
        <w:t>，电子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4"/>
        </w:rPr>
        <w:t>信箱：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lin-zhongqiu@163.com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0" w:right="175" w:firstLine="366"/>
        <w:spacing w:before="37" w:line="235" w:lineRule="auto"/>
        <w:jc w:val="both"/>
        <w:rPr/>
      </w:pPr>
      <w:r>
        <w:rPr>
          <w:color w:val="231F20"/>
          <w:spacing w:val="9"/>
        </w:rPr>
        <w:t>随着更多血管新生靶点的开发和药物可及性的不断提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9"/>
        </w:rPr>
        <w:t>高，抗血管生成药物已成为子宫颈癌综合治疗中不可或缺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5"/>
        </w:rPr>
        <w:t>的重要手段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5"/>
        </w:rPr>
        <w:t>。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5"/>
        </w:rPr>
        <w:t>中国抗癌协会宫颈癌专业委员会对现有子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宫颈癌抗血管生成药物临床应用的证据进行了总结，在我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9"/>
        </w:rPr>
        <w:t>国临床实践特点背景下制订了本指南，以指导我国子宫颈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9"/>
        </w:rPr>
        <w:t>癌治疗中抗血管生成药物的规范应用和科学管理，提高我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8"/>
        </w:rPr>
        <w:t>国子宫颈癌规范化治疗水平。</w:t>
      </w:r>
    </w:p>
    <w:p>
      <w:pPr>
        <w:ind w:left="90"/>
        <w:spacing w:before="265" w:line="229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2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指南制定方法学</w:t>
      </w:r>
    </w:p>
    <w:p>
      <w:pPr>
        <w:pStyle w:val="BodyText"/>
        <w:ind w:firstLine="445"/>
        <w:spacing w:before="74" w:line="232" w:lineRule="auto"/>
        <w:rPr/>
      </w:pPr>
      <w:r>
        <w:rPr>
          <w:color w:val="231F20"/>
          <w:spacing w:val="10"/>
        </w:rPr>
        <w:t>本指南由专家组组长与执笔者基于临床研究</w:t>
      </w:r>
      <w:r>
        <w:rPr>
          <w:color w:val="231F20"/>
          <w:spacing w:val="9"/>
        </w:rPr>
        <w:t>证据和临</w:t>
      </w:r>
      <w:r>
        <w:rPr>
          <w:color w:val="231F20"/>
        </w:rPr>
        <w:t xml:space="preserve">    </w:t>
      </w:r>
      <w:r>
        <w:rPr>
          <w:color w:val="231F20"/>
          <w:spacing w:val="-2"/>
        </w:rPr>
        <w:t>床经验，整理形成初稿，检索数据库包括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PubMed、E</w:t>
      </w:r>
      <w:r>
        <w:rPr>
          <w:color w:val="231F20"/>
          <w:spacing w:val="-3"/>
        </w:rPr>
        <w:t>mbase、</w:t>
      </w:r>
      <w:r>
        <w:rPr>
          <w:color w:val="231F20"/>
        </w:rPr>
        <w:t xml:space="preserve">  </w:t>
      </w:r>
      <w:r>
        <w:rPr>
          <w:color w:val="231F20"/>
        </w:rPr>
        <w:t>CNKI</w:t>
      </w:r>
      <w:r>
        <w:rPr>
          <w:color w:val="231F20"/>
          <w:spacing w:val="3"/>
        </w:rPr>
        <w:t>、万方等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3"/>
        </w:rPr>
        <w:t>。英文文献检索主题词为“</w:t>
      </w:r>
      <w:r>
        <w:rPr>
          <w:color w:val="231F20"/>
        </w:rPr>
        <w:t>antiangiogenesis</w:t>
      </w:r>
      <w:r>
        <w:rPr>
          <w:color w:val="231F20"/>
          <w:spacing w:val="3"/>
        </w:rPr>
        <w:t>”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“cervical    cancer”“tyrosine    kinase    inhib</w:t>
      </w:r>
      <w:r>
        <w:rPr>
          <w:color w:val="231F20"/>
          <w:spacing w:val="-9"/>
        </w:rPr>
        <w:t>itor”“vascular</w:t>
      </w:r>
    </w:p>
    <w:p>
      <w:pPr>
        <w:pStyle w:val="BodyText"/>
        <w:ind w:right="2255" w:firstLine="90"/>
        <w:spacing w:before="1" w:line="232" w:lineRule="auto"/>
        <w:rPr/>
      </w:pPr>
      <w:r>
        <w:pict>
          <v:shape id="_x0000_s4" style="position:absolute;margin-left:169.188pt;margin-top:-0.936901pt;mso-position-vertical-relative:text;mso-position-horizontal-relative:text;width:69.7pt;height:30.3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3" w:lineRule="auto"/>
                    <w:rPr/>
                  </w:pPr>
                  <w:r>
                    <w:rPr>
                      <w:color w:val="231F20"/>
                      <w:spacing w:val="-5"/>
                    </w:rPr>
                    <w:t>“bevacizumab”</w:t>
                  </w:r>
                </w:p>
                <w:p>
                  <w:pPr>
                    <w:pStyle w:val="BodyText"/>
                    <w:ind w:right="20"/>
                    <w:spacing w:line="232" w:lineRule="auto"/>
                    <w:jc w:val="right"/>
                    <w:rPr/>
                  </w:pPr>
                  <w:r>
                    <w:rPr>
                      <w:color w:val="231F20"/>
                      <w:spacing w:val="3"/>
                    </w:rPr>
                    <w:t>“</w:t>
                  </w:r>
                  <w:r>
                    <w:rPr>
                      <w:color w:val="231F20"/>
                    </w:rPr>
                    <w:t>lenvatinib</w:t>
                  </w:r>
                  <w:r>
                    <w:rPr>
                      <w:color w:val="231F20"/>
                      <w:spacing w:val="3"/>
                    </w:rPr>
                    <w:t>”</w:t>
                  </w:r>
                </w:p>
              </w:txbxContent>
            </v:textbox>
          </v:shape>
        </w:pict>
      </w:r>
      <w:r>
        <w:pict>
          <v:shape id="_x0000_s6" style="position:absolute;margin-left:157.679pt;margin-top:-0.234905pt;mso-position-vertical-relative:text;mso-position-horizontal-relative:text;width:14.55pt;height:4.4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47" w:lineRule="exact"/>
                    <w:rPr/>
                  </w:pPr>
                  <w:r>
                    <w:rPr>
                      <w:color w:val="231F20"/>
                      <w:spacing w:val="38"/>
                      <w:w w:val="125"/>
                      <w:position w:val="-10"/>
                    </w:rPr>
                    <w:t>”</w:t>
                  </w:r>
                </w:p>
              </w:txbxContent>
            </v:textbox>
          </v:shape>
        </w:pict>
      </w:r>
      <w:r>
        <w:pict>
          <v:shape id="_x0000_s8" style="position:absolute;margin-left:122.794pt;margin-top:2.05104pt;mso-position-vertical-relative:text;mso-position-horizontal-relative:text;width:60.25pt;height:27.3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29"/>
                    <w:spacing w:before="20" w:line="170" w:lineRule="exact"/>
                    <w:rPr/>
                  </w:pPr>
                  <w:r>
                    <w:rPr>
                      <w:color w:val="231F20"/>
                      <w:spacing w:val="-13"/>
                      <w:position w:val="2"/>
                    </w:rPr>
                    <w:t>receptor</w:t>
                  </w:r>
                </w:p>
                <w:p>
                  <w:pPr>
                    <w:pStyle w:val="BodyText"/>
                    <w:ind w:left="20"/>
                    <w:spacing w:before="51" w:line="233" w:lineRule="auto"/>
                    <w:rPr/>
                  </w:pPr>
                  <w:r>
                    <w:rPr>
                      <w:color w:val="231F20"/>
                      <w:spacing w:val="-2"/>
                    </w:rPr>
                    <w:t>“cetuximab”</w:t>
                  </w:r>
                </w:p>
              </w:txbxContent>
            </v:textbox>
          </v:shape>
        </w:pict>
      </w:r>
      <w:r>
        <w:rPr>
          <w:color w:val="231F20"/>
          <w:spacing w:val="-15"/>
        </w:rPr>
        <w:t>endothelial</w:t>
      </w:r>
      <w:r>
        <w:rPr>
          <w:color w:val="231F20"/>
          <w:spacing w:val="9"/>
        </w:rPr>
        <w:t xml:space="preserve">     </w:t>
      </w:r>
      <w:r>
        <w:rPr>
          <w:color w:val="231F20"/>
          <w:spacing w:val="-15"/>
        </w:rPr>
        <w:t>growth</w:t>
      </w:r>
      <w:r>
        <w:rPr>
          <w:color w:val="231F20"/>
          <w:spacing w:val="6"/>
        </w:rPr>
        <w:t xml:space="preserve">     </w:t>
      </w:r>
      <w:r>
        <w:rPr>
          <w:color w:val="231F20"/>
          <w:spacing w:val="-15"/>
        </w:rPr>
        <w:t>factor</w:t>
      </w:r>
      <w:r>
        <w:rPr>
          <w:color w:val="231F20"/>
        </w:rPr>
        <w:t xml:space="preserve">     </w:t>
      </w:r>
      <w:r>
        <w:rPr>
          <w:color w:val="231F20"/>
          <w:spacing w:val="-8"/>
        </w:rPr>
        <w:t>“ramucirumab”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“pazopanib”</w:t>
      </w:r>
    </w:p>
    <w:p>
      <w:pPr>
        <w:pStyle w:val="BodyText"/>
        <w:ind w:left="86" w:right="175" w:hanging="87"/>
        <w:spacing w:before="8" w:line="237" w:lineRule="auto"/>
        <w:jc w:val="both"/>
        <w:rPr/>
      </w:pPr>
      <w:r>
        <w:rPr>
          <w:color w:val="231F20"/>
          <w:spacing w:val="-16"/>
        </w:rPr>
        <w:t>“anlotinib”“cediranib</w:t>
      </w:r>
      <w:r>
        <w:rPr>
          <w:color w:val="231F20"/>
          <w:spacing w:val="-17"/>
        </w:rPr>
        <w:t>”“apatinib”“sunitinib”等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7"/>
        </w:rPr>
        <w:t>。然后由编写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专家组对指南内容进行讨论确定推荐意见，最后由专委会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6"/>
        </w:rPr>
        <w:t>指南编写专家委员会审定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。指南中的推荐意见是基于循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证医学证据和专家组广泛认可的临床经验而形成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。指南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推 荐 等 级 遵 循“ 美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国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2"/>
        </w:rPr>
        <w:t>国 立 综 合 癌 症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2"/>
        </w:rPr>
        <w:t>网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"/>
        </w:rPr>
        <w:t>络（N</w:t>
      </w:r>
      <w:r>
        <w:rPr>
          <w:color w:val="231F20"/>
          <w:spacing w:val="-3"/>
        </w:rPr>
        <w:t>ational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Comprehensive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9"/>
        </w:rPr>
        <w:t>Cancer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9"/>
        </w:rPr>
        <w:t>Network，NCCN）指南证</w:t>
      </w:r>
      <w:r>
        <w:rPr>
          <w:color w:val="231F20"/>
          <w:spacing w:val="-10"/>
        </w:rPr>
        <w:t>据级别和推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荐等级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5"/>
        </w:rPr>
        <w:t>”分级法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5"/>
        </w:rPr>
        <w:t>。见表 1。</w:t>
      </w:r>
    </w:p>
    <w:p>
      <w:pPr>
        <w:ind w:left="92"/>
        <w:spacing w:before="244" w:line="229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3</w:t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子宫颈癌抗血管生成药物使用概况和靶点比较</w:t>
      </w:r>
    </w:p>
    <w:p>
      <w:pPr>
        <w:pStyle w:val="BodyText"/>
        <w:ind w:left="86" w:right="110" w:firstLine="398"/>
        <w:spacing w:before="83" w:line="227" w:lineRule="auto"/>
        <w:jc w:val="both"/>
        <w:rPr/>
      </w:pPr>
      <w:r>
        <w:rPr>
          <w:color w:val="231F20"/>
          <w:spacing w:val="8"/>
        </w:rPr>
        <w:t>目前，子宫颈癌治疗中抗血管生成药物的作用通路主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要集中在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VEGF</w:t>
      </w:r>
      <w:r>
        <w:rPr>
          <w:color w:val="231F20"/>
          <w:spacing w:val="6"/>
        </w:rPr>
        <w:t>-</w:t>
      </w:r>
      <w:r>
        <w:rPr>
          <w:color w:val="231F20"/>
        </w:rPr>
        <w:t>VEGFR</w:t>
      </w:r>
      <w:r>
        <w:rPr>
          <w:color w:val="231F20"/>
          <w:spacing w:val="6"/>
        </w:rPr>
        <w:t>，其中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VEGFR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6"/>
        </w:rPr>
        <w:t>激活，特别是胞内段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活化，是启动血管新生的关键事件</w:t>
      </w:r>
      <w:r>
        <w:rPr>
          <w:sz w:val="9"/>
          <w:szCs w:val="9"/>
          <w:color w:val="231F20"/>
          <w:spacing w:val="2"/>
          <w:position w:val="6"/>
        </w:rPr>
        <w:t>［5-7］</w:t>
      </w:r>
      <w:r>
        <w:rPr>
          <w:color w:val="231F20"/>
          <w:spacing w:val="2"/>
        </w:rPr>
        <w:t>。</w:t>
      </w:r>
      <w:r>
        <w:rPr>
          <w:color w:val="231F20"/>
        </w:rPr>
        <w:t>VEGFR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包括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3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个家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族成员：</w:t>
      </w:r>
      <w:r>
        <w:rPr>
          <w:color w:val="231F20"/>
        </w:rPr>
        <w:t>VEGFR</w:t>
      </w:r>
      <w:r>
        <w:rPr>
          <w:color w:val="231F20"/>
          <w:spacing w:val="7"/>
        </w:rPr>
        <w:t>-1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7"/>
        </w:rPr>
        <w:t>主要作用于造血干细胞、单核细胞和巨</w:t>
      </w:r>
      <w:r>
        <w:rPr>
          <w:color w:val="231F20"/>
        </w:rPr>
        <w:t xml:space="preserve">  </w:t>
      </w:r>
      <w:r>
        <w:rPr>
          <w:color w:val="231F20"/>
        </w:rPr>
        <w:t>噬细胞，负责细胞的招募、激活和迁移；VEGFR-2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主要调节  </w:t>
      </w:r>
      <w:r>
        <w:rPr>
          <w:color w:val="231F20"/>
          <w:spacing w:val="7"/>
        </w:rPr>
        <w:t>血管内皮功能；</w:t>
      </w:r>
      <w:r>
        <w:rPr>
          <w:color w:val="231F20"/>
        </w:rPr>
        <w:t>VEGFR</w:t>
      </w:r>
      <w:r>
        <w:rPr>
          <w:color w:val="231F20"/>
          <w:spacing w:val="7"/>
        </w:rPr>
        <w:t>-3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7"/>
        </w:rPr>
        <w:t>调节淋巴管内皮细胞的功能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7"/>
        </w:rPr>
        <w:t>。因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此，</w:t>
      </w:r>
      <w:r>
        <w:rPr>
          <w:color w:val="231F20"/>
        </w:rPr>
        <w:t>VEGFR</w:t>
      </w:r>
      <w:r>
        <w:rPr>
          <w:color w:val="231F20"/>
          <w:spacing w:val="8"/>
        </w:rPr>
        <w:t>-2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8"/>
        </w:rPr>
        <w:t>是调节血管新生的主要靶点，该受体在多种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恶性肿瘤中高表达，是目前肿瘤治疗中主要针对的靶点。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VEGFR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13"/>
        </w:rPr>
        <w:t>三种受体结构相似，使得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VEGFR</w:t>
      </w:r>
      <w:r>
        <w:rPr>
          <w:color w:val="231F20"/>
          <w:spacing w:val="13"/>
        </w:rPr>
        <w:t>-2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3"/>
        </w:rPr>
        <w:t>抑制剂可同时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抑制其他两种受体并阻断相应功能，如同时抑制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VEGFR</w:t>
      </w:r>
      <w:r>
        <w:rPr>
          <w:color w:val="231F20"/>
          <w:spacing w:val="8"/>
        </w:rPr>
        <w:t>-1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可强化对肿瘤细胞迁移的抑制，而抑制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VEGFR</w:t>
      </w:r>
      <w:r>
        <w:rPr>
          <w:color w:val="231F20"/>
          <w:spacing w:val="7"/>
        </w:rPr>
        <w:t>-3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7"/>
        </w:rPr>
        <w:t>则可减少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淋巴转移。此外，一些酪氨酸激酶受体家族成员，包</w:t>
      </w:r>
      <w:r>
        <w:rPr>
          <w:color w:val="231F20"/>
          <w:spacing w:val="2"/>
        </w:rPr>
        <w:t>括血小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板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源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性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生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长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8"/>
        </w:rPr>
        <w:t>因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子/受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体（platelet-derived  growth  facto</w:t>
      </w:r>
      <w:r>
        <w:rPr>
          <w:color w:val="231F20"/>
          <w:spacing w:val="-9"/>
        </w:rPr>
        <w:t>r/</w:t>
      </w:r>
    </w:p>
    <w:p>
      <w:pPr>
        <w:spacing w:line="227" w:lineRule="auto"/>
        <w:sectPr>
          <w:type w:val="continuous"/>
          <w:pgSz w:w="11906" w:h="16838"/>
          <w:pgMar w:top="400" w:right="1100" w:bottom="0" w:left="407" w:header="0" w:footer="0" w:gutter="0"/>
          <w:cols w:equalWidth="0" w:num="2">
            <w:col w:w="5540" w:space="100"/>
            <w:col w:w="4758" w:space="0"/>
          </w:cols>
        </w:sectPr>
        <w:rPr/>
      </w:pP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814"/>
        <w:spacing w:before="65" w:line="188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·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1202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·                                                                    </w:t>
      </w:r>
      <w:r>
        <w:rPr>
          <w:sz w:val="15"/>
          <w:szCs w:val="15"/>
          <w:u w:val="single" w:color="auto"/>
          <w:color w:val="231F20"/>
          <w:spacing w:val="-16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中国实用妇科与产科杂志</w:t>
      </w:r>
      <w:r>
        <w:rPr>
          <w:sz w:val="15"/>
          <w:szCs w:val="15"/>
          <w:u w:val="single" w:color="auto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"/>
        </w:rPr>
        <w:t>2023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7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年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"/>
        </w:rPr>
        <w:t>12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6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月第</w:t>
      </w:r>
      <w:r>
        <w:rPr>
          <w:sz w:val="15"/>
          <w:szCs w:val="15"/>
          <w:u w:val="single" w:color="auto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"/>
        </w:rPr>
        <w:t>39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卷 第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"/>
        </w:rPr>
        <w:t>12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期</w:t>
      </w:r>
    </w:p>
    <w:p>
      <w:pPr>
        <w:spacing w:before="88"/>
        <w:rPr/>
      </w:pPr>
      <w:r/>
    </w:p>
    <w:p>
      <w:pPr>
        <w:sectPr>
          <w:headerReference w:type="default" r:id="rId3"/>
          <w:pgSz w:w="11906" w:h="16838"/>
          <w:pgMar w:top="400" w:right="1211" w:bottom="0" w:left="407" w:header="0" w:footer="0" w:gutter="0"/>
          <w:cols w:equalWidth="0" w:num="1">
            <w:col w:w="10287" w:space="0"/>
          </w:cols>
        </w:sectPr>
        <w:rPr/>
      </w:pPr>
    </w:p>
    <w:p>
      <w:pPr>
        <w:pStyle w:val="BodyText"/>
        <w:ind w:left="802" w:right="194" w:firstLine="68"/>
        <w:spacing w:before="40" w:line="231" w:lineRule="auto"/>
        <w:jc w:val="both"/>
        <w:rPr/>
      </w:pPr>
      <w:r>
        <w:rPr>
          <w:color w:val="231F20"/>
          <w:spacing w:val="-5"/>
        </w:rPr>
        <w:t>receptor，PDGF/PDGFR）、成 纤 维 细 胞 生 长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因 子/受 体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（fibroblast growth factor/recep</w:t>
      </w:r>
      <w:r>
        <w:rPr>
          <w:color w:val="231F20"/>
          <w:spacing w:val="-13"/>
        </w:rPr>
        <w:t>tor，FGF/FGFR）、集落刺激因子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1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1"/>
        </w:rPr>
        <w:t>受体（colony-stimulating factor-1 recep</w:t>
      </w:r>
      <w:r>
        <w:rPr>
          <w:color w:val="231F20"/>
          <w:spacing w:val="-12"/>
        </w:rPr>
        <w:t>tor，CSF1R）、表皮生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长因子（epidermal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1"/>
        </w:rPr>
        <w:t>growth factor receptor，EGFR）、c-Kit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1"/>
        </w:rPr>
        <w:t>等与</w:t>
      </w:r>
      <w:r>
        <w:rPr>
          <w:color w:val="231F20"/>
        </w:rPr>
        <w:t xml:space="preserve"> </w:t>
      </w:r>
      <w:r>
        <w:rPr>
          <w:color w:val="231F20"/>
        </w:rPr>
        <w:t>VEGFR</w:t>
      </w:r>
      <w:r>
        <w:rPr>
          <w:color w:val="231F20"/>
          <w:spacing w:val="14"/>
        </w:rPr>
        <w:t>-2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4"/>
        </w:rPr>
        <w:t>在催化区域具有序列同源性，因此抑制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VEGFR</w:t>
      </w:r>
      <w:r>
        <w:rPr>
          <w:color w:val="231F20"/>
          <w:spacing w:val="14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2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2"/>
        </w:rPr>
        <w:t>能同时抑制这些酪氨酸激酶的作用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2"/>
        </w:rPr>
        <w:t>。从抗肿瘤角度，同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时阻断多条信号通路可取得更好的治疗作用，但这一非特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2"/>
        </w:rPr>
        <w:t>异性作用也会导致毒副反应，这是目前抗血管生成药物主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8"/>
        </w:rPr>
        <w:t>要用于晚期、复发和转移性肿瘤患者的重要原因。</w:t>
      </w:r>
    </w:p>
    <w:p>
      <w:pPr>
        <w:pStyle w:val="BodyText"/>
        <w:ind w:left="1201"/>
        <w:spacing w:before="186" w:line="193" w:lineRule="auto"/>
        <w:rPr/>
      </w:pPr>
      <w:r>
        <w:rPr>
          <w:rFonts w:ascii="SimHei" w:hAnsi="SimHei" w:eastAsia="SimHei" w:cs="SimHei"/>
          <w:color w:val="231F20"/>
          <w:spacing w:val="6"/>
        </w:rPr>
        <w:t>表</w:t>
      </w:r>
      <w:r>
        <w:rPr>
          <w:rFonts w:ascii="SimHei" w:hAnsi="SimHei" w:eastAsia="SimHei" w:cs="SimHei"/>
          <w:color w:val="231F20"/>
          <w:spacing w:val="-45"/>
        </w:rPr>
        <w:t xml:space="preserve"> </w:t>
      </w:r>
      <w:r>
        <w:rPr>
          <w:rFonts w:ascii="SimHei" w:hAnsi="SimHei" w:eastAsia="SimHei" w:cs="SimHei"/>
          <w:color w:val="231F20"/>
          <w:spacing w:val="6"/>
        </w:rPr>
        <w:t>1</w:t>
      </w:r>
      <w:r>
        <w:rPr>
          <w:rFonts w:ascii="SimHei" w:hAnsi="SimHei" w:eastAsia="SimHei" w:cs="SimHei"/>
          <w:color w:val="231F20"/>
          <w:spacing w:val="6"/>
        </w:rPr>
        <w:t xml:space="preserve">  </w:t>
      </w:r>
      <w:r>
        <w:rPr>
          <w:color w:val="231F20"/>
        </w:rPr>
        <w:t>NCCN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6"/>
        </w:rPr>
        <w:t>指南证据级别和推荐等级及代表意义</w:t>
      </w:r>
    </w:p>
    <w:p>
      <w:pPr>
        <w:spacing w:line="308" w:lineRule="auto"/>
        <w:rPr>
          <w:rFonts w:ascii="Arial"/>
          <w:sz w:val="21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550882</wp:posOffset>
            </wp:positionH>
            <wp:positionV relativeFrom="paragraph">
              <wp:posOffset>62502</wp:posOffset>
            </wp:positionV>
            <wp:extent cx="2859266" cy="10798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9266" cy="10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1915" w:right="200" w:hanging="161"/>
        <w:spacing w:before="65" w:line="238" w:lineRule="auto"/>
        <w:rPr>
          <w:sz w:val="15"/>
          <w:szCs w:val="15"/>
        </w:rPr>
      </w:pPr>
      <w:r>
        <w:pict>
          <v:shape id="_x0000_s12" style="position:absolute;margin-left:43.0405pt;margin-top:-23.0633pt;mso-position-vertical-relative:text;mso-position-horizontal-relative:text;width:44.45pt;height:115.4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82" w:right="20" w:hanging="163"/>
                    <w:spacing w:before="21" w:line="253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19"/>
                    </w:rPr>
                    <w:t>证据级别和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推荐等级</w:t>
                  </w:r>
                  <w:r>
                    <w:rPr>
                      <w:sz w:val="15"/>
                      <w:szCs w:val="15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1级</w:t>
                  </w:r>
                </w:p>
                <w:p>
                  <w:pPr>
                    <w:pStyle w:val="BodyText"/>
                    <w:ind w:left="179"/>
                    <w:spacing w:before="198" w:line="21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-3"/>
                    </w:rPr>
                    <w:t>2A</w:t>
                  </w:r>
                  <w:r>
                    <w:rPr>
                      <w:sz w:val="15"/>
                      <w:szCs w:val="15"/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-3"/>
                    </w:rPr>
                    <w:t>级</w:t>
                  </w:r>
                </w:p>
                <w:p>
                  <w:pPr>
                    <w:pStyle w:val="BodyText"/>
                    <w:ind w:left="179"/>
                    <w:spacing w:before="277" w:line="21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-2"/>
                    </w:rPr>
                    <w:t>2B</w:t>
                  </w:r>
                  <w:r>
                    <w:rPr>
                      <w:sz w:val="15"/>
                      <w:szCs w:val="15"/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-2"/>
                    </w:rPr>
                    <w:t>级</w:t>
                  </w:r>
                </w:p>
                <w:p>
                  <w:pPr>
                    <w:pStyle w:val="BodyText"/>
                    <w:ind w:left="182"/>
                    <w:spacing w:before="277" w:line="21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>3级</w:t>
                  </w:r>
                </w:p>
              </w:txbxContent>
            </v:textbox>
          </v:shape>
        </w:pict>
      </w:r>
      <w:r>
        <w:rPr>
          <w:sz w:val="15"/>
          <w:szCs w:val="15"/>
          <w:color w:val="231F20"/>
          <w:spacing w:val="20"/>
        </w:rPr>
        <w:t>基于高级别证据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20"/>
        </w:rPr>
        <w:t>，指南编写委员会一致认为该处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理/干预是恰当的</w:t>
      </w:r>
    </w:p>
    <w:p>
      <w:pPr>
        <w:pStyle w:val="BodyText"/>
        <w:ind w:left="1915" w:right="200" w:hanging="161"/>
        <w:spacing w:before="1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0"/>
        </w:rPr>
        <w:t>基于低级别证据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20"/>
        </w:rPr>
        <w:t>，指南编写委员会一致认为该处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理/干预是恰当的</w:t>
      </w:r>
    </w:p>
    <w:p>
      <w:pPr>
        <w:pStyle w:val="BodyText"/>
        <w:ind w:left="1915" w:right="200" w:hanging="161"/>
        <w:spacing w:line="23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基于低级别证据，指南编写委员会成员多数认为该处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理/干预是恰当的</w:t>
      </w:r>
    </w:p>
    <w:p>
      <w:pPr>
        <w:pStyle w:val="BodyText"/>
        <w:ind w:left="1917" w:right="200" w:hanging="163"/>
        <w:spacing w:before="2" w:line="23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基于任何级别证据，指南编写委员会对于该处理/干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9"/>
        </w:rPr>
        <w:t>预是否恰当存在较大争议</w:t>
      </w:r>
    </w:p>
    <w:p>
      <w:pPr>
        <w:pStyle w:val="BodyText"/>
        <w:ind w:left="882"/>
        <w:spacing w:before="1" w:line="18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优先选择</w:t>
      </w:r>
    </w:p>
    <w:p>
      <w:pPr>
        <w:pStyle w:val="BodyText"/>
        <w:ind w:left="1001"/>
        <w:spacing w:before="76" w:line="19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等级</w:t>
      </w:r>
    </w:p>
    <w:p>
      <w:pPr>
        <w:pStyle w:val="BodyText"/>
        <w:ind w:left="1915" w:right="200" w:hanging="157"/>
        <w:spacing w:before="28" w:line="238" w:lineRule="auto"/>
        <w:rPr>
          <w:sz w:val="15"/>
          <w:szCs w:val="15"/>
        </w:rPr>
      </w:pPr>
      <w:r>
        <w:pict>
          <v:shape id="_x0000_s14" style="position:absolute;margin-left:50.9473pt;margin-top:0.448358pt;mso-position-vertical-relative:text;mso-position-horizontal-relative:text;width:33.9pt;height:63.0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>优先选择</w:t>
                  </w:r>
                </w:p>
                <w:p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4" w:line="189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9"/>
                    </w:rPr>
                    <w:t>其他推荐</w:t>
                  </w:r>
                </w:p>
                <w:p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2"/>
                    <w:spacing w:before="64" w:line="18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特定情况</w:t>
                  </w:r>
                </w:p>
              </w:txbxContent>
            </v:textbox>
          </v:shape>
        </w:pict>
      </w:r>
      <w:r>
        <w:rPr>
          <w:sz w:val="15"/>
          <w:szCs w:val="15"/>
          <w:color w:val="231F20"/>
        </w:rPr>
        <w:t>干预手段疗效、安全性确定，且有证据支持；多数可负 </w:t>
      </w:r>
      <w:r>
        <w:rPr>
          <w:sz w:val="15"/>
          <w:szCs w:val="15"/>
          <w:color w:val="231F20"/>
          <w:spacing w:val="5"/>
        </w:rPr>
        <w:t>担</w:t>
      </w:r>
    </w:p>
    <w:p>
      <w:pPr>
        <w:pStyle w:val="BodyText"/>
        <w:ind w:left="1931" w:right="200" w:hanging="173"/>
        <w:spacing w:before="1" w:line="236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干预手段疗效、安全性欠佳，或毒副反应显著，或证据 </w:t>
      </w:r>
      <w:r>
        <w:rPr>
          <w:sz w:val="15"/>
          <w:szCs w:val="15"/>
          <w:color w:val="231F20"/>
          <w:spacing w:val="-1"/>
        </w:rPr>
        <w:t>尚不充分；得到相似效果时，患者负担重</w:t>
      </w:r>
    </w:p>
    <w:p>
      <w:pPr>
        <w:pStyle w:val="BodyText"/>
        <w:ind w:left="1758"/>
        <w:spacing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干预手段适用于特点人群（会有特定定义和推荐）</w:t>
      </w:r>
    </w:p>
    <w:p>
      <w:pPr>
        <w:pStyle w:val="BodyText"/>
        <w:ind w:left="1158"/>
        <w:spacing w:before="61" w:line="181" w:lineRule="auto"/>
        <w:rPr>
          <w:sz w:val="15"/>
          <w:szCs w:val="15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550882</wp:posOffset>
            </wp:positionH>
            <wp:positionV relativeFrom="paragraph">
              <wp:posOffset>168469</wp:posOffset>
            </wp:positionV>
            <wp:extent cx="2859266" cy="10799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9266" cy="10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color w:val="231F20"/>
          <w:spacing w:val="8"/>
        </w:rPr>
        <w:t>下可用</w:t>
      </w:r>
    </w:p>
    <w:p>
      <w:pPr>
        <w:pStyle w:val="BodyText"/>
        <w:ind w:left="875"/>
        <w:spacing w:before="230" w:line="204" w:lineRule="auto"/>
        <w:rPr/>
      </w:pPr>
      <w:r>
        <w:rPr>
          <w:color w:val="231F20"/>
          <w:spacing w:val="5"/>
        </w:rPr>
        <w:t>3.1   靶向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VEGF</w:t>
      </w:r>
      <w:r>
        <w:rPr>
          <w:color w:val="231F20"/>
          <w:spacing w:val="5"/>
        </w:rPr>
        <w:t>-</w:t>
      </w:r>
      <w:r>
        <w:rPr>
          <w:color w:val="231F20"/>
        </w:rPr>
        <w:t>VEGFR</w:t>
      </w:r>
      <w:r>
        <w:rPr>
          <w:color w:val="231F20"/>
          <w:spacing w:val="5"/>
        </w:rPr>
        <w:t xml:space="preserve"> 的大分子单克隆抗体    贝伐</w:t>
      </w:r>
      <w:r>
        <w:rPr>
          <w:color w:val="231F20"/>
          <w:spacing w:val="4"/>
        </w:rPr>
        <w:t>（珠）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6" w:firstLine="2"/>
        <w:spacing w:before="41" w:line="233" w:lineRule="auto"/>
        <w:jc w:val="both"/>
        <w:rPr/>
      </w:pPr>
      <w:r>
        <w:rPr>
          <w:color w:val="231F20"/>
          <w:spacing w:val="4"/>
        </w:rPr>
        <w:t>单抗是人源化抗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VEGF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4"/>
        </w:rPr>
        <w:t>单克隆抗体，为大分子药物，无法通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过细胞膜直接作用于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VEGFR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7"/>
        </w:rPr>
        <w:t>胞内段</w:t>
      </w:r>
      <w:r>
        <w:rPr>
          <w:sz w:val="9"/>
          <w:szCs w:val="9"/>
          <w:color w:val="231F20"/>
          <w:spacing w:val="7"/>
          <w:position w:val="6"/>
        </w:rPr>
        <w:t>［5-7］</w:t>
      </w:r>
      <w:r>
        <w:rPr>
          <w:color w:val="231F20"/>
          <w:spacing w:val="7"/>
        </w:rPr>
        <w:t>。该药主要通过中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和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VEGF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1"/>
        </w:rPr>
        <w:t>进而发挥抑制肿瘤血管新生的作用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1"/>
        </w:rPr>
        <w:t>。已有高级别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临床研究在子宫颈癌患者中证实了贝伐（珠）单抗的疗效。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此外，贝伐（珠）单抗对免疫微环境和肿瘤药物渗透性具有调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4"/>
        </w:rPr>
        <w:t>控作用，越来越多证据支持贝伐（珠）单抗与化疗和免疫检查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5"/>
        </w:rPr>
        <w:t>点抑制剂联合使用。雷莫芦单抗（ramucirumab）是另一种大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分子单克隆抗体，可靶向阻断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VEGF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"/>
        </w:rPr>
        <w:t>与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VEGFR</w:t>
      </w:r>
      <w:r>
        <w:rPr>
          <w:color w:val="231F20"/>
          <w:spacing w:val="2"/>
        </w:rPr>
        <w:t>2 的结合，从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而发挥抑制肿瘤血管新生的作用；但该药在国内尚未上市，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2"/>
        </w:rPr>
        <w:t>且缺少在子宫颈癌中的使用证据，故本指南不做推荐。</w:t>
      </w:r>
    </w:p>
    <w:p>
      <w:pPr>
        <w:pStyle w:val="BodyText"/>
        <w:ind w:right="64" w:firstLine="73"/>
        <w:spacing w:before="4" w:line="229" w:lineRule="auto"/>
        <w:rPr/>
      </w:pPr>
      <w:r>
        <w:rPr>
          <w:color w:val="231F20"/>
          <w:spacing w:val="3"/>
        </w:rPr>
        <w:t>3.2</w:t>
      </w:r>
      <w:r>
        <w:rPr>
          <w:color w:val="231F20"/>
          <w:spacing w:val="19"/>
          <w:w w:val="101"/>
        </w:rPr>
        <w:t xml:space="preserve">   </w:t>
      </w:r>
      <w:r>
        <w:rPr>
          <w:color w:val="231F20"/>
          <w:spacing w:val="3"/>
        </w:rPr>
        <w:t>靶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3"/>
        </w:rPr>
        <w:t>点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3"/>
        </w:rPr>
        <w:t>包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3"/>
        </w:rPr>
        <w:t>括 </w:t>
      </w:r>
      <w:r>
        <w:rPr>
          <w:color w:val="231F20"/>
        </w:rPr>
        <w:t>VEGFR</w:t>
      </w:r>
      <w:r>
        <w:rPr>
          <w:color w:val="231F20"/>
          <w:spacing w:val="3"/>
        </w:rPr>
        <w:t xml:space="preserve"> 的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3"/>
        </w:rPr>
        <w:t>多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3"/>
        </w:rPr>
        <w:t>靶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3"/>
        </w:rPr>
        <w:t>点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3"/>
        </w:rPr>
        <w:t>小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3"/>
        </w:rPr>
        <w:t>分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3"/>
        </w:rPr>
        <w:t>子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TKI</w:t>
      </w:r>
      <w:r>
        <w:rPr>
          <w:color w:val="231F20"/>
          <w:spacing w:val="3"/>
        </w:rPr>
        <w:t xml:space="preserve">    阿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3"/>
        </w:rPr>
        <w:t>帕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3"/>
        </w:rPr>
        <w:t>替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3"/>
        </w:rPr>
        <w:t>尼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（apatinib）、安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罗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替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尼（anlotinib）、苹 果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酸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法 米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替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尼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（</w:t>
      </w:r>
      <w:r>
        <w:rPr>
          <w:color w:val="231F20"/>
        </w:rPr>
        <w:t>famitinib</w:t>
      </w:r>
      <w:r>
        <w:rPr>
          <w:color w:val="231F20"/>
          <w:spacing w:val="1"/>
        </w:rPr>
        <w:t>）等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TKIs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"/>
        </w:rPr>
        <w:t>属于小分子药物，可以透过细胞膜并作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用于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VEGFR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7"/>
        </w:rPr>
        <w:t>胞内段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7"/>
        </w:rPr>
        <w:t>。药物与胞内段酪氨酸激酶功能域竞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争性结合后，可抑制其磷酸化而阻断细胞下游信号通路的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9"/>
        </w:rPr>
        <w:t>激活，最终抑制肿瘤血管新生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9"/>
        </w:rPr>
        <w:t>。现有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TKIs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9"/>
        </w:rPr>
        <w:t>的非选择性较大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分子药物更为显著，除与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VEGFR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9"/>
        </w:rPr>
        <w:t>作用外，</w:t>
      </w:r>
      <w:r>
        <w:rPr>
          <w:color w:val="231F20"/>
        </w:rPr>
        <w:t>TKIs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9"/>
        </w:rPr>
        <w:t>还可更加广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泛地作用于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PDGF</w:t>
      </w:r>
      <w:r>
        <w:rPr>
          <w:color w:val="231F20"/>
          <w:spacing w:val="2"/>
        </w:rPr>
        <w:t>/</w:t>
      </w:r>
      <w:r>
        <w:rPr>
          <w:color w:val="231F20"/>
        </w:rPr>
        <w:t>PDGFR</w:t>
      </w:r>
      <w:r>
        <w:rPr>
          <w:color w:val="231F20"/>
          <w:spacing w:val="2"/>
        </w:rPr>
        <w:t>、</w:t>
      </w:r>
      <w:r>
        <w:rPr>
          <w:color w:val="231F20"/>
        </w:rPr>
        <w:t>FGF</w:t>
      </w:r>
      <w:r>
        <w:rPr>
          <w:color w:val="231F20"/>
          <w:spacing w:val="2"/>
        </w:rPr>
        <w:t>/</w:t>
      </w:r>
      <w:r>
        <w:rPr>
          <w:color w:val="231F20"/>
        </w:rPr>
        <w:t>FGFR</w:t>
      </w:r>
      <w:r>
        <w:rPr>
          <w:color w:val="231F20"/>
          <w:spacing w:val="2"/>
        </w:rPr>
        <w:t>、</w:t>
      </w:r>
      <w:r>
        <w:rPr>
          <w:color w:val="231F20"/>
        </w:rPr>
        <w:t>EGF</w:t>
      </w:r>
      <w:r>
        <w:rPr>
          <w:color w:val="231F20"/>
          <w:spacing w:val="2"/>
        </w:rPr>
        <w:t>/</w:t>
      </w:r>
      <w:r>
        <w:rPr>
          <w:color w:val="231F20"/>
        </w:rPr>
        <w:t>EGFR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及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2"/>
        </w:rPr>
        <w:t>c-</w:t>
      </w:r>
      <w:r>
        <w:rPr>
          <w:color w:val="231F20"/>
        </w:rPr>
        <w:t>Kit </w:t>
      </w:r>
      <w:r>
        <w:rPr>
          <w:color w:val="231F20"/>
          <w:spacing w:val="10"/>
        </w:rPr>
        <w:t>等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0"/>
        </w:rPr>
        <w:t>。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0"/>
        </w:rPr>
        <w:t>因此，</w:t>
      </w:r>
      <w:r>
        <w:rPr>
          <w:color w:val="231F20"/>
        </w:rPr>
        <w:t>TKIs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0"/>
        </w:rPr>
        <w:t>抗血管新生的效能会更强，但导致的不良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反应也较大分子药物更加显著，这些缺点导致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TKIs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1"/>
        </w:rPr>
        <w:t>临</w:t>
      </w:r>
      <w:r>
        <w:rPr>
          <w:color w:val="231F20"/>
          <w:spacing w:val="10"/>
        </w:rPr>
        <w:t>床使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用剂量受限，并多用于肿瘤末线治疗中</w:t>
      </w:r>
      <w:r>
        <w:rPr>
          <w:sz w:val="9"/>
          <w:szCs w:val="9"/>
          <w:color w:val="231F20"/>
          <w:spacing w:val="4"/>
          <w:position w:val="6"/>
        </w:rPr>
        <w:t>［5-7］</w:t>
      </w:r>
      <w:r>
        <w:rPr>
          <w:color w:val="231F20"/>
          <w:spacing w:val="4"/>
        </w:rPr>
        <w:t>。</w:t>
      </w:r>
    </w:p>
    <w:p>
      <w:pPr>
        <w:pStyle w:val="BodyText"/>
        <w:ind w:right="64" w:firstLine="73"/>
        <w:spacing w:before="53" w:line="227" w:lineRule="auto"/>
        <w:rPr/>
      </w:pPr>
      <w:r>
        <w:rPr>
          <w:color w:val="231F20"/>
          <w:spacing w:val="5"/>
        </w:rPr>
        <w:t>3.3   子宫颈癌抗血管生成药物靶点比较    表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2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总结了子宫</w:t>
      </w:r>
      <w:r>
        <w:rPr>
          <w:color w:val="231F20"/>
        </w:rPr>
        <w:t xml:space="preserve"> </w:t>
      </w:r>
      <w:r>
        <w:rPr>
          <w:color w:val="231F20"/>
          <w:spacing w:val="19"/>
        </w:rPr>
        <w:t>颈癌治疗中不同抗血管生成药物的作用靶点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9"/>
        </w:rPr>
        <w:t>。使</w:t>
      </w:r>
      <w:r>
        <w:rPr>
          <w:color w:val="231F20"/>
          <w:spacing w:val="18"/>
        </w:rPr>
        <w:t>用靶向</w:t>
      </w:r>
      <w:r>
        <w:rPr>
          <w:color w:val="231F20"/>
        </w:rPr>
        <w:t xml:space="preserve"> </w:t>
      </w:r>
      <w:r>
        <w:rPr>
          <w:color w:val="231F20"/>
        </w:rPr>
        <w:t>VEGF</w:t>
      </w:r>
      <w:r>
        <w:rPr>
          <w:color w:val="231F20"/>
          <w:spacing w:val="20"/>
        </w:rPr>
        <w:t>-</w:t>
      </w:r>
      <w:r>
        <w:rPr>
          <w:color w:val="231F20"/>
        </w:rPr>
        <w:t>VEGFR</w:t>
      </w:r>
      <w:r>
        <w:rPr>
          <w:color w:val="231F20"/>
          <w:spacing w:val="20"/>
        </w:rPr>
        <w:t xml:space="preserve"> 的大分子单克隆抗体和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TKIs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0"/>
        </w:rPr>
        <w:t>都可达到抑制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血管新生的作用，但两类药物作用靶点存在差别，从而导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8"/>
        </w:rPr>
        <w:t>致两类药物的疗效和毒性反应存在显著差异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7"/>
        </w:rPr>
        <w:t>。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7"/>
        </w:rPr>
        <w:t>由于贝伐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（珠）单抗对胞内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VEGFR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通路和其他通路影响较小，故毒性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反应较小、患者耐受性高，是目前子宫颈癌治疗中最常用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6"/>
        </w:rPr>
        <w:t>的抗血管生成药物。</w:t>
      </w:r>
    </w:p>
    <w:p>
      <w:pPr>
        <w:spacing w:line="227" w:lineRule="auto"/>
        <w:sectPr>
          <w:type w:val="continuous"/>
          <w:pgSz w:w="11906" w:h="16838"/>
          <w:pgMar w:top="400" w:right="1211" w:bottom="0" w:left="407" w:header="0" w:footer="0" w:gutter="0"/>
          <w:cols w:equalWidth="0" w:num="2">
            <w:col w:w="5560" w:space="100"/>
            <w:col w:w="4627" w:space="0"/>
          </w:cols>
        </w:sectPr>
        <w:rPr/>
      </w:pPr>
    </w:p>
    <w:p>
      <w:pPr>
        <w:pStyle w:val="BodyText"/>
        <w:ind w:left="3503"/>
        <w:spacing w:before="313" w:line="169" w:lineRule="auto"/>
        <w:outlineLvl w:val="0"/>
        <w:rPr/>
      </w:pPr>
      <w:r>
        <w:rPr>
          <w:rFonts w:ascii="SimHei" w:hAnsi="SimHei" w:eastAsia="SimHei" w:cs="SimHei"/>
          <w:color w:val="231F20"/>
          <w:spacing w:val="10"/>
        </w:rPr>
        <w:t>表2</w:t>
      </w:r>
      <w:r>
        <w:rPr>
          <w:rFonts w:ascii="SimHei" w:hAnsi="SimHei" w:eastAsia="SimHei" w:cs="SimHei"/>
          <w:color w:val="231F20"/>
          <w:spacing w:val="23"/>
        </w:rPr>
        <w:t xml:space="preserve">  </w:t>
      </w:r>
      <w:r>
        <w:rPr>
          <w:color w:val="231F20"/>
          <w:spacing w:val="10"/>
        </w:rPr>
        <w:t>子宫颈癌治疗中不同抗血管生成药物靶点总结</w:t>
      </w:r>
    </w:p>
    <w:tbl>
      <w:tblPr>
        <w:tblStyle w:val="TableNormal"/>
        <w:tblW w:w="9354" w:type="dxa"/>
        <w:tblInd w:w="86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15"/>
        <w:gridCol w:w="742"/>
        <w:gridCol w:w="766"/>
        <w:gridCol w:w="771"/>
        <w:gridCol w:w="704"/>
        <w:gridCol w:w="744"/>
        <w:gridCol w:w="725"/>
        <w:gridCol w:w="721"/>
        <w:gridCol w:w="754"/>
        <w:gridCol w:w="719"/>
        <w:gridCol w:w="828"/>
        <w:gridCol w:w="665"/>
      </w:tblGrid>
      <w:tr>
        <w:trPr>
          <w:trHeight w:val="275" w:hRule="atLeast"/>
        </w:trPr>
        <w:tc>
          <w:tcPr>
            <w:tcW w:w="121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467"/>
              <w:spacing w:before="56" w:line="188" w:lineRule="auto"/>
              <w:rPr/>
            </w:pPr>
            <w:r>
              <w:rPr>
                <w:color w:val="231F20"/>
                <w:spacing w:val="8"/>
              </w:rPr>
              <w:t>药物</w:t>
            </w:r>
          </w:p>
        </w:tc>
        <w:tc>
          <w:tcPr>
            <w:tcW w:w="74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05"/>
              <w:spacing w:before="78" w:line="167" w:lineRule="auto"/>
              <w:rPr/>
            </w:pPr>
            <w:r>
              <w:rPr>
                <w:color w:val="231F20"/>
                <w:spacing w:val="4"/>
              </w:rPr>
              <w:t>VEGF</w:t>
            </w:r>
          </w:p>
        </w:tc>
        <w:tc>
          <w:tcPr>
            <w:tcW w:w="76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46"/>
              <w:spacing w:before="78" w:line="167" w:lineRule="auto"/>
              <w:rPr/>
            </w:pPr>
            <w:r>
              <w:rPr>
                <w:color w:val="231F20"/>
                <w:spacing w:val="5"/>
              </w:rPr>
              <w:t>VEGFR</w:t>
            </w:r>
          </w:p>
        </w:tc>
        <w:tc>
          <w:tcPr>
            <w:tcW w:w="77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2"/>
              <w:spacing w:before="78" w:line="167" w:lineRule="auto"/>
              <w:rPr/>
            </w:pPr>
            <w:r>
              <w:rPr>
                <w:color w:val="231F20"/>
                <w:spacing w:val="-1"/>
              </w:rPr>
              <w:t>PDGFR</w:t>
            </w:r>
          </w:p>
        </w:tc>
        <w:tc>
          <w:tcPr>
            <w:tcW w:w="70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61"/>
              <w:spacing w:before="51" w:line="199" w:lineRule="auto"/>
              <w:rPr/>
            </w:pPr>
            <w:r>
              <w:rPr>
                <w:color w:val="231F20"/>
                <w:spacing w:val="7"/>
              </w:rPr>
              <w:t>c-</w:t>
            </w:r>
            <w:r>
              <w:rPr>
                <w:color w:val="231F20"/>
              </w:rPr>
              <w:t>Kit</w:t>
            </w:r>
          </w:p>
        </w:tc>
        <w:tc>
          <w:tcPr>
            <w:tcW w:w="74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99"/>
              <w:spacing w:before="51" w:line="199" w:lineRule="auto"/>
              <w:rPr/>
            </w:pPr>
            <w:r>
              <w:rPr>
                <w:color w:val="231F20"/>
              </w:rPr>
              <w:t>Flt</w:t>
            </w:r>
            <w:r>
              <w:rPr>
                <w:color w:val="231F20"/>
                <w:spacing w:val="8"/>
              </w:rPr>
              <w:t>-3</w:t>
            </w:r>
          </w:p>
        </w:tc>
        <w:tc>
          <w:tcPr>
            <w:tcW w:w="72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18"/>
              <w:spacing w:before="80" w:line="167" w:lineRule="auto"/>
              <w:rPr/>
            </w:pPr>
            <w:r>
              <w:rPr>
                <w:color w:val="231F20"/>
                <w:spacing w:val="6"/>
              </w:rPr>
              <w:t>RET</w:t>
            </w:r>
          </w:p>
        </w:tc>
        <w:tc>
          <w:tcPr>
            <w:tcW w:w="72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22"/>
              <w:spacing w:before="81" w:line="165" w:lineRule="auto"/>
              <w:rPr/>
            </w:pPr>
            <w:r>
              <w:rPr>
                <w:color w:val="231F20"/>
                <w:spacing w:val="-3"/>
              </w:rPr>
              <w:t>MET</w:t>
            </w:r>
          </w:p>
        </w:tc>
        <w:tc>
          <w:tcPr>
            <w:tcW w:w="75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97"/>
              <w:spacing w:before="78" w:line="167" w:lineRule="auto"/>
              <w:rPr/>
            </w:pPr>
            <w:r>
              <w:rPr>
                <w:color w:val="231F20"/>
                <w:spacing w:val="3"/>
              </w:rPr>
              <w:t>FGFR</w:t>
            </w:r>
          </w:p>
        </w:tc>
        <w:tc>
          <w:tcPr>
            <w:tcW w:w="71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74"/>
              <w:spacing w:before="78" w:line="167" w:lineRule="auto"/>
              <w:rPr/>
            </w:pPr>
            <w:r>
              <w:rPr>
                <w:color w:val="231F20"/>
                <w:spacing w:val="5"/>
              </w:rPr>
              <w:t>EGFR</w:t>
            </w:r>
          </w:p>
        </w:tc>
        <w:tc>
          <w:tcPr>
            <w:tcW w:w="82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51"/>
              <w:spacing w:before="51" w:line="199" w:lineRule="auto"/>
              <w:rPr/>
            </w:pPr>
            <w:r>
              <w:rPr>
                <w:color w:val="231F20"/>
              </w:rPr>
              <w:t>HER</w:t>
            </w:r>
            <w:r>
              <w:rPr>
                <w:color w:val="231F20"/>
                <w:spacing w:val="18"/>
              </w:rPr>
              <w:t>-2</w:t>
            </w:r>
          </w:p>
        </w:tc>
        <w:tc>
          <w:tcPr>
            <w:tcW w:w="66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00"/>
              <w:spacing w:before="78" w:line="167" w:lineRule="auto"/>
              <w:rPr/>
            </w:pPr>
            <w:r>
              <w:rPr>
                <w:color w:val="231F20"/>
                <w:spacing w:val="-7"/>
              </w:rPr>
              <w:t>Sre</w:t>
            </w:r>
          </w:p>
        </w:tc>
      </w:tr>
      <w:tr>
        <w:trPr>
          <w:trHeight w:val="260" w:hRule="atLeast"/>
        </w:trPr>
        <w:tc>
          <w:tcPr>
            <w:tcW w:w="121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7"/>
              <w:spacing w:before="54" w:line="182" w:lineRule="auto"/>
              <w:rPr/>
            </w:pPr>
            <w:r>
              <w:rPr>
                <w:color w:val="231F20"/>
                <w:spacing w:val="-10"/>
                <w:w w:val="97"/>
              </w:rPr>
              <w:t>贝伐（珠）单抗</w:t>
            </w:r>
          </w:p>
        </w:tc>
        <w:tc>
          <w:tcPr>
            <w:tcW w:w="742" w:type="dxa"/>
            <w:vAlign w:val="top"/>
            <w:tcBorders>
              <w:top w:val="single" w:color="000000" w:sz="2" w:space="0"/>
            </w:tcBorders>
          </w:tcPr>
          <w:p>
            <w:pPr>
              <w:ind w:left="360"/>
              <w:spacing w:before="29" w:line="200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2"/>
                <w:position w:val="-1"/>
              </w:rPr>
              <w:t>√</w:t>
            </w:r>
          </w:p>
        </w:tc>
        <w:tc>
          <w:tcPr>
            <w:tcW w:w="76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58"/>
              <w:spacing w:before="149" w:line="101" w:lineRule="exact"/>
              <w:rPr/>
            </w:pPr>
            <w:r>
              <w:rPr>
                <w:color w:val="231F20"/>
                <w:spacing w:val="15"/>
                <w:position w:val="-6"/>
              </w:rPr>
              <w:t>-</w:t>
            </w:r>
          </w:p>
        </w:tc>
        <w:tc>
          <w:tcPr>
            <w:tcW w:w="77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29"/>
              <w:spacing w:before="149" w:line="101" w:lineRule="exact"/>
              <w:rPr/>
            </w:pPr>
            <w:r>
              <w:rPr>
                <w:color w:val="231F20"/>
                <w:spacing w:val="15"/>
                <w:position w:val="-6"/>
              </w:rPr>
              <w:t>-</w:t>
            </w:r>
          </w:p>
        </w:tc>
        <w:tc>
          <w:tcPr>
            <w:tcW w:w="70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95"/>
              <w:spacing w:before="149" w:line="101" w:lineRule="exact"/>
              <w:rPr/>
            </w:pPr>
            <w:r>
              <w:rPr>
                <w:color w:val="231F20"/>
                <w:spacing w:val="15"/>
                <w:position w:val="-6"/>
              </w:rPr>
              <w:t>-</w:t>
            </w:r>
          </w:p>
        </w:tc>
        <w:tc>
          <w:tcPr>
            <w:tcW w:w="74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28"/>
              <w:spacing w:before="149" w:line="101" w:lineRule="exact"/>
              <w:rPr/>
            </w:pPr>
            <w:r>
              <w:rPr>
                <w:color w:val="231F20"/>
                <w:spacing w:val="15"/>
                <w:position w:val="-6"/>
              </w:rPr>
              <w:t>-</w:t>
            </w:r>
          </w:p>
        </w:tc>
        <w:tc>
          <w:tcPr>
            <w:tcW w:w="72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21"/>
              <w:spacing w:before="149" w:line="101" w:lineRule="exact"/>
              <w:rPr/>
            </w:pPr>
            <w:r>
              <w:rPr>
                <w:color w:val="231F20"/>
                <w:spacing w:val="15"/>
                <w:position w:val="-6"/>
              </w:rPr>
              <w:t>-</w:t>
            </w:r>
          </w:p>
        </w:tc>
        <w:tc>
          <w:tcPr>
            <w:tcW w:w="72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33"/>
              <w:spacing w:before="149" w:line="101" w:lineRule="exact"/>
              <w:rPr/>
            </w:pPr>
            <w:r>
              <w:rPr>
                <w:color w:val="231F20"/>
                <w:spacing w:val="15"/>
                <w:position w:val="-6"/>
              </w:rPr>
              <w:t>-</w:t>
            </w:r>
          </w:p>
        </w:tc>
        <w:tc>
          <w:tcPr>
            <w:tcW w:w="75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49"/>
              <w:spacing w:before="149" w:line="101" w:lineRule="exact"/>
              <w:rPr/>
            </w:pPr>
            <w:r>
              <w:rPr>
                <w:color w:val="231F20"/>
                <w:spacing w:val="15"/>
                <w:position w:val="-6"/>
              </w:rPr>
              <w:t>-</w:t>
            </w:r>
          </w:p>
        </w:tc>
        <w:tc>
          <w:tcPr>
            <w:tcW w:w="719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32"/>
              <w:spacing w:before="149" w:line="101" w:lineRule="exact"/>
              <w:rPr/>
            </w:pPr>
            <w:r>
              <w:rPr>
                <w:color w:val="231F20"/>
                <w:spacing w:val="15"/>
                <w:position w:val="-6"/>
              </w:rPr>
              <w:t>-</w:t>
            </w:r>
          </w:p>
        </w:tc>
        <w:tc>
          <w:tcPr>
            <w:tcW w:w="82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50"/>
              <w:spacing w:before="149" w:line="101" w:lineRule="exact"/>
              <w:rPr/>
            </w:pPr>
            <w:r>
              <w:rPr>
                <w:color w:val="231F20"/>
                <w:spacing w:val="15"/>
                <w:position w:val="-6"/>
              </w:rPr>
              <w:t>-</w:t>
            </w:r>
          </w:p>
        </w:tc>
        <w:tc>
          <w:tcPr>
            <w:tcW w:w="66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59"/>
              <w:spacing w:before="149" w:line="101" w:lineRule="exact"/>
              <w:rPr/>
            </w:pPr>
            <w:r>
              <w:rPr>
                <w:color w:val="231F20"/>
                <w:spacing w:val="15"/>
                <w:position w:val="-6"/>
              </w:rPr>
              <w:t>-</w:t>
            </w:r>
          </w:p>
        </w:tc>
      </w:tr>
      <w:tr>
        <w:trPr>
          <w:trHeight w:val="288" w:hRule="atLeast"/>
        </w:trPr>
        <w:tc>
          <w:tcPr>
            <w:tcW w:w="1215" w:type="dxa"/>
            <w:vAlign w:val="top"/>
          </w:tcPr>
          <w:p>
            <w:pPr>
              <w:pStyle w:val="TableText"/>
              <w:ind w:left="69"/>
              <w:spacing w:before="82" w:line="182" w:lineRule="auto"/>
              <w:rPr/>
            </w:pPr>
            <w:r>
              <w:rPr>
                <w:color w:val="231F20"/>
                <w:spacing w:val="6"/>
              </w:rPr>
              <w:t>帕唑帕尼</w:t>
            </w:r>
          </w:p>
        </w:tc>
        <w:tc>
          <w:tcPr>
            <w:tcW w:w="742" w:type="dxa"/>
            <w:vAlign w:val="top"/>
          </w:tcPr>
          <w:p>
            <w:pPr>
              <w:pStyle w:val="TableText"/>
              <w:ind w:left="363"/>
              <w:spacing w:before="172" w:line="105" w:lineRule="exact"/>
              <w:rPr/>
            </w:pPr>
            <w:r>
              <w:rPr>
                <w:color w:val="231F20"/>
                <w:spacing w:val="15"/>
                <w:position w:val="-6"/>
              </w:rPr>
              <w:t>-</w:t>
            </w:r>
          </w:p>
        </w:tc>
        <w:tc>
          <w:tcPr>
            <w:tcW w:w="766" w:type="dxa"/>
            <w:vAlign w:val="top"/>
          </w:tcPr>
          <w:p>
            <w:pPr>
              <w:pStyle w:val="TableText"/>
              <w:ind w:left="214"/>
              <w:spacing w:before="78" w:line="186" w:lineRule="auto"/>
              <w:rPr/>
            </w:pPr>
            <w:r>
              <w:rPr>
                <w:color w:val="231F20"/>
                <w:spacing w:val="-18"/>
                <w:w w:val="86"/>
              </w:rPr>
              <w:t>1、2、3</w:t>
            </w:r>
          </w:p>
        </w:tc>
        <w:tc>
          <w:tcPr>
            <w:tcW w:w="771" w:type="dxa"/>
            <w:vAlign w:val="top"/>
          </w:tcPr>
          <w:p>
            <w:pPr>
              <w:pStyle w:val="TableText"/>
              <w:ind w:left="234"/>
              <w:spacing w:before="107" w:line="1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color w:val="231F20"/>
                <w:spacing w:val="-13"/>
                <w:w w:val="96"/>
              </w:rPr>
              <w:t>α</w:t>
            </w:r>
            <w:r>
              <w:rPr>
                <w:color w:val="231F20"/>
                <w:spacing w:val="-13"/>
                <w:w w:val="96"/>
              </w:rPr>
              <w:t>、</w:t>
            </w:r>
            <w:r>
              <w:rPr>
                <w:rFonts w:ascii="Arial" w:hAnsi="Arial" w:eastAsia="Arial" w:cs="Arial"/>
                <w:color w:val="231F20"/>
                <w:spacing w:val="-13"/>
                <w:w w:val="96"/>
              </w:rPr>
              <w:t>β</w:t>
            </w:r>
          </w:p>
        </w:tc>
        <w:tc>
          <w:tcPr>
            <w:tcW w:w="704" w:type="dxa"/>
            <w:vAlign w:val="top"/>
          </w:tcPr>
          <w:p>
            <w:pPr>
              <w:ind w:left="292"/>
              <w:spacing w:before="52" w:line="201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2"/>
                <w:position w:val="-1"/>
              </w:rPr>
              <w:t>√</w:t>
            </w:r>
          </w:p>
        </w:tc>
        <w:tc>
          <w:tcPr>
            <w:tcW w:w="744" w:type="dxa"/>
            <w:vAlign w:val="top"/>
          </w:tcPr>
          <w:p>
            <w:pPr>
              <w:pStyle w:val="TableText"/>
              <w:ind w:left="328"/>
              <w:spacing w:before="172" w:line="105" w:lineRule="exact"/>
              <w:rPr/>
            </w:pPr>
            <w:r>
              <w:rPr>
                <w:color w:val="231F20"/>
                <w:spacing w:val="15"/>
                <w:position w:val="-6"/>
              </w:rPr>
              <w:t>-</w:t>
            </w:r>
          </w:p>
        </w:tc>
        <w:tc>
          <w:tcPr>
            <w:tcW w:w="725" w:type="dxa"/>
            <w:vAlign w:val="top"/>
          </w:tcPr>
          <w:p>
            <w:pPr>
              <w:pStyle w:val="TableText"/>
              <w:ind w:left="321"/>
              <w:spacing w:before="172" w:line="105" w:lineRule="exact"/>
              <w:rPr/>
            </w:pPr>
            <w:r>
              <w:rPr>
                <w:color w:val="231F20"/>
                <w:spacing w:val="15"/>
                <w:position w:val="-6"/>
              </w:rPr>
              <w:t>-</w:t>
            </w:r>
          </w:p>
        </w:tc>
        <w:tc>
          <w:tcPr>
            <w:tcW w:w="721" w:type="dxa"/>
            <w:vAlign w:val="top"/>
          </w:tcPr>
          <w:p>
            <w:pPr>
              <w:pStyle w:val="TableText"/>
              <w:ind w:left="333"/>
              <w:spacing w:before="172" w:line="105" w:lineRule="exact"/>
              <w:rPr/>
            </w:pPr>
            <w:r>
              <w:rPr>
                <w:color w:val="231F20"/>
                <w:spacing w:val="15"/>
                <w:position w:val="-6"/>
              </w:rPr>
              <w:t>-</w:t>
            </w:r>
          </w:p>
        </w:tc>
        <w:tc>
          <w:tcPr>
            <w:tcW w:w="754" w:type="dxa"/>
            <w:vAlign w:val="top"/>
          </w:tcPr>
          <w:p>
            <w:pPr>
              <w:ind w:left="346"/>
              <w:spacing w:before="52" w:line="201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2"/>
                <w:position w:val="-1"/>
              </w:rPr>
              <w:t>√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332"/>
              <w:spacing w:before="172" w:line="105" w:lineRule="exact"/>
              <w:rPr/>
            </w:pPr>
            <w:r>
              <w:rPr>
                <w:color w:val="231F20"/>
                <w:spacing w:val="15"/>
                <w:position w:val="-6"/>
              </w:rPr>
              <w:t>-</w:t>
            </w:r>
          </w:p>
        </w:tc>
        <w:tc>
          <w:tcPr>
            <w:tcW w:w="828" w:type="dxa"/>
            <w:vAlign w:val="top"/>
          </w:tcPr>
          <w:p>
            <w:pPr>
              <w:pStyle w:val="TableText"/>
              <w:ind w:left="350"/>
              <w:spacing w:before="172" w:line="105" w:lineRule="exact"/>
              <w:rPr/>
            </w:pPr>
            <w:r>
              <w:rPr>
                <w:color w:val="231F20"/>
                <w:spacing w:val="15"/>
                <w:position w:val="-6"/>
              </w:rPr>
              <w:t>-</w:t>
            </w:r>
          </w:p>
        </w:tc>
        <w:tc>
          <w:tcPr>
            <w:tcW w:w="665" w:type="dxa"/>
            <w:vAlign w:val="top"/>
          </w:tcPr>
          <w:p>
            <w:pPr>
              <w:pStyle w:val="TableText"/>
              <w:ind w:left="259"/>
              <w:spacing w:before="172" w:line="105" w:lineRule="exact"/>
              <w:rPr/>
            </w:pPr>
            <w:r>
              <w:rPr>
                <w:color w:val="231F20"/>
                <w:spacing w:val="15"/>
                <w:position w:val="-6"/>
              </w:rPr>
              <w:t>-</w:t>
            </w:r>
          </w:p>
        </w:tc>
      </w:tr>
      <w:tr>
        <w:trPr>
          <w:trHeight w:val="274" w:hRule="atLeast"/>
        </w:trPr>
        <w:tc>
          <w:tcPr>
            <w:tcW w:w="1215" w:type="dxa"/>
            <w:vAlign w:val="top"/>
          </w:tcPr>
          <w:p>
            <w:pPr>
              <w:pStyle w:val="TableText"/>
              <w:ind w:left="60"/>
              <w:spacing w:before="77" w:line="174" w:lineRule="auto"/>
              <w:rPr/>
            </w:pPr>
            <w:r>
              <w:rPr>
                <w:color w:val="231F20"/>
                <w:spacing w:val="9"/>
              </w:rPr>
              <w:t>拉帕替尼</w:t>
            </w:r>
          </w:p>
        </w:tc>
        <w:tc>
          <w:tcPr>
            <w:tcW w:w="742" w:type="dxa"/>
            <w:vAlign w:val="top"/>
          </w:tcPr>
          <w:p>
            <w:pPr>
              <w:pStyle w:val="TableText"/>
              <w:ind w:left="363"/>
              <w:spacing w:before="168" w:line="95" w:lineRule="exact"/>
              <w:rPr/>
            </w:pPr>
            <w:r>
              <w:rPr>
                <w:color w:val="231F20"/>
                <w:spacing w:val="15"/>
                <w:position w:val="-6"/>
              </w:rPr>
              <w:t>-</w:t>
            </w:r>
          </w:p>
        </w:tc>
        <w:tc>
          <w:tcPr>
            <w:tcW w:w="766" w:type="dxa"/>
            <w:vAlign w:val="top"/>
          </w:tcPr>
          <w:p>
            <w:pPr>
              <w:pStyle w:val="TableText"/>
              <w:ind w:left="358"/>
              <w:spacing w:before="168" w:line="95" w:lineRule="exact"/>
              <w:rPr/>
            </w:pPr>
            <w:r>
              <w:rPr>
                <w:color w:val="231F20"/>
                <w:spacing w:val="15"/>
                <w:position w:val="-6"/>
              </w:rPr>
              <w:t>-</w:t>
            </w:r>
          </w:p>
        </w:tc>
        <w:tc>
          <w:tcPr>
            <w:tcW w:w="771" w:type="dxa"/>
            <w:vAlign w:val="top"/>
          </w:tcPr>
          <w:p>
            <w:pPr>
              <w:pStyle w:val="TableText"/>
              <w:ind w:left="329"/>
              <w:spacing w:before="168" w:line="95" w:lineRule="exact"/>
              <w:rPr/>
            </w:pPr>
            <w:r>
              <w:rPr>
                <w:color w:val="231F20"/>
                <w:spacing w:val="15"/>
                <w:position w:val="-6"/>
              </w:rPr>
              <w:t>-</w:t>
            </w:r>
          </w:p>
        </w:tc>
        <w:tc>
          <w:tcPr>
            <w:tcW w:w="704" w:type="dxa"/>
            <w:vAlign w:val="top"/>
          </w:tcPr>
          <w:p>
            <w:pPr>
              <w:pStyle w:val="TableText"/>
              <w:ind w:left="295"/>
              <w:spacing w:before="168" w:line="95" w:lineRule="exact"/>
              <w:rPr/>
            </w:pPr>
            <w:r>
              <w:rPr>
                <w:color w:val="231F20"/>
                <w:spacing w:val="15"/>
                <w:position w:val="-6"/>
              </w:rPr>
              <w:t>-</w:t>
            </w:r>
          </w:p>
        </w:tc>
        <w:tc>
          <w:tcPr>
            <w:tcW w:w="744" w:type="dxa"/>
            <w:vAlign w:val="top"/>
          </w:tcPr>
          <w:p>
            <w:pPr>
              <w:pStyle w:val="TableText"/>
              <w:ind w:left="328"/>
              <w:spacing w:before="168" w:line="95" w:lineRule="exact"/>
              <w:rPr/>
            </w:pPr>
            <w:r>
              <w:rPr>
                <w:color w:val="231F20"/>
                <w:spacing w:val="15"/>
                <w:position w:val="-6"/>
              </w:rPr>
              <w:t>-</w:t>
            </w:r>
          </w:p>
        </w:tc>
        <w:tc>
          <w:tcPr>
            <w:tcW w:w="725" w:type="dxa"/>
            <w:vAlign w:val="top"/>
          </w:tcPr>
          <w:p>
            <w:pPr>
              <w:pStyle w:val="TableText"/>
              <w:ind w:left="321"/>
              <w:spacing w:before="168" w:line="95" w:lineRule="exact"/>
              <w:rPr/>
            </w:pPr>
            <w:r>
              <w:rPr>
                <w:color w:val="231F20"/>
                <w:spacing w:val="15"/>
                <w:position w:val="-6"/>
              </w:rPr>
              <w:t>-</w:t>
            </w:r>
          </w:p>
        </w:tc>
        <w:tc>
          <w:tcPr>
            <w:tcW w:w="721" w:type="dxa"/>
            <w:vAlign w:val="top"/>
          </w:tcPr>
          <w:p>
            <w:pPr>
              <w:pStyle w:val="TableText"/>
              <w:ind w:left="333"/>
              <w:spacing w:before="168" w:line="95" w:lineRule="exact"/>
              <w:rPr/>
            </w:pPr>
            <w:r>
              <w:rPr>
                <w:color w:val="231F20"/>
                <w:spacing w:val="15"/>
                <w:position w:val="-6"/>
              </w:rPr>
              <w:t>-</w:t>
            </w:r>
          </w:p>
        </w:tc>
        <w:tc>
          <w:tcPr>
            <w:tcW w:w="754" w:type="dxa"/>
            <w:vAlign w:val="top"/>
          </w:tcPr>
          <w:p>
            <w:pPr>
              <w:pStyle w:val="TableText"/>
              <w:ind w:left="349"/>
              <w:spacing w:before="168" w:line="95" w:lineRule="exact"/>
              <w:rPr/>
            </w:pPr>
            <w:r>
              <w:rPr>
                <w:color w:val="231F20"/>
                <w:spacing w:val="15"/>
                <w:position w:val="-6"/>
              </w:rPr>
              <w:t>-</w:t>
            </w:r>
          </w:p>
        </w:tc>
        <w:tc>
          <w:tcPr>
            <w:tcW w:w="719" w:type="dxa"/>
            <w:vAlign w:val="top"/>
          </w:tcPr>
          <w:p>
            <w:pPr>
              <w:ind w:left="329"/>
              <w:spacing w:before="48" w:line="200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2"/>
                <w:position w:val="-1"/>
              </w:rPr>
              <w:t>√</w:t>
            </w:r>
          </w:p>
        </w:tc>
        <w:tc>
          <w:tcPr>
            <w:tcW w:w="828" w:type="dxa"/>
            <w:vAlign w:val="top"/>
          </w:tcPr>
          <w:p>
            <w:pPr>
              <w:ind w:left="347"/>
              <w:spacing w:before="48" w:line="200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2"/>
                <w:position w:val="-1"/>
              </w:rPr>
              <w:t>√</w:t>
            </w:r>
          </w:p>
        </w:tc>
        <w:tc>
          <w:tcPr>
            <w:tcW w:w="665" w:type="dxa"/>
            <w:vAlign w:val="top"/>
          </w:tcPr>
          <w:p>
            <w:pPr>
              <w:pStyle w:val="TableText"/>
              <w:ind w:left="259"/>
              <w:spacing w:before="168" w:line="95" w:lineRule="exact"/>
              <w:rPr/>
            </w:pPr>
            <w:r>
              <w:rPr>
                <w:color w:val="231F20"/>
                <w:spacing w:val="15"/>
                <w:position w:val="-6"/>
              </w:rPr>
              <w:t>-</w:t>
            </w:r>
          </w:p>
        </w:tc>
      </w:tr>
      <w:tr>
        <w:trPr>
          <w:trHeight w:val="289" w:hRule="atLeast"/>
        </w:trPr>
        <w:tc>
          <w:tcPr>
            <w:tcW w:w="1215" w:type="dxa"/>
            <w:vAlign w:val="top"/>
          </w:tcPr>
          <w:p>
            <w:pPr>
              <w:pStyle w:val="TableText"/>
              <w:ind w:left="58"/>
              <w:spacing w:before="87" w:line="179" w:lineRule="auto"/>
              <w:rPr/>
            </w:pPr>
            <w:r>
              <w:rPr>
                <w:color w:val="231F20"/>
                <w:spacing w:val="9"/>
              </w:rPr>
              <w:t>舒尼替尼</w:t>
            </w:r>
          </w:p>
        </w:tc>
        <w:tc>
          <w:tcPr>
            <w:tcW w:w="742" w:type="dxa"/>
            <w:vAlign w:val="top"/>
          </w:tcPr>
          <w:p>
            <w:pPr>
              <w:pStyle w:val="TableText"/>
              <w:ind w:left="363"/>
              <w:spacing w:before="177" w:line="101" w:lineRule="exact"/>
              <w:rPr/>
            </w:pPr>
            <w:r>
              <w:rPr>
                <w:color w:val="231F20"/>
                <w:spacing w:val="15"/>
                <w:position w:val="-6"/>
              </w:rPr>
              <w:t>-</w:t>
            </w:r>
          </w:p>
        </w:tc>
        <w:tc>
          <w:tcPr>
            <w:tcW w:w="766" w:type="dxa"/>
            <w:vAlign w:val="top"/>
          </w:tcPr>
          <w:p>
            <w:pPr>
              <w:pStyle w:val="TableText"/>
              <w:ind w:left="214"/>
              <w:spacing w:before="83" w:line="182" w:lineRule="auto"/>
              <w:rPr/>
            </w:pPr>
            <w:r>
              <w:rPr>
                <w:color w:val="231F20"/>
                <w:spacing w:val="-18"/>
                <w:w w:val="86"/>
              </w:rPr>
              <w:t>1、2、3</w:t>
            </w:r>
          </w:p>
        </w:tc>
        <w:tc>
          <w:tcPr>
            <w:tcW w:w="771" w:type="dxa"/>
            <w:vAlign w:val="top"/>
          </w:tcPr>
          <w:p>
            <w:pPr>
              <w:pStyle w:val="TableText"/>
              <w:ind w:left="234"/>
              <w:spacing w:before="112" w:line="166" w:lineRule="exact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color w:val="231F20"/>
                <w:spacing w:val="-13"/>
                <w:w w:val="96"/>
                <w:position w:val="1"/>
              </w:rPr>
              <w:t>α</w:t>
            </w:r>
            <w:r>
              <w:rPr>
                <w:color w:val="231F20"/>
                <w:spacing w:val="-13"/>
                <w:w w:val="96"/>
                <w:position w:val="1"/>
              </w:rPr>
              <w:t>、</w:t>
            </w:r>
            <w:r>
              <w:rPr>
                <w:rFonts w:ascii="Arial" w:hAnsi="Arial" w:eastAsia="Arial" w:cs="Arial"/>
                <w:color w:val="231F20"/>
                <w:spacing w:val="-13"/>
                <w:w w:val="96"/>
                <w:position w:val="1"/>
              </w:rPr>
              <w:t>β</w:t>
            </w:r>
          </w:p>
        </w:tc>
        <w:tc>
          <w:tcPr>
            <w:tcW w:w="704" w:type="dxa"/>
            <w:vAlign w:val="top"/>
          </w:tcPr>
          <w:p>
            <w:pPr>
              <w:ind w:left="292"/>
              <w:spacing w:before="57" w:line="201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2"/>
                <w:position w:val="-1"/>
              </w:rPr>
              <w:t>√</w:t>
            </w:r>
          </w:p>
        </w:tc>
        <w:tc>
          <w:tcPr>
            <w:tcW w:w="744" w:type="dxa"/>
            <w:vAlign w:val="top"/>
          </w:tcPr>
          <w:p>
            <w:pPr>
              <w:ind w:left="325"/>
              <w:spacing w:before="57" w:line="201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2"/>
                <w:position w:val="-1"/>
              </w:rPr>
              <w:t>√</w:t>
            </w:r>
          </w:p>
        </w:tc>
        <w:tc>
          <w:tcPr>
            <w:tcW w:w="725" w:type="dxa"/>
            <w:vAlign w:val="top"/>
          </w:tcPr>
          <w:p>
            <w:pPr>
              <w:ind w:left="318"/>
              <w:spacing w:before="57" w:line="201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2"/>
                <w:position w:val="-1"/>
              </w:rPr>
              <w:t>√</w:t>
            </w:r>
          </w:p>
        </w:tc>
        <w:tc>
          <w:tcPr>
            <w:tcW w:w="721" w:type="dxa"/>
            <w:vAlign w:val="top"/>
          </w:tcPr>
          <w:p>
            <w:pPr>
              <w:pStyle w:val="TableText"/>
              <w:ind w:left="333"/>
              <w:spacing w:before="177" w:line="101" w:lineRule="exact"/>
              <w:rPr/>
            </w:pPr>
            <w:r>
              <w:rPr>
                <w:color w:val="231F20"/>
                <w:spacing w:val="15"/>
                <w:position w:val="-6"/>
              </w:rPr>
              <w:t>-</w:t>
            </w:r>
          </w:p>
        </w:tc>
        <w:tc>
          <w:tcPr>
            <w:tcW w:w="754" w:type="dxa"/>
            <w:vAlign w:val="top"/>
          </w:tcPr>
          <w:p>
            <w:pPr>
              <w:pStyle w:val="TableText"/>
              <w:ind w:left="349"/>
              <w:spacing w:before="177" w:line="101" w:lineRule="exact"/>
              <w:rPr/>
            </w:pPr>
            <w:r>
              <w:rPr>
                <w:color w:val="231F20"/>
                <w:spacing w:val="15"/>
                <w:position w:val="-6"/>
              </w:rPr>
              <w:t>-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332"/>
              <w:spacing w:before="177" w:line="101" w:lineRule="exact"/>
              <w:rPr/>
            </w:pPr>
            <w:r>
              <w:rPr>
                <w:color w:val="231F20"/>
                <w:spacing w:val="15"/>
                <w:position w:val="-6"/>
              </w:rPr>
              <w:t>-</w:t>
            </w:r>
          </w:p>
        </w:tc>
        <w:tc>
          <w:tcPr>
            <w:tcW w:w="828" w:type="dxa"/>
            <w:vAlign w:val="top"/>
          </w:tcPr>
          <w:p>
            <w:pPr>
              <w:pStyle w:val="TableText"/>
              <w:ind w:left="350"/>
              <w:spacing w:before="177" w:line="101" w:lineRule="exact"/>
              <w:rPr/>
            </w:pPr>
            <w:r>
              <w:rPr>
                <w:color w:val="231F20"/>
                <w:spacing w:val="15"/>
                <w:position w:val="-6"/>
              </w:rPr>
              <w:t>-</w:t>
            </w:r>
          </w:p>
        </w:tc>
        <w:tc>
          <w:tcPr>
            <w:tcW w:w="665" w:type="dxa"/>
            <w:vAlign w:val="top"/>
          </w:tcPr>
          <w:p>
            <w:pPr>
              <w:pStyle w:val="TableText"/>
              <w:ind w:left="259"/>
              <w:spacing w:before="177" w:line="101" w:lineRule="exact"/>
              <w:rPr/>
            </w:pPr>
            <w:r>
              <w:rPr>
                <w:color w:val="231F20"/>
                <w:spacing w:val="15"/>
                <w:position w:val="-6"/>
              </w:rPr>
              <w:t>-</w:t>
            </w:r>
          </w:p>
        </w:tc>
      </w:tr>
      <w:tr>
        <w:trPr>
          <w:trHeight w:val="281" w:hRule="atLeast"/>
        </w:trPr>
        <w:tc>
          <w:tcPr>
            <w:tcW w:w="1215" w:type="dxa"/>
            <w:vAlign w:val="top"/>
          </w:tcPr>
          <w:p>
            <w:pPr>
              <w:pStyle w:val="TableText"/>
              <w:ind w:left="70"/>
              <w:spacing w:before="82" w:line="176" w:lineRule="auto"/>
              <w:rPr/>
            </w:pPr>
            <w:r>
              <w:rPr>
                <w:color w:val="231F20"/>
                <w:spacing w:val="6"/>
              </w:rPr>
              <w:t>阿帕替尼</w:t>
            </w:r>
          </w:p>
        </w:tc>
        <w:tc>
          <w:tcPr>
            <w:tcW w:w="742" w:type="dxa"/>
            <w:vAlign w:val="top"/>
          </w:tcPr>
          <w:p>
            <w:pPr>
              <w:pStyle w:val="TableText"/>
              <w:ind w:left="363"/>
              <w:spacing w:before="172" w:line="99" w:lineRule="exact"/>
              <w:rPr/>
            </w:pPr>
            <w:r>
              <w:rPr>
                <w:color w:val="231F20"/>
                <w:spacing w:val="15"/>
                <w:position w:val="-6"/>
              </w:rPr>
              <w:t>-</w:t>
            </w:r>
          </w:p>
        </w:tc>
        <w:tc>
          <w:tcPr>
            <w:tcW w:w="766" w:type="dxa"/>
            <w:vAlign w:val="top"/>
          </w:tcPr>
          <w:p>
            <w:pPr>
              <w:pStyle w:val="TableText"/>
              <w:ind w:left="360"/>
              <w:spacing w:before="77" w:line="180" w:lineRule="auto"/>
              <w:rPr/>
            </w:pPr>
            <w:r>
              <w:rPr>
                <w:color w:val="231F20"/>
              </w:rPr>
              <w:t>2</w:t>
            </w:r>
          </w:p>
        </w:tc>
        <w:tc>
          <w:tcPr>
            <w:tcW w:w="771" w:type="dxa"/>
            <w:vAlign w:val="top"/>
          </w:tcPr>
          <w:p>
            <w:pPr>
              <w:pStyle w:val="TableText"/>
              <w:ind w:left="234"/>
              <w:spacing w:before="106" w:line="165" w:lineRule="exact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color w:val="231F20"/>
                <w:spacing w:val="-13"/>
                <w:w w:val="96"/>
                <w:position w:val="1"/>
              </w:rPr>
              <w:t>α</w:t>
            </w:r>
            <w:r>
              <w:rPr>
                <w:color w:val="231F20"/>
                <w:spacing w:val="-13"/>
                <w:w w:val="96"/>
                <w:position w:val="1"/>
              </w:rPr>
              <w:t>、</w:t>
            </w:r>
            <w:r>
              <w:rPr>
                <w:rFonts w:ascii="Arial" w:hAnsi="Arial" w:eastAsia="Arial" w:cs="Arial"/>
                <w:color w:val="231F20"/>
                <w:spacing w:val="-13"/>
                <w:w w:val="96"/>
                <w:position w:val="1"/>
              </w:rPr>
              <w:t>β</w:t>
            </w:r>
          </w:p>
        </w:tc>
        <w:tc>
          <w:tcPr>
            <w:tcW w:w="704" w:type="dxa"/>
            <w:vAlign w:val="top"/>
          </w:tcPr>
          <w:p>
            <w:pPr>
              <w:ind w:left="292"/>
              <w:spacing w:before="52" w:line="200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2"/>
                <w:position w:val="-1"/>
              </w:rPr>
              <w:t>√</w:t>
            </w:r>
          </w:p>
        </w:tc>
        <w:tc>
          <w:tcPr>
            <w:tcW w:w="744" w:type="dxa"/>
            <w:vAlign w:val="top"/>
          </w:tcPr>
          <w:p>
            <w:pPr>
              <w:pStyle w:val="TableText"/>
              <w:ind w:left="328"/>
              <w:spacing w:before="172" w:line="99" w:lineRule="exact"/>
              <w:rPr/>
            </w:pPr>
            <w:r>
              <w:rPr>
                <w:color w:val="231F20"/>
                <w:spacing w:val="15"/>
                <w:position w:val="-6"/>
              </w:rPr>
              <w:t>-</w:t>
            </w:r>
          </w:p>
        </w:tc>
        <w:tc>
          <w:tcPr>
            <w:tcW w:w="725" w:type="dxa"/>
            <w:vAlign w:val="top"/>
          </w:tcPr>
          <w:p>
            <w:pPr>
              <w:ind w:left="318"/>
              <w:spacing w:before="52" w:line="200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2"/>
                <w:position w:val="-1"/>
              </w:rPr>
              <w:t>√</w:t>
            </w:r>
          </w:p>
        </w:tc>
        <w:tc>
          <w:tcPr>
            <w:tcW w:w="721" w:type="dxa"/>
            <w:vAlign w:val="top"/>
          </w:tcPr>
          <w:p>
            <w:pPr>
              <w:pStyle w:val="TableText"/>
              <w:ind w:left="333"/>
              <w:spacing w:before="172" w:line="99" w:lineRule="exact"/>
              <w:rPr/>
            </w:pPr>
            <w:r>
              <w:rPr>
                <w:color w:val="231F20"/>
                <w:spacing w:val="15"/>
                <w:position w:val="-6"/>
              </w:rPr>
              <w:t>-</w:t>
            </w:r>
          </w:p>
        </w:tc>
        <w:tc>
          <w:tcPr>
            <w:tcW w:w="754" w:type="dxa"/>
            <w:vAlign w:val="top"/>
          </w:tcPr>
          <w:p>
            <w:pPr>
              <w:pStyle w:val="TableText"/>
              <w:ind w:left="349"/>
              <w:spacing w:before="172" w:line="99" w:lineRule="exact"/>
              <w:rPr/>
            </w:pPr>
            <w:r>
              <w:rPr>
                <w:color w:val="231F20"/>
                <w:spacing w:val="15"/>
                <w:position w:val="-6"/>
              </w:rPr>
              <w:t>-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332"/>
              <w:spacing w:before="172" w:line="99" w:lineRule="exact"/>
              <w:rPr/>
            </w:pPr>
            <w:r>
              <w:rPr>
                <w:color w:val="231F20"/>
                <w:spacing w:val="15"/>
                <w:position w:val="-6"/>
              </w:rPr>
              <w:t>-</w:t>
            </w:r>
          </w:p>
        </w:tc>
        <w:tc>
          <w:tcPr>
            <w:tcW w:w="828" w:type="dxa"/>
            <w:vAlign w:val="top"/>
          </w:tcPr>
          <w:p>
            <w:pPr>
              <w:pStyle w:val="TableText"/>
              <w:ind w:left="350"/>
              <w:spacing w:before="172" w:line="99" w:lineRule="exact"/>
              <w:rPr/>
            </w:pPr>
            <w:r>
              <w:rPr>
                <w:color w:val="231F20"/>
                <w:spacing w:val="15"/>
                <w:position w:val="-6"/>
              </w:rPr>
              <w:t>-</w:t>
            </w:r>
          </w:p>
        </w:tc>
        <w:tc>
          <w:tcPr>
            <w:tcW w:w="665" w:type="dxa"/>
            <w:vAlign w:val="top"/>
          </w:tcPr>
          <w:p>
            <w:pPr>
              <w:ind w:left="256"/>
              <w:spacing w:before="52" w:line="200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2"/>
                <w:position w:val="-1"/>
              </w:rPr>
              <w:t>√</w:t>
            </w:r>
          </w:p>
        </w:tc>
      </w:tr>
      <w:tr>
        <w:trPr>
          <w:trHeight w:val="282" w:hRule="atLeast"/>
        </w:trPr>
        <w:tc>
          <w:tcPr>
            <w:tcW w:w="1215" w:type="dxa"/>
            <w:vAlign w:val="top"/>
          </w:tcPr>
          <w:p>
            <w:pPr>
              <w:pStyle w:val="TableText"/>
              <w:ind w:left="60"/>
              <w:spacing w:before="84" w:line="175" w:lineRule="auto"/>
              <w:rPr/>
            </w:pPr>
            <w:r>
              <w:rPr>
                <w:color w:val="231F20"/>
                <w:spacing w:val="9"/>
              </w:rPr>
              <w:t>安罗替尼</w:t>
            </w:r>
          </w:p>
        </w:tc>
        <w:tc>
          <w:tcPr>
            <w:tcW w:w="742" w:type="dxa"/>
            <w:vAlign w:val="top"/>
          </w:tcPr>
          <w:p>
            <w:pPr>
              <w:pStyle w:val="TableText"/>
              <w:ind w:left="363"/>
              <w:spacing w:before="174" w:line="98" w:lineRule="exact"/>
              <w:rPr/>
            </w:pPr>
            <w:r>
              <w:rPr>
                <w:color w:val="231F20"/>
                <w:spacing w:val="15"/>
                <w:position w:val="-6"/>
              </w:rPr>
              <w:t>-</w:t>
            </w:r>
          </w:p>
        </w:tc>
        <w:tc>
          <w:tcPr>
            <w:tcW w:w="766" w:type="dxa"/>
            <w:vAlign w:val="top"/>
          </w:tcPr>
          <w:p>
            <w:pPr>
              <w:pStyle w:val="TableText"/>
              <w:ind w:left="214"/>
              <w:spacing w:before="80" w:line="179" w:lineRule="auto"/>
              <w:rPr/>
            </w:pPr>
            <w:r>
              <w:rPr>
                <w:color w:val="231F20"/>
                <w:spacing w:val="-18"/>
                <w:w w:val="86"/>
              </w:rPr>
              <w:t>1、2、3</w:t>
            </w:r>
          </w:p>
        </w:tc>
        <w:tc>
          <w:tcPr>
            <w:tcW w:w="771" w:type="dxa"/>
            <w:vAlign w:val="top"/>
          </w:tcPr>
          <w:p>
            <w:pPr>
              <w:pStyle w:val="TableText"/>
              <w:ind w:left="234"/>
              <w:spacing w:before="109" w:line="163" w:lineRule="exact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color w:val="231F20"/>
                <w:spacing w:val="-13"/>
                <w:w w:val="96"/>
                <w:position w:val="1"/>
              </w:rPr>
              <w:t>α</w:t>
            </w:r>
            <w:r>
              <w:rPr>
                <w:color w:val="231F20"/>
                <w:spacing w:val="-13"/>
                <w:w w:val="96"/>
                <w:position w:val="1"/>
              </w:rPr>
              <w:t>、</w:t>
            </w:r>
            <w:r>
              <w:rPr>
                <w:rFonts w:ascii="Arial" w:hAnsi="Arial" w:eastAsia="Arial" w:cs="Arial"/>
                <w:color w:val="231F20"/>
                <w:spacing w:val="-13"/>
                <w:w w:val="96"/>
                <w:position w:val="1"/>
              </w:rPr>
              <w:t>β</w:t>
            </w:r>
          </w:p>
        </w:tc>
        <w:tc>
          <w:tcPr>
            <w:tcW w:w="704" w:type="dxa"/>
            <w:vAlign w:val="top"/>
          </w:tcPr>
          <w:p>
            <w:pPr>
              <w:ind w:left="292"/>
              <w:spacing w:before="54" w:line="200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2"/>
                <w:position w:val="-1"/>
              </w:rPr>
              <w:t>√</w:t>
            </w:r>
          </w:p>
        </w:tc>
        <w:tc>
          <w:tcPr>
            <w:tcW w:w="744" w:type="dxa"/>
            <w:vAlign w:val="top"/>
          </w:tcPr>
          <w:p>
            <w:pPr>
              <w:pStyle w:val="TableText"/>
              <w:ind w:left="328"/>
              <w:spacing w:before="174" w:line="98" w:lineRule="exact"/>
              <w:rPr/>
            </w:pPr>
            <w:r>
              <w:rPr>
                <w:color w:val="231F20"/>
                <w:spacing w:val="15"/>
                <w:position w:val="-6"/>
              </w:rPr>
              <w:t>-</w:t>
            </w:r>
          </w:p>
        </w:tc>
        <w:tc>
          <w:tcPr>
            <w:tcW w:w="725" w:type="dxa"/>
            <w:vAlign w:val="top"/>
          </w:tcPr>
          <w:p>
            <w:pPr>
              <w:ind w:left="318"/>
              <w:spacing w:before="54" w:line="200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2"/>
                <w:position w:val="-1"/>
              </w:rPr>
              <w:t>√</w:t>
            </w:r>
          </w:p>
        </w:tc>
        <w:tc>
          <w:tcPr>
            <w:tcW w:w="721" w:type="dxa"/>
            <w:vAlign w:val="top"/>
          </w:tcPr>
          <w:p>
            <w:pPr>
              <w:ind w:left="330"/>
              <w:spacing w:before="54" w:line="200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2"/>
                <w:position w:val="-1"/>
              </w:rPr>
              <w:t>√</w:t>
            </w:r>
          </w:p>
        </w:tc>
        <w:tc>
          <w:tcPr>
            <w:tcW w:w="754" w:type="dxa"/>
            <w:vAlign w:val="top"/>
          </w:tcPr>
          <w:p>
            <w:pPr>
              <w:pStyle w:val="TableText"/>
              <w:ind w:left="349"/>
              <w:spacing w:before="174" w:line="98" w:lineRule="exact"/>
              <w:rPr/>
            </w:pPr>
            <w:r>
              <w:rPr>
                <w:color w:val="231F20"/>
                <w:spacing w:val="15"/>
                <w:position w:val="-6"/>
              </w:rPr>
              <w:t>-</w:t>
            </w:r>
          </w:p>
        </w:tc>
        <w:tc>
          <w:tcPr>
            <w:tcW w:w="719" w:type="dxa"/>
            <w:vAlign w:val="top"/>
          </w:tcPr>
          <w:p>
            <w:pPr>
              <w:ind w:left="329"/>
              <w:spacing w:before="54" w:line="200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2"/>
                <w:position w:val="-1"/>
              </w:rPr>
              <w:t>√</w:t>
            </w:r>
          </w:p>
        </w:tc>
        <w:tc>
          <w:tcPr>
            <w:tcW w:w="828" w:type="dxa"/>
            <w:vAlign w:val="top"/>
          </w:tcPr>
          <w:p>
            <w:pPr>
              <w:pStyle w:val="TableText"/>
              <w:ind w:left="350"/>
              <w:spacing w:before="174" w:line="98" w:lineRule="exact"/>
              <w:rPr/>
            </w:pPr>
            <w:r>
              <w:rPr>
                <w:color w:val="231F20"/>
                <w:spacing w:val="15"/>
                <w:position w:val="-6"/>
              </w:rPr>
              <w:t>-</w:t>
            </w:r>
          </w:p>
        </w:tc>
        <w:tc>
          <w:tcPr>
            <w:tcW w:w="665" w:type="dxa"/>
            <w:vAlign w:val="top"/>
          </w:tcPr>
          <w:p>
            <w:pPr>
              <w:pStyle w:val="TableText"/>
              <w:ind w:left="259"/>
              <w:spacing w:before="174" w:line="98" w:lineRule="exact"/>
              <w:rPr/>
            </w:pPr>
            <w:r>
              <w:rPr>
                <w:color w:val="231F20"/>
                <w:spacing w:val="15"/>
                <w:position w:val="-6"/>
              </w:rPr>
              <w:t>-</w:t>
            </w:r>
          </w:p>
        </w:tc>
      </w:tr>
      <w:tr>
        <w:trPr>
          <w:trHeight w:val="299" w:hRule="atLeast"/>
        </w:trPr>
        <w:tc>
          <w:tcPr>
            <w:tcW w:w="121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0"/>
              <w:spacing w:before="86" w:line="188" w:lineRule="auto"/>
              <w:rPr/>
            </w:pPr>
            <w:r>
              <w:rPr>
                <w:color w:val="231F20"/>
                <w:spacing w:val="9"/>
              </w:rPr>
              <w:t>法米替尼</w:t>
            </w:r>
          </w:p>
        </w:tc>
        <w:tc>
          <w:tcPr>
            <w:tcW w:w="74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63"/>
              <w:spacing w:before="176" w:line="112" w:lineRule="exact"/>
              <w:rPr/>
            </w:pPr>
            <w:r>
              <w:rPr>
                <w:color w:val="231F20"/>
                <w:spacing w:val="15"/>
                <w:position w:val="-6"/>
              </w:rPr>
              <w:t>-</w:t>
            </w:r>
          </w:p>
        </w:tc>
        <w:tc>
          <w:tcPr>
            <w:tcW w:w="76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80"/>
              <w:spacing w:before="82" w:line="193" w:lineRule="auto"/>
              <w:rPr/>
            </w:pPr>
            <w:r>
              <w:rPr>
                <w:color w:val="231F20"/>
                <w:spacing w:val="-16"/>
                <w:w w:val="91"/>
              </w:rPr>
              <w:t>2、3</w:t>
            </w:r>
          </w:p>
        </w:tc>
        <w:tc>
          <w:tcPr>
            <w:tcW w:w="771" w:type="dxa"/>
            <w:vAlign w:val="top"/>
            <w:tcBorders>
              <w:bottom w:val="single" w:color="000000" w:sz="6" w:space="0"/>
            </w:tcBorders>
          </w:tcPr>
          <w:p>
            <w:pPr>
              <w:ind w:left="330"/>
              <w:spacing w:before="110" w:line="201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</w:rPr>
              <w:t>β</w:t>
            </w:r>
          </w:p>
        </w:tc>
        <w:tc>
          <w:tcPr>
            <w:tcW w:w="704" w:type="dxa"/>
            <w:vAlign w:val="top"/>
            <w:tcBorders>
              <w:bottom w:val="single" w:color="000000" w:sz="6" w:space="0"/>
            </w:tcBorders>
          </w:tcPr>
          <w:p>
            <w:pPr>
              <w:ind w:left="292"/>
              <w:spacing w:before="56" w:line="200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2"/>
                <w:position w:val="-1"/>
              </w:rPr>
              <w:t>√</w:t>
            </w:r>
          </w:p>
        </w:tc>
        <w:tc>
          <w:tcPr>
            <w:tcW w:w="744" w:type="dxa"/>
            <w:vAlign w:val="top"/>
            <w:tcBorders>
              <w:bottom w:val="single" w:color="000000" w:sz="6" w:space="0"/>
            </w:tcBorders>
          </w:tcPr>
          <w:p>
            <w:pPr>
              <w:ind w:left="325"/>
              <w:spacing w:before="56" w:line="200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2"/>
                <w:position w:val="-1"/>
              </w:rPr>
              <w:t>√</w:t>
            </w:r>
          </w:p>
        </w:tc>
        <w:tc>
          <w:tcPr>
            <w:tcW w:w="725" w:type="dxa"/>
            <w:vAlign w:val="top"/>
            <w:tcBorders>
              <w:bottom w:val="single" w:color="000000" w:sz="6" w:space="0"/>
            </w:tcBorders>
          </w:tcPr>
          <w:p>
            <w:pPr>
              <w:ind w:left="318"/>
              <w:spacing w:before="56" w:line="200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2"/>
                <w:position w:val="-1"/>
              </w:rPr>
              <w:t>√</w:t>
            </w:r>
          </w:p>
        </w:tc>
        <w:tc>
          <w:tcPr>
            <w:tcW w:w="72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33"/>
              <w:spacing w:before="176" w:line="112" w:lineRule="exact"/>
              <w:rPr/>
            </w:pPr>
            <w:r>
              <w:rPr>
                <w:color w:val="231F20"/>
                <w:spacing w:val="15"/>
                <w:position w:val="-6"/>
              </w:rPr>
              <w:t>-</w:t>
            </w:r>
          </w:p>
        </w:tc>
        <w:tc>
          <w:tcPr>
            <w:tcW w:w="75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49"/>
              <w:spacing w:before="176" w:line="112" w:lineRule="exact"/>
              <w:rPr/>
            </w:pPr>
            <w:r>
              <w:rPr>
                <w:color w:val="231F20"/>
                <w:spacing w:val="15"/>
                <w:position w:val="-6"/>
              </w:rPr>
              <w:t>-</w:t>
            </w:r>
          </w:p>
        </w:tc>
        <w:tc>
          <w:tcPr>
            <w:tcW w:w="71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32"/>
              <w:spacing w:before="176" w:line="112" w:lineRule="exact"/>
              <w:rPr/>
            </w:pPr>
            <w:r>
              <w:rPr>
                <w:color w:val="231F20"/>
                <w:spacing w:val="15"/>
                <w:position w:val="-6"/>
              </w:rPr>
              <w:t>-</w:t>
            </w:r>
          </w:p>
        </w:tc>
        <w:tc>
          <w:tcPr>
            <w:tcW w:w="82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50"/>
              <w:spacing w:before="176" w:line="112" w:lineRule="exact"/>
              <w:rPr/>
            </w:pPr>
            <w:r>
              <w:rPr>
                <w:color w:val="231F20"/>
                <w:spacing w:val="15"/>
                <w:position w:val="-6"/>
              </w:rPr>
              <w:t>-</w:t>
            </w:r>
          </w:p>
        </w:tc>
        <w:tc>
          <w:tcPr>
            <w:tcW w:w="665" w:type="dxa"/>
            <w:vAlign w:val="top"/>
            <w:tcBorders>
              <w:bottom w:val="single" w:color="000000" w:sz="6" w:space="0"/>
            </w:tcBorders>
          </w:tcPr>
          <w:p>
            <w:pPr>
              <w:ind w:left="256"/>
              <w:spacing w:before="56" w:line="200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231F20"/>
                <w:spacing w:val="2"/>
                <w:position w:val="-1"/>
              </w:rPr>
              <w:t>√</w:t>
            </w:r>
          </w:p>
        </w:tc>
      </w:tr>
    </w:tbl>
    <w:p>
      <w:pPr>
        <w:spacing w:line="34" w:lineRule="exact"/>
        <w:rPr>
          <w:rFonts w:ascii="Arial"/>
          <w:sz w:val="2"/>
        </w:rPr>
      </w:pPr>
      <w:r/>
    </w:p>
    <w:p>
      <w:pPr>
        <w:spacing w:line="34" w:lineRule="exact"/>
        <w:sectPr>
          <w:type w:val="continuous"/>
          <w:pgSz w:w="11906" w:h="16838"/>
          <w:pgMar w:top="400" w:right="1211" w:bottom="0" w:left="407" w:header="0" w:footer="0" w:gutter="0"/>
          <w:cols w:equalWidth="0" w:num="1">
            <w:col w:w="10287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1458"/>
        <w:spacing w:before="42"/>
        <w:rPr>
          <w:sz w:val="15"/>
          <w:szCs w:val="15"/>
        </w:rPr>
      </w:pPr>
      <w:r>
        <w:rPr>
          <w:sz w:val="15"/>
          <w:szCs w:val="15"/>
          <w:color w:val="231F20"/>
          <w:spacing w:val="-17"/>
        </w:rPr>
        <w:t>注：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>√</w:t>
      </w:r>
      <w:r>
        <w:rPr>
          <w:sz w:val="15"/>
          <w:szCs w:val="15"/>
          <w:color w:val="231F20"/>
          <w:spacing w:val="-17"/>
        </w:rPr>
        <w:t>：靶点；-：非靶点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ind w:left="869"/>
        <w:spacing w:before="56" w:line="229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4</w:t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子宫颈癌抗血管生成药物临床应用证据和推荐</w:t>
      </w:r>
    </w:p>
    <w:p>
      <w:pPr>
        <w:pStyle w:val="BodyText"/>
        <w:ind w:left="869" w:right="262"/>
        <w:spacing w:before="88" w:line="235" w:lineRule="auto"/>
        <w:rPr/>
      </w:pPr>
      <w:r>
        <w:rPr>
          <w:color w:val="231F20"/>
          <w:spacing w:val="-1"/>
        </w:rPr>
        <w:t>4.1</w:t>
      </w:r>
      <w:r>
        <w:rPr>
          <w:color w:val="231F20"/>
          <w:spacing w:val="16"/>
          <w:w w:val="101"/>
        </w:rPr>
        <w:t xml:space="preserve">   </w:t>
      </w:r>
      <w:r>
        <w:rPr>
          <w:color w:val="231F20"/>
          <w:spacing w:val="-1"/>
        </w:rPr>
        <w:t>贝伐（珠）单抗治疗晚期、复发和转移性子宫颈癌的临</w:t>
      </w:r>
      <w:r>
        <w:rPr>
          <w:color w:val="231F20"/>
        </w:rPr>
        <w:t xml:space="preserve"> </w:t>
      </w:r>
      <w:r>
        <w:rPr>
          <w:color w:val="231F20"/>
        </w:rPr>
        <w:t>床证据和推荐意见</w:t>
      </w:r>
      <w:r>
        <w:rPr>
          <w:color w:val="231F20"/>
          <w:spacing w:val="13"/>
        </w:rPr>
        <w:t xml:space="preserve">   </w:t>
      </w:r>
      <w:r>
        <w:rPr>
          <w:color w:val="231F20"/>
        </w:rPr>
        <w:t>GOG-227C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是首个证实贝伐（珠</w:t>
      </w:r>
      <w:r>
        <w:rPr>
          <w:color w:val="231F20"/>
          <w:spacing w:val="-1"/>
        </w:rPr>
        <w:t>）单抗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治疗子宫颈癌有效的前瞻性研究</w:t>
      </w:r>
      <w:r>
        <w:rPr>
          <w:sz w:val="9"/>
          <w:szCs w:val="9"/>
          <w:color w:val="231F20"/>
          <w:spacing w:val="9"/>
          <w:position w:val="6"/>
        </w:rPr>
        <w:t>［8</w:t>
      </w:r>
      <w:r>
        <w:rPr>
          <w:sz w:val="9"/>
          <w:szCs w:val="9"/>
          <w:color w:val="231F20"/>
          <w:spacing w:val="-4"/>
          <w:position w:val="6"/>
        </w:rPr>
        <w:t>］</w:t>
      </w:r>
      <w:r>
        <w:rPr>
          <w:color w:val="231F20"/>
          <w:spacing w:val="-28"/>
          <w:w w:val="54"/>
        </w:rPr>
        <w:t>，</w:t>
      </w:r>
      <w:r>
        <w:rPr>
          <w:color w:val="231F20"/>
          <w:spacing w:val="9"/>
        </w:rPr>
        <w:t>46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9"/>
        </w:rPr>
        <w:t>例复发</w:t>
      </w:r>
      <w:r>
        <w:rPr>
          <w:color w:val="231F20"/>
          <w:spacing w:val="8"/>
        </w:rPr>
        <w:t>性子宫颈癌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患者在</w:t>
      </w:r>
      <w:r>
        <w:rPr>
          <w:rFonts w:ascii="Arial" w:hAnsi="Arial" w:eastAsia="Arial" w:cs="Arial"/>
          <w:color w:val="231F20"/>
          <w:spacing w:val="-11"/>
        </w:rPr>
        <w:t>≤</w:t>
      </w:r>
      <w:r>
        <w:rPr>
          <w:color w:val="231F20"/>
          <w:spacing w:val="-11"/>
        </w:rPr>
        <w:t>2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1"/>
        </w:rPr>
        <w:t>线治疗后，单药使用贝伐（珠）单抗（15mg/kg，3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1"/>
        </w:rPr>
        <w:t>周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疗</w:t>
      </w:r>
      <w:r>
        <w:rPr>
          <w:color w:val="231F20"/>
          <w:spacing w:val="-25"/>
          <w:w w:val="61"/>
        </w:rPr>
        <w:t>），</w:t>
      </w:r>
      <w:r>
        <w:rPr>
          <w:color w:val="231F20"/>
          <w:spacing w:val="-11"/>
        </w:rPr>
        <w:t>客观缓解率（objective response ra</w:t>
      </w:r>
      <w:r>
        <w:rPr>
          <w:color w:val="231F20"/>
          <w:spacing w:val="-12"/>
        </w:rPr>
        <w:t>te，ORR）为 10.9%（均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为部分缓解</w:t>
      </w:r>
      <w:r>
        <w:rPr>
          <w:color w:val="231F20"/>
          <w:spacing w:val="-27"/>
          <w:w w:val="66"/>
        </w:rPr>
        <w:t>），</w:t>
      </w:r>
      <w:r>
        <w:rPr>
          <w:color w:val="231F20"/>
          <w:spacing w:val="11"/>
        </w:rPr>
        <w:t>中位肿瘤缓解持续时间为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1"/>
        </w:rPr>
        <w:t>6.2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1"/>
        </w:rPr>
        <w:t>个月，中位无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1" w:right="64" w:firstLine="3"/>
        <w:spacing w:before="74" w:line="248" w:lineRule="auto"/>
        <w:rPr/>
      </w:pPr>
      <w:r>
        <w:rPr>
          <w:color w:val="231F20"/>
          <w:spacing w:val="-12"/>
        </w:rPr>
        <w:t>复发生存期（median progression-</w:t>
      </w:r>
      <w:r>
        <w:rPr>
          <w:color w:val="231F20"/>
          <w:spacing w:val="-13"/>
        </w:rPr>
        <w:t>free survival，mPFS）和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3"/>
        </w:rPr>
        <w:t>mOS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分别为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"/>
        </w:rPr>
        <w:t>3.4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"/>
        </w:rPr>
        <w:t>个月和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"/>
        </w:rPr>
        <w:t>7.2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"/>
        </w:rPr>
        <w:t>个月。</w:t>
      </w:r>
    </w:p>
    <w:p>
      <w:pPr>
        <w:pStyle w:val="BodyText"/>
        <w:ind w:right="64" w:firstLine="365"/>
        <w:spacing w:before="1" w:line="232" w:lineRule="auto"/>
        <w:jc w:val="both"/>
        <w:rPr/>
      </w:pPr>
      <w:r>
        <w:rPr>
          <w:color w:val="231F20"/>
          <w:spacing w:val="-10"/>
        </w:rPr>
        <w:t>GOG-240（NCT00803062）证实，在复发、转移和</w:t>
      </w:r>
      <w:r>
        <w:rPr>
          <w:color w:val="231F20"/>
          <w:spacing w:val="-11"/>
        </w:rPr>
        <w:t>晚期子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宫颈癌的一线治疗中，贝伐（珠）单抗具有重要作用</w:t>
      </w:r>
      <w:r>
        <w:rPr>
          <w:sz w:val="9"/>
          <w:szCs w:val="9"/>
          <w:color w:val="231F20"/>
          <w:spacing w:val="4"/>
          <w:position w:val="6"/>
        </w:rPr>
        <w:t>［9</w:t>
      </w:r>
      <w:r>
        <w:rPr>
          <w:sz w:val="9"/>
          <w:szCs w:val="9"/>
          <w:color w:val="231F20"/>
          <w:spacing w:val="7"/>
          <w:position w:val="6"/>
        </w:rPr>
        <w:t>］</w:t>
      </w:r>
      <w:r>
        <w:rPr>
          <w:color w:val="231F20"/>
          <w:spacing w:val="-30"/>
          <w:w w:val="58"/>
        </w:rPr>
        <w:t>，</w:t>
      </w:r>
      <w:r>
        <w:rPr>
          <w:color w:val="231F20"/>
          <w:spacing w:val="4"/>
        </w:rPr>
        <w:t>该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研究共入组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452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8"/>
        </w:rPr>
        <w:t>例未接受化疗且无法手术（包括盆腔廓清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术）的转移、复发和持续性子宫颈癌患者，按 1∶1∶1∶1 随机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分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9"/>
        </w:rPr>
        <w:t>组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9"/>
        </w:rPr>
        <w:t>，入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9"/>
        </w:rPr>
        <w:t>组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9"/>
        </w:rPr>
        <w:t>患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9"/>
        </w:rPr>
        <w:t>者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9"/>
        </w:rPr>
        <w:t>分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9"/>
        </w:rPr>
        <w:t>别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9"/>
        </w:rPr>
        <w:t>接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9"/>
        </w:rPr>
        <w:t>受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9"/>
        </w:rPr>
        <w:t>顺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9"/>
        </w:rPr>
        <w:t>铂（50mg/m</w:t>
      </w:r>
      <w:r>
        <w:rPr>
          <w:sz w:val="9"/>
          <w:szCs w:val="9"/>
          <w:color w:val="231F20"/>
          <w:spacing w:val="-3"/>
          <w:position w:val="7"/>
        </w:rPr>
        <w:t>2</w:t>
      </w:r>
      <w:r>
        <w:rPr>
          <w:color w:val="231F20"/>
          <w:spacing w:val="-20"/>
        </w:rPr>
        <w:t>）+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0"/>
        </w:rPr>
        <w:t>紫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0"/>
        </w:rPr>
        <w:t>杉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0"/>
        </w:rPr>
        <w:t>醇（135~</w:t>
      </w:r>
    </w:p>
    <w:p>
      <w:pPr>
        <w:spacing w:line="232" w:lineRule="auto"/>
        <w:sectPr>
          <w:type w:val="continuous"/>
          <w:pgSz w:w="11906" w:h="16838"/>
          <w:pgMar w:top="400" w:right="1211" w:bottom="0" w:left="407" w:header="0" w:footer="0" w:gutter="0"/>
          <w:cols w:equalWidth="0" w:num="2">
            <w:col w:w="5627" w:space="100"/>
            <w:col w:w="4560" w:space="0"/>
          </w:cols>
        </w:sectPr>
        <w:rPr/>
      </w:pPr>
    </w:p>
    <w:p>
      <w:pPr>
        <w:spacing w:before="71"/>
        <w:rPr/>
      </w:pPr>
      <w:r>
        <w:drawing>
          <wp:anchor distT="0" distB="0" distL="0" distR="0" simplePos="0" relativeHeight="251666432" behindDoc="0" locked="0" layoutInCell="0" allowOverlap="1">
            <wp:simplePos x="0" y="0"/>
            <wp:positionH relativeFrom="page">
              <wp:posOffset>823564</wp:posOffset>
            </wp:positionH>
            <wp:positionV relativeFrom="page">
              <wp:posOffset>980524</wp:posOffset>
            </wp:positionV>
            <wp:extent cx="2400275" cy="635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027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6"/>
          <w:pgSz w:w="11906" w:h="16838"/>
          <w:pgMar w:top="1561" w:right="1155" w:bottom="0" w:left="407" w:header="1315" w:footer="0" w:gutter="0"/>
          <w:cols w:equalWidth="0" w:num="1">
            <w:col w:w="10342" w:space="0"/>
          </w:cols>
        </w:sectPr>
        <w:rPr/>
      </w:pPr>
    </w:p>
    <w:p>
      <w:pPr>
        <w:pStyle w:val="BodyText"/>
        <w:ind w:left="802" w:right="194" w:firstLine="84"/>
        <w:spacing w:before="39" w:line="242" w:lineRule="auto"/>
        <w:jc w:val="both"/>
        <w:rPr/>
      </w:pPr>
      <w:r>
        <w:rPr>
          <w:color w:val="231F20"/>
          <w:spacing w:val="-20"/>
          <w:w w:val="97"/>
        </w:rPr>
        <w:t>175mg/m</w:t>
      </w:r>
      <w:r>
        <w:rPr>
          <w:sz w:val="9"/>
          <w:szCs w:val="9"/>
          <w:color w:val="231F20"/>
          <w:spacing w:val="-4"/>
          <w:position w:val="7"/>
        </w:rPr>
        <w:t>2</w:t>
      </w:r>
      <w:r>
        <w:rPr>
          <w:color w:val="231F20"/>
          <w:spacing w:val="-11"/>
        </w:rPr>
        <w:t>）±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1"/>
        </w:rPr>
        <w:t>贝伐（珠）单抗（15mg/kg</w:t>
      </w:r>
      <w:r>
        <w:rPr>
          <w:color w:val="231F20"/>
          <w:spacing w:val="-18"/>
          <w:w w:val="61"/>
        </w:rPr>
        <w:t>）（</w:t>
      </w:r>
      <w:r>
        <w:rPr>
          <w:color w:val="231F20"/>
          <w:spacing w:val="-11"/>
        </w:rPr>
        <w:t>3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1"/>
        </w:rPr>
        <w:t>周疗）或拓扑替康</w:t>
      </w:r>
      <w:r>
        <w:rPr>
          <w:color w:val="231F20"/>
        </w:rPr>
        <w:t xml:space="preserve"> </w:t>
      </w:r>
      <w:r>
        <w:rPr>
          <w:color w:val="231F20"/>
          <w:spacing w:val="-18"/>
        </w:rPr>
        <w:t>（0.75mg/m</w:t>
      </w:r>
      <w:r>
        <w:rPr>
          <w:sz w:val="9"/>
          <w:szCs w:val="9"/>
          <w:color w:val="231F20"/>
          <w:spacing w:val="2"/>
          <w:position w:val="7"/>
        </w:rPr>
        <w:t>2</w:t>
      </w:r>
      <w:r>
        <w:rPr>
          <w:color w:val="231F20"/>
          <w:spacing w:val="-22"/>
        </w:rPr>
        <w:t>，第 1~3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2"/>
        </w:rPr>
        <w:t>天）+紫杉醇（175mg/m</w:t>
      </w:r>
      <w:r>
        <w:rPr>
          <w:sz w:val="9"/>
          <w:szCs w:val="9"/>
          <w:color w:val="231F20"/>
          <w:spacing w:val="-2"/>
          <w:position w:val="7"/>
        </w:rPr>
        <w:t>2</w:t>
      </w:r>
      <w:r>
        <w:rPr>
          <w:color w:val="231F20"/>
          <w:spacing w:val="-15"/>
        </w:rPr>
        <w:t>）±贝伐（珠）单抗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（15mg/kg</w:t>
      </w:r>
      <w:r>
        <w:rPr>
          <w:color w:val="231F20"/>
          <w:spacing w:val="-17"/>
          <w:w w:val="57"/>
        </w:rPr>
        <w:t>）（</w:t>
      </w:r>
      <w:r>
        <w:rPr>
          <w:color w:val="231F20"/>
          <w:spacing w:val="-9"/>
        </w:rPr>
        <w:t>3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9"/>
        </w:rPr>
        <w:t>周疗）。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9"/>
        </w:rPr>
        <w:t>该研究首次</w:t>
      </w:r>
      <w:r>
        <w:rPr>
          <w:sz w:val="9"/>
          <w:szCs w:val="9"/>
          <w:color w:val="231F20"/>
          <w:spacing w:val="-9"/>
          <w:position w:val="6"/>
        </w:rPr>
        <w:t>［9］</w:t>
      </w:r>
      <w:r>
        <w:rPr>
          <w:color w:val="231F20"/>
          <w:spacing w:val="-9"/>
        </w:rPr>
        <w:t>和最终生存结局</w:t>
      </w:r>
      <w:r>
        <w:rPr>
          <w:sz w:val="9"/>
          <w:szCs w:val="9"/>
          <w:color w:val="231F20"/>
          <w:spacing w:val="-9"/>
          <w:position w:val="6"/>
        </w:rPr>
        <w:t>［10］</w:t>
      </w:r>
      <w:r>
        <w:rPr>
          <w:color w:val="231F20"/>
          <w:spacing w:val="19"/>
        </w:rPr>
        <w:t>分析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均证实，与单纯化疗相比，化疗联合贝伐（珠）单抗可显著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2"/>
        </w:rPr>
        <w:t>降低复发和死亡风险（最终生存结果：</w:t>
      </w:r>
      <w:r>
        <w:rPr>
          <w:color w:val="231F20"/>
        </w:rPr>
        <w:t>mPFS</w:t>
      </w:r>
      <w:r>
        <w:rPr>
          <w:color w:val="231F20"/>
          <w:spacing w:val="2"/>
        </w:rPr>
        <w:t xml:space="preserve"> 8.2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"/>
        </w:rPr>
        <w:t>个月</w:t>
      </w:r>
      <w:r>
        <w:rPr>
          <w:color w:val="231F20"/>
        </w:rPr>
        <w:t>vs</w:t>
      </w:r>
      <w:r>
        <w:rPr>
          <w:color w:val="231F20"/>
          <w:spacing w:val="2"/>
        </w:rPr>
        <w:t>. 6.0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个月，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4"/>
        </w:rPr>
        <w:t>P</w:t>
      </w:r>
      <w:r>
        <w:rPr>
          <w:color w:val="231F20"/>
          <w:spacing w:val="-14"/>
        </w:rPr>
        <w:t>=0.0032；mOS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4"/>
        </w:rPr>
        <w:t>16.8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4"/>
        </w:rPr>
        <w:t>个月 vs.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4"/>
        </w:rPr>
        <w:t>13.3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4"/>
        </w:rPr>
        <w:t>个月，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14"/>
        </w:rPr>
        <w:t>P</w:t>
      </w:r>
      <w:r>
        <w:rPr>
          <w:color w:val="231F20"/>
          <w:spacing w:val="-14"/>
        </w:rPr>
        <w:t>=0.0068）。</w:t>
      </w:r>
    </w:p>
    <w:p>
      <w:pPr>
        <w:pStyle w:val="BodyText"/>
        <w:ind w:left="802" w:right="141" w:firstLine="432"/>
        <w:spacing w:before="2"/>
        <w:jc w:val="both"/>
        <w:rPr/>
      </w:pPr>
      <w:r>
        <w:rPr>
          <w:color w:val="231F20"/>
          <w:spacing w:val="-3"/>
        </w:rPr>
        <w:t>2018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3"/>
        </w:rPr>
        <w:t>年，距离随机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26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个月时，GOG-240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公布了最终生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存结果：尽管部分对照组患者也使用了贝伐（珠）单抗，但  </w:t>
      </w:r>
      <w:r>
        <w:rPr>
          <w:color w:val="231F20"/>
          <w:spacing w:val="3"/>
        </w:rPr>
        <w:t>生存曲线的差异始终存在，多数疾病稳定（</w:t>
      </w:r>
      <w:r>
        <w:rPr>
          <w:color w:val="231F20"/>
        </w:rPr>
        <w:t>stable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disease</w:t>
      </w:r>
      <w:r>
        <w:rPr>
          <w:color w:val="231F20"/>
          <w:spacing w:val="3"/>
        </w:rPr>
        <w:t>，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SD</w:t>
      </w:r>
      <w:r>
        <w:rPr>
          <w:color w:val="231F20"/>
          <w:spacing w:val="6"/>
        </w:rPr>
        <w:t>）患者始终处于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SD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6"/>
        </w:rPr>
        <w:t>状态，这些结果进一步证实化</w:t>
      </w:r>
      <w:r>
        <w:rPr>
          <w:color w:val="231F20"/>
          <w:spacing w:val="5"/>
        </w:rPr>
        <w:t>疗联合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贝伐（珠）单抗的益处是持续而稳定的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1"/>
        </w:rPr>
        <w:t>。此外，增加贝伐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（珠）单抗可有效提高肿瘤控制率，化疗联合贝伐（珠）</w:t>
      </w:r>
      <w:r>
        <w:rPr>
          <w:color w:val="231F20"/>
          <w:spacing w:val="-2"/>
        </w:rPr>
        <w:t>单抗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组患者的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ORR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9"/>
        </w:rPr>
        <w:t>均接近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9"/>
        </w:rPr>
        <w:t>45%，而拓扑替康+紫杉醇组肿瘤缓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解率不足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3"/>
        </w:rPr>
        <w:t>25%；贝伐（珠）单抗治疗的远期安全性也得到证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实，化疗+贝伐（珠）单抗组患者进展后的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PFS</w:t>
      </w:r>
      <w:r>
        <w:rPr>
          <w:color w:val="231F20"/>
          <w:spacing w:val="2"/>
        </w:rPr>
        <w:t>2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与化疗组差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异无统计学意义。</w:t>
      </w:r>
    </w:p>
    <w:p>
      <w:pPr>
        <w:pStyle w:val="BodyText"/>
        <w:ind w:left="869" w:right="138" w:firstLine="360"/>
        <w:spacing w:before="17" w:line="241" w:lineRule="auto"/>
        <w:jc w:val="both"/>
        <w:rPr/>
      </w:pPr>
      <w:r>
        <w:rPr>
          <w:color w:val="231F20"/>
          <w:spacing w:val="4"/>
        </w:rPr>
        <w:t>需要强调的是，</w:t>
      </w:r>
      <w:r>
        <w:rPr>
          <w:color w:val="231F20"/>
        </w:rPr>
        <w:t>GOG</w:t>
      </w:r>
      <w:r>
        <w:rPr>
          <w:color w:val="231F20"/>
          <w:spacing w:val="4"/>
        </w:rPr>
        <w:t>-240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4"/>
        </w:rPr>
        <w:t>没有纳入复发后已接受化疗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的患者，患者入组前的化疗仅用在放疗增敏阶段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0"/>
        </w:rPr>
        <w:t>。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0"/>
        </w:rPr>
        <w:t>因此，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对于复发、转移、持续和晚期子宫颈癌患者，GOG-240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发现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使用贝伐（珠）单抗的益处体现在复发后［包括</w:t>
      </w:r>
      <w:r>
        <w:rPr>
          <w:color w:val="231F20"/>
          <w:spacing w:val="2"/>
        </w:rPr>
        <w:t>转移、持续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和国际妇产科联盟（FIGO）ⅣB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5"/>
        </w:rPr>
        <w:t>期］的一线治疗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5"/>
        </w:rPr>
        <w:t>。此外，亚组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分析结果显示，子宫颈腺癌患者从使用贝伐（珠</w:t>
      </w:r>
      <w:r>
        <w:rPr>
          <w:color w:val="231F20"/>
          <w:spacing w:val="2"/>
        </w:rPr>
        <w:t>）单抗中获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益有限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0"/>
        </w:rPr>
        <w:t>。虽然拓扑替康+紫杉醇组患者的预后不优于甚至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劣于顺铂+紫杉醇，但两组患者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6"/>
        </w:rPr>
        <w:t>OS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6"/>
        </w:rPr>
        <w:t>相仿，</w:t>
      </w:r>
      <w:r>
        <w:rPr>
          <w:color w:val="231F20"/>
          <w:spacing w:val="-7"/>
        </w:rPr>
        <w:t>且联合贝伐（珠）单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抗均有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OS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4"/>
        </w:rPr>
        <w:t>获益，故对于无法耐受顺铂的患者，仍可考虑使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用拓扑替康+紫杉醇方案，这一方法已被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NCCN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指南</w:t>
      </w:r>
      <w:r>
        <w:rPr>
          <w:color w:val="231F20"/>
          <w:spacing w:val="4"/>
        </w:rPr>
        <w:t>推荐；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但是使用该方案会导致严重骨髓抑制，特别是血小板减少  </w:t>
      </w:r>
      <w:r>
        <w:rPr>
          <w:color w:val="231F20"/>
          <w:spacing w:val="-13"/>
        </w:rPr>
        <w:t>症（chemotherapy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3"/>
        </w:rPr>
        <w:t>induced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3"/>
        </w:rPr>
        <w:t>thrombocytopenia，CIT</w:t>
      </w:r>
      <w:r>
        <w:rPr>
          <w:color w:val="231F20"/>
          <w:spacing w:val="-27"/>
          <w:w w:val="66"/>
        </w:rPr>
        <w:t>），</w:t>
      </w:r>
      <w:r>
        <w:rPr>
          <w:color w:val="231F20"/>
          <w:spacing w:val="-13"/>
        </w:rPr>
        <w:t>故临床应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用时需要密切随访和干预。</w:t>
      </w:r>
    </w:p>
    <w:p>
      <w:pPr>
        <w:pStyle w:val="BodyText"/>
        <w:ind w:left="802" w:right="130" w:firstLine="437"/>
        <w:spacing w:before="18"/>
        <w:jc w:val="both"/>
        <w:rPr/>
      </w:pPr>
      <w:r>
        <w:rPr>
          <w:color w:val="231F20"/>
          <w:spacing w:val="-4"/>
        </w:rPr>
        <w:t>JCOG-0505（NCT00295789）是一项以</w:t>
      </w:r>
      <w:r>
        <w:rPr>
          <w:color w:val="231F20"/>
          <w:spacing w:val="-5"/>
        </w:rPr>
        <w:t xml:space="preserve"> OS 为主要研究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终点的非劣效性随机对照试验（randomized c</w:t>
      </w:r>
      <w:r>
        <w:rPr>
          <w:color w:val="231F20"/>
          <w:spacing w:val="-4"/>
        </w:rPr>
        <w:t>ontrolled trial，</w:t>
      </w:r>
      <w:r>
        <w:rPr>
          <w:color w:val="231F20"/>
        </w:rPr>
        <w:t xml:space="preserve"> </w:t>
      </w:r>
      <w:r>
        <w:rPr>
          <w:color w:val="231F20"/>
        </w:rPr>
        <w:t>RCT</w:t>
      </w:r>
      <w:r>
        <w:rPr>
          <w:color w:val="231F20"/>
          <w:spacing w:val="-25"/>
          <w:w w:val="85"/>
        </w:rPr>
        <w:t>）</w:t>
      </w:r>
      <w:r>
        <w:rPr>
          <w:sz w:val="9"/>
          <w:szCs w:val="9"/>
          <w:color w:val="231F20"/>
          <w:spacing w:val="-6"/>
          <w:w w:val="33"/>
          <w:position w:val="6"/>
        </w:rPr>
        <w:t>［</w:t>
      </w:r>
      <w:r>
        <w:rPr>
          <w:sz w:val="9"/>
          <w:szCs w:val="9"/>
          <w:color w:val="231F20"/>
          <w:spacing w:val="9"/>
          <w:position w:val="6"/>
        </w:rPr>
        <w:t>11］</w:t>
      </w:r>
      <w:r>
        <w:rPr>
          <w:color w:val="231F20"/>
          <w:spacing w:val="9"/>
        </w:rPr>
        <w:t>。研究对象为既往曾接受≤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9"/>
        </w:rPr>
        <w:t>1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9"/>
        </w:rPr>
        <w:t>线含铂方案治疗的复</w:t>
      </w:r>
      <w:r>
        <w:rPr>
          <w:color w:val="231F20"/>
        </w:rPr>
        <w:t xml:space="preserve">  </w:t>
      </w:r>
      <w:r>
        <w:rPr>
          <w:color w:val="231F20"/>
        </w:rPr>
        <w:t>发、持续和转移性（包括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FIGO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ⅣB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期）子宫颈癌患者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"/>
        </w:rPr>
        <w:t>。最终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结果显示卡铂（AUC 5）+紫杉醇（175mg/m</w:t>
      </w:r>
      <w:r>
        <w:rPr>
          <w:sz w:val="9"/>
          <w:szCs w:val="9"/>
          <w:color w:val="231F20"/>
          <w:spacing w:val="-5"/>
          <w:position w:val="7"/>
        </w:rPr>
        <w:t>2</w:t>
      </w:r>
      <w:r>
        <w:rPr>
          <w:color w:val="231F20"/>
          <w:spacing w:val="-5"/>
        </w:rPr>
        <w:t>）并不劣于顺铂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9"/>
          <w:w w:val="98"/>
        </w:rPr>
        <w:t>（50mg/m</w:t>
      </w:r>
      <w:r>
        <w:rPr>
          <w:sz w:val="9"/>
          <w:szCs w:val="9"/>
          <w:color w:val="231F20"/>
          <w:spacing w:val="-3"/>
          <w:position w:val="7"/>
        </w:rPr>
        <w:t>2</w:t>
      </w:r>
      <w:r>
        <w:rPr>
          <w:color w:val="231F20"/>
          <w:spacing w:val="-21"/>
        </w:rPr>
        <w:t>）+紫杉醇（135mg/m</w:t>
      </w:r>
      <w:r>
        <w:rPr>
          <w:sz w:val="9"/>
          <w:szCs w:val="9"/>
          <w:color w:val="231F20"/>
          <w:spacing w:val="17"/>
          <w:position w:val="7"/>
        </w:rPr>
        <w:t>2</w:t>
      </w:r>
      <w:r>
        <w:rPr>
          <w:color w:val="231F20"/>
          <w:spacing w:val="-25"/>
          <w:w w:val="62"/>
        </w:rPr>
        <w:t>）；</w:t>
      </w:r>
      <w:r>
        <w:rPr>
          <w:color w:val="231F20"/>
          <w:spacing w:val="17"/>
        </w:rPr>
        <w:t>亚组分析提示使用顺铂的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OS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9"/>
        </w:rPr>
        <w:t>优势集中体现在既往无铂类药物暴露史的患者中，而既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往曾使用铂类，特别是顺铂的患者，使用卡铂+紫杉醇可获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得更好的预后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7"/>
        </w:rPr>
        <w:t>。基于此结果和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GOG</w:t>
      </w:r>
      <w:r>
        <w:rPr>
          <w:color w:val="231F20"/>
          <w:spacing w:val="7"/>
        </w:rPr>
        <w:t>-240，对于</w:t>
      </w:r>
      <w:r>
        <w:rPr>
          <w:color w:val="231F20"/>
          <w:spacing w:val="6"/>
        </w:rPr>
        <w:t>无法耐受顺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铂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3"/>
        </w:rPr>
        <w:t>和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3"/>
        </w:rPr>
        <w:t>既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3"/>
        </w:rPr>
        <w:t>往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3"/>
        </w:rPr>
        <w:t>有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3"/>
        </w:rPr>
        <w:t>顺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铂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使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3"/>
        </w:rPr>
        <w:t>用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3"/>
        </w:rPr>
        <w:t>史 的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3"/>
        </w:rPr>
        <w:t>患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3"/>
        </w:rPr>
        <w:t>者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3"/>
        </w:rPr>
        <w:t>，联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3"/>
        </w:rPr>
        <w:t>合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3"/>
        </w:rPr>
        <w:t>贝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伐</w:t>
      </w:r>
      <w:r>
        <w:rPr>
          <w:color w:val="231F20"/>
          <w:spacing w:val="2"/>
        </w:rPr>
        <w:t>（珠）单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抗</w:t>
      </w:r>
      <w:r>
        <w:rPr>
          <w:color w:val="231F20"/>
        </w:rPr>
        <w:t xml:space="preserve">  </w:t>
      </w:r>
      <w:r>
        <w:rPr>
          <w:color w:val="231F20"/>
          <w:spacing w:val="-15"/>
        </w:rPr>
        <w:t>（15mg/kg）时，可使用卡铂（AUC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5"/>
        </w:rPr>
        <w:t>5）+紫杉醇（175m</w:t>
      </w:r>
      <w:r>
        <w:rPr>
          <w:color w:val="231F20"/>
          <w:spacing w:val="-16"/>
        </w:rPr>
        <w:t>g/m</w:t>
      </w:r>
      <w:r>
        <w:rPr>
          <w:sz w:val="9"/>
          <w:szCs w:val="9"/>
          <w:color w:val="231F20"/>
          <w:spacing w:val="7"/>
          <w:position w:val="7"/>
        </w:rPr>
        <w:t>2</w:t>
      </w:r>
      <w:r>
        <w:rPr>
          <w:color w:val="231F20"/>
          <w:spacing w:val="-18"/>
          <w:w w:val="61"/>
        </w:rPr>
        <w:t>）（</w:t>
      </w:r>
      <w:r>
        <w:rPr>
          <w:color w:val="231F20"/>
          <w:spacing w:val="7"/>
        </w:rPr>
        <w:t>3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周疗）。 在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5"/>
        </w:rPr>
        <w:t>CECILIA（NCT02467907）试验中</w:t>
      </w:r>
      <w:r>
        <w:rPr>
          <w:sz w:val="9"/>
          <w:szCs w:val="9"/>
          <w:color w:val="231F20"/>
          <w:spacing w:val="-5"/>
          <w:position w:val="6"/>
        </w:rPr>
        <w:t>［12</w:t>
      </w:r>
      <w:r>
        <w:rPr>
          <w:sz w:val="9"/>
          <w:szCs w:val="9"/>
          <w:color w:val="231F20"/>
          <w:spacing w:val="-8"/>
          <w:position w:val="6"/>
        </w:rPr>
        <w:t>］</w:t>
      </w:r>
      <w:r>
        <w:rPr>
          <w:color w:val="231F20"/>
          <w:spacing w:val="-26"/>
          <w:w w:val="52"/>
        </w:rPr>
        <w:t>，</w:t>
      </w:r>
      <w:r>
        <w:rPr>
          <w:color w:val="231F20"/>
          <w:spacing w:val="-5"/>
        </w:rPr>
        <w:t>研究者通过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单臂Ⅱ期试验评估了卡铂（AUC 5）+紫杉醇（175</w:t>
      </w:r>
      <w:r>
        <w:rPr>
          <w:color w:val="231F20"/>
          <w:spacing w:val="-7"/>
        </w:rPr>
        <w:t>mg/m</w:t>
      </w:r>
      <w:r>
        <w:rPr>
          <w:sz w:val="9"/>
          <w:szCs w:val="9"/>
          <w:color w:val="231F20"/>
          <w:spacing w:val="-7"/>
          <w:position w:val="7"/>
        </w:rPr>
        <w:t>2</w:t>
      </w:r>
      <w:r>
        <w:rPr>
          <w:color w:val="231F20"/>
          <w:spacing w:val="-26"/>
          <w:w w:val="97"/>
        </w:rPr>
        <w:t>）+贝</w:t>
      </w:r>
      <w:r>
        <w:rPr>
          <w:color w:val="231F20"/>
        </w:rPr>
        <w:t xml:space="preserve">  </w:t>
      </w:r>
      <w:r>
        <w:rPr>
          <w:color w:val="231F20"/>
          <w:spacing w:val="-13"/>
        </w:rPr>
        <w:t>伐（珠）单抗（15mg/kg）的疗效，PFS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3"/>
        </w:rPr>
        <w:t>结</w:t>
      </w:r>
      <w:r>
        <w:rPr>
          <w:color w:val="231F20"/>
          <w:spacing w:val="-14"/>
        </w:rPr>
        <w:t>果（mPFS：10.9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4"/>
        </w:rPr>
        <w:t>个月）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与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GOG</w:t>
      </w:r>
      <w:r>
        <w:rPr>
          <w:color w:val="231F20"/>
          <w:spacing w:val="2"/>
        </w:rPr>
        <w:t>-240 中使用顺铂+紫杉醇+贝伐（珠）单抗的患者相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仿，进一步证实与紫杉醇和贝伐（珠）单抗联合用药时，可  </w:t>
      </w:r>
      <w:r>
        <w:rPr>
          <w:color w:val="231F20"/>
          <w:spacing w:val="16"/>
        </w:rPr>
        <w:t>使用卡铂替代顺铂。</w:t>
      </w:r>
    </w:p>
    <w:p>
      <w:pPr>
        <w:pStyle w:val="BodyText"/>
        <w:ind w:left="1235"/>
        <w:spacing w:before="9" w:line="170" w:lineRule="auto"/>
        <w:rPr/>
      </w:pPr>
      <w:r>
        <w:rPr>
          <w:color w:val="231F20"/>
          <w:spacing w:val="2"/>
        </w:rPr>
        <w:t>虽然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GOG</w:t>
      </w:r>
      <w:r>
        <w:rPr>
          <w:color w:val="231F20"/>
          <w:spacing w:val="2"/>
        </w:rPr>
        <w:t>-240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"/>
        </w:rPr>
        <w:t>奠定了贝伐（珠）单抗在子宫颈癌治疗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7" w:right="66" w:firstLine="19"/>
        <w:spacing w:before="47"/>
        <w:jc w:val="both"/>
        <w:rPr/>
      </w:pPr>
      <w:r>
        <w:rPr>
          <w:color w:val="231F20"/>
          <w:spacing w:val="9"/>
        </w:rPr>
        <w:t>中的地位，但该研究中因毒性反应需要停药时，患者需要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停用包括贝伐（珠）单抗在内的所有药物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"/>
        </w:rPr>
        <w:t>。因此，无法</w:t>
      </w:r>
      <w:r>
        <w:rPr>
          <w:color w:val="231F20"/>
          <w:spacing w:val="1"/>
        </w:rPr>
        <w:t>评估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贝伐（珠）单抗维持治疗的意义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3"/>
        </w:rPr>
        <w:t>。</w:t>
      </w:r>
      <w:r>
        <w:rPr>
          <w:color w:val="231F20"/>
        </w:rPr>
        <w:t>CECILIA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3"/>
        </w:rPr>
        <w:t>试验则探索了这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一问题</w:t>
      </w:r>
      <w:r>
        <w:rPr>
          <w:sz w:val="9"/>
          <w:szCs w:val="9"/>
          <w:color w:val="231F20"/>
          <w:spacing w:val="4"/>
          <w:position w:val="6"/>
        </w:rPr>
        <w:t>［12</w:t>
      </w:r>
      <w:r>
        <w:rPr>
          <w:sz w:val="9"/>
          <w:szCs w:val="9"/>
          <w:color w:val="231F20"/>
          <w:spacing w:val="7"/>
          <w:position w:val="6"/>
        </w:rPr>
        <w:t>］</w:t>
      </w:r>
      <w:r>
        <w:rPr>
          <w:color w:val="231F20"/>
          <w:spacing w:val="-28"/>
          <w:w w:val="55"/>
        </w:rPr>
        <w:t>，</w:t>
      </w:r>
      <w:r>
        <w:rPr>
          <w:color w:val="231F20"/>
          <w:spacing w:val="4"/>
        </w:rPr>
        <w:t>在该研究中，如果患者因化疗毒性反应而停药，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9"/>
        </w:rPr>
        <w:t>可以继续使用贝伐（珠）单抗（15mg/kg、</w:t>
      </w:r>
      <w:r>
        <w:rPr>
          <w:color w:val="231F20"/>
          <w:spacing w:val="-10"/>
        </w:rPr>
        <w:t>3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0"/>
        </w:rPr>
        <w:t>周疗）进行维持治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疗，这是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CECILIA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试验中患者的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OS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5"/>
        </w:rPr>
        <w:t>较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GOG</w:t>
      </w:r>
      <w:r>
        <w:rPr>
          <w:color w:val="231F20"/>
          <w:spacing w:val="5"/>
        </w:rPr>
        <w:t>-240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更长的潜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在原因。</w:t>
      </w:r>
    </w:p>
    <w:p>
      <w:pPr>
        <w:pStyle w:val="BodyText"/>
        <w:ind w:right="120" w:firstLine="427"/>
        <w:spacing w:before="11" w:line="241" w:lineRule="auto"/>
        <w:jc w:val="both"/>
        <w:rPr/>
      </w:pPr>
      <w:r>
        <w:rPr>
          <w:color w:val="231F20"/>
          <w:spacing w:val="-10"/>
        </w:rPr>
        <w:t>2021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0"/>
        </w:rPr>
        <w:t>年公布结果的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0"/>
        </w:rPr>
        <w:t>Keynote 826（NCT03635567）证实了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子宫颈癌患者可从免疫治疗中获益，奠定了免疫检查点抑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7"/>
        </w:rPr>
        <w:t>制剂在子宫颈癌治疗中地位</w:t>
      </w:r>
      <w:r>
        <w:rPr>
          <w:sz w:val="9"/>
          <w:szCs w:val="9"/>
          <w:color w:val="231F20"/>
          <w:spacing w:val="7"/>
          <w:position w:val="6"/>
        </w:rPr>
        <w:t>［13］</w:t>
      </w:r>
      <w:r>
        <w:rPr>
          <w:color w:val="231F20"/>
          <w:spacing w:val="7"/>
        </w:rPr>
        <w:t>。617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7"/>
        </w:rPr>
        <w:t>例持续、复发和转移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性子宫颈癌患者随机接受顺铂（50mg/m</w:t>
      </w:r>
      <w:r>
        <w:rPr>
          <w:sz w:val="9"/>
          <w:szCs w:val="9"/>
          <w:color w:val="231F20"/>
          <w:spacing w:val="-6"/>
          <w:position w:val="7"/>
        </w:rPr>
        <w:t>2</w:t>
      </w:r>
      <w:r>
        <w:rPr>
          <w:color w:val="231F20"/>
          <w:spacing w:val="-7"/>
        </w:rPr>
        <w:t>）/卡铂（AUC </w:t>
      </w:r>
      <w:r>
        <w:rPr>
          <w:color w:val="231F20"/>
          <w:spacing w:val="-24"/>
          <w:w w:val="97"/>
        </w:rPr>
        <w:t>5）+紫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4"/>
        </w:rPr>
        <w:t>杉醇（175mg/m</w:t>
      </w:r>
      <w:r>
        <w:rPr>
          <w:sz w:val="9"/>
          <w:szCs w:val="9"/>
          <w:color w:val="231F20"/>
          <w:spacing w:val="5"/>
          <w:position w:val="7"/>
        </w:rPr>
        <w:t>2</w:t>
      </w:r>
      <w:r>
        <w:rPr>
          <w:color w:val="231F20"/>
          <w:spacing w:val="-11"/>
        </w:rPr>
        <w:t>）±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1"/>
        </w:rPr>
        <w:t>帕博利珠单抗（200mg）±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1"/>
        </w:rPr>
        <w:t>贝伐（珠）单抗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（15mg/kg</w:t>
      </w:r>
      <w:r>
        <w:rPr>
          <w:color w:val="231F20"/>
          <w:spacing w:val="-29"/>
          <w:w w:val="82"/>
        </w:rPr>
        <w:t>）（</w:t>
      </w:r>
      <w:r>
        <w:rPr>
          <w:color w:val="231F20"/>
          <w:spacing w:val="-4"/>
        </w:rPr>
        <w:t>3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4"/>
        </w:rPr>
        <w:t>周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疗 </w:t>
      </w:r>
      <w:r>
        <w:rPr>
          <w:color w:val="231F20"/>
          <w:spacing w:val="-29"/>
          <w:w w:val="82"/>
        </w:rPr>
        <w:t>），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4"/>
        </w:rPr>
        <w:t>6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个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疗 程 后 使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用 帕 博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利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珠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单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抗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（200mg）±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4"/>
        </w:rPr>
        <w:t>贝伐（珠）单抗（15mg/kg</w:t>
      </w:r>
      <w:r>
        <w:rPr>
          <w:color w:val="231F20"/>
          <w:spacing w:val="-18"/>
          <w:w w:val="60"/>
        </w:rPr>
        <w:t>）（</w:t>
      </w:r>
      <w:r>
        <w:rPr>
          <w:color w:val="231F20"/>
          <w:spacing w:val="-14"/>
        </w:rPr>
        <w:t>3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4"/>
        </w:rPr>
        <w:t>周疗）维持治疗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4"/>
        </w:rPr>
        <w:t>。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4"/>
        </w:rPr>
        <w:t>由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研究者决定是否联合贝伐（珠）单抗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1"/>
        </w:rPr>
        <w:t>。该研究证实化疗联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合帕博利珠单抗可改善患者的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PFS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8"/>
        </w:rPr>
        <w:t>和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OS</w:t>
      </w:r>
      <w:r>
        <w:rPr>
          <w:color w:val="231F20"/>
          <w:spacing w:val="8"/>
        </w:rPr>
        <w:t>，这一益处主要体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现在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PD-L1 阳性（免疫组化法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22C3 pharmDx assay，CPS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评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分≥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1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分）患者中，亚组分析和事后分析提示，无论是否使用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帕博利珠单抗，联合贝伐（珠）单抗都可改善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PFS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和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OS。</w:t>
      </w:r>
    </w:p>
    <w:p>
      <w:pPr>
        <w:pStyle w:val="BodyText"/>
        <w:ind w:left="68" w:right="55" w:firstLine="374"/>
        <w:spacing w:before="4" w:line="241" w:lineRule="auto"/>
        <w:jc w:val="both"/>
        <w:rPr/>
      </w:pPr>
      <w:r>
        <w:rPr>
          <w:color w:val="231F20"/>
          <w:spacing w:val="-2"/>
        </w:rPr>
        <w:t>卡度尼利单抗（candonilimab，开坦尼）是一种靶向人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PD</w:t>
      </w:r>
      <w:r>
        <w:rPr>
          <w:color w:val="231F20"/>
          <w:spacing w:val="6"/>
        </w:rPr>
        <w:t>-1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6"/>
        </w:rPr>
        <w:t>和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CTLA</w:t>
      </w:r>
      <w:r>
        <w:rPr>
          <w:color w:val="231F20"/>
          <w:spacing w:val="6"/>
        </w:rPr>
        <w:t>-4 的双特异性抗体，已在我国获批用于既往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接受过含铂化疗治疗失败的复发或转移性子宫颈癌患者。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AK104-210（NCT04868708）试验在无法接受根治性治疗的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7"/>
        </w:rPr>
        <w:t>复发或转移性子宫颈癌患者中评价了不同剂量卡度尼利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"/>
        </w:rPr>
        <w:t>单抗联合紫杉醇+顺铂/卡铂 ±贝伐（珠）单抗的安全性和疗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7"/>
        </w:rPr>
        <w:t>效</w:t>
      </w:r>
      <w:r>
        <w:rPr>
          <w:sz w:val="9"/>
          <w:szCs w:val="9"/>
          <w:color w:val="231F20"/>
          <w:spacing w:val="-12"/>
          <w:w w:val="96"/>
          <w:position w:val="6"/>
        </w:rPr>
        <w:t>［14］</w:t>
      </w:r>
      <w:r>
        <w:rPr>
          <w:color w:val="231F20"/>
          <w:spacing w:val="-12"/>
          <w:w w:val="96"/>
        </w:rPr>
        <w:t>。结果提示卡度尼利单抗（10mg/kg）+顺铂</w:t>
      </w:r>
      <w:r>
        <w:rPr>
          <w:color w:val="231F20"/>
          <w:spacing w:val="-13"/>
          <w:w w:val="96"/>
        </w:rPr>
        <w:t>（50mg/m</w:t>
      </w:r>
      <w:r>
        <w:rPr>
          <w:sz w:val="9"/>
          <w:szCs w:val="9"/>
          <w:color w:val="231F20"/>
          <w:spacing w:val="-13"/>
          <w:w w:val="96"/>
          <w:position w:val="6"/>
        </w:rPr>
        <w:t>2</w:t>
      </w:r>
      <w:r>
        <w:rPr>
          <w:color w:val="231F20"/>
          <w:spacing w:val="-8"/>
          <w:w w:val="79"/>
        </w:rPr>
        <w:t>）/卡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21"/>
        </w:rPr>
        <w:t>铂（AUC 5）+紫杉醇（175mg/m</w:t>
      </w:r>
      <w:r>
        <w:rPr>
          <w:sz w:val="9"/>
          <w:szCs w:val="9"/>
          <w:color w:val="231F20"/>
          <w:spacing w:val="8"/>
          <w:position w:val="7"/>
        </w:rPr>
        <w:t>2</w:t>
      </w:r>
      <w:r>
        <w:rPr>
          <w:color w:val="231F20"/>
          <w:spacing w:val="-19"/>
          <w:w w:val="96"/>
        </w:rPr>
        <w:t>）+贝伐（珠）单抗（15mg/kg</w:t>
      </w:r>
      <w:r>
        <w:rPr>
          <w:color w:val="231F20"/>
          <w:spacing w:val="-18"/>
          <w:w w:val="61"/>
        </w:rPr>
        <w:t>）（</w:t>
      </w:r>
      <w:r>
        <w:rPr>
          <w:color w:val="231F20"/>
          <w:spacing w:val="-19"/>
          <w:w w:val="96"/>
        </w:rPr>
        <w:t>3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周疗）的 ORR 和疾病控制率（disease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control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9"/>
        </w:rPr>
        <w:t>rate，DCR）最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佳；即便对于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PD</w:t>
      </w:r>
      <w:r>
        <w:rPr>
          <w:color w:val="231F20"/>
          <w:spacing w:val="3"/>
        </w:rPr>
        <w:t>-L1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3"/>
        </w:rPr>
        <w:t>表达阴性患者，也可取得较好的疗效。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已有Ⅲ期临床研究（NCT04982237）进一步评估了卡度尼利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"/>
        </w:rPr>
        <w:t>单抗联合化疗和贝伐（珠）单抗的疗效和安全性。</w:t>
      </w:r>
    </w:p>
    <w:p>
      <w:pPr>
        <w:pStyle w:val="BodyText"/>
        <w:ind w:right="55" w:firstLine="431"/>
        <w:spacing w:before="2" w:line="241" w:lineRule="auto"/>
        <w:jc w:val="both"/>
        <w:rPr/>
      </w:pPr>
      <w:r>
        <w:rPr>
          <w:color w:val="231F20"/>
          <w:spacing w:val="-13"/>
        </w:rPr>
        <w:t>近年来，抗体偶联药物（antibody-drug conjugates，ADC）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2"/>
        </w:rPr>
        <w:t>在 子 宫 颈 癌 治 疗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2"/>
        </w:rPr>
        <w:t>中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2"/>
        </w:rPr>
        <w:t>的 作 用  日 益 显 </w:t>
      </w:r>
      <w:r>
        <w:rPr>
          <w:color w:val="231F20"/>
          <w:spacing w:val="1"/>
        </w:rPr>
        <w:t>现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1"/>
        </w:rPr>
        <w:t>。 </w:t>
      </w:r>
      <w:r>
        <w:rPr>
          <w:color w:val="231F20"/>
        </w:rPr>
        <w:t>GOG</w:t>
      </w:r>
      <w:r>
        <w:rPr>
          <w:color w:val="231F20"/>
          <w:spacing w:val="1"/>
        </w:rPr>
        <w:t>-3042</w:t>
      </w:r>
      <w:r>
        <w:rPr>
          <w:color w:val="231F20"/>
        </w:rPr>
        <w:t xml:space="preserve">  </w:t>
      </w:r>
      <w:r>
        <w:rPr>
          <w:color w:val="231F20"/>
        </w:rPr>
        <w:t>（NCT03786081）在复发性子宫颈癌患者中评估了替索单抗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2"/>
        </w:rPr>
        <w:t>（tisotumab vedotin-tftv，TIVDAK）的疗效</w:t>
      </w:r>
      <w:r>
        <w:rPr>
          <w:sz w:val="9"/>
          <w:szCs w:val="9"/>
          <w:color w:val="231F20"/>
          <w:spacing w:val="-12"/>
          <w:position w:val="6"/>
        </w:rPr>
        <w:t>［15］</w:t>
      </w:r>
      <w:r>
        <w:rPr>
          <w:color w:val="231F20"/>
          <w:spacing w:val="8"/>
        </w:rPr>
        <w:t>。替索单抗由组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4"/>
        </w:rPr>
        <w:t>织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因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4"/>
        </w:rPr>
        <w:t>子（tissue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factor，TF）作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4"/>
        </w:rPr>
        <w:t>为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4"/>
        </w:rPr>
        <w:t>导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4"/>
        </w:rPr>
        <w:t>向抗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4"/>
        </w:rPr>
        <w:t>体偶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4"/>
        </w:rPr>
        <w:t>联微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4"/>
        </w:rPr>
        <w:t>管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4"/>
        </w:rPr>
        <w:t>抑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4"/>
        </w:rPr>
        <w:t>制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4"/>
        </w:rPr>
        <w:t>剂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MMAE（单甲基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auristatin E）。 该研究初步证实，对于复发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和转移性子宫颈癌患者，一线治疗中使用替索单抗（2</w:t>
      </w:r>
      <w:r>
        <w:rPr>
          <w:color w:val="231F20"/>
          <w:spacing w:val="-4"/>
        </w:rPr>
        <w:t>mg/kg，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最大剂量 200mg）+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6"/>
        </w:rPr>
        <w:t>卡铂（AUC5</w:t>
      </w:r>
      <w:r>
        <w:rPr>
          <w:color w:val="231F20"/>
          <w:spacing w:val="-18"/>
          <w:w w:val="60"/>
        </w:rPr>
        <w:t>）（</w:t>
      </w:r>
      <w:r>
        <w:rPr>
          <w:color w:val="231F20"/>
          <w:spacing w:val="-6"/>
        </w:rPr>
        <w:t>3 周疗）+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6"/>
        </w:rPr>
        <w:t>贝伐</w:t>
      </w:r>
      <w:r>
        <w:rPr>
          <w:color w:val="231F20"/>
          <w:spacing w:val="-7"/>
        </w:rPr>
        <w:t>（珠）单抗</w:t>
      </w:r>
      <w:r>
        <w:rPr>
          <w:color w:val="231F20"/>
        </w:rPr>
        <w:t xml:space="preserve">  </w:t>
      </w:r>
      <w:r>
        <w:rPr>
          <w:color w:val="231F20"/>
          <w:spacing w:val="-16"/>
        </w:rPr>
        <w:t>（15mg/kg</w:t>
      </w:r>
      <w:r>
        <w:rPr>
          <w:color w:val="231F20"/>
          <w:spacing w:val="-17"/>
          <w:w w:val="57"/>
        </w:rPr>
        <w:t>）（</w:t>
      </w:r>
      <w:r>
        <w:rPr>
          <w:color w:val="231F20"/>
          <w:spacing w:val="-16"/>
        </w:rPr>
        <w:t>3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6"/>
        </w:rPr>
        <w:t>周疗）安全、有效。</w:t>
      </w:r>
    </w:p>
    <w:p>
      <w:pPr>
        <w:pStyle w:val="BodyText"/>
        <w:ind w:left="68" w:right="120" w:firstLine="361"/>
        <w:spacing w:before="2" w:line="241" w:lineRule="auto"/>
        <w:jc w:val="both"/>
        <w:rPr/>
      </w:pPr>
      <w:r>
        <w:rPr>
          <w:color w:val="231F20"/>
          <w:spacing w:val="-4"/>
        </w:rPr>
        <w:t>NCT02921269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试验在复发、持续、转移和晚期子宫颈癌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患者中（治疗线数≤2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3"/>
        </w:rPr>
        <w:t>线）评价了贝伐（珠）单抗（15mg/kg）联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合抗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PD-L1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抗体（阿替利珠单抗</w:t>
      </w:r>
      <w:r>
        <w:rPr>
          <w:color w:val="231F20"/>
          <w:spacing w:val="-19"/>
          <w:w w:val="65"/>
        </w:rPr>
        <w:t>）（</w:t>
      </w:r>
      <w:r>
        <w:rPr>
          <w:color w:val="231F20"/>
          <w:spacing w:val="-1"/>
        </w:rPr>
        <w:t>1200mg/次</w:t>
      </w:r>
      <w:r>
        <w:rPr>
          <w:color w:val="231F20"/>
          <w:spacing w:val="-19"/>
          <w:w w:val="65"/>
        </w:rPr>
        <w:t>）（</w:t>
      </w:r>
      <w:r>
        <w:rPr>
          <w:color w:val="231F20"/>
          <w:spacing w:val="-1"/>
        </w:rPr>
        <w:t>3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周疗）的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效果</w:t>
      </w:r>
      <w:r>
        <w:rPr>
          <w:sz w:val="9"/>
          <w:szCs w:val="9"/>
          <w:color w:val="231F20"/>
          <w:position w:val="6"/>
        </w:rPr>
        <w:t>［16］</w:t>
      </w:r>
      <w:r>
        <w:rPr>
          <w:color w:val="231F20"/>
        </w:rPr>
        <w:t>。该研究为Ⅱ期二阶段设计，但第一阶段 10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例患者 </w:t>
      </w:r>
      <w:r>
        <w:rPr>
          <w:color w:val="231F20"/>
          <w:spacing w:val="-3"/>
        </w:rPr>
        <w:t>中，未出现肿瘤缓解（ORR：0</w:t>
      </w:r>
      <w:r>
        <w:rPr>
          <w:color w:val="231F20"/>
          <w:spacing w:val="-24"/>
          <w:w w:val="59"/>
        </w:rPr>
        <w:t>），</w:t>
      </w:r>
      <w:r>
        <w:rPr>
          <w:color w:val="231F20"/>
          <w:spacing w:val="-3"/>
        </w:rPr>
        <w:t>研究由此提前终止。</w:t>
      </w:r>
    </w:p>
    <w:p>
      <w:pPr>
        <w:pStyle w:val="BodyText"/>
        <w:ind w:left="68" w:right="120" w:firstLine="373"/>
        <w:spacing w:before="1" w:line="205" w:lineRule="auto"/>
        <w:rPr/>
      </w:pPr>
      <w:r>
        <w:rPr>
          <w:color w:val="231F20"/>
          <w:spacing w:val="6"/>
        </w:rPr>
        <w:t>贝伐（珠）单抗诱导的乏氧环境可增强聚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ADP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6"/>
        </w:rPr>
        <w:t>核糖聚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合酶（poly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1"/>
        </w:rPr>
        <w:t>adp-ribose polymerase，PARP）抑制剂的作用，但</w:t>
      </w:r>
    </w:p>
    <w:p>
      <w:pPr>
        <w:spacing w:line="205" w:lineRule="auto"/>
        <w:sectPr>
          <w:type w:val="continuous"/>
          <w:pgSz w:w="11906" w:h="16838"/>
          <w:pgMar w:top="1561" w:right="1155" w:bottom="0" w:left="407" w:header="1315" w:footer="0" w:gutter="0"/>
          <w:cols w:equalWidth="0" w:num="2">
            <w:col w:w="5560" w:space="100"/>
            <w:col w:w="4683" w:space="0"/>
          </w:cols>
        </w:sectPr>
        <w:rPr/>
      </w:pPr>
    </w:p>
    <w:p>
      <w:pPr>
        <w:spacing w:before="75"/>
        <w:rPr/>
      </w:pPr>
      <w:r>
        <w:drawing>
          <wp:anchor distT="0" distB="0" distL="0" distR="0" simplePos="0" relativeHeight="251670528" behindDoc="0" locked="0" layoutInCell="0" allowOverlap="1">
            <wp:simplePos x="0" y="0"/>
            <wp:positionH relativeFrom="page">
              <wp:posOffset>4336025</wp:posOffset>
            </wp:positionH>
            <wp:positionV relativeFrom="page">
              <wp:posOffset>980524</wp:posOffset>
            </wp:positionV>
            <wp:extent cx="2400277" cy="635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027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8"/>
          <w:pgSz w:w="11906" w:h="16838"/>
          <w:pgMar w:top="1561" w:right="1222" w:bottom="0" w:left="407" w:header="1315" w:footer="0" w:gutter="0"/>
          <w:cols w:equalWidth="0" w:num="1">
            <w:col w:w="10276" w:space="0"/>
          </w:cols>
        </w:sectPr>
        <w:rPr/>
      </w:pPr>
    </w:p>
    <w:p>
      <w:pPr>
        <w:pStyle w:val="BodyText"/>
        <w:ind w:left="872" w:right="194" w:firstLine="2"/>
        <w:spacing w:before="41" w:line="236" w:lineRule="auto"/>
        <w:rPr/>
      </w:pPr>
      <w:r>
        <w:rPr>
          <w:color w:val="231F20"/>
          <w:spacing w:val="-3"/>
        </w:rPr>
        <w:t>NCT03476798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3"/>
        </w:rPr>
        <w:t>试验未发现贝伐（珠）单抗联合卢卡帕利对复</w:t>
      </w:r>
      <w:r>
        <w:rPr>
          <w:color w:val="231F20"/>
        </w:rPr>
        <w:t xml:space="preserve"> </w:t>
      </w:r>
      <w:r>
        <w:rPr>
          <w:color w:val="231F20"/>
          <w:position w:val="-1"/>
        </w:rPr>
        <w:t>发性子宫颈癌有效</w:t>
      </w:r>
      <w:r>
        <w:rPr>
          <w:sz w:val="9"/>
          <w:szCs w:val="9"/>
          <w:color w:val="231F20"/>
          <w:position w:val="5"/>
        </w:rPr>
        <w:t>［17］</w:t>
      </w:r>
      <w:r>
        <w:rPr>
          <w:color w:val="231F20"/>
          <w:position w:val="-1"/>
        </w:rPr>
        <w:t>。</w:t>
      </w:r>
    </w:p>
    <w:p>
      <w:pPr>
        <w:pStyle w:val="BodyText"/>
        <w:ind w:left="869" w:right="194" w:firstLine="371"/>
        <w:spacing w:before="13" w:line="241" w:lineRule="auto"/>
        <w:jc w:val="both"/>
        <w:rPr/>
      </w:pPr>
      <w:r>
        <w:rPr>
          <w:rFonts w:ascii="SimHei" w:hAnsi="SimHei" w:eastAsia="SimHei" w:cs="SimHei"/>
          <w:color w:val="231F20"/>
        </w:rPr>
        <w:t>推荐意见</w:t>
      </w:r>
      <w:r>
        <w:rPr>
          <w:rFonts w:ascii="SimHei" w:hAnsi="SimHei" w:eastAsia="SimHei" w:cs="SimHei"/>
          <w:color w:val="231F20"/>
          <w:spacing w:val="-35"/>
        </w:rPr>
        <w:t xml:space="preserve"> </w:t>
      </w:r>
      <w:r>
        <w:rPr>
          <w:rFonts w:ascii="SimHei" w:hAnsi="SimHei" w:eastAsia="SimHei" w:cs="SimHei"/>
          <w:color w:val="231F20"/>
        </w:rPr>
        <w:t>1：</w:t>
      </w:r>
      <w:r>
        <w:rPr>
          <w:color w:val="231F20"/>
        </w:rPr>
        <w:t>对于复发、转移、持续和晚期（FIGO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ⅣB </w:t>
      </w:r>
      <w:r>
        <w:rPr>
          <w:color w:val="231F20"/>
          <w:spacing w:val="3"/>
        </w:rPr>
        <w:t>期）子宫颈癌患者，贝伐（珠）单抗联合化疗是</w:t>
      </w:r>
      <w:r>
        <w:rPr>
          <w:color w:val="231F20"/>
          <w:spacing w:val="2"/>
        </w:rPr>
        <w:t>一线治疗药</w:t>
      </w:r>
      <w:r>
        <w:rPr>
          <w:color w:val="231F20"/>
        </w:rPr>
        <w:t xml:space="preserve"> </w:t>
      </w:r>
      <w:r>
        <w:rPr>
          <w:color w:val="231F20"/>
          <w:spacing w:val="-15"/>
          <w:w w:val="97"/>
        </w:rPr>
        <w:t>物（1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5"/>
          <w:w w:val="97"/>
        </w:rPr>
        <w:t>级推荐）。</w:t>
      </w:r>
    </w:p>
    <w:p>
      <w:pPr>
        <w:pStyle w:val="BodyText"/>
        <w:ind w:left="802" w:right="194" w:firstLine="439"/>
        <w:spacing w:before="2" w:line="241" w:lineRule="auto"/>
        <w:jc w:val="both"/>
        <w:rPr/>
      </w:pPr>
      <w:r>
        <w:rPr>
          <w:rFonts w:ascii="SimHei" w:hAnsi="SimHei" w:eastAsia="SimHei" w:cs="SimHei"/>
          <w:color w:val="231F20"/>
        </w:rPr>
        <w:t>推荐意见</w:t>
      </w:r>
      <w:r>
        <w:rPr>
          <w:rFonts w:ascii="SimHei" w:hAnsi="SimHei" w:eastAsia="SimHei" w:cs="SimHei"/>
          <w:color w:val="231F20"/>
          <w:spacing w:val="-35"/>
        </w:rPr>
        <w:t xml:space="preserve"> </w:t>
      </w:r>
      <w:r>
        <w:rPr>
          <w:rFonts w:ascii="SimHei" w:hAnsi="SimHei" w:eastAsia="SimHei" w:cs="SimHei"/>
          <w:color w:val="231F20"/>
        </w:rPr>
        <w:t>2：</w:t>
      </w:r>
      <w:r>
        <w:rPr>
          <w:color w:val="231F20"/>
        </w:rPr>
        <w:t>对于复发、转移、持续和晚期（FIGO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ⅣB </w:t>
      </w:r>
      <w:r>
        <w:rPr>
          <w:color w:val="231F20"/>
          <w:spacing w:val="-2"/>
        </w:rPr>
        <w:t>期）子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宫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颈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"/>
        </w:rPr>
        <w:t>癌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患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"/>
        </w:rPr>
        <w:t>者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，当 CPS 评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"/>
        </w:rPr>
        <w:t>分≥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2"/>
        </w:rPr>
        <w:t>1 分（免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2"/>
        </w:rPr>
        <w:t>疫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2"/>
        </w:rPr>
        <w:t>组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2"/>
        </w:rPr>
        <w:t>化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"/>
        </w:rPr>
        <w:t>法22C3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pharmDx assay）时，推荐顺铂/卡铂+紫杉醇</w:t>
      </w:r>
      <w:r>
        <w:rPr>
          <w:color w:val="231F20"/>
          <w:spacing w:val="-6"/>
        </w:rPr>
        <w:t>+帕博利珠单抗+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贝伐（珠）单抗进行治疗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6"/>
        </w:rPr>
        <w:t>。用药方案为顺铂（</w:t>
      </w:r>
      <w:r>
        <w:rPr>
          <w:color w:val="231F20"/>
          <w:spacing w:val="-7"/>
        </w:rPr>
        <w:t>50mg/m</w:t>
      </w:r>
      <w:r>
        <w:rPr>
          <w:sz w:val="9"/>
          <w:szCs w:val="9"/>
          <w:color w:val="231F20"/>
          <w:spacing w:val="-7"/>
          <w:position w:val="7"/>
        </w:rPr>
        <w:t>2</w:t>
      </w:r>
      <w:r>
        <w:rPr>
          <w:color w:val="231F20"/>
          <w:spacing w:val="-7"/>
        </w:rPr>
        <w:t>）/卡铂</w:t>
      </w:r>
      <w:r>
        <w:rPr>
          <w:color w:val="231F20"/>
        </w:rPr>
        <w:t xml:space="preserve"> </w:t>
      </w:r>
      <w:r>
        <w:rPr>
          <w:color w:val="231F20"/>
          <w:spacing w:val="-18"/>
        </w:rPr>
        <w:t>（AUC 5）+紫杉醇（175mg/m</w:t>
      </w:r>
      <w:r>
        <w:rPr>
          <w:sz w:val="9"/>
          <w:szCs w:val="9"/>
          <w:color w:val="231F20"/>
          <w:spacing w:val="-1"/>
          <w:position w:val="7"/>
        </w:rPr>
        <w:t>2</w:t>
      </w:r>
      <w:r>
        <w:rPr>
          <w:color w:val="231F20"/>
          <w:spacing w:val="-17"/>
        </w:rPr>
        <w:t>）+帕博利珠单抗（200mg）+贝伐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（珠）单抗（15mg/kg</w:t>
      </w:r>
      <w:r>
        <w:rPr>
          <w:color w:val="231F20"/>
          <w:spacing w:val="-24"/>
          <w:w w:val="59"/>
        </w:rPr>
        <w:t>），</w:t>
      </w:r>
      <w:r>
        <w:rPr>
          <w:color w:val="231F20"/>
          <w:spacing w:val="-5"/>
        </w:rPr>
        <w:t>3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周疗，6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个疗程</w:t>
      </w:r>
      <w:r>
        <w:rPr>
          <w:color w:val="231F20"/>
          <w:spacing w:val="-6"/>
        </w:rPr>
        <w:t>后使用帕博利珠单抗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（200mg）+贝伐（珠）单抗（15mg/kg</w:t>
      </w:r>
      <w:r>
        <w:rPr>
          <w:color w:val="231F20"/>
          <w:spacing w:val="-25"/>
          <w:w w:val="61"/>
        </w:rPr>
        <w:t>），</w:t>
      </w:r>
      <w:r>
        <w:rPr>
          <w:color w:val="231F20"/>
          <w:spacing w:val="-12"/>
        </w:rPr>
        <w:t>3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2"/>
        </w:rPr>
        <w:t>周疗维持，直至肿瘤</w:t>
      </w:r>
      <w:r>
        <w:rPr>
          <w:color w:val="231F20"/>
        </w:rPr>
        <w:t xml:space="preserve"> </w:t>
      </w:r>
      <w:r>
        <w:rPr>
          <w:color w:val="231F20"/>
        </w:rPr>
        <w:t>进展或毒性反应无法耐受（1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级推荐）。</w:t>
      </w:r>
    </w:p>
    <w:p>
      <w:pPr>
        <w:pStyle w:val="BodyText"/>
        <w:ind w:left="802" w:right="130" w:firstLine="439"/>
        <w:spacing w:before="5" w:line="241" w:lineRule="auto"/>
        <w:jc w:val="both"/>
        <w:rPr/>
      </w:pPr>
      <w:r>
        <w:rPr>
          <w:rFonts w:ascii="SimHei" w:hAnsi="SimHei" w:eastAsia="SimHei" w:cs="SimHei"/>
          <w:color w:val="231F20"/>
        </w:rPr>
        <w:t>推荐意见</w:t>
      </w:r>
      <w:r>
        <w:rPr>
          <w:rFonts w:ascii="SimHei" w:hAnsi="SimHei" w:eastAsia="SimHei" w:cs="SimHei"/>
          <w:color w:val="231F20"/>
          <w:spacing w:val="-35"/>
        </w:rPr>
        <w:t xml:space="preserve"> </w:t>
      </w:r>
      <w:r>
        <w:rPr>
          <w:rFonts w:ascii="SimHei" w:hAnsi="SimHei" w:eastAsia="SimHei" w:cs="SimHei"/>
          <w:color w:val="231F20"/>
        </w:rPr>
        <w:t>3：</w:t>
      </w:r>
      <w:r>
        <w:rPr>
          <w:color w:val="231F20"/>
        </w:rPr>
        <w:t>对于复发、转移、持续和晚期（FIGO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ⅣB  </w:t>
      </w:r>
      <w:r>
        <w:rPr>
          <w:color w:val="231F20"/>
          <w:spacing w:val="7"/>
        </w:rPr>
        <w:t>期）子宫颈癌患者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7"/>
        </w:rPr>
        <w:t>，当 </w:t>
      </w:r>
      <w:r>
        <w:rPr>
          <w:color w:val="231F20"/>
        </w:rPr>
        <w:t>CPS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7"/>
        </w:rPr>
        <w:t>评分＜1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7"/>
        </w:rPr>
        <w:t>分（免疫组化法22C3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pharmDx assay</w:t>
      </w:r>
      <w:r>
        <w:rPr>
          <w:color w:val="231F20"/>
          <w:spacing w:val="-24"/>
          <w:w w:val="59"/>
        </w:rPr>
        <w:t>），</w:t>
      </w:r>
      <w:r>
        <w:rPr>
          <w:color w:val="231F20"/>
          <w:spacing w:val="-1"/>
        </w:rPr>
        <w:t>推荐顺铂/卡铂+紫杉醇</w:t>
      </w:r>
      <w:r>
        <w:rPr>
          <w:color w:val="231F20"/>
          <w:spacing w:val="-2"/>
        </w:rPr>
        <w:t>+贝伐（珠）单抗进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3"/>
        </w:rPr>
        <w:t>行治疗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。用药方案为顺铂（50mg/m</w:t>
      </w:r>
      <w:r>
        <w:rPr>
          <w:sz w:val="9"/>
          <w:szCs w:val="9"/>
          <w:color w:val="231F20"/>
          <w:spacing w:val="-3"/>
          <w:position w:val="7"/>
        </w:rPr>
        <w:t>2</w:t>
      </w:r>
      <w:r>
        <w:rPr>
          <w:color w:val="231F20"/>
          <w:spacing w:val="-18"/>
        </w:rPr>
        <w:t>）/卡铂（AUC 5）+紫杉醇</w:t>
      </w:r>
      <w:r>
        <w:rPr>
          <w:color w:val="231F20"/>
        </w:rPr>
        <w:t xml:space="preserve">  </w:t>
      </w:r>
      <w:r>
        <w:rPr>
          <w:color w:val="231F20"/>
          <w:spacing w:val="-20"/>
        </w:rPr>
        <w:t>（175mg/m</w:t>
      </w:r>
      <w:r>
        <w:rPr>
          <w:sz w:val="9"/>
          <w:szCs w:val="9"/>
          <w:color w:val="231F20"/>
          <w:spacing w:val="-3"/>
          <w:position w:val="7"/>
        </w:rPr>
        <w:t>2</w:t>
      </w:r>
      <w:r>
        <w:rPr>
          <w:color w:val="231F20"/>
          <w:spacing w:val="-17"/>
        </w:rPr>
        <w:t>）+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7"/>
        </w:rPr>
        <w:t>贝伐（珠）单抗（15mg/kg</w:t>
      </w:r>
      <w:r>
        <w:rPr>
          <w:color w:val="231F20"/>
          <w:spacing w:val="-28"/>
          <w:w w:val="68"/>
        </w:rPr>
        <w:t>），</w:t>
      </w:r>
      <w:r>
        <w:rPr>
          <w:color w:val="231F20"/>
          <w:spacing w:val="-17"/>
        </w:rPr>
        <w:t>3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7"/>
        </w:rPr>
        <w:t>周疗（1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7"/>
        </w:rPr>
        <w:t>级推荐）。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完全缓解（complete response，CR）患者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7"/>
        </w:rPr>
        <w:t>6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7"/>
        </w:rPr>
        <w:t>个疗程后使</w:t>
      </w:r>
      <w:r>
        <w:rPr>
          <w:color w:val="231F20"/>
          <w:spacing w:val="-8"/>
        </w:rPr>
        <w:t>用贝伐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（珠）单抗（15mg/kg</w:t>
      </w:r>
      <w:r>
        <w:rPr>
          <w:color w:val="231F20"/>
          <w:spacing w:val="-26"/>
          <w:w w:val="63"/>
        </w:rPr>
        <w:t>），</w:t>
      </w:r>
      <w:r>
        <w:rPr>
          <w:color w:val="231F20"/>
          <w:spacing w:val="-7"/>
        </w:rPr>
        <w:t>3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7"/>
        </w:rPr>
        <w:t>周疗维持，直至肿瘤进展或毒性反应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无法耐受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5"/>
        </w:rPr>
        <w:t>。部分缓解（partial response，PR）或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5"/>
        </w:rPr>
        <w:t>SD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5"/>
        </w:rPr>
        <w:t>患者可选</w:t>
      </w:r>
      <w:r>
        <w:rPr>
          <w:color w:val="231F20"/>
        </w:rPr>
        <w:t xml:space="preserve">  </w:t>
      </w:r>
      <w:r>
        <w:rPr>
          <w:color w:val="231F20"/>
          <w:spacing w:val="-10"/>
        </w:rPr>
        <w:t>择顺铂（50mg/m</w:t>
      </w:r>
      <w:r>
        <w:rPr>
          <w:sz w:val="9"/>
          <w:szCs w:val="9"/>
          <w:color w:val="231F20"/>
          <w:position w:val="7"/>
        </w:rPr>
        <w:t>2</w:t>
      </w:r>
      <w:r>
        <w:rPr>
          <w:color w:val="231F20"/>
          <w:spacing w:val="-16"/>
          <w:w w:val="97"/>
        </w:rPr>
        <w:t>）/卡铂（AUC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6"/>
          <w:w w:val="97"/>
        </w:rPr>
        <w:t>5）+紫杉醇（175mg/m</w:t>
      </w:r>
      <w:r>
        <w:rPr>
          <w:sz w:val="9"/>
          <w:szCs w:val="9"/>
          <w:color w:val="231F20"/>
          <w:spacing w:val="1"/>
          <w:position w:val="7"/>
        </w:rPr>
        <w:t>2</w:t>
      </w:r>
      <w:r>
        <w:rPr>
          <w:color w:val="231F20"/>
          <w:spacing w:val="-16"/>
        </w:rPr>
        <w:t>）+贝伐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（珠）单抗（15mg/kg</w:t>
      </w:r>
      <w:r>
        <w:rPr>
          <w:color w:val="231F20"/>
          <w:spacing w:val="-25"/>
          <w:w w:val="61"/>
        </w:rPr>
        <w:t>），</w:t>
      </w:r>
      <w:r>
        <w:rPr>
          <w:color w:val="231F20"/>
          <w:spacing w:val="-7"/>
        </w:rPr>
        <w:t>3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7"/>
        </w:rPr>
        <w:t>周疗，持续用药，直至毒性反应无法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耐受再使用贝伐（珠）单抗（15mg/kg</w:t>
      </w:r>
      <w:r>
        <w:rPr>
          <w:color w:val="231F20"/>
          <w:spacing w:val="-25"/>
          <w:w w:val="61"/>
        </w:rPr>
        <w:t>），</w:t>
      </w:r>
      <w:r>
        <w:rPr>
          <w:color w:val="231F20"/>
          <w:spacing w:val="-3"/>
        </w:rPr>
        <w:t>3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周疗维持治疗（2A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级推荐）。</w:t>
      </w:r>
    </w:p>
    <w:p>
      <w:pPr>
        <w:pStyle w:val="BodyText"/>
        <w:ind w:left="869" w:right="194" w:firstLine="367"/>
        <w:spacing w:before="1" w:line="241" w:lineRule="auto"/>
        <w:jc w:val="both"/>
        <w:rPr/>
      </w:pPr>
      <w:r>
        <w:rPr>
          <w:rFonts w:ascii="SimHei" w:hAnsi="SimHei" w:eastAsia="SimHei" w:cs="SimHei"/>
          <w:color w:val="231F20"/>
          <w:spacing w:val="13"/>
        </w:rPr>
        <w:t>推荐意见4：</w:t>
      </w:r>
      <w:r>
        <w:rPr>
          <w:color w:val="231F20"/>
          <w:spacing w:val="13"/>
        </w:rPr>
        <w:t>患者因药物可及性和经济原因无法使用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9"/>
        </w:rPr>
        <w:t>帕博利珠单抗时，也可使用其他免疫检查点抑制剂，如替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4"/>
        </w:rPr>
        <w:t>雷利珠单抗联合贝伐（珠）单抗和化疗［贝伐（珠）单抗和化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疗的使用方法同上</w:t>
      </w:r>
      <w:r>
        <w:rPr>
          <w:color w:val="231F20"/>
          <w:spacing w:val="-39"/>
          <w:w w:val="92"/>
        </w:rPr>
        <w:t>］，</w:t>
      </w:r>
      <w:r>
        <w:rPr>
          <w:color w:val="231F20"/>
          <w:spacing w:val="-4"/>
        </w:rPr>
        <w:t>目前已有证据（NCT05247619）支持这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"/>
        </w:rPr>
        <w:t>一方法的疗效和安全性</w:t>
      </w:r>
      <w:r>
        <w:rPr>
          <w:sz w:val="9"/>
          <w:szCs w:val="9"/>
          <w:color w:val="231F20"/>
          <w:spacing w:val="-1"/>
          <w:position w:val="6"/>
        </w:rPr>
        <w:t>［18</w:t>
      </w:r>
      <w:r>
        <w:rPr>
          <w:sz w:val="9"/>
          <w:szCs w:val="9"/>
          <w:color w:val="231F20"/>
          <w:spacing w:val="-14"/>
          <w:w w:val="61"/>
          <w:position w:val="6"/>
        </w:rPr>
        <w:t>］</w:t>
      </w:r>
      <w:r>
        <w:rPr>
          <w:color w:val="231F20"/>
          <w:spacing w:val="-14"/>
          <w:w w:val="61"/>
        </w:rPr>
        <w:t>（</w:t>
      </w:r>
      <w:r>
        <w:rPr>
          <w:color w:val="231F20"/>
          <w:spacing w:val="-1"/>
        </w:rPr>
        <w:t>2B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级推荐）。</w:t>
      </w:r>
    </w:p>
    <w:p>
      <w:pPr>
        <w:pStyle w:val="BodyText"/>
        <w:ind w:left="869" w:right="193" w:firstLine="367"/>
        <w:spacing w:before="2" w:line="241" w:lineRule="auto"/>
        <w:jc w:val="both"/>
        <w:rPr/>
      </w:pPr>
      <w:r>
        <w:rPr>
          <w:rFonts w:ascii="SimHei" w:hAnsi="SimHei" w:eastAsia="SimHei" w:cs="SimHei"/>
          <w:color w:val="231F20"/>
          <w:spacing w:val="5"/>
        </w:rPr>
        <w:t>推荐意见5：</w:t>
      </w:r>
      <w:r>
        <w:rPr>
          <w:color w:val="231F20"/>
          <w:spacing w:val="5"/>
        </w:rPr>
        <w:t>对于复发、转移性子宫颈癌患者，可使用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5"/>
          <w:w w:val="98"/>
        </w:rPr>
        <w:t>卡度尼利单抗（10mg/kg）+顺铂（50mg/m</w:t>
      </w:r>
      <w:r>
        <w:rPr>
          <w:sz w:val="9"/>
          <w:szCs w:val="9"/>
          <w:color w:val="231F20"/>
          <w:spacing w:val="-2"/>
          <w:position w:val="7"/>
        </w:rPr>
        <w:t>2</w:t>
      </w:r>
      <w:r>
        <w:rPr>
          <w:color w:val="231F20"/>
          <w:spacing w:val="-19"/>
          <w:w w:val="98"/>
        </w:rPr>
        <w:t>）/卡铂（AUC 5）+紫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7"/>
          <w:w w:val="98"/>
        </w:rPr>
        <w:t>杉醇（175mg/m</w:t>
      </w:r>
      <w:r>
        <w:rPr>
          <w:sz w:val="9"/>
          <w:szCs w:val="9"/>
          <w:color w:val="231F20"/>
          <w:spacing w:val="-2"/>
          <w:position w:val="7"/>
        </w:rPr>
        <w:t>2</w:t>
      </w:r>
      <w:r>
        <w:rPr>
          <w:color w:val="231F20"/>
          <w:spacing w:val="-13"/>
        </w:rPr>
        <w:t>）+贝伐（珠）单抗（15mg/kg</w:t>
      </w:r>
      <w:r>
        <w:rPr>
          <w:color w:val="231F20"/>
          <w:spacing w:val="-21"/>
          <w:w w:val="60"/>
        </w:rPr>
        <w:t>）（</w:t>
      </w:r>
      <w:r>
        <w:rPr>
          <w:color w:val="231F20"/>
          <w:spacing w:val="-13"/>
        </w:rPr>
        <w:t>3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3"/>
        </w:rPr>
        <w:t>周疗</w:t>
      </w:r>
      <w:r>
        <w:rPr>
          <w:color w:val="231F20"/>
          <w:spacing w:val="-21"/>
          <w:w w:val="60"/>
        </w:rPr>
        <w:t>），</w:t>
      </w:r>
      <w:r>
        <w:rPr>
          <w:color w:val="231F20"/>
          <w:spacing w:val="-13"/>
        </w:rPr>
        <w:t>达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3"/>
        </w:rPr>
        <w:t>CR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患者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7"/>
        </w:rPr>
        <w:t>6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7"/>
        </w:rPr>
        <w:t>个疗程后停止化疗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7"/>
        </w:rPr>
        <w:t>，然后用卡度尼利单抗（10</w:t>
      </w:r>
      <w:r>
        <w:rPr>
          <w:color w:val="231F20"/>
        </w:rPr>
        <w:t>mg</w:t>
      </w:r>
      <w:r>
        <w:rPr>
          <w:color w:val="231F20"/>
          <w:spacing w:val="7"/>
        </w:rPr>
        <w:t>/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kg）+贝伐（珠）单抗（15mg/kg</w:t>
      </w:r>
      <w:r>
        <w:rPr>
          <w:color w:val="231F20"/>
          <w:spacing w:val="-24"/>
          <w:w w:val="59"/>
        </w:rPr>
        <w:t>），</w:t>
      </w:r>
      <w:r>
        <w:rPr>
          <w:color w:val="231F20"/>
          <w:spacing w:val="-10"/>
        </w:rPr>
        <w:t>3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0"/>
        </w:rPr>
        <w:t>周维</w:t>
      </w:r>
      <w:r>
        <w:rPr>
          <w:color w:val="231F20"/>
          <w:spacing w:val="-11"/>
        </w:rPr>
        <w:t>持治疗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1"/>
        </w:rPr>
        <w:t>。PR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1"/>
        </w:rPr>
        <w:t>或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1"/>
        </w:rPr>
        <w:t>SD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1"/>
        </w:rPr>
        <w:t>患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者持续用药直至肿瘤进展或患者无法耐受再使用卡度尼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4"/>
        </w:rPr>
        <w:t>利单抗（10mg/kg）+贝伐（珠）单抗（15mg/kg</w:t>
      </w:r>
      <w:r>
        <w:rPr>
          <w:color w:val="231F20"/>
          <w:spacing w:val="-27"/>
          <w:w w:val="65"/>
        </w:rPr>
        <w:t>），</w:t>
      </w:r>
      <w:r>
        <w:rPr>
          <w:color w:val="231F20"/>
          <w:spacing w:val="-14"/>
        </w:rPr>
        <w:t>3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4"/>
        </w:rPr>
        <w:t>周疗维持治</w:t>
      </w:r>
      <w:r>
        <w:rPr>
          <w:color w:val="231F20"/>
        </w:rPr>
        <w:t xml:space="preserve"> </w:t>
      </w:r>
      <w:r>
        <w:rPr>
          <w:color w:val="231F20"/>
          <w:spacing w:val="-12"/>
          <w:w w:val="96"/>
        </w:rPr>
        <w:t>疗（2A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2"/>
          <w:w w:val="96"/>
        </w:rPr>
        <w:t>级推荐）。</w:t>
      </w:r>
    </w:p>
    <w:p>
      <w:pPr>
        <w:pStyle w:val="BodyText"/>
        <w:ind w:left="871" w:right="194" w:firstLine="361"/>
        <w:spacing w:before="2" w:line="241" w:lineRule="auto"/>
        <w:jc w:val="both"/>
        <w:rPr/>
      </w:pPr>
      <w:r>
        <w:rPr>
          <w:rFonts w:ascii="SimHei" w:hAnsi="SimHei" w:eastAsia="SimHei" w:cs="SimHei"/>
          <w:color w:val="231F20"/>
          <w:spacing w:val="-2"/>
        </w:rPr>
        <w:t>推荐意见6：</w:t>
      </w:r>
      <w:r>
        <w:rPr>
          <w:color w:val="231F20"/>
          <w:spacing w:val="-2"/>
        </w:rPr>
        <w:t>化疗联合使用贝伐（珠）单抗时，可根据既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9"/>
        </w:rPr>
        <w:t>往药物使用史选择铂类药物，如果患者既往无顺铂使用史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9"/>
        </w:rPr>
        <w:t>或曾接受扩大野放疗（骨髓储备功能受损，对卡铂耐受性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差</w:t>
      </w:r>
      <w:r>
        <w:rPr>
          <w:color w:val="231F20"/>
          <w:spacing w:val="-24"/>
          <w:w w:val="59"/>
        </w:rPr>
        <w:t>），</w:t>
      </w:r>
      <w:r>
        <w:rPr>
          <w:color w:val="231F20"/>
          <w:spacing w:val="3"/>
        </w:rPr>
        <w:t>首选顺铂（1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级推荐）。 既往有铂类特别是顺铂使用史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的患者，可选择卡铂（2A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0"/>
        </w:rPr>
        <w:t>级推荐）。</w:t>
      </w:r>
    </w:p>
    <w:p>
      <w:pPr>
        <w:pStyle w:val="BodyText"/>
        <w:ind w:left="871" w:right="130" w:firstLine="360"/>
        <w:spacing w:before="1" w:line="241" w:lineRule="auto"/>
        <w:jc w:val="both"/>
        <w:rPr/>
      </w:pPr>
      <w:r>
        <w:rPr>
          <w:rFonts w:ascii="SimHei" w:hAnsi="SimHei" w:eastAsia="SimHei" w:cs="SimHei"/>
          <w:color w:val="231F20"/>
          <w:spacing w:val="-9"/>
        </w:rPr>
        <w:t>推荐意见7：</w:t>
      </w:r>
      <w:r>
        <w:rPr>
          <w:color w:val="231F20"/>
          <w:spacing w:val="-9"/>
        </w:rPr>
        <w:t>替索单抗（tisotumab v</w:t>
      </w:r>
      <w:r>
        <w:rPr>
          <w:color w:val="231F20"/>
          <w:spacing w:val="-10"/>
        </w:rPr>
        <w:t>edotin-tftv，TIVDAK）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在中国上市前，不推荐在临床研究外的子宫颈癌患者使用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8"/>
        </w:rPr>
        <w:t>替索单抗联合化疗和贝伐（珠）单抗（2A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8"/>
        </w:rPr>
        <w:t>级推荐）。</w:t>
      </w:r>
    </w:p>
    <w:p>
      <w:pPr>
        <w:pStyle w:val="BodyText"/>
        <w:ind w:left="1231"/>
        <w:spacing w:before="1" w:line="169" w:lineRule="auto"/>
        <w:rPr/>
      </w:pPr>
      <w:r>
        <w:rPr>
          <w:rFonts w:ascii="SimHei" w:hAnsi="SimHei" w:eastAsia="SimHei" w:cs="SimHei"/>
          <w:color w:val="231F20"/>
          <w:spacing w:val="7"/>
        </w:rPr>
        <w:t>推荐意见8：</w:t>
      </w:r>
      <w:r>
        <w:rPr>
          <w:color w:val="231F20"/>
          <w:spacing w:val="7"/>
        </w:rPr>
        <w:t>尚无证据证实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PARP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7"/>
        </w:rPr>
        <w:t>抑制剂对子宫颈癌有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8" w:right="53"/>
        <w:spacing w:before="43"/>
        <w:rPr/>
      </w:pPr>
      <w:r>
        <w:rPr>
          <w:color w:val="231F20"/>
          <w:spacing w:val="10"/>
        </w:rPr>
        <w:t>效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0"/>
        </w:rPr>
        <w:t>。不推荐在临床研究外的子宫颈癌患者使用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PARP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0"/>
        </w:rPr>
        <w:t>抑制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剂联合抗血管生成药物（2A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级推荐）。</w:t>
      </w:r>
    </w:p>
    <w:p>
      <w:pPr>
        <w:pStyle w:val="BodyText"/>
        <w:ind w:left="67" w:right="53"/>
        <w:spacing w:before="4" w:line="241" w:lineRule="auto"/>
        <w:jc w:val="both"/>
        <w:rPr/>
      </w:pPr>
      <w:r>
        <w:rPr>
          <w:color w:val="231F20"/>
          <w:spacing w:val="6"/>
        </w:rPr>
        <w:t>4.2   评价子宫颈癌患者能否从贝伐（珠）单抗治疗中获益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的方法</w:t>
      </w:r>
      <w:r>
        <w:rPr>
          <w:color w:val="231F20"/>
          <w:spacing w:val="15"/>
          <w:w w:val="101"/>
        </w:rPr>
        <w:t xml:space="preserve">   </w:t>
      </w:r>
      <w:r>
        <w:rPr>
          <w:color w:val="231F20"/>
        </w:rPr>
        <w:t>GOG</w:t>
      </w:r>
      <w:r>
        <w:rPr>
          <w:color w:val="231F20"/>
          <w:spacing w:val="4"/>
        </w:rPr>
        <w:t>-240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4"/>
        </w:rPr>
        <w:t>在评估贝伐（珠）单抗疗效外还确立了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能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9"/>
        </w:rPr>
        <w:t>够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9"/>
        </w:rPr>
        <w:t>预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9"/>
        </w:rPr>
        <w:t>测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9"/>
        </w:rPr>
        <w:t>贝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9"/>
        </w:rPr>
        <w:t>伐（珠）单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9"/>
        </w:rPr>
        <w:t>抗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9"/>
        </w:rPr>
        <w:t>获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9"/>
        </w:rPr>
        <w:t>益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9"/>
        </w:rPr>
        <w:t>程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9"/>
        </w:rPr>
        <w:t>度 的 Moore 标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9"/>
        </w:rPr>
        <w:t>准（Moore</w:t>
      </w:r>
      <w:r>
        <w:rPr>
          <w:color w:val="231F20"/>
        </w:rPr>
        <w:t xml:space="preserve"> </w:t>
      </w:r>
      <w:r>
        <w:rPr>
          <w:color w:val="231F20"/>
        </w:rPr>
        <w:t>criteria</w:t>
      </w:r>
      <w:r>
        <w:rPr>
          <w:color w:val="231F20"/>
          <w:spacing w:val="-27"/>
          <w:w w:val="65"/>
        </w:rPr>
        <w:t>），</w:t>
      </w:r>
      <w:r>
        <w:rPr>
          <w:color w:val="231F20"/>
          <w:spacing w:val="4"/>
        </w:rPr>
        <w:t>可指导贝伐（珠）单抗的精准应用</w:t>
      </w:r>
      <w:r>
        <w:rPr>
          <w:sz w:val="9"/>
          <w:szCs w:val="9"/>
          <w:color w:val="231F20"/>
          <w:spacing w:val="4"/>
          <w:position w:val="6"/>
        </w:rPr>
        <w:t>［19-20］</w:t>
      </w:r>
      <w:r>
        <w:rPr>
          <w:color w:val="231F20"/>
          <w:spacing w:val="4"/>
        </w:rPr>
        <w:t>。对于复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3"/>
        </w:rPr>
        <w:t>发、晚期、持续和转移性子宫颈癌患者，该标准包括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3"/>
        </w:rPr>
        <w:t>5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3"/>
        </w:rPr>
        <w:t>个独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立危险因素：非裔女性、行为状态（performance stat</w:t>
      </w:r>
      <w:r>
        <w:rPr>
          <w:color w:val="231F20"/>
          <w:spacing w:val="-14"/>
        </w:rPr>
        <w:t>us，PS）评</w:t>
      </w:r>
      <w:r>
        <w:rPr>
          <w:color w:val="231F20"/>
        </w:rPr>
        <w:t xml:space="preserve"> </w:t>
      </w:r>
      <w:r>
        <w:rPr>
          <w:color w:val="231F20"/>
        </w:rPr>
        <w:t>分≥</w:t>
      </w:r>
      <w:r>
        <w:rPr>
          <w:color w:val="231F20"/>
          <w:spacing w:val="-27"/>
        </w:rPr>
        <w:t xml:space="preserve"> </w:t>
      </w:r>
      <w:r>
        <w:rPr>
          <w:color w:val="231F20"/>
        </w:rPr>
        <w:t>1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分（1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分：能自由走动及从事轻体力活动，包括一般家 </w:t>
      </w:r>
      <w:r>
        <w:rPr>
          <w:color w:val="231F20"/>
          <w:spacing w:val="3"/>
        </w:rPr>
        <w:t>务或办公室工作，但不能从事较重的体力活动）</w:t>
      </w:r>
      <w:r>
        <w:rPr>
          <w:color w:val="231F20"/>
          <w:spacing w:val="2"/>
        </w:rPr>
        <w:t>、盆腔有可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测量病灶、既往曾使用铂类药物进行放疗增敏、诊断子宫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8"/>
        </w:rPr>
        <w:t>颈癌到诊断复发的时间间隔＜1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8"/>
        </w:rPr>
        <w:t>年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8"/>
        </w:rPr>
        <w:t>。危险因素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8"/>
        </w:rPr>
        <w:t>0~1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8"/>
        </w:rPr>
        <w:t>个为低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危、2~3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个为中危、4~5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5"/>
        </w:rPr>
        <w:t>个为高危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5"/>
        </w:rPr>
        <w:t>。与仅化疗相比，低危患者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联合贝伐（珠）单抗治疗的获益不明显，而中危</w:t>
      </w:r>
      <w:r>
        <w:rPr>
          <w:color w:val="231F20"/>
          <w:spacing w:val="2"/>
        </w:rPr>
        <w:t>和高危患者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使用贝伐（珠）单抗后死亡风险显著下降</w:t>
      </w:r>
      <w:r>
        <w:rPr>
          <w:sz w:val="9"/>
          <w:szCs w:val="9"/>
          <w:color w:val="231F20"/>
          <w:spacing w:val="4"/>
          <w:position w:val="6"/>
        </w:rPr>
        <w:t>［19］</w:t>
      </w:r>
      <w:r>
        <w:rPr>
          <w:color w:val="231F20"/>
          <w:spacing w:val="4"/>
        </w:rPr>
        <w:t>。需要注意的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是，即便在危险因素中剔除“非裔女性”，Moore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标准的预测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效能仍然存在，但该标准未在亚洲人群中进行验证。</w:t>
      </w:r>
    </w:p>
    <w:p>
      <w:pPr>
        <w:pStyle w:val="BodyText"/>
        <w:ind w:left="71" w:firstLine="359"/>
        <w:spacing w:line="241" w:lineRule="auto"/>
        <w:rPr/>
      </w:pPr>
      <w:r>
        <w:rPr>
          <w:rFonts w:ascii="SimHei" w:hAnsi="SimHei" w:eastAsia="SimHei" w:cs="SimHei"/>
          <w:color w:val="231F20"/>
          <w:spacing w:val="-1"/>
        </w:rPr>
        <w:t>推荐意见</w:t>
      </w:r>
      <w:r>
        <w:rPr>
          <w:rFonts w:ascii="SimHei" w:hAnsi="SimHei" w:eastAsia="SimHei" w:cs="SimHei"/>
          <w:color w:val="231F20"/>
          <w:spacing w:val="-41"/>
        </w:rPr>
        <w:t xml:space="preserve"> </w:t>
      </w:r>
      <w:r>
        <w:rPr>
          <w:rFonts w:ascii="SimHei" w:hAnsi="SimHei" w:eastAsia="SimHei" w:cs="SimHei"/>
          <w:color w:val="231F20"/>
          <w:spacing w:val="-1"/>
        </w:rPr>
        <w:t>1：</w:t>
      </w:r>
      <w:r>
        <w:rPr>
          <w:color w:val="231F20"/>
          <w:spacing w:val="-1"/>
        </w:rPr>
        <w:t>子宫颈癌患者接受贝伐（珠）单抗治疗前，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可使用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6"/>
        </w:rPr>
        <w:t>Moore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6"/>
        </w:rPr>
        <w:t>标准对获益程度进行评估（2A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6"/>
        </w:rPr>
        <w:t>级推荐）。</w:t>
      </w:r>
    </w:p>
    <w:p>
      <w:pPr>
        <w:pStyle w:val="BodyText"/>
        <w:ind w:left="67" w:right="53" w:firstLine="362"/>
        <w:spacing w:before="1" w:line="241" w:lineRule="auto"/>
        <w:jc w:val="both"/>
        <w:rPr/>
      </w:pPr>
      <w:r>
        <w:rPr>
          <w:rFonts w:ascii="SimHei" w:hAnsi="SimHei" w:eastAsia="SimHei" w:cs="SimHei"/>
          <w:color w:val="231F20"/>
          <w:spacing w:val="3"/>
        </w:rPr>
        <w:t>推荐意见2：</w:t>
      </w:r>
      <w:r>
        <w:rPr>
          <w:color w:val="231F20"/>
          <w:spacing w:val="3"/>
        </w:rPr>
        <w:t>由于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Moore</w:t>
      </w:r>
      <w:r>
        <w:rPr>
          <w:color w:val="231F20"/>
          <w:spacing w:val="3"/>
        </w:rPr>
        <w:t>标准未在亚洲女性中进行效能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验证，中国患者可参考这一方法决定是否使用贝</w:t>
      </w:r>
      <w:r>
        <w:rPr>
          <w:color w:val="231F20"/>
          <w:spacing w:val="2"/>
        </w:rPr>
        <w:t>伐（珠）单</w:t>
      </w:r>
      <w:r>
        <w:rPr>
          <w:color w:val="231F20"/>
        </w:rPr>
        <w:t xml:space="preserve"> </w:t>
      </w:r>
      <w:r>
        <w:rPr>
          <w:color w:val="231F20"/>
          <w:spacing w:val="-14"/>
          <w:w w:val="96"/>
        </w:rPr>
        <w:t>抗（3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4"/>
          <w:w w:val="96"/>
        </w:rPr>
        <w:t>级推荐）。</w:t>
      </w:r>
    </w:p>
    <w:p>
      <w:pPr>
        <w:pStyle w:val="BodyText"/>
        <w:ind w:right="53" w:firstLine="67"/>
        <w:spacing w:before="13" w:line="238" w:lineRule="auto"/>
        <w:tabs>
          <w:tab w:val="left" w:pos="258"/>
        </w:tabs>
        <w:jc w:val="right"/>
        <w:rPr/>
      </w:pPr>
      <w:r>
        <w:rPr>
          <w:color w:val="231F20"/>
        </w:rPr>
        <w:t>4.3    子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宫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颈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癌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患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者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使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用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贝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伐（珠）单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抗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进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展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后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的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治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疗 </w:t>
      </w:r>
      <w:r>
        <w:rPr>
          <w:color w:val="231F20"/>
        </w:rPr>
        <w:tab/>
      </w:r>
      <w:r>
        <w:rPr>
          <w:color w:val="231F20"/>
          <w:spacing w:val="-5"/>
        </w:rPr>
        <w:t>GOG-3023（NCT03438396）在晚期和复发</w:t>
      </w:r>
      <w:r>
        <w:rPr>
          <w:color w:val="231F20"/>
          <w:spacing w:val="-6"/>
        </w:rPr>
        <w:t>后接受≤2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6"/>
        </w:rPr>
        <w:t>线化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疗的子宫颈癌患者中评价了替索单抗的疗效</w:t>
      </w:r>
      <w:r>
        <w:rPr>
          <w:sz w:val="9"/>
          <w:szCs w:val="9"/>
          <w:color w:val="231F20"/>
          <w:spacing w:val="11"/>
          <w:position w:val="6"/>
        </w:rPr>
        <w:t>［2</w:t>
      </w:r>
      <w:r>
        <w:rPr>
          <w:sz w:val="9"/>
          <w:szCs w:val="9"/>
          <w:color w:val="231F20"/>
          <w:spacing w:val="10"/>
          <w:position w:val="6"/>
        </w:rPr>
        <w:t>1</w:t>
      </w:r>
      <w:r>
        <w:rPr>
          <w:sz w:val="9"/>
          <w:szCs w:val="9"/>
          <w:color w:val="231F20"/>
          <w:spacing w:val="-3"/>
          <w:position w:val="6"/>
        </w:rPr>
        <w:t>］</w:t>
      </w:r>
      <w:r>
        <w:rPr>
          <w:color w:val="231F20"/>
          <w:spacing w:val="-36"/>
          <w:w w:val="71"/>
        </w:rPr>
        <w:t>，</w:t>
      </w:r>
      <w:r>
        <w:rPr>
          <w:color w:val="231F20"/>
          <w:spacing w:val="10"/>
        </w:rPr>
        <w:t>101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0"/>
        </w:rPr>
        <w:t>例入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组患者中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7"/>
        </w:rPr>
        <w:t>69%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7"/>
        </w:rPr>
        <w:t>既往曾接受贝伐（珠）单抗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7"/>
        </w:rPr>
        <w:t>。单药使用替索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单抗 2.0mg/kg（3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7"/>
        </w:rPr>
        <w:t>周疗，最大剂量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7"/>
        </w:rPr>
        <w:t>200mg）治疗后，总体人群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ORR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为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24%，mPFS 和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mOS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4"/>
        </w:rPr>
        <w:t>分别为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4.2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个月和 12.1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个月；替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索单抗的疗效和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TF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6"/>
        </w:rPr>
        <w:t>表达状态无相关性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6"/>
        </w:rPr>
        <w:t>。在既往接受贝伐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（珠）单抗联合化疗的患者中，替索单抗治疗后的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ORR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9"/>
        </w:rPr>
        <w:t>为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19%——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1"/>
        </w:rPr>
        <w:t>疗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效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与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总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人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群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相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仿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且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优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于  Keynote-158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（NCT02628067）报道的结果［41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7"/>
        </w:rPr>
        <w:t>例既往曾接受贝伐（珠）单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抗的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MMRd</w:t>
      </w:r>
      <w:r>
        <w:rPr>
          <w:color w:val="231F20"/>
          <w:spacing w:val="5"/>
        </w:rPr>
        <w:t>/</w:t>
      </w:r>
      <w:r>
        <w:rPr>
          <w:color w:val="231F20"/>
        </w:rPr>
        <w:t>MSI</w:t>
      </w:r>
      <w:r>
        <w:rPr>
          <w:color w:val="231F20"/>
          <w:spacing w:val="5"/>
        </w:rPr>
        <w:t>-H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5"/>
        </w:rPr>
        <w:t>型复发性子宫颈癌患者，使用帕博利珠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单抗后仅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7"/>
        </w:rPr>
        <w:t>2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7"/>
        </w:rPr>
        <w:t>例缓解；</w:t>
      </w:r>
      <w:r>
        <w:rPr>
          <w:color w:val="231F20"/>
        </w:rPr>
        <w:t>ORR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7"/>
        </w:rPr>
        <w:t>为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7"/>
        </w:rPr>
        <w:t>4.9%</w:t>
      </w:r>
      <w:r>
        <w:rPr>
          <w:color w:val="231F20"/>
          <w:spacing w:val="-28"/>
          <w:w w:val="80"/>
        </w:rPr>
        <w:t>］</w:t>
      </w:r>
      <w:r>
        <w:rPr>
          <w:sz w:val="9"/>
          <w:szCs w:val="9"/>
          <w:color w:val="231F20"/>
          <w:spacing w:val="-6"/>
          <w:w w:val="33"/>
          <w:position w:val="6"/>
        </w:rPr>
        <w:t>［</w:t>
      </w:r>
      <w:r>
        <w:rPr>
          <w:sz w:val="9"/>
          <w:szCs w:val="9"/>
          <w:color w:val="231F20"/>
          <w:spacing w:val="7"/>
          <w:position w:val="6"/>
        </w:rPr>
        <w:t>22］</w:t>
      </w:r>
      <w:r>
        <w:rPr>
          <w:color w:val="231F20"/>
          <w:spacing w:val="7"/>
        </w:rPr>
        <w:t>。这些结果提示既往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使用贝伐（珠）单抗并不会对替索单抗的疗效产生不良影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"/>
        </w:rPr>
        <w:t>响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。2023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欧洲肿瘤内科学会（ESMO）公布了innovaTV 301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（NCT04697628）结果，共有 502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例患者被随机分配至替索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单抗组（TV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组，253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例）和化疗组（2</w:t>
      </w:r>
      <w:r>
        <w:rPr>
          <w:color w:val="231F20"/>
          <w:spacing w:val="-3"/>
        </w:rPr>
        <w:t>49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例</w:t>
      </w:r>
      <w:r>
        <w:rPr>
          <w:color w:val="231F20"/>
          <w:spacing w:val="-25"/>
          <w:w w:val="61"/>
        </w:rPr>
        <w:t>）；</w:t>
      </w:r>
      <w:r>
        <w:rPr>
          <w:color w:val="231F20"/>
          <w:spacing w:val="-3"/>
        </w:rPr>
        <w:t>中位生存期随访</w:t>
      </w:r>
      <w:r>
        <w:rPr>
          <w:color w:val="231F20"/>
        </w:rPr>
        <w:t xml:space="preserve"> </w:t>
      </w:r>
      <w:r>
        <w:rPr>
          <w:color w:val="231F20"/>
        </w:rPr>
        <w:t>时间为 10.8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个月（95%CI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10.3~11.6</w:t>
      </w:r>
      <w:r>
        <w:rPr>
          <w:color w:val="231F20"/>
          <w:spacing w:val="-24"/>
          <w:w w:val="59"/>
        </w:rPr>
        <w:t>），</w:t>
      </w:r>
      <w:r>
        <w:rPr>
          <w:color w:val="231F20"/>
        </w:rPr>
        <w:t>患</w:t>
      </w:r>
      <w:r>
        <w:rPr>
          <w:color w:val="231F20"/>
          <w:spacing w:val="-1"/>
        </w:rPr>
        <w:t>者的中位年龄为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50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岁（26~80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0"/>
        </w:rPr>
        <w:t>岁</w:t>
      </w:r>
      <w:r>
        <w:rPr>
          <w:color w:val="231F20"/>
          <w:spacing w:val="-27"/>
          <w:w w:val="66"/>
        </w:rPr>
        <w:t>）；</w:t>
      </w:r>
      <w:r>
        <w:rPr>
          <w:color w:val="231F20"/>
          <w:spacing w:val="10"/>
        </w:rPr>
        <w:t>各组在人口统计学和疾病特征上均保持平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衡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6"/>
        </w:rPr>
        <w:t>。63.9% 和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6"/>
        </w:rPr>
        <w:t>27.5% 的患者曾</w:t>
      </w:r>
      <w:r>
        <w:rPr>
          <w:color w:val="231F20"/>
          <w:spacing w:val="5"/>
        </w:rPr>
        <w:t>接受过贝伐（珠）单抗和抗</w:t>
      </w:r>
      <w:r>
        <w:rPr>
          <w:color w:val="231F20"/>
        </w:rPr>
        <w:t xml:space="preserve"> </w:t>
      </w:r>
      <w:r>
        <w:rPr>
          <w:color w:val="231F20"/>
        </w:rPr>
        <w:t>PD</w:t>
      </w:r>
      <w:r>
        <w:rPr>
          <w:color w:val="231F20"/>
          <w:spacing w:val="7"/>
        </w:rPr>
        <w:t>-（L）1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治疗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7"/>
        </w:rPr>
        <w:t>。与化疗组相比，</w:t>
      </w:r>
      <w:r>
        <w:rPr>
          <w:color w:val="231F20"/>
        </w:rPr>
        <w:t>TV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7"/>
        </w:rPr>
        <w:t>组的死亡风险降低了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30%，mOS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显著延长（11.5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个月 vs</w:t>
      </w:r>
      <w:r>
        <w:rPr>
          <w:color w:val="231F20"/>
          <w:spacing w:val="-5"/>
        </w:rPr>
        <w:t>. 9.5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5"/>
        </w:rPr>
        <w:t>个月</w:t>
      </w:r>
      <w:r>
        <w:rPr>
          <w:color w:val="231F20"/>
          <w:spacing w:val="-29"/>
          <w:w w:val="72"/>
        </w:rPr>
        <w:t>），</w:t>
      </w:r>
      <w:r>
        <w:rPr>
          <w:color w:val="231F20"/>
          <w:spacing w:val="-5"/>
        </w:rPr>
        <w:t>TV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组的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PFS 明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显优于化疗组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13"/>
        </w:rPr>
        <w:t>。</w:t>
      </w:r>
      <w:r>
        <w:rPr>
          <w:color w:val="231F20"/>
        </w:rPr>
        <w:t>TV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3"/>
        </w:rPr>
        <w:t>组和化疗组的 </w:t>
      </w:r>
      <w:r>
        <w:rPr>
          <w:color w:val="231F20"/>
        </w:rPr>
        <w:t>ORR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3"/>
        </w:rPr>
        <w:t>分别为 17.8% 和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5.2%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4"/>
        </w:rPr>
        <w:t>。大多数患者至少出现了 1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4"/>
        </w:rPr>
        <w:t>次与治疗相关的不良事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件［TV 组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3"/>
        </w:rPr>
        <w:t>87.6%(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3"/>
        </w:rPr>
        <w:t>≥3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3"/>
        </w:rPr>
        <w:t>级占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29.2%）vs. 化疗组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3"/>
        </w:rPr>
        <w:t>85.4%(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3"/>
        </w:rPr>
        <w:t>≥3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3"/>
        </w:rPr>
        <w:t>级占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45.2%</w:t>
      </w:r>
      <w:r>
        <w:rPr>
          <w:color w:val="231F20"/>
          <w:spacing w:val="-21"/>
          <w:w w:val="64"/>
        </w:rPr>
        <w:t>）］</w:t>
      </w:r>
      <w:r>
        <w:rPr>
          <w:color w:val="231F20"/>
          <w:spacing w:val="4"/>
        </w:rPr>
        <w:t>。 不良事件与已知的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TV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安全性特征一致，包括眼</w:t>
      </w:r>
    </w:p>
    <w:p>
      <w:pPr>
        <w:spacing w:line="238" w:lineRule="auto"/>
        <w:sectPr>
          <w:type w:val="continuous"/>
          <w:pgSz w:w="11906" w:h="16838"/>
          <w:pgMar w:top="1561" w:right="1222" w:bottom="0" w:left="407" w:header="1315" w:footer="0" w:gutter="0"/>
          <w:cols w:equalWidth="0" w:num="2">
            <w:col w:w="5560" w:space="100"/>
            <w:col w:w="4617" w:space="0"/>
          </w:cols>
        </w:sectPr>
        <w:rPr/>
      </w:pPr>
    </w:p>
    <w:p>
      <w:pPr>
        <w:spacing w:before="75"/>
        <w:rPr/>
      </w:pPr>
      <w:r/>
    </w:p>
    <w:p>
      <w:pPr>
        <w:sectPr>
          <w:headerReference w:type="default" r:id="rId10"/>
          <w:pgSz w:w="11906" w:h="16838"/>
          <w:pgMar w:top="1561" w:right="1155" w:bottom="0" w:left="407" w:header="1315" w:footer="0" w:gutter="0"/>
          <w:cols w:equalWidth="0" w:num="1">
            <w:col w:w="10342" w:space="0"/>
          </w:cols>
        </w:sectPr>
        <w:rPr/>
      </w:pPr>
    </w:p>
    <w:p>
      <w:pPr>
        <w:pStyle w:val="BodyText"/>
        <w:ind w:left="871"/>
        <w:spacing w:before="44" w:line="188" w:lineRule="auto"/>
        <w:rPr/>
      </w:pPr>
      <w:r>
        <w:rPr>
          <w:color w:val="231F20"/>
          <w:spacing w:val="3"/>
        </w:rPr>
        <w:t>部、外周神经病和出血等不良事件。</w:t>
      </w:r>
    </w:p>
    <w:p>
      <w:pPr>
        <w:pStyle w:val="BodyText"/>
        <w:ind w:left="885" w:right="262" w:firstLine="353"/>
        <w:spacing w:before="63"/>
        <w:rPr/>
      </w:pPr>
      <w:r>
        <w:rPr>
          <w:color w:val="231F20"/>
          <w:spacing w:val="-5"/>
        </w:rPr>
        <w:t>GOG-3023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5"/>
        </w:rPr>
        <w:t>和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5"/>
        </w:rPr>
        <w:t>innovaTV 301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5"/>
        </w:rPr>
        <w:t>是在曾使用贝伐（珠）单抗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的患者中探索后线治疗方法的研究。</w:t>
      </w:r>
    </w:p>
    <w:p>
      <w:pPr>
        <w:pStyle w:val="BodyText"/>
        <w:ind w:left="869" w:right="262" w:firstLine="360"/>
        <w:spacing w:before="8" w:line="242" w:lineRule="auto"/>
        <w:jc w:val="both"/>
        <w:rPr/>
      </w:pPr>
      <w:r>
        <w:rPr>
          <w:rFonts w:ascii="SimHei" w:hAnsi="SimHei" w:eastAsia="SimHei" w:cs="SimHei"/>
          <w:color w:val="231F20"/>
          <w:spacing w:val="2"/>
        </w:rPr>
        <w:t>推荐意见：</w:t>
      </w:r>
      <w:r>
        <w:rPr>
          <w:color w:val="231F20"/>
          <w:spacing w:val="2"/>
        </w:rPr>
        <w:t>替索单抗在中国上市后，对于已接受多线治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3"/>
        </w:rPr>
        <w:t>疗的子宫颈癌患者，特别是既往有贝伐（珠）单</w:t>
      </w:r>
      <w:r>
        <w:rPr>
          <w:color w:val="231F20"/>
          <w:spacing w:val="2"/>
        </w:rPr>
        <w:t>抗使用史的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患者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2"/>
        </w:rPr>
        <w:t>，可使用替索单抗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2"/>
        </w:rPr>
        <w:t>，用药方法为 2.0</w:t>
      </w:r>
      <w:r>
        <w:rPr>
          <w:color w:val="231F20"/>
        </w:rPr>
        <w:t>mg</w:t>
      </w:r>
      <w:r>
        <w:rPr>
          <w:color w:val="231F20"/>
          <w:spacing w:val="2"/>
        </w:rPr>
        <w:t>/</w:t>
      </w:r>
      <w:r>
        <w:rPr>
          <w:color w:val="231F20"/>
        </w:rPr>
        <w:t>kg</w:t>
      </w:r>
      <w:r>
        <w:rPr>
          <w:color w:val="231F20"/>
          <w:spacing w:val="2"/>
        </w:rPr>
        <w:t>、</w:t>
      </w:r>
      <w:r>
        <w:rPr>
          <w:color w:val="231F20"/>
          <w:spacing w:val="1"/>
        </w:rPr>
        <w:t>最大剂量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200</w:t>
      </w:r>
      <w:r>
        <w:rPr>
          <w:color w:val="231F20"/>
        </w:rPr>
        <w:t>mg</w:t>
      </w:r>
      <w:r>
        <w:rPr>
          <w:color w:val="231F20"/>
          <w:spacing w:val="1"/>
        </w:rPr>
        <w:t>、3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"/>
        </w:rPr>
        <w:t>周疗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"/>
        </w:rPr>
        <w:t>。基于现有证据，使用替索单抗时可以不常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规检测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6"/>
        </w:rPr>
        <w:t>TF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6"/>
        </w:rPr>
        <w:t>表达状态（2A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6"/>
        </w:rPr>
        <w:t>级推荐）。</w:t>
      </w:r>
    </w:p>
    <w:p>
      <w:pPr>
        <w:pStyle w:val="BodyText"/>
        <w:ind w:left="870" w:right="262" w:hanging="1"/>
        <w:spacing w:before="4" w:line="242" w:lineRule="auto"/>
        <w:jc w:val="both"/>
        <w:rPr/>
      </w:pPr>
      <w:r>
        <w:rPr>
          <w:color w:val="231F20"/>
          <w:spacing w:val="9"/>
        </w:rPr>
        <w:t>4.4   </w:t>
      </w:r>
      <w:r>
        <w:rPr>
          <w:color w:val="231F20"/>
        </w:rPr>
        <w:t>TKI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9"/>
        </w:rPr>
        <w:t>治疗晚期、复发和转移子宫颈癌的临床证据和推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荐意见</w:t>
      </w:r>
      <w:r>
        <w:rPr>
          <w:color w:val="231F20"/>
          <w:spacing w:val="4"/>
        </w:rPr>
        <w:t xml:space="preserve">    </w:t>
      </w:r>
      <w:r>
        <w:rPr>
          <w:color w:val="231F20"/>
          <w:spacing w:val="8"/>
        </w:rPr>
        <w:t>已有多项临床研究在晚期、复发和转移性子宫颈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5"/>
        </w:rPr>
        <w:t>癌患者中评估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5"/>
        </w:rPr>
        <w:t>TKIs 的疗效，包括西妥昔单抗（cetuximab，爱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必妥）、厄洛替尼（erlotinib，特罗凯）、舒尼替尼（sunitinib，索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120" w:hanging="3"/>
        <w:spacing w:before="41" w:line="243" w:lineRule="auto"/>
        <w:jc w:val="both"/>
        <w:rPr/>
      </w:pPr>
      <w:r>
        <w:rPr>
          <w:color w:val="231F20"/>
          <w:spacing w:val="-18"/>
          <w:w w:val="98"/>
        </w:rPr>
        <w:t>坦）、拉帕替尼（lapatinib，泰立沙）、帕唑帕尼（pazopanib）、阿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6"/>
        </w:rPr>
        <w:t>帕替尼（apatinib，艾坦）、安罗替尼（anloti</w:t>
      </w:r>
      <w:r>
        <w:rPr>
          <w:color w:val="231F20"/>
          <w:spacing w:val="-17"/>
        </w:rPr>
        <w:t>nib，福可维）、苹果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酸法米替尼（famitinib）等。</w:t>
      </w:r>
    </w:p>
    <w:p>
      <w:pPr>
        <w:pStyle w:val="BodyText"/>
        <w:ind w:right="66" w:firstLine="361"/>
        <w:spacing w:before="4" w:line="242" w:lineRule="auto"/>
        <w:jc w:val="both"/>
        <w:rPr/>
      </w:pPr>
      <w:r>
        <w:rPr>
          <w:color w:val="231F20"/>
          <w:spacing w:val="6"/>
        </w:rPr>
        <w:t>西妥昔单抗和厄洛替尼是主要靶向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EGFR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6"/>
        </w:rPr>
        <w:t>的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TKI</w:t>
      </w:r>
      <w:r>
        <w:rPr>
          <w:color w:val="231F20"/>
          <w:spacing w:val="6"/>
        </w:rPr>
        <w:t>，现有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临床研究未发现这两种药物可控制子宫颈癌进展，针对舒  </w:t>
      </w:r>
      <w:r>
        <w:rPr>
          <w:color w:val="231F20"/>
          <w:spacing w:val="17"/>
        </w:rPr>
        <w:t>尼替尼的临床研究也未发现单药舒尼替尼对子宫颈癌有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效</w:t>
      </w:r>
      <w:r>
        <w:rPr>
          <w:sz w:val="9"/>
          <w:szCs w:val="9"/>
          <w:color w:val="231F20"/>
          <w:spacing w:val="-6"/>
          <w:position w:val="6"/>
        </w:rPr>
        <w:t>［23］</w:t>
      </w:r>
      <w:r>
        <w:rPr>
          <w:color w:val="231F20"/>
          <w:spacing w:val="-6"/>
        </w:rPr>
        <w:t>。其他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9"/>
        </w:rPr>
        <w:t>5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9"/>
        </w:rPr>
        <w:t>种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TKIs</w:t>
      </w:r>
      <w:r>
        <w:rPr>
          <w:color w:val="231F20"/>
          <w:spacing w:val="9"/>
        </w:rPr>
        <w:t>的作用靶点已在表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9"/>
        </w:rPr>
        <w:t>3 中进行了总结，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已有初步证据提示这些药物对子宫颈癌有效</w:t>
      </w:r>
      <w:r>
        <w:rPr>
          <w:sz w:val="9"/>
          <w:szCs w:val="9"/>
          <w:color w:val="231F20"/>
          <w:spacing w:val="5"/>
          <w:position w:val="6"/>
        </w:rPr>
        <w:t>［24-27］</w:t>
      </w:r>
      <w:r>
        <w:rPr>
          <w:color w:val="231F20"/>
          <w:spacing w:val="5"/>
        </w:rPr>
        <w:t>。需要注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意的是，单药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TKI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4"/>
        </w:rPr>
        <w:t>对子宫颈癌的疗效极为有限，甚至劣于单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药贝伐（珠）单抗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7"/>
        </w:rPr>
        <w:t>。</w:t>
      </w:r>
      <w:r>
        <w:rPr>
          <w:color w:val="231F20"/>
        </w:rPr>
        <w:t>TKIs</w:t>
      </w:r>
      <w:r>
        <w:rPr>
          <w:color w:val="231F20"/>
          <w:spacing w:val="7"/>
        </w:rPr>
        <w:t xml:space="preserve"> 的疗效主要体现在与免疫检查点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抑制剂（抗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PD</w:t>
      </w:r>
      <w:r>
        <w:rPr>
          <w:color w:val="231F20"/>
          <w:spacing w:val="2"/>
        </w:rPr>
        <w:t>-1）联合应用时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。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2"/>
        </w:rPr>
        <w:t>由于相关临床试</w:t>
      </w:r>
      <w:r>
        <w:rPr>
          <w:color w:val="231F20"/>
          <w:spacing w:val="1"/>
        </w:rPr>
        <w:t>验均为 Ⅱ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期，其有效性和安全性仍有待进一步确证。</w:t>
      </w:r>
    </w:p>
    <w:p>
      <w:pPr>
        <w:spacing w:line="242" w:lineRule="auto"/>
        <w:sectPr>
          <w:type w:val="continuous"/>
          <w:pgSz w:w="11906" w:h="16838"/>
          <w:pgMar w:top="1561" w:right="1155" w:bottom="0" w:left="407" w:header="1315" w:footer="0" w:gutter="0"/>
          <w:cols w:equalWidth="0" w:num="2">
            <w:col w:w="5627" w:space="100"/>
            <w:col w:w="4615" w:space="0"/>
          </w:cols>
        </w:sectPr>
        <w:rPr/>
      </w:pPr>
    </w:p>
    <w:p>
      <w:pPr>
        <w:pStyle w:val="BodyText"/>
        <w:ind w:left="2990"/>
        <w:spacing w:before="235" w:line="192" w:lineRule="auto"/>
        <w:outlineLvl w:val="2"/>
        <w:rPr/>
      </w:pP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564484</wp:posOffset>
            </wp:positionH>
            <wp:positionV relativeFrom="paragraph">
              <wp:posOffset>-2485310</wp:posOffset>
            </wp:positionV>
            <wp:extent cx="2400275" cy="6350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027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color w:val="231F20"/>
          <w:spacing w:val="5"/>
        </w:rPr>
        <w:t>表3</w:t>
      </w:r>
      <w:r>
        <w:rPr>
          <w:rFonts w:ascii="SimHei" w:hAnsi="SimHei" w:eastAsia="SimHei" w:cs="SimHei"/>
          <w:color w:val="231F20"/>
          <w:spacing w:val="5"/>
        </w:rPr>
        <w:t xml:space="preserve">  </w:t>
      </w:r>
      <w:r>
        <w:rPr>
          <w:color w:val="231F20"/>
        </w:rPr>
        <w:t>TKI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5"/>
        </w:rPr>
        <w:t>治疗复发、晚期、转移和持续性子宫颈癌相关临床研究总结</w:t>
      </w:r>
    </w:p>
    <w:p>
      <w:pPr>
        <w:spacing w:line="55" w:lineRule="exact"/>
        <w:rPr/>
      </w:pPr>
      <w:r/>
    </w:p>
    <w:tbl>
      <w:tblPr>
        <w:tblStyle w:val="TableNormal"/>
        <w:tblW w:w="9133" w:type="dxa"/>
        <w:tblInd w:w="97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75"/>
        <w:gridCol w:w="1221"/>
        <w:gridCol w:w="815"/>
        <w:gridCol w:w="1745"/>
        <w:gridCol w:w="1701"/>
        <w:gridCol w:w="2776"/>
      </w:tblGrid>
      <w:tr>
        <w:trPr>
          <w:trHeight w:val="276" w:hRule="atLeast"/>
        </w:trPr>
        <w:tc>
          <w:tcPr>
            <w:tcW w:w="87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19"/>
              <w:spacing w:before="83" w:line="165" w:lineRule="auto"/>
              <w:rPr/>
            </w:pPr>
            <w:r>
              <w:rPr>
                <w:color w:val="231F20"/>
                <w:spacing w:val="6"/>
              </w:rPr>
              <w:t>TKI</w:t>
            </w:r>
          </w:p>
        </w:tc>
        <w:tc>
          <w:tcPr>
            <w:tcW w:w="122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318"/>
              <w:spacing w:before="55" w:line="190" w:lineRule="auto"/>
              <w:rPr/>
            </w:pPr>
            <w:r>
              <w:rPr>
                <w:color w:val="231F20"/>
                <w:spacing w:val="6"/>
              </w:rPr>
              <w:t>临床研究</w:t>
            </w:r>
          </w:p>
        </w:tc>
        <w:tc>
          <w:tcPr>
            <w:tcW w:w="81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98"/>
              <w:spacing w:before="53" w:line="198" w:lineRule="auto"/>
              <w:rPr/>
            </w:pPr>
            <w:r>
              <w:rPr>
                <w:color w:val="231F20"/>
                <w:spacing w:val="7"/>
              </w:rPr>
              <w:t>主要终点</w:t>
            </w:r>
          </w:p>
        </w:tc>
        <w:tc>
          <w:tcPr>
            <w:tcW w:w="174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546"/>
              <w:spacing w:before="57" w:line="187" w:lineRule="auto"/>
              <w:rPr/>
            </w:pPr>
            <w:r>
              <w:rPr>
                <w:color w:val="231F20"/>
                <w:spacing w:val="9"/>
              </w:rPr>
              <w:t>用药方法</w:t>
            </w:r>
          </w:p>
        </w:tc>
        <w:tc>
          <w:tcPr>
            <w:tcW w:w="170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15"/>
              <w:spacing w:before="57" w:line="185" w:lineRule="auto"/>
              <w:rPr/>
            </w:pPr>
            <w:r>
              <w:rPr>
                <w:color w:val="231F20"/>
                <w:spacing w:val="9"/>
              </w:rPr>
              <w:t>纳入子宫颈癌患者</w:t>
            </w:r>
          </w:p>
        </w:tc>
        <w:tc>
          <w:tcPr>
            <w:tcW w:w="277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31"/>
              <w:spacing w:before="57" w:line="187" w:lineRule="auto"/>
              <w:rPr/>
            </w:pPr>
            <w:r>
              <w:rPr>
                <w:color w:val="231F20"/>
                <w:spacing w:val="8"/>
              </w:rPr>
              <w:t>结果</w:t>
            </w:r>
          </w:p>
        </w:tc>
      </w:tr>
      <w:tr>
        <w:trPr>
          <w:trHeight w:val="1702" w:hRule="atLeast"/>
        </w:trPr>
        <w:tc>
          <w:tcPr>
            <w:tcW w:w="87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5"/>
              <w:spacing w:before="110" w:line="189" w:lineRule="auto"/>
              <w:rPr/>
            </w:pPr>
            <w:r>
              <w:rPr>
                <w:color w:val="231F20"/>
                <w:spacing w:val="9"/>
              </w:rPr>
              <w:t>拉帕替尼</w:t>
            </w:r>
          </w:p>
          <w:p>
            <w:pPr>
              <w:pStyle w:val="TableText"/>
              <w:ind w:left="134"/>
              <w:spacing w:before="78" w:line="187" w:lineRule="auto"/>
              <w:rPr/>
            </w:pPr>
            <w:r>
              <w:rPr>
                <w:color w:val="231F20"/>
                <w:spacing w:val="6"/>
              </w:rPr>
              <w:t>帕唑帕尼</w:t>
            </w:r>
          </w:p>
        </w:tc>
        <w:tc>
          <w:tcPr>
            <w:tcW w:w="122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19" w:right="182" w:hanging="194"/>
              <w:spacing w:before="107" w:line="244" w:lineRule="auto"/>
              <w:rPr/>
            </w:pPr>
            <w:r>
              <w:rPr>
                <w:color w:val="231F20"/>
                <w:spacing w:val="-7"/>
              </w:rPr>
              <w:t>VEG105281；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Ⅱ期随机</w:t>
            </w:r>
          </w:p>
        </w:tc>
        <w:tc>
          <w:tcPr>
            <w:tcW w:w="81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84"/>
              <w:spacing w:before="134" w:line="167" w:lineRule="auto"/>
              <w:rPr/>
            </w:pPr>
            <w:r>
              <w:rPr>
                <w:color w:val="231F20"/>
                <w:spacing w:val="-2"/>
              </w:rPr>
              <w:t>PFS</w:t>
            </w:r>
          </w:p>
        </w:tc>
        <w:tc>
          <w:tcPr>
            <w:tcW w:w="174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57" w:right="113" w:hanging="146"/>
              <w:spacing w:before="106" w:line="245" w:lineRule="auto"/>
              <w:rPr/>
            </w:pPr>
            <w:r>
              <w:rPr>
                <w:color w:val="231F20"/>
                <w:spacing w:val="-8"/>
              </w:rPr>
              <w:t>1∶1∶1 随机分组；帕唑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2"/>
              </w:rPr>
              <w:t>帕尼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  <w:spacing w:val="-12"/>
              </w:rPr>
              <w:t>800mg qd；拉帕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4"/>
              </w:rPr>
              <w:t>替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14"/>
              </w:rPr>
              <w:t>尼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14"/>
              </w:rPr>
              <w:t>1500mg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14"/>
              </w:rPr>
              <w:t>qd；帕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唑帕尼+拉帕替尼</w:t>
            </w:r>
          </w:p>
        </w:tc>
        <w:tc>
          <w:tcPr>
            <w:tcW w:w="170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17"/>
              <w:spacing w:before="106" w:line="212" w:lineRule="auto"/>
              <w:rPr/>
            </w:pPr>
            <w:r>
              <w:rPr>
                <w:color w:val="231F20"/>
                <w:spacing w:val="-7"/>
              </w:rPr>
              <w:t>228 例（74 例∶78 例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7"/>
              </w:rPr>
              <w:t>∶</w:t>
            </w:r>
          </w:p>
          <w:p>
            <w:pPr>
              <w:pStyle w:val="TableText"/>
              <w:ind w:left="279" w:right="114" w:hanging="3"/>
              <w:spacing w:before="37" w:line="237" w:lineRule="auto"/>
              <w:rPr/>
            </w:pPr>
            <w:r>
              <w:rPr>
                <w:color w:val="231F20"/>
                <w:spacing w:val="-1"/>
              </w:rPr>
              <w:t>76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1"/>
              </w:rPr>
              <w:t>例</w:t>
            </w:r>
            <w:r>
              <w:rPr>
                <w:color w:val="231F20"/>
                <w:spacing w:val="-24"/>
                <w:w w:val="66"/>
              </w:rPr>
              <w:t>）；</w:t>
            </w:r>
            <w:r>
              <w:rPr>
                <w:color w:val="231F20"/>
                <w:spacing w:val="-1"/>
              </w:rPr>
              <w:t>复发、FIGO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ⅣB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3"/>
              </w:rPr>
              <w:t>期、持续、转移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患者；≥1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8"/>
              </w:rPr>
              <w:t>线治疗</w:t>
            </w:r>
          </w:p>
        </w:tc>
        <w:tc>
          <w:tcPr>
            <w:tcW w:w="277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74" w:right="62" w:hanging="159"/>
              <w:spacing w:before="109" w:line="246" w:lineRule="auto"/>
              <w:rPr/>
            </w:pPr>
            <w:r>
              <w:rPr>
                <w:color w:val="231F20"/>
                <w:spacing w:val="9"/>
              </w:rPr>
              <w:t>联合组提前终止；帕唑帕尼较拉帕替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1"/>
              </w:rPr>
              <w:t>尼改善预后；mPFS：帕唑帕尼 18.1</w:t>
            </w:r>
            <w:r>
              <w:rPr>
                <w:color w:val="231F20"/>
                <w:spacing w:val="7"/>
              </w:rPr>
              <w:t xml:space="preserve">  </w:t>
            </w:r>
            <w:r>
              <w:rPr>
                <w:color w:val="231F20"/>
                <w:spacing w:val="-9"/>
              </w:rPr>
              <w:t>周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9"/>
              </w:rPr>
              <w:t>，拉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9"/>
              </w:rPr>
              <w:t>帕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9"/>
              </w:rPr>
              <w:t>替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9"/>
              </w:rPr>
              <w:t>尼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9"/>
              </w:rPr>
              <w:t>17.1 周（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i/>
                <w:iCs/>
                <w:color w:val="231F20"/>
                <w:spacing w:val="-9"/>
              </w:rPr>
              <w:t>P</w:t>
            </w:r>
            <w:r>
              <w:rPr>
                <w:color w:val="231F20"/>
                <w:spacing w:val="-9"/>
              </w:rPr>
              <w:t>＜0.013</w:t>
            </w:r>
            <w:r>
              <w:rPr>
                <w:color w:val="231F20"/>
                <w:spacing w:val="-34"/>
              </w:rPr>
              <w:t>）；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mOS：帕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-9"/>
              </w:rPr>
              <w:t>唑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9"/>
              </w:rPr>
              <w:t>帕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9"/>
              </w:rPr>
              <w:t>尼 50.7 周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9"/>
              </w:rPr>
              <w:t>，拉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9"/>
              </w:rPr>
              <w:t>帕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9"/>
              </w:rPr>
              <w:t>替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9"/>
              </w:rPr>
              <w:t>尼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1"/>
              </w:rPr>
              <w:t>39.1 周（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i/>
                <w:iCs/>
                <w:color w:val="231F20"/>
                <w:spacing w:val="-11"/>
              </w:rPr>
              <w:t>P</w:t>
            </w:r>
            <w:r>
              <w:rPr>
                <w:color w:val="231F20"/>
                <w:spacing w:val="-11"/>
              </w:rPr>
              <w:t>=0.045</w:t>
            </w:r>
            <w:r>
              <w:rPr>
                <w:color w:val="231F20"/>
                <w:spacing w:val="-33"/>
                <w:w w:val="93"/>
              </w:rPr>
              <w:t>）；</w:t>
            </w:r>
            <w:r>
              <w:rPr>
                <w:color w:val="231F20"/>
                <w:spacing w:val="-11"/>
              </w:rPr>
              <w:t>ORR：帕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11"/>
              </w:rPr>
              <w:t>唑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11"/>
              </w:rPr>
              <w:t>帕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11"/>
              </w:rPr>
              <w:t>尼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7"/>
              </w:rPr>
              <w:t>9%，拉帕替尼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7"/>
              </w:rPr>
              <w:t>5%</w:t>
            </w:r>
          </w:p>
        </w:tc>
      </w:tr>
      <w:tr>
        <w:trPr>
          <w:trHeight w:val="922" w:hRule="atLeast"/>
        </w:trPr>
        <w:tc>
          <w:tcPr>
            <w:tcW w:w="875" w:type="dxa"/>
            <w:vAlign w:val="top"/>
          </w:tcPr>
          <w:p>
            <w:pPr>
              <w:pStyle w:val="TableText"/>
              <w:ind w:left="135"/>
              <w:spacing w:before="121" w:line="188" w:lineRule="auto"/>
              <w:rPr/>
            </w:pPr>
            <w:r>
              <w:rPr>
                <w:color w:val="231F20"/>
                <w:spacing w:val="6"/>
              </w:rPr>
              <w:t>阿帕替尼</w:t>
            </w:r>
          </w:p>
        </w:tc>
        <w:tc>
          <w:tcPr>
            <w:tcW w:w="1221" w:type="dxa"/>
            <w:vAlign w:val="top"/>
          </w:tcPr>
          <w:p>
            <w:pPr>
              <w:pStyle w:val="TableText"/>
              <w:ind w:left="284" w:right="90" w:hanging="155"/>
              <w:spacing w:before="115" w:line="245" w:lineRule="auto"/>
              <w:rPr/>
            </w:pPr>
            <w:r>
              <w:rPr>
                <w:color w:val="231F20"/>
                <w:spacing w:val="-6"/>
              </w:rPr>
              <w:t>ChiCTR200003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2"/>
              </w:rPr>
              <w:t>1932 ；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2"/>
              </w:rPr>
              <w:t>Ⅱ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12"/>
              </w:rPr>
              <w:t>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单臂</w:t>
            </w:r>
          </w:p>
        </w:tc>
        <w:tc>
          <w:tcPr>
            <w:tcW w:w="815" w:type="dxa"/>
            <w:vAlign w:val="top"/>
          </w:tcPr>
          <w:p>
            <w:pPr>
              <w:pStyle w:val="TableText"/>
              <w:ind w:left="257"/>
              <w:spacing w:before="144" w:line="167" w:lineRule="auto"/>
              <w:rPr/>
            </w:pPr>
            <w:r>
              <w:rPr>
                <w:color w:val="231F20"/>
                <w:spacing w:val="-2"/>
              </w:rPr>
              <w:t>ORR</w:t>
            </w:r>
          </w:p>
        </w:tc>
        <w:tc>
          <w:tcPr>
            <w:tcW w:w="1745" w:type="dxa"/>
            <w:vAlign w:val="top"/>
          </w:tcPr>
          <w:p>
            <w:pPr>
              <w:pStyle w:val="TableText"/>
              <w:ind w:left="256" w:right="113" w:hanging="149"/>
              <w:spacing w:before="117" w:line="247" w:lineRule="auto"/>
              <w:rPr/>
            </w:pPr>
            <w:r>
              <w:rPr>
                <w:color w:val="231F20"/>
                <w:spacing w:val="-8"/>
              </w:rPr>
              <w:t>阿帕替尼 250mg qd+卡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瑞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4"/>
              </w:rPr>
              <w:t>利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4"/>
              </w:rPr>
              <w:t>珠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4"/>
              </w:rPr>
              <w:t>单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4"/>
              </w:rPr>
              <w:t>抗 200mg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q2w</w:t>
            </w:r>
          </w:p>
        </w:tc>
        <w:tc>
          <w:tcPr>
            <w:tcW w:w="1701" w:type="dxa"/>
            <w:vAlign w:val="top"/>
          </w:tcPr>
          <w:p>
            <w:pPr>
              <w:pStyle w:val="TableText"/>
              <w:ind w:left="275" w:right="114" w:hanging="161"/>
              <w:spacing w:before="116" w:line="255" w:lineRule="auto"/>
              <w:rPr/>
            </w:pPr>
            <w:r>
              <w:rPr>
                <w:color w:val="231F20"/>
                <w:spacing w:val="-9"/>
              </w:rPr>
              <w:t>45 例；复发、持续、转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移患者；≥1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6"/>
              </w:rPr>
              <w:t>线治疗</w:t>
            </w:r>
          </w:p>
        </w:tc>
        <w:tc>
          <w:tcPr>
            <w:tcW w:w="2776" w:type="dxa"/>
            <w:vAlign w:val="top"/>
          </w:tcPr>
          <w:p>
            <w:pPr>
              <w:pStyle w:val="TableText"/>
              <w:ind w:left="119"/>
              <w:spacing w:before="117" w:line="216" w:lineRule="auto"/>
              <w:rPr/>
            </w:pPr>
            <w:r>
              <w:rPr>
                <w:color w:val="231F20"/>
                <w:spacing w:val="-14"/>
              </w:rPr>
              <w:t>ORR：55.6%；mPFS：8.8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14"/>
              </w:rPr>
              <w:t>个月</w:t>
            </w:r>
          </w:p>
        </w:tc>
      </w:tr>
      <w:tr>
        <w:trPr>
          <w:trHeight w:val="1171" w:hRule="atLeast"/>
        </w:trPr>
        <w:tc>
          <w:tcPr>
            <w:tcW w:w="875" w:type="dxa"/>
            <w:vAlign w:val="top"/>
          </w:tcPr>
          <w:p>
            <w:pPr>
              <w:pStyle w:val="TableText"/>
              <w:ind w:left="125"/>
              <w:spacing w:before="115" w:line="186" w:lineRule="auto"/>
              <w:rPr/>
            </w:pPr>
            <w:r>
              <w:rPr>
                <w:color w:val="231F20"/>
                <w:spacing w:val="9"/>
              </w:rPr>
              <w:t>安罗替尼</w:t>
            </w:r>
          </w:p>
        </w:tc>
        <w:tc>
          <w:tcPr>
            <w:tcW w:w="1221" w:type="dxa"/>
            <w:vAlign w:val="top"/>
          </w:tcPr>
          <w:p>
            <w:pPr>
              <w:pStyle w:val="TableText"/>
              <w:ind w:left="284" w:right="90" w:hanging="155"/>
              <w:spacing w:before="110" w:line="245" w:lineRule="auto"/>
              <w:rPr/>
            </w:pPr>
            <w:r>
              <w:rPr>
                <w:color w:val="231F20"/>
                <w:spacing w:val="-7"/>
              </w:rPr>
              <w:t>ChiCTR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7"/>
              </w:rPr>
              <w:t>190002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3015 ；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2"/>
              </w:rPr>
              <w:t>Ⅱ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12"/>
              </w:rPr>
              <w:t>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单臂</w:t>
            </w:r>
          </w:p>
        </w:tc>
        <w:tc>
          <w:tcPr>
            <w:tcW w:w="815" w:type="dxa"/>
            <w:vAlign w:val="top"/>
          </w:tcPr>
          <w:p>
            <w:pPr>
              <w:pStyle w:val="TableText"/>
              <w:ind w:left="257"/>
              <w:spacing w:before="139" w:line="167" w:lineRule="auto"/>
              <w:rPr/>
            </w:pPr>
            <w:r>
              <w:rPr>
                <w:color w:val="231F20"/>
                <w:spacing w:val="-2"/>
              </w:rPr>
              <w:t>ORR</w:t>
            </w:r>
          </w:p>
        </w:tc>
        <w:tc>
          <w:tcPr>
            <w:tcW w:w="1745" w:type="dxa"/>
            <w:vAlign w:val="top"/>
          </w:tcPr>
          <w:p>
            <w:pPr>
              <w:pStyle w:val="TableText"/>
              <w:ind w:left="255" w:right="113" w:hanging="158"/>
              <w:spacing w:before="112" w:line="247" w:lineRule="auto"/>
              <w:rPr/>
            </w:pPr>
            <w:r>
              <w:rPr>
                <w:color w:val="231F20"/>
                <w:spacing w:val="-13"/>
              </w:rPr>
              <w:t>安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3"/>
              </w:rPr>
              <w:t>罗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13"/>
              </w:rPr>
              <w:t>替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13"/>
              </w:rPr>
              <w:t>尼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3"/>
              </w:rPr>
              <w:t>10mg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13"/>
              </w:rPr>
              <w:t>qd，第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1~14 天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4"/>
              </w:rPr>
              <w:t>+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4"/>
              </w:rPr>
              <w:t>信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4"/>
              </w:rPr>
              <w:t>迪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4"/>
              </w:rPr>
              <w:t>利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4"/>
              </w:rPr>
              <w:t>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抗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11"/>
              </w:rPr>
              <w:t>200mg q3w</w:t>
            </w:r>
          </w:p>
        </w:tc>
        <w:tc>
          <w:tcPr>
            <w:tcW w:w="1701" w:type="dxa"/>
            <w:vAlign w:val="top"/>
          </w:tcPr>
          <w:p>
            <w:pPr>
              <w:pStyle w:val="TableText"/>
              <w:ind w:left="214" w:right="114" w:hanging="100"/>
              <w:spacing w:before="110" w:line="245" w:lineRule="auto"/>
              <w:jc w:val="right"/>
              <w:rPr/>
            </w:pPr>
            <w:r>
              <w:rPr>
                <w:color w:val="231F20"/>
                <w:spacing w:val="-2"/>
              </w:rPr>
              <w:t>42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2"/>
              </w:rPr>
              <w:t>例；≥1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2"/>
              </w:rPr>
              <w:t>线治疗后进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4"/>
              </w:rPr>
              <w:t>展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14"/>
              </w:rPr>
              <w:t>或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14"/>
              </w:rPr>
              <w:t>无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14"/>
              </w:rPr>
              <w:t>法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14"/>
              </w:rPr>
              <w:t>耐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14"/>
              </w:rPr>
              <w:t>受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14"/>
              </w:rPr>
              <w:t>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疗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8"/>
              </w:rPr>
              <w:t>；</w:t>
            </w:r>
            <w:r>
              <w:rPr>
                <w:color w:val="231F20"/>
              </w:rPr>
              <w:t>PD</w:t>
            </w:r>
            <w:r>
              <w:rPr>
                <w:color w:val="231F20"/>
                <w:spacing w:val="8"/>
              </w:rPr>
              <w:t>-L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8"/>
              </w:rPr>
              <w:t>1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color w:val="231F20"/>
                <w:spacing w:val="8"/>
              </w:rPr>
              <w:t>阳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8"/>
              </w:rPr>
              <w:t>性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（CPS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7"/>
              </w:rPr>
              <w:t>评分≥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7"/>
              </w:rPr>
              <w:t>1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7"/>
              </w:rPr>
              <w:t>分）</w:t>
            </w:r>
          </w:p>
        </w:tc>
        <w:tc>
          <w:tcPr>
            <w:tcW w:w="2776" w:type="dxa"/>
            <w:vAlign w:val="top"/>
          </w:tcPr>
          <w:p>
            <w:pPr>
              <w:pStyle w:val="TableText"/>
              <w:ind w:left="119"/>
              <w:spacing w:before="111" w:line="216" w:lineRule="auto"/>
              <w:rPr/>
            </w:pPr>
            <w:r>
              <w:rPr>
                <w:color w:val="231F20"/>
                <w:spacing w:val="-14"/>
              </w:rPr>
              <w:t>ORR：54.8%；mPFS：9.4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14"/>
              </w:rPr>
              <w:t>个月</w:t>
            </w:r>
          </w:p>
        </w:tc>
      </w:tr>
      <w:tr>
        <w:trPr>
          <w:trHeight w:val="923" w:hRule="atLeast"/>
        </w:trPr>
        <w:tc>
          <w:tcPr>
            <w:tcW w:w="875" w:type="dxa"/>
            <w:vAlign w:val="top"/>
          </w:tcPr>
          <w:p>
            <w:pPr>
              <w:pStyle w:val="TableText"/>
              <w:ind w:left="125"/>
              <w:spacing w:before="126" w:line="188" w:lineRule="auto"/>
              <w:rPr/>
            </w:pPr>
            <w:r>
              <w:rPr>
                <w:color w:val="231F20"/>
                <w:spacing w:val="9"/>
              </w:rPr>
              <w:t>法米替尼</w:t>
            </w:r>
          </w:p>
        </w:tc>
        <w:tc>
          <w:tcPr>
            <w:tcW w:w="1221" w:type="dxa"/>
            <w:vAlign w:val="top"/>
          </w:tcPr>
          <w:p>
            <w:pPr>
              <w:pStyle w:val="TableText"/>
              <w:ind w:right="21"/>
              <w:spacing w:before="122" w:line="216" w:lineRule="auto"/>
              <w:jc w:val="right"/>
              <w:rPr/>
            </w:pPr>
            <w:r>
              <w:rPr>
                <w:color w:val="231F20"/>
                <w:spacing w:val="-8"/>
              </w:rPr>
              <w:t>NCT03827837；</w:t>
            </w:r>
          </w:p>
          <w:p>
            <w:pPr>
              <w:pStyle w:val="TableText"/>
              <w:ind w:left="320"/>
              <w:spacing w:before="35" w:line="189" w:lineRule="auto"/>
              <w:rPr/>
            </w:pPr>
            <w:r>
              <w:rPr>
                <w:color w:val="231F20"/>
              </w:rPr>
              <w:t>Ⅱ期单臂</w:t>
            </w:r>
          </w:p>
        </w:tc>
        <w:tc>
          <w:tcPr>
            <w:tcW w:w="8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45" w:type="dxa"/>
            <w:vAlign w:val="top"/>
          </w:tcPr>
          <w:p>
            <w:pPr>
              <w:pStyle w:val="TableText"/>
              <w:ind w:left="255" w:right="113" w:hanging="158"/>
              <w:spacing w:before="121" w:line="246" w:lineRule="auto"/>
              <w:rPr/>
            </w:pPr>
            <w:r>
              <w:rPr>
                <w:color w:val="231F20"/>
                <w:spacing w:val="-5"/>
              </w:rPr>
              <w:t>法米替尼 20mg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qd+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5"/>
              </w:rPr>
              <w:t>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瑞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4"/>
              </w:rPr>
              <w:t>利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4"/>
              </w:rPr>
              <w:t>珠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4"/>
              </w:rPr>
              <w:t>单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4"/>
              </w:rPr>
              <w:t>抗 200mg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q3w</w:t>
            </w:r>
          </w:p>
        </w:tc>
        <w:tc>
          <w:tcPr>
            <w:tcW w:w="1701" w:type="dxa"/>
            <w:vAlign w:val="top"/>
          </w:tcPr>
          <w:p>
            <w:pPr>
              <w:pStyle w:val="TableText"/>
              <w:ind w:left="275" w:right="114" w:hanging="156"/>
              <w:spacing w:before="122" w:line="244" w:lineRule="auto"/>
              <w:rPr/>
            </w:pPr>
            <w:r>
              <w:rPr>
                <w:color w:val="231F20"/>
                <w:spacing w:val="-8"/>
              </w:rPr>
              <w:t>33 例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8"/>
              </w:rPr>
              <w:t>；复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8"/>
              </w:rPr>
              <w:t>发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8"/>
              </w:rPr>
              <w:t>、转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8"/>
              </w:rPr>
              <w:t>移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8"/>
              </w:rPr>
              <w:t>鳞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癌；1~2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6"/>
              </w:rPr>
              <w:t>线治疗后进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展或无法耐受化疗</w:t>
            </w:r>
          </w:p>
        </w:tc>
        <w:tc>
          <w:tcPr>
            <w:tcW w:w="2776" w:type="dxa"/>
            <w:vAlign w:val="top"/>
          </w:tcPr>
          <w:p>
            <w:pPr>
              <w:pStyle w:val="TableText"/>
              <w:ind w:left="119"/>
              <w:spacing w:before="122" w:line="216" w:lineRule="auto"/>
              <w:rPr/>
            </w:pPr>
            <w:r>
              <w:rPr>
                <w:color w:val="231F20"/>
                <w:spacing w:val="-13"/>
              </w:rPr>
              <w:t>ORR：39.4%；mPFS：10.3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13"/>
              </w:rPr>
              <w:t>个月</w:t>
            </w:r>
          </w:p>
        </w:tc>
      </w:tr>
      <w:tr>
        <w:trPr>
          <w:trHeight w:val="1795" w:hRule="atLeast"/>
        </w:trPr>
        <w:tc>
          <w:tcPr>
            <w:tcW w:w="87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5"/>
              <w:spacing w:before="120" w:line="188" w:lineRule="auto"/>
              <w:rPr/>
            </w:pPr>
            <w:r>
              <w:rPr>
                <w:color w:val="231F20"/>
                <w:spacing w:val="9"/>
              </w:rPr>
              <w:t>法米替尼</w:t>
            </w:r>
          </w:p>
        </w:tc>
        <w:tc>
          <w:tcPr>
            <w:tcW w:w="122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84" w:right="41" w:hanging="156"/>
              <w:spacing w:before="117" w:line="251" w:lineRule="auto"/>
              <w:rPr/>
            </w:pPr>
            <w:r>
              <w:rPr>
                <w:color w:val="231F20"/>
                <w:spacing w:val="-10"/>
              </w:rPr>
              <w:t>NCT04680988；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1"/>
              </w:rPr>
              <w:t>随机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11"/>
              </w:rPr>
              <w:t>、开放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7"/>
              </w:rPr>
              <w:t>标签、Ⅱ期</w:t>
            </w:r>
          </w:p>
        </w:tc>
        <w:tc>
          <w:tcPr>
            <w:tcW w:w="81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57"/>
              <w:spacing w:before="143" w:line="167" w:lineRule="auto"/>
              <w:rPr/>
            </w:pPr>
            <w:r>
              <w:rPr>
                <w:color w:val="231F20"/>
                <w:spacing w:val="-2"/>
              </w:rPr>
              <w:t>ORR</w:t>
            </w:r>
          </w:p>
        </w:tc>
        <w:tc>
          <w:tcPr>
            <w:tcW w:w="174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55" w:right="113" w:hanging="155"/>
              <w:spacing w:before="117" w:line="245" w:lineRule="auto"/>
              <w:rPr/>
            </w:pPr>
            <w:r>
              <w:rPr>
                <w:color w:val="231F20"/>
                <w:spacing w:val="2"/>
              </w:rPr>
              <w:t>卡瑞利珠单抗 200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</w:rPr>
              <w:t>mg </w:t>
            </w:r>
            <w:r>
              <w:rPr>
                <w:color w:val="231F20"/>
                <w:spacing w:val="-6"/>
              </w:rPr>
              <w:t>q3w+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-6"/>
              </w:rPr>
              <w:t>法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-6"/>
              </w:rPr>
              <w:t>米</w:t>
            </w:r>
            <w:r>
              <w:rPr>
                <w:color w:val="231F20"/>
                <w:spacing w:val="7"/>
              </w:rPr>
              <w:t xml:space="preserve">  </w:t>
            </w:r>
            <w:r>
              <w:rPr>
                <w:color w:val="231F20"/>
                <w:spacing w:val="-6"/>
              </w:rPr>
              <w:t>替</w:t>
            </w:r>
            <w:r>
              <w:rPr>
                <w:color w:val="231F20"/>
                <w:spacing w:val="7"/>
              </w:rPr>
              <w:t xml:space="preserve">  </w:t>
            </w:r>
            <w:r>
              <w:rPr>
                <w:color w:val="231F20"/>
                <w:spacing w:val="-6"/>
              </w:rPr>
              <w:t>尼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20mg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qd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9"/>
              </w:rPr>
              <w:t>vs.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9"/>
              </w:rPr>
              <w:t>卡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9"/>
              </w:rPr>
              <w:t>瑞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9"/>
              </w:rPr>
              <w:t>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珠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4"/>
              </w:rPr>
              <w:t>单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4"/>
              </w:rPr>
              <w:t>抗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4"/>
              </w:rPr>
              <w:t>单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4"/>
              </w:rPr>
              <w:t>药 200mg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q3w 和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"/>
              </w:rPr>
              <w:t>研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"/>
              </w:rPr>
              <w:t>究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1"/>
              </w:rPr>
              <w:t>者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"/>
              </w:rPr>
              <w:t>选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"/>
              </w:rPr>
              <w:t>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化疗</w:t>
            </w:r>
          </w:p>
        </w:tc>
        <w:tc>
          <w:tcPr>
            <w:tcW w:w="170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75" w:right="114" w:hanging="145"/>
              <w:spacing w:before="116" w:line="249" w:lineRule="auto"/>
              <w:rPr/>
            </w:pPr>
            <w:r>
              <w:rPr>
                <w:color w:val="231F20"/>
                <w:spacing w:val="-4"/>
              </w:rPr>
              <w:t>194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4"/>
              </w:rPr>
              <w:t>例；既往含铂化疗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3"/>
              </w:rPr>
              <w:t>失败的复发或转移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11"/>
              </w:rPr>
              <w:t>性子宫颈癌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11"/>
              </w:rPr>
              <w:t>；排除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5"/>
              </w:rPr>
              <w:t>既往接受过抗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</w:rPr>
              <w:t>PD</w:t>
            </w:r>
            <w:r>
              <w:rPr>
                <w:color w:val="231F20"/>
                <w:spacing w:val="15"/>
              </w:rPr>
              <w:t>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1/PD-L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3"/>
              </w:rPr>
              <w:t>1/CTLA-4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9"/>
              </w:rPr>
              <w:t>治疗的患者</w:t>
            </w:r>
          </w:p>
        </w:tc>
        <w:tc>
          <w:tcPr>
            <w:tcW w:w="277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73" w:right="62" w:hanging="154"/>
              <w:spacing w:before="118" w:line="250" w:lineRule="auto"/>
              <w:rPr/>
            </w:pPr>
            <w:r>
              <w:rPr>
                <w:color w:val="231F20"/>
              </w:rPr>
              <w:t>ORR</w:t>
            </w:r>
            <w:r>
              <w:rPr>
                <w:color w:val="231F20"/>
                <w:spacing w:val="1"/>
              </w:rPr>
              <w:t>：卡 瑞 利 珠 单 抗 + 法 米 </w:t>
            </w:r>
            <w:r>
              <w:rPr>
                <w:color w:val="231F20"/>
              </w:rPr>
              <w:t>替 尼  </w:t>
            </w:r>
            <w:r>
              <w:rPr>
                <w:color w:val="231F20"/>
                <w:spacing w:val="1"/>
              </w:rPr>
              <w:t>41.0%，卡瑞利珠单抗单药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1"/>
              </w:rPr>
              <w:t>24.1%；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mPFS：卡瑞利珠单抗+法米替尼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1"/>
              </w:rPr>
              <w:t>8.1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4"/>
              </w:rPr>
              <w:t>个月，卡瑞利珠单抗单药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4"/>
              </w:rPr>
              <w:t>4.1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4"/>
              </w:rPr>
              <w:t>个月，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化疗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2"/>
              </w:rPr>
              <w:t>2.9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2"/>
              </w:rPr>
              <w:t>个月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33" w:lineRule="exact"/>
        <w:rPr/>
      </w:pPr>
      <w:r/>
    </w:p>
    <w:p>
      <w:pPr>
        <w:spacing w:line="33" w:lineRule="exact"/>
        <w:sectPr>
          <w:type w:val="continuous"/>
          <w:pgSz w:w="11906" w:h="16838"/>
          <w:pgMar w:top="1561" w:right="1155" w:bottom="0" w:left="407" w:header="1315" w:footer="0" w:gutter="0"/>
          <w:cols w:equalWidth="0" w:num="1">
            <w:col w:w="10342" w:space="0"/>
          </w:cols>
        </w:sectPr>
        <w:rPr/>
      </w:pPr>
    </w:p>
    <w:p>
      <w:pPr>
        <w:pStyle w:val="BodyText"/>
        <w:ind w:left="814" w:right="262" w:firstLine="430"/>
        <w:spacing w:before="41" w:line="270" w:lineRule="auto"/>
        <w:jc w:val="both"/>
        <w:rPr/>
      </w:pPr>
      <w:r>
        <w:rPr>
          <w:rFonts w:ascii="SimHei" w:hAnsi="SimHei" w:eastAsia="SimHei" w:cs="SimHei"/>
          <w:color w:val="231F20"/>
          <w:spacing w:val="6"/>
        </w:rPr>
        <w:t>推荐意见</w:t>
      </w:r>
      <w:r>
        <w:rPr>
          <w:rFonts w:ascii="SimHei" w:hAnsi="SimHei" w:eastAsia="SimHei" w:cs="SimHei"/>
          <w:color w:val="231F20"/>
          <w:spacing w:val="-41"/>
        </w:rPr>
        <w:t xml:space="preserve"> </w:t>
      </w:r>
      <w:r>
        <w:rPr>
          <w:rFonts w:ascii="SimHei" w:hAnsi="SimHei" w:eastAsia="SimHei" w:cs="SimHei"/>
          <w:color w:val="231F20"/>
          <w:spacing w:val="6"/>
        </w:rPr>
        <w:t>1：</w:t>
      </w:r>
      <w:r>
        <w:rPr>
          <w:color w:val="231F20"/>
          <w:spacing w:val="6"/>
        </w:rPr>
        <w:t>对于复发性子宫颈癌，</w:t>
      </w:r>
      <w:r>
        <w:rPr>
          <w:color w:val="231F20"/>
        </w:rPr>
        <w:t>TKI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6"/>
        </w:rPr>
        <w:t>联合免疫治疗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具有一定的抗肿瘤作用，可作为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TKIs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1"/>
        </w:rPr>
        <w:t>二线应用的</w:t>
      </w:r>
      <w:r>
        <w:rPr>
          <w:color w:val="231F20"/>
          <w:spacing w:val="10"/>
        </w:rPr>
        <w:t>首选方式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（2A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2"/>
        </w:rPr>
        <w:t>级推荐）。</w:t>
      </w:r>
    </w:p>
    <w:p>
      <w:pPr>
        <w:pStyle w:val="BodyText"/>
        <w:ind w:left="814" w:right="262" w:firstLine="430"/>
        <w:spacing w:before="2" w:line="269" w:lineRule="auto"/>
        <w:rPr/>
      </w:pPr>
      <w:r>
        <w:rPr>
          <w:rFonts w:ascii="SimHei" w:hAnsi="SimHei" w:eastAsia="SimHei" w:cs="SimHei"/>
          <w:color w:val="231F20"/>
          <w:spacing w:val="8"/>
        </w:rPr>
        <w:t>推荐意见</w:t>
      </w:r>
      <w:r>
        <w:rPr>
          <w:rFonts w:ascii="SimHei" w:hAnsi="SimHei" w:eastAsia="SimHei" w:cs="SimHei"/>
          <w:color w:val="231F20"/>
          <w:spacing w:val="-48"/>
        </w:rPr>
        <w:t xml:space="preserve"> </w:t>
      </w:r>
      <w:r>
        <w:rPr>
          <w:rFonts w:ascii="SimHei" w:hAnsi="SimHei" w:eastAsia="SimHei" w:cs="SimHei"/>
          <w:color w:val="231F20"/>
          <w:spacing w:val="8"/>
        </w:rPr>
        <w:t>2：</w:t>
      </w:r>
      <w:r>
        <w:rPr>
          <w:color w:val="231F20"/>
          <w:spacing w:val="8"/>
        </w:rPr>
        <w:t>单药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TKIs</w:t>
      </w:r>
      <w:r>
        <w:rPr>
          <w:color w:val="231F20"/>
          <w:spacing w:val="8"/>
        </w:rPr>
        <w:t xml:space="preserve"> 的疗效有限，不建议常规使用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（2A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2"/>
        </w:rPr>
        <w:t>级推荐）。</w:t>
      </w:r>
    </w:p>
    <w:p>
      <w:pPr>
        <w:pStyle w:val="BodyText"/>
        <w:ind w:left="885" w:right="262" w:firstLine="360"/>
        <w:spacing w:before="1" w:line="269" w:lineRule="auto"/>
        <w:rPr/>
      </w:pPr>
      <w:r>
        <w:rPr>
          <w:rFonts w:ascii="SimHei" w:hAnsi="SimHei" w:eastAsia="SimHei" w:cs="SimHei"/>
          <w:color w:val="231F20"/>
          <w:spacing w:val="9"/>
        </w:rPr>
        <w:t>推荐意见</w:t>
      </w:r>
      <w:r>
        <w:rPr>
          <w:rFonts w:ascii="SimHei" w:hAnsi="SimHei" w:eastAsia="SimHei" w:cs="SimHei"/>
          <w:color w:val="231F20"/>
          <w:spacing w:val="-36"/>
        </w:rPr>
        <w:t xml:space="preserve"> </w:t>
      </w:r>
      <w:r>
        <w:rPr>
          <w:rFonts w:ascii="SimHei" w:hAnsi="SimHei" w:eastAsia="SimHei" w:cs="SimHei"/>
          <w:color w:val="231F20"/>
          <w:spacing w:val="9"/>
        </w:rPr>
        <w:t>3：</w:t>
      </w:r>
      <w:r>
        <w:rPr>
          <w:color w:val="231F20"/>
          <w:spacing w:val="9"/>
        </w:rPr>
        <w:t>推荐子宫颈癌患者参与针对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TKIs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9"/>
        </w:rPr>
        <w:t>疗效的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确证性研究（1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0"/>
        </w:rPr>
        <w:t>级推荐）。</w:t>
      </w:r>
    </w:p>
    <w:p>
      <w:pPr>
        <w:pStyle w:val="BodyText"/>
        <w:ind w:left="882"/>
        <w:spacing w:line="170" w:lineRule="auto"/>
        <w:rPr/>
      </w:pPr>
      <w:r>
        <w:rPr>
          <w:color w:val="231F20"/>
          <w:spacing w:val="12"/>
        </w:rPr>
        <w:t>4.5   抗血管生成药物治疗特殊病理类型子宫颈癌的临床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22"/>
        <w:spacing w:before="42" w:line="257" w:lineRule="auto"/>
        <w:jc w:val="both"/>
        <w:rPr/>
      </w:pPr>
      <w:r>
        <w:rPr>
          <w:color w:val="231F20"/>
          <w:spacing w:val="-3"/>
        </w:rPr>
        <w:t>证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据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3"/>
        </w:rPr>
        <w:t>和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推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荐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3"/>
        </w:rPr>
        <w:t>意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见    NeCTuR 是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一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项 由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来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4"/>
        </w:rPr>
        <w:t>自 University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Texas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4"/>
        </w:rPr>
        <w:t>MD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Anderson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Cancer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Center 的研究者发</w:t>
      </w:r>
      <w:r>
        <w:rPr>
          <w:color w:val="231F20"/>
          <w:spacing w:val="-5"/>
        </w:rPr>
        <w:t>起的单中心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双向队列研究，旨在为复发性子宫颈神经内分泌癌患者提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0"/>
        </w:rPr>
        <w:t>供更好的治疗方案</w:t>
      </w:r>
      <w:r>
        <w:rPr>
          <w:sz w:val="9"/>
          <w:szCs w:val="9"/>
          <w:color w:val="231F20"/>
          <w:spacing w:val="10"/>
          <w:position w:val="6"/>
        </w:rPr>
        <w:t>［28-29</w:t>
      </w:r>
      <w:r>
        <w:rPr>
          <w:sz w:val="9"/>
          <w:szCs w:val="9"/>
          <w:color w:val="231F20"/>
          <w:spacing w:val="6"/>
          <w:position w:val="6"/>
        </w:rPr>
        <w:t>］</w:t>
      </w:r>
      <w:r>
        <w:rPr>
          <w:color w:val="231F20"/>
          <w:spacing w:val="-29"/>
          <w:w w:val="57"/>
        </w:rPr>
        <w:t>，</w:t>
      </w:r>
      <w:r>
        <w:rPr>
          <w:color w:val="231F20"/>
          <w:spacing w:val="10"/>
        </w:rPr>
        <w:t>该研究探索了使用拓扑替康+紫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杉醇+贝伐（珠）单抗三药联合方案（TPB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方案）治疗复发性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子宫颈神经内分泌癌的效果［拓扑替康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0.75mg/m</w:t>
      </w:r>
      <w:r>
        <w:rPr>
          <w:sz w:val="9"/>
          <w:szCs w:val="9"/>
          <w:color w:val="231F20"/>
          <w:spacing w:val="-2"/>
          <w:position w:val="7"/>
        </w:rPr>
        <w:t>2</w:t>
      </w:r>
      <w:r>
        <w:rPr>
          <w:color w:val="231F20"/>
          <w:spacing w:val="-2"/>
        </w:rPr>
        <w:t>、第 1~3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天；紫杉醇 175mg/m</w:t>
      </w:r>
      <w:r>
        <w:rPr>
          <w:sz w:val="9"/>
          <w:szCs w:val="9"/>
          <w:color w:val="231F20"/>
          <w:position w:val="7"/>
        </w:rPr>
        <w:t>2</w:t>
      </w:r>
      <w:r>
        <w:rPr>
          <w:color w:val="231F20"/>
          <w:spacing w:val="-17"/>
        </w:rPr>
        <w:t>；贝伐（珠）单抗 15mg/kg；3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7"/>
        </w:rPr>
        <w:t>周</w:t>
      </w:r>
      <w:r>
        <w:rPr>
          <w:color w:val="231F20"/>
          <w:spacing w:val="-18"/>
        </w:rPr>
        <w:t>疗，直至</w:t>
      </w:r>
      <w:r>
        <w:rPr>
          <w:color w:val="231F20"/>
        </w:rPr>
        <w:t xml:space="preserve"> </w:t>
      </w:r>
      <w:r>
        <w:rPr>
          <w:color w:val="231F20"/>
        </w:rPr>
        <w:t>肿瘤进展或患者无法耐受］。</w:t>
      </w:r>
    </w:p>
    <w:p>
      <w:pPr>
        <w:spacing w:line="257" w:lineRule="auto"/>
        <w:sectPr>
          <w:type w:val="continuous"/>
          <w:pgSz w:w="11906" w:h="16838"/>
          <w:pgMar w:top="1561" w:right="1155" w:bottom="0" w:left="407" w:header="1315" w:footer="0" w:gutter="0"/>
          <w:cols w:equalWidth="0" w:num="2">
            <w:col w:w="5627" w:space="100"/>
            <w:col w:w="4616" w:space="0"/>
          </w:cols>
        </w:sectPr>
        <w:rPr/>
      </w:pPr>
    </w:p>
    <w:p>
      <w:pPr>
        <w:spacing w:before="75"/>
        <w:rPr/>
      </w:pPr>
      <w:r>
        <w:drawing>
          <wp:anchor distT="0" distB="0" distL="0" distR="0" simplePos="0" relativeHeight="251678720" behindDoc="0" locked="0" layoutInCell="0" allowOverlap="1">
            <wp:simplePos x="0" y="0"/>
            <wp:positionH relativeFrom="page">
              <wp:posOffset>4336025</wp:posOffset>
            </wp:positionH>
            <wp:positionV relativeFrom="page">
              <wp:posOffset>980524</wp:posOffset>
            </wp:positionV>
            <wp:extent cx="2400277" cy="6350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027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12"/>
          <w:pgSz w:w="11906" w:h="16838"/>
          <w:pgMar w:top="1561" w:right="1222" w:bottom="0" w:left="407" w:header="1315" w:footer="0" w:gutter="0"/>
          <w:cols w:equalWidth="0" w:num="1">
            <w:col w:w="10276" w:space="0"/>
          </w:cols>
        </w:sectPr>
        <w:rPr/>
      </w:pPr>
    </w:p>
    <w:p>
      <w:pPr>
        <w:pStyle w:val="BodyText"/>
        <w:ind w:left="802" w:right="138" w:firstLine="425"/>
        <w:spacing w:before="35" w:line="242" w:lineRule="auto"/>
        <w:jc w:val="both"/>
        <w:rPr/>
      </w:pPr>
      <w:r>
        <w:rPr>
          <w:color w:val="231F20"/>
          <w:spacing w:val="-1"/>
        </w:rPr>
        <w:t>2017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年，NeCTuR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"/>
        </w:rPr>
        <w:t>研究者在首次复发的</w:t>
      </w:r>
      <w:r>
        <w:rPr>
          <w:color w:val="231F20"/>
          <w:spacing w:val="-2"/>
        </w:rPr>
        <w:t>子宫颈神经内分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泌癌患者中报道了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TPB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8"/>
        </w:rPr>
        <w:t>方案的疗效</w:t>
      </w:r>
      <w:r>
        <w:rPr>
          <w:sz w:val="9"/>
          <w:szCs w:val="9"/>
          <w:color w:val="231F20"/>
          <w:spacing w:val="8"/>
          <w:position w:val="6"/>
        </w:rPr>
        <w:t>［29］</w:t>
      </w:r>
      <w:r>
        <w:rPr>
          <w:color w:val="231F20"/>
          <w:spacing w:val="8"/>
        </w:rPr>
        <w:t>。与其他方案相比，</w:t>
      </w:r>
      <w:r>
        <w:rPr>
          <w:color w:val="231F20"/>
        </w:rPr>
        <w:t xml:space="preserve"> </w:t>
      </w:r>
      <w:r>
        <w:rPr>
          <w:color w:val="231F20"/>
        </w:rPr>
        <w:t>TPB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1"/>
        </w:rPr>
        <w:t>方案可降低复发风险（中位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PFS</w:t>
      </w:r>
      <w:r>
        <w:rPr>
          <w:color w:val="231F20"/>
          <w:spacing w:val="1"/>
        </w:rPr>
        <w:t>：7.8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个月 </w:t>
      </w:r>
      <w:r>
        <w:rPr>
          <w:color w:val="231F20"/>
        </w:rPr>
        <w:t>vs</w:t>
      </w:r>
      <w:r>
        <w:rPr>
          <w:color w:val="231F20"/>
          <w:spacing w:val="1"/>
        </w:rPr>
        <w:t>. 4.0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个月；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3"/>
        </w:rPr>
        <w:t>P</w:t>
      </w:r>
      <w:r>
        <w:rPr>
          <w:color w:val="231F20"/>
          <w:spacing w:val="-3"/>
        </w:rPr>
        <w:t>=0.001</w:t>
      </w:r>
      <w:r>
        <w:rPr>
          <w:color w:val="231F20"/>
          <w:spacing w:val="-37"/>
          <w:w w:val="90"/>
        </w:rPr>
        <w:t>），</w:t>
      </w:r>
      <w:r>
        <w:rPr>
          <w:color w:val="231F20"/>
          <w:spacing w:val="-3"/>
        </w:rPr>
        <w:t>但不改善 OS 结局（中位 OS：9.7 个月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3"/>
        </w:rPr>
        <w:t>vs.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3"/>
        </w:rPr>
        <w:t>9.4 个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月；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7"/>
        </w:rPr>
        <w:t>P</w:t>
      </w:r>
      <w:r>
        <w:rPr>
          <w:color w:val="231F20"/>
          <w:spacing w:val="-7"/>
        </w:rPr>
        <w:t>=0.13）。 2023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7"/>
        </w:rPr>
        <w:t>年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7"/>
        </w:rPr>
        <w:t>4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月NeCTuR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7"/>
        </w:rPr>
        <w:t>研究进行了结果更新，包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括了二线使用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TPB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6"/>
        </w:rPr>
        <w:t>方案的患者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6"/>
        </w:rPr>
        <w:t>。共 118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6"/>
        </w:rPr>
        <w:t>例患者入</w:t>
      </w:r>
      <w:r>
        <w:rPr>
          <w:color w:val="231F20"/>
          <w:spacing w:val="5"/>
        </w:rPr>
        <w:t>组、62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例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接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受 </w:t>
      </w:r>
      <w:r>
        <w:rPr>
          <w:color w:val="231F20"/>
        </w:rPr>
        <w:t>TPB</w:t>
      </w:r>
      <w:r>
        <w:rPr>
          <w:color w:val="231F20"/>
          <w:spacing w:val="2"/>
        </w:rPr>
        <w:t>。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2"/>
        </w:rPr>
        <w:t>与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2"/>
        </w:rPr>
        <w:t>其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"/>
        </w:rPr>
        <w:t>他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"/>
        </w:rPr>
        <w:t>化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2"/>
        </w:rPr>
        <w:t>疗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"/>
        </w:rPr>
        <w:t>方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案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"/>
        </w:rPr>
        <w:t>相 比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，</w:t>
      </w:r>
      <w:r>
        <w:rPr>
          <w:color w:val="231F20"/>
        </w:rPr>
        <w:t>TPB</w:t>
      </w:r>
      <w:r>
        <w:rPr>
          <w:color w:val="231F20"/>
          <w:spacing w:val="2"/>
        </w:rPr>
        <w:t xml:space="preserve"> 方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案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可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改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"/>
        </w:rPr>
        <w:t>善 </w:t>
      </w:r>
      <w:r>
        <w:rPr>
          <w:color w:val="231F20"/>
        </w:rPr>
        <w:t>PFS  </w:t>
      </w:r>
      <w:r>
        <w:rPr>
          <w:color w:val="231F20"/>
          <w:spacing w:val="-3"/>
        </w:rPr>
        <w:t>（mPFS：8.7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个月 vs. 3.7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个月；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3"/>
        </w:rPr>
        <w:t>P</w:t>
      </w:r>
      <w:r>
        <w:rPr>
          <w:color w:val="231F20"/>
          <w:spacing w:val="-3"/>
        </w:rPr>
        <w:t>＜0.0001</w:t>
      </w:r>
      <w:r>
        <w:rPr>
          <w:color w:val="231F20"/>
          <w:spacing w:val="-25"/>
          <w:w w:val="61"/>
        </w:rPr>
        <w:t>），</w:t>
      </w:r>
      <w:r>
        <w:rPr>
          <w:color w:val="231F20"/>
          <w:spacing w:val="-3"/>
        </w:rPr>
        <w:t>用药后肿瘤完全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缓解率为 18%、部分缓解率为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39%、疾病稳定率为 15%；但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是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7"/>
        </w:rPr>
        <w:t>，TPB 方案不改善 OS（mOS：16.8 个月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vs.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8"/>
        </w:rPr>
        <w:t>14.0 个月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8"/>
        </w:rPr>
        <w:t>；</w:t>
      </w:r>
      <w:r>
        <w:rPr>
          <w:rFonts w:ascii="Arial" w:hAnsi="Arial" w:eastAsia="Arial" w:cs="Arial"/>
          <w:sz w:val="18"/>
          <w:szCs w:val="18"/>
          <w:i/>
          <w:iCs/>
          <w:color w:val="231F20"/>
          <w:spacing w:val="-8"/>
        </w:rPr>
        <w:t>P</w:t>
      </w:r>
      <w:r>
        <w:rPr>
          <w:color w:val="231F20"/>
          <w:spacing w:val="-8"/>
        </w:rPr>
        <w:t>=</w:t>
      </w:r>
      <w:r>
        <w:rPr>
          <w:color w:val="231F20"/>
        </w:rPr>
        <w:t xml:space="preserve">  </w:t>
      </w:r>
      <w:r>
        <w:rPr>
          <w:color w:val="231F20"/>
          <w:spacing w:val="-10"/>
        </w:rPr>
        <w:t>0.49）。</w:t>
      </w:r>
    </w:p>
    <w:p>
      <w:pPr>
        <w:pStyle w:val="BodyText"/>
        <w:ind w:left="802" w:right="194" w:firstLine="465"/>
        <w:spacing w:before="8"/>
        <w:jc w:val="both"/>
        <w:rPr/>
      </w:pPr>
      <w:r>
        <w:rPr>
          <w:color w:val="231F20"/>
          <w:spacing w:val="7"/>
        </w:rPr>
        <w:t>目前，</w:t>
      </w:r>
      <w:r>
        <w:rPr>
          <w:color w:val="231F20"/>
        </w:rPr>
        <w:t>TPB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7"/>
        </w:rPr>
        <w:t>方案已被多项国际指南采纳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7"/>
        </w:rPr>
        <w:t>。需要注意的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是，</w:t>
      </w:r>
      <w:r>
        <w:rPr>
          <w:color w:val="231F20"/>
        </w:rPr>
        <w:t>TPB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2"/>
        </w:rPr>
        <w:t>方案导致的血液学毒性十分显著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2"/>
        </w:rPr>
        <w:t>。基于我国的临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床实践经验，中国女性使用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TPB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5"/>
        </w:rPr>
        <w:t>方案时，特别是按照原始剂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量使用拓扑替康后，出现Ⅳ度骨髓抑制的风险极大，尤其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5"/>
        </w:rPr>
        <w:t>以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CIT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5"/>
        </w:rPr>
        <w:t>最为显著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5"/>
        </w:rPr>
        <w:t>。</w:t>
      </w:r>
      <w:r>
        <w:rPr>
          <w:color w:val="231F20"/>
        </w:rPr>
        <w:t>CIT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15"/>
        </w:rPr>
        <w:t>除导致化疗延时外，还会增加贝伐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（珠）单抗使用后的出血风险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3"/>
        </w:rPr>
        <w:t>。因此，使用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TPB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3"/>
        </w:rPr>
        <w:t>方案时需要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做好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CIT</w:t>
      </w:r>
      <w:r>
        <w:rPr>
          <w:color w:val="231F20"/>
          <w:spacing w:val="12"/>
        </w:rPr>
        <w:t xml:space="preserve"> 的Ⅱ级预防，有必要探索更加适合我国患者特点</w:t>
      </w:r>
      <w:r>
        <w:rPr>
          <w:color w:val="231F20"/>
        </w:rPr>
        <w:t xml:space="preserve"> </w:t>
      </w:r>
      <w:r>
        <w:rPr>
          <w:color w:val="231F20"/>
          <w:spacing w:val="19"/>
        </w:rPr>
        <w:t>的给药剂量。</w:t>
      </w:r>
    </w:p>
    <w:p>
      <w:pPr>
        <w:pStyle w:val="BodyText"/>
        <w:ind w:left="869" w:right="138" w:firstLine="363"/>
        <w:spacing w:line="241" w:lineRule="auto"/>
        <w:jc w:val="both"/>
        <w:rPr/>
      </w:pPr>
      <w:r>
        <w:rPr>
          <w:rFonts w:ascii="SimHei" w:hAnsi="SimHei" w:eastAsia="SimHei" w:cs="SimHei"/>
          <w:color w:val="231F20"/>
          <w:spacing w:val="11"/>
        </w:rPr>
        <w:t>推荐意见</w:t>
      </w:r>
      <w:r>
        <w:rPr>
          <w:rFonts w:ascii="SimHei" w:hAnsi="SimHei" w:eastAsia="SimHei" w:cs="SimHei"/>
          <w:color w:val="231F20"/>
          <w:spacing w:val="-33"/>
        </w:rPr>
        <w:t xml:space="preserve"> </w:t>
      </w:r>
      <w:r>
        <w:rPr>
          <w:rFonts w:ascii="SimHei" w:hAnsi="SimHei" w:eastAsia="SimHei" w:cs="SimHei"/>
          <w:color w:val="231F20"/>
          <w:spacing w:val="11"/>
        </w:rPr>
        <w:t>1：</w:t>
      </w:r>
      <w:r>
        <w:rPr>
          <w:color w:val="231F20"/>
          <w:spacing w:val="11"/>
        </w:rPr>
        <w:t>复发性子宫颈神经内分泌癌患者可使用</w:t>
      </w:r>
      <w:r>
        <w:rPr>
          <w:color w:val="231F20"/>
        </w:rPr>
        <w:t xml:space="preserve">  </w:t>
      </w:r>
      <w:r>
        <w:rPr>
          <w:color w:val="231F20"/>
          <w:spacing w:val="-10"/>
        </w:rPr>
        <w:t>TPB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0"/>
        </w:rPr>
        <w:t>方案［拓扑替康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0"/>
        </w:rPr>
        <w:t>0.75mg/m</w:t>
      </w:r>
      <w:r>
        <w:rPr>
          <w:sz w:val="9"/>
          <w:szCs w:val="9"/>
          <w:color w:val="231F20"/>
          <w:spacing w:val="7"/>
          <w:position w:val="7"/>
        </w:rPr>
        <w:t>2</w:t>
      </w:r>
      <w:r>
        <w:rPr>
          <w:color w:val="231F20"/>
          <w:spacing w:val="-20"/>
          <w:w w:val="99"/>
        </w:rPr>
        <w:t>、第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0"/>
          <w:w w:val="99"/>
        </w:rPr>
        <w:t>1~3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0"/>
          <w:w w:val="99"/>
        </w:rPr>
        <w:t>天；紫杉醇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0"/>
          <w:w w:val="99"/>
        </w:rPr>
        <w:t>175mg/m</w:t>
      </w:r>
      <w:r>
        <w:rPr>
          <w:sz w:val="9"/>
          <w:szCs w:val="9"/>
          <w:color w:val="231F20"/>
          <w:spacing w:val="9"/>
          <w:w w:val="108"/>
          <w:position w:val="7"/>
        </w:rPr>
        <w:t>2</w:t>
      </w:r>
      <w:r>
        <w:rPr>
          <w:color w:val="231F20"/>
          <w:spacing w:val="-24"/>
        </w:rPr>
        <w:t>；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贝伐（珠）单抗 15mg/kg；3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周疗，直至肿瘤进展或患者无法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耐受</w:t>
      </w:r>
      <w:r>
        <w:rPr>
          <w:color w:val="231F20"/>
          <w:spacing w:val="-19"/>
          <w:w w:val="59"/>
        </w:rPr>
        <w:t>］（</w:t>
      </w:r>
      <w:r>
        <w:rPr>
          <w:color w:val="231F20"/>
          <w:spacing w:val="-5"/>
        </w:rPr>
        <w:t>2B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级推荐）。</w:t>
      </w:r>
    </w:p>
    <w:p>
      <w:pPr>
        <w:pStyle w:val="BodyText"/>
        <w:ind w:left="874" w:right="194" w:firstLine="358"/>
        <w:spacing w:before="1" w:line="247" w:lineRule="auto"/>
        <w:rPr/>
      </w:pPr>
      <w:r>
        <w:rPr>
          <w:rFonts w:ascii="SimHei" w:hAnsi="SimHei" w:eastAsia="SimHei" w:cs="SimHei"/>
          <w:color w:val="231F20"/>
          <w:spacing w:val="6"/>
        </w:rPr>
        <w:t>推荐意见2</w:t>
      </w:r>
      <w:r>
        <w:rPr>
          <w:color w:val="231F20"/>
          <w:spacing w:val="6"/>
        </w:rPr>
        <w:t>：使用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TPB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6"/>
        </w:rPr>
        <w:t>方案时建议常规对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CIT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6"/>
        </w:rPr>
        <w:t>进行Ⅱ级</w:t>
      </w:r>
      <w:r>
        <w:rPr>
          <w:color w:val="231F20"/>
        </w:rPr>
        <w:t xml:space="preserve"> </w:t>
      </w:r>
      <w:r>
        <w:rPr>
          <w:color w:val="231F20"/>
          <w:spacing w:val="-11"/>
          <w:w w:val="97"/>
        </w:rPr>
        <w:t>预防（2A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1"/>
          <w:w w:val="97"/>
        </w:rPr>
        <w:t>级推荐）。</w:t>
      </w:r>
    </w:p>
    <w:p>
      <w:pPr>
        <w:ind w:left="870"/>
        <w:spacing w:before="279" w:line="229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5</w:t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子宫颈癌抗血管生成药物不良反应管理</w:t>
      </w:r>
    </w:p>
    <w:p>
      <w:pPr>
        <w:pStyle w:val="BodyText"/>
        <w:ind w:left="869" w:right="194" w:firstLine="357"/>
        <w:spacing w:before="85" w:line="241" w:lineRule="auto"/>
        <w:jc w:val="both"/>
        <w:rPr/>
      </w:pPr>
      <w:r>
        <w:rPr>
          <w:color w:val="231F20"/>
          <w:spacing w:val="10"/>
        </w:rPr>
        <w:t>使用抗血管生成药物治疗子宫颈癌产生的不</w:t>
      </w:r>
      <w:r>
        <w:rPr>
          <w:color w:val="231F20"/>
          <w:spacing w:val="9"/>
        </w:rPr>
        <w:t>良反应总</w:t>
      </w:r>
      <w:r>
        <w:rPr>
          <w:color w:val="231F20"/>
        </w:rPr>
        <w:t xml:space="preserve"> </w:t>
      </w:r>
      <w:r>
        <w:rPr>
          <w:color w:val="231F20"/>
        </w:rPr>
        <w:t>体可控、患者耐受性好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。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目前，贝伐（珠）单抗已在全球获 </w:t>
      </w:r>
      <w:r>
        <w:rPr>
          <w:color w:val="231F20"/>
          <w:spacing w:val="5"/>
        </w:rPr>
        <w:t>批 10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5"/>
        </w:rPr>
        <w:t>个肿瘤适应证，使用患者数量超过数百万，安全</w:t>
      </w:r>
      <w:r>
        <w:rPr>
          <w:color w:val="231F20"/>
          <w:spacing w:val="4"/>
        </w:rPr>
        <w:t>性数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据较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TKIs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更加全面，使用贝伐（珠）单抗产生的不良反应无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论发生率还是严重程度均低于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TKIs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8"/>
        </w:rPr>
        <w:t>。虽然有证据显示，抗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血管生成药物的相关不良反应特别是贝伐（珠）单抗用药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后的不良反应与给药剂量呈相关性，但目前尚无证据证实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</w:rPr>
        <w:t>减量不会影响肿瘤控制率和患者预后</w:t>
      </w:r>
      <w:r>
        <w:rPr>
          <w:sz w:val="9"/>
          <w:szCs w:val="9"/>
          <w:color w:val="231F20"/>
          <w:spacing w:val="4"/>
          <w:position w:val="6"/>
        </w:rPr>
        <w:t>［5］</w:t>
      </w:r>
      <w:r>
        <w:rPr>
          <w:color w:val="231F20"/>
          <w:spacing w:val="4"/>
        </w:rPr>
        <w:t>。</w:t>
      </w:r>
    </w:p>
    <w:p>
      <w:pPr>
        <w:pStyle w:val="BodyText"/>
        <w:ind w:left="872" w:right="194" w:firstLine="357"/>
        <w:spacing w:before="3" w:line="242" w:lineRule="auto"/>
        <w:rPr/>
      </w:pPr>
      <w:r>
        <w:rPr>
          <w:rFonts w:ascii="SimHei" w:hAnsi="SimHei" w:eastAsia="SimHei" w:cs="SimHei"/>
          <w:color w:val="231F20"/>
          <w:spacing w:val="2"/>
        </w:rPr>
        <w:t>推荐意见：</w:t>
      </w:r>
      <w:r>
        <w:rPr>
          <w:color w:val="231F20"/>
          <w:spacing w:val="2"/>
        </w:rPr>
        <w:t>在未发生严重不良反应的情况下，不推荐子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宫颈癌治疗中减量使用抗血管生成药物（1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级推荐）。</w:t>
      </w:r>
    </w:p>
    <w:p>
      <w:pPr>
        <w:pStyle w:val="BodyText"/>
        <w:ind w:left="870" w:right="194" w:firstLine="359"/>
        <w:spacing w:before="4"/>
        <w:jc w:val="both"/>
        <w:rPr/>
      </w:pPr>
      <w:r>
        <w:rPr>
          <w:color w:val="231F20"/>
          <w:spacing w:val="9"/>
        </w:rPr>
        <w:t>在子宫颈癌患者接受抗血管生成药物后发生的不良反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9"/>
        </w:rPr>
        <w:t>应中，对治疗决策、患者生存质量和生命安全影响最大的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是穿孔和瘘，而在≥3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1"/>
        </w:rPr>
        <w:t>级不良反应中，最常见的是高血压、蛋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白尿、出血和血栓栓塞事件</w:t>
      </w:r>
      <w:r>
        <w:rPr>
          <w:sz w:val="9"/>
          <w:szCs w:val="9"/>
          <w:color w:val="231F20"/>
          <w:spacing w:val="6"/>
          <w:position w:val="6"/>
        </w:rPr>
        <w:t>［5］</w:t>
      </w:r>
      <w:r>
        <w:rPr>
          <w:color w:val="231F20"/>
          <w:spacing w:val="6"/>
        </w:rPr>
        <w:t>。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6"/>
        </w:rPr>
        <w:t>由于抗血管生</w:t>
      </w:r>
      <w:r>
        <w:rPr>
          <w:color w:val="231F20"/>
          <w:spacing w:val="5"/>
        </w:rPr>
        <w:t>成药物总体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安全性较好，因此，指南重点讨论会产生严重临床后果并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9"/>
        </w:rPr>
        <w:t>影响患者耐受性的不良反应。</w:t>
      </w:r>
    </w:p>
    <w:p>
      <w:pPr>
        <w:pStyle w:val="BodyText"/>
        <w:ind w:left="871" w:right="141"/>
        <w:spacing w:before="2" w:line="223" w:lineRule="auto"/>
        <w:jc w:val="both"/>
        <w:rPr/>
      </w:pPr>
      <w:r>
        <w:rPr>
          <w:color w:val="231F20"/>
          <w:spacing w:val="-2"/>
        </w:rPr>
        <w:t>5.1</w:t>
      </w:r>
      <w:r>
        <w:rPr>
          <w:color w:val="231F20"/>
          <w:spacing w:val="15"/>
          <w:w w:val="101"/>
        </w:rPr>
        <w:t xml:space="preserve">   </w:t>
      </w:r>
      <w:r>
        <w:rPr>
          <w:color w:val="231F20"/>
          <w:spacing w:val="-2"/>
        </w:rPr>
        <w:t>贝伐（珠）单抗相关输液反应</w:t>
      </w:r>
      <w:r>
        <w:rPr>
          <w:color w:val="231F20"/>
          <w:spacing w:val="15"/>
          <w:w w:val="101"/>
        </w:rPr>
        <w:t xml:space="preserve">   </w:t>
      </w:r>
      <w:r>
        <w:rPr>
          <w:color w:val="231F20"/>
          <w:spacing w:val="-2"/>
        </w:rPr>
        <w:t>贝伐（珠）单抗</w:t>
      </w:r>
      <w:r>
        <w:rPr>
          <w:color w:val="231F20"/>
          <w:spacing w:val="-3"/>
        </w:rPr>
        <w:t>属于大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分子单克隆抗体，静脉给药后可产生输液反应，但多数较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轻，且在第 1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3"/>
        </w:rPr>
        <w:t>次给药时最为常见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3"/>
        </w:rPr>
        <w:t>。为降低输液反应发生率，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贝伐（珠）单抗前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7"/>
        </w:rPr>
        <w:t>3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次用药需要遵循“9-6</w:t>
      </w:r>
      <w:r>
        <w:rPr>
          <w:color w:val="231F20"/>
          <w:spacing w:val="-8"/>
        </w:rPr>
        <w:t>-3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8"/>
        </w:rPr>
        <w:t>原则”，即首次静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7" w:right="53" w:firstLine="4"/>
        <w:spacing w:before="42" w:line="241" w:lineRule="auto"/>
        <w:jc w:val="both"/>
        <w:rPr/>
      </w:pPr>
      <w:r>
        <w:rPr>
          <w:color w:val="231F20"/>
          <w:spacing w:val="1"/>
        </w:rPr>
        <w:t>脉输注时间持续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90</w:t>
      </w:r>
      <w:r>
        <w:rPr>
          <w:color w:val="231F20"/>
        </w:rPr>
        <w:t>min</w:t>
      </w:r>
      <w:r>
        <w:rPr>
          <w:color w:val="231F20"/>
          <w:spacing w:val="1"/>
        </w:rPr>
        <w:t>；如果耐受性良好，则第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"/>
        </w:rPr>
        <w:t>2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次输注时</w:t>
      </w:r>
      <w:r>
        <w:rPr>
          <w:color w:val="231F20"/>
        </w:rPr>
        <w:t xml:space="preserve"> </w:t>
      </w:r>
      <w:r>
        <w:rPr>
          <w:color w:val="231F20"/>
        </w:rPr>
        <w:t>间可缩短到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60min；如果患者对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60mi</w:t>
      </w:r>
      <w:r>
        <w:rPr>
          <w:color w:val="231F20"/>
          <w:spacing w:val="-1"/>
        </w:rPr>
        <w:t>n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输注也具有良好的耐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受性，那么随后所有输注都可以在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5"/>
        </w:rPr>
        <w:t>30</w:t>
      </w:r>
      <w:r>
        <w:rPr>
          <w:color w:val="231F20"/>
        </w:rPr>
        <w:t>min</w:t>
      </w:r>
      <w:r>
        <w:rPr>
          <w:color w:val="231F20"/>
          <w:spacing w:val="5"/>
        </w:rPr>
        <w:t xml:space="preserve"> 内完成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5"/>
        </w:rPr>
        <w:t>。对于发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生输液反应的患者可停药或延长给药时间，但贝</w:t>
      </w:r>
      <w:r>
        <w:rPr>
          <w:color w:val="231F20"/>
          <w:spacing w:val="2"/>
        </w:rPr>
        <w:t>伐（珠）单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抗配制后在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3"/>
        </w:rPr>
        <w:t>2℃~8℃条件下储存时间不宜超过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3"/>
        </w:rPr>
        <w:t>24h。</w:t>
      </w:r>
    </w:p>
    <w:p>
      <w:pPr>
        <w:pStyle w:val="BodyText"/>
        <w:ind w:right="53" w:firstLine="439"/>
        <w:spacing w:before="2"/>
        <w:rPr/>
      </w:pPr>
      <w:r>
        <w:rPr>
          <w:rFonts w:ascii="SimHei" w:hAnsi="SimHei" w:eastAsia="SimHei" w:cs="SimHei"/>
          <w:color w:val="231F20"/>
          <w:spacing w:val="10"/>
        </w:rPr>
        <w:t>推荐意见</w:t>
      </w:r>
      <w:r>
        <w:rPr>
          <w:rFonts w:ascii="SimHei" w:hAnsi="SimHei" w:eastAsia="SimHei" w:cs="SimHei"/>
          <w:color w:val="231F20"/>
          <w:spacing w:val="-18"/>
        </w:rPr>
        <w:t xml:space="preserve"> </w:t>
      </w:r>
      <w:r>
        <w:rPr>
          <w:rFonts w:ascii="SimHei" w:hAnsi="SimHei" w:eastAsia="SimHei" w:cs="SimHei"/>
          <w:color w:val="231F20"/>
          <w:spacing w:val="10"/>
        </w:rPr>
        <w:t>1：</w:t>
      </w:r>
      <w:r>
        <w:rPr>
          <w:color w:val="231F20"/>
          <w:spacing w:val="10"/>
        </w:rPr>
        <w:t>为降低发生输液反应的风险，使用贝伐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（珠）单抗应遵循“9-6-3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3"/>
        </w:rPr>
        <w:t>原则”（2A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3"/>
        </w:rPr>
        <w:t>级推荐）。</w:t>
      </w:r>
    </w:p>
    <w:p>
      <w:pPr>
        <w:pStyle w:val="BodyText"/>
        <w:ind w:left="71" w:right="53" w:firstLine="359"/>
        <w:spacing w:line="241" w:lineRule="auto"/>
        <w:jc w:val="both"/>
        <w:rPr/>
      </w:pPr>
      <w:r>
        <w:rPr>
          <w:rFonts w:ascii="SimHei" w:hAnsi="SimHei" w:eastAsia="SimHei" w:cs="SimHei"/>
          <w:color w:val="231F20"/>
          <w:spacing w:val="-2"/>
        </w:rPr>
        <w:t>推荐意见2：</w:t>
      </w:r>
      <w:r>
        <w:rPr>
          <w:color w:val="231F20"/>
          <w:spacing w:val="-2"/>
        </w:rPr>
        <w:t>使用贝伐（珠）单抗后发生输液反应时，在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6"/>
        </w:rPr>
        <w:t>可停药或延长给药时间同时给予对症治疗，配制后在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6"/>
        </w:rPr>
        <w:t>2</w:t>
      </w:r>
      <w:r>
        <w:rPr>
          <w:color w:val="231F20"/>
          <w:spacing w:val="5"/>
        </w:rPr>
        <w:t>℃~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8℃条件下储存时间不宜超过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24h（2A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级</w:t>
      </w:r>
      <w:r>
        <w:rPr>
          <w:color w:val="231F20"/>
          <w:spacing w:val="-5"/>
        </w:rPr>
        <w:t>推荐）。</w:t>
      </w:r>
    </w:p>
    <w:p>
      <w:pPr>
        <w:pStyle w:val="BodyText"/>
        <w:ind w:left="68" w:firstLine="1"/>
        <w:spacing w:before="2" w:line="241" w:lineRule="auto"/>
        <w:jc w:val="both"/>
        <w:rPr/>
      </w:pPr>
      <w:r>
        <w:rPr>
          <w:color w:val="231F20"/>
          <w:spacing w:val="10"/>
        </w:rPr>
        <w:t>5.2   瘘和穿孔    子宫颈癌患者使用抗血管生成药物后发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3"/>
        </w:rPr>
        <w:t>生的瘘，包括穿孔，是临床医生最关注的毒性事</w:t>
      </w:r>
      <w:r>
        <w:rPr>
          <w:color w:val="231F20"/>
          <w:spacing w:val="2"/>
        </w:rPr>
        <w:t>件，具体可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表现为直肠-阴道瘘、膀胱-阴道瘘、肠瘘、膀胱</w:t>
      </w:r>
      <w:r>
        <w:rPr>
          <w:color w:val="231F20"/>
        </w:rPr>
        <w:t>-腹腔瘘、输  </w:t>
      </w:r>
      <w:r>
        <w:rPr>
          <w:color w:val="231F20"/>
          <w:spacing w:val="6"/>
        </w:rPr>
        <w:t>尿管-阴道瘘等，以前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6"/>
        </w:rPr>
        <w:t>2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6"/>
        </w:rPr>
        <w:t>种最为常见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6"/>
        </w:rPr>
        <w:t>。患者主诉包括阴道排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液/排便、阴道流血、发热、腹痛等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5"/>
        </w:rPr>
        <w:t>。一旦发生瘘，包括穿孔，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应永久停用抗血管生成药物，贝伐（珠）单抗和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TKIs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"/>
        </w:rPr>
        <w:t>都有导</w:t>
      </w:r>
      <w:r>
        <w:rPr>
          <w:color w:val="231F20"/>
        </w:rPr>
        <w:t xml:space="preserve">  </w:t>
      </w:r>
      <w:r>
        <w:rPr>
          <w:color w:val="231F20"/>
          <w:spacing w:val="-2"/>
          <w:position w:val="-1"/>
        </w:rPr>
        <w:t>致瘘的风险</w:t>
      </w:r>
      <w:r>
        <w:rPr>
          <w:sz w:val="9"/>
          <w:szCs w:val="9"/>
          <w:color w:val="231F20"/>
          <w:spacing w:val="-2"/>
          <w:position w:val="5"/>
        </w:rPr>
        <w:t>［5］</w:t>
      </w:r>
      <w:r>
        <w:rPr>
          <w:color w:val="231F20"/>
          <w:spacing w:val="-2"/>
          <w:position w:val="-1"/>
        </w:rPr>
        <w:t>。</w:t>
      </w:r>
    </w:p>
    <w:p>
      <w:pPr>
        <w:pStyle w:val="BodyText"/>
        <w:ind w:right="1" w:firstLine="433"/>
        <w:spacing w:line="241" w:lineRule="auto"/>
        <w:jc w:val="both"/>
        <w:rPr/>
      </w:pPr>
      <w:r>
        <w:rPr>
          <w:color w:val="231F20"/>
          <w:spacing w:val="-3"/>
        </w:rPr>
        <w:t>GOG-240 中，贝伐（珠）单抗组和对照组瘘的发</w:t>
      </w:r>
      <w:r>
        <w:rPr>
          <w:color w:val="231F20"/>
          <w:spacing w:val="-4"/>
        </w:rPr>
        <w:t>生率分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别为 15%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2"/>
        </w:rPr>
        <w:t>和 1%，均见于既往有放疗史的患者中；其中，3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级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及以上瘘（有临床意义，需要侵入性干预）在两组的发生率  </w:t>
      </w:r>
      <w:r>
        <w:rPr>
          <w:color w:val="231F20"/>
        </w:rPr>
        <w:t>分别为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5.9%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和 1%</w:t>
      </w:r>
      <w:r>
        <w:rPr>
          <w:sz w:val="9"/>
          <w:szCs w:val="9"/>
          <w:color w:val="231F20"/>
          <w:position w:val="6"/>
        </w:rPr>
        <w:t>［10］</w:t>
      </w:r>
      <w:r>
        <w:rPr>
          <w:color w:val="231F20"/>
        </w:rPr>
        <w:t>。GOG-240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公布结果后，日本学者开  </w:t>
      </w:r>
      <w:r>
        <w:rPr>
          <w:color w:val="231F20"/>
          <w:spacing w:val="16"/>
        </w:rPr>
        <w:t>展了基于真实世界的临床研究，共纳入 142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6"/>
        </w:rPr>
        <w:t>例使用贝伐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（珠）单抗的子宫颈癌患者，进一步证实放疗是导致瘘的独  </w:t>
      </w:r>
      <w:r>
        <w:rPr>
          <w:color w:val="231F20"/>
          <w:spacing w:val="9"/>
        </w:rPr>
        <w:t>立风险因素</w:t>
      </w:r>
      <w:r>
        <w:rPr>
          <w:sz w:val="9"/>
          <w:szCs w:val="9"/>
          <w:color w:val="231F20"/>
          <w:spacing w:val="9"/>
          <w:position w:val="6"/>
        </w:rPr>
        <w:t>［30］</w:t>
      </w:r>
      <w:r>
        <w:rPr>
          <w:color w:val="231F20"/>
          <w:spacing w:val="9"/>
        </w:rPr>
        <w:t>。除放疗外，其他导致瘘的风险因</w:t>
      </w:r>
      <w:r>
        <w:rPr>
          <w:color w:val="231F20"/>
          <w:spacing w:val="8"/>
        </w:rPr>
        <w:t>素包括：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患者合并高血压、有盆腔肿瘤、正在吸烟、严重低蛋白血症  </w:t>
      </w:r>
      <w:r>
        <w:rPr>
          <w:color w:val="231F20"/>
          <w:spacing w:val="6"/>
        </w:rPr>
        <w:t>和营养不良</w:t>
      </w:r>
      <w:r>
        <w:rPr>
          <w:sz w:val="9"/>
          <w:szCs w:val="9"/>
          <w:color w:val="231F20"/>
          <w:spacing w:val="6"/>
          <w:position w:val="6"/>
        </w:rPr>
        <w:t>［10，30］</w:t>
      </w:r>
      <w:r>
        <w:rPr>
          <w:color w:val="231F20"/>
          <w:spacing w:val="6"/>
        </w:rPr>
        <w:t>。由于瘘和穿孔会</w:t>
      </w:r>
      <w:r>
        <w:rPr>
          <w:color w:val="231F20"/>
          <w:spacing w:val="5"/>
        </w:rPr>
        <w:t>对子宫颈癌患者的治疗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和生存质量产生严重负面影响，有学者提出如果患者既往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"/>
        </w:rPr>
        <w:t>曾接受放疗，可采用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Moore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"/>
        </w:rPr>
        <w:t>标准评估使用贝伐（珠）单抗的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获益程度，有放疗史的低危患者则应慎重选用贝伐（珠）单  </w:t>
      </w:r>
      <w:r>
        <w:rPr>
          <w:color w:val="231F20"/>
          <w:spacing w:val="5"/>
          <w:w w:val="141"/>
          <w:position w:val="-4"/>
        </w:rPr>
        <w:t>抗</w:t>
      </w:r>
      <w:r>
        <w:rPr>
          <w:sz w:val="9"/>
          <w:szCs w:val="9"/>
          <w:color w:val="231F20"/>
          <w:spacing w:val="-15"/>
          <w:w w:val="91"/>
          <w:position w:val="2"/>
        </w:rPr>
        <w:t>［5，7］</w:t>
      </w:r>
      <w:r>
        <w:rPr>
          <w:color w:val="231F20"/>
          <w:spacing w:val="1"/>
          <w:position w:val="-4"/>
        </w:rPr>
        <w:t>。</w:t>
      </w:r>
    </w:p>
    <w:p>
      <w:pPr>
        <w:pStyle w:val="BodyText"/>
        <w:ind w:left="68" w:firstLine="359"/>
        <w:spacing w:before="6" w:line="241" w:lineRule="auto"/>
        <w:jc w:val="both"/>
        <w:rPr/>
      </w:pPr>
      <w:r>
        <w:rPr>
          <w:color w:val="231F20"/>
        </w:rPr>
        <w:t>TKIs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"/>
        </w:rPr>
        <w:t>导致瘘的机制与贝伐（珠）单抗相似，但缺少大样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本高质量研究评估这一事件的发生风险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1"/>
        </w:rPr>
        <w:t>。从现有证</w:t>
      </w:r>
      <w:r>
        <w:rPr>
          <w:color w:val="231F20"/>
          <w:spacing w:val="10"/>
        </w:rPr>
        <w:t>据看，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使用安罗替尼联合信迪利单抗后，瘘的发生率为 14.3%，其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6"/>
        </w:rPr>
        <w:t>中≥3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6"/>
        </w:rPr>
        <w:t>级瘘的发生率为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6"/>
        </w:rPr>
        <w:t>7.1%，与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6"/>
        </w:rPr>
        <w:t>GOG-240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6"/>
        </w:rPr>
        <w:t>相</w:t>
      </w:r>
      <w:r>
        <w:rPr>
          <w:color w:val="231F20"/>
          <w:spacing w:val="-7"/>
        </w:rPr>
        <w:t>仿</w:t>
      </w:r>
      <w:r>
        <w:rPr>
          <w:sz w:val="9"/>
          <w:szCs w:val="9"/>
          <w:color w:val="231F20"/>
          <w:spacing w:val="-7"/>
          <w:position w:val="6"/>
        </w:rPr>
        <w:t>［9，26］</w:t>
      </w:r>
      <w:r>
        <w:rPr>
          <w:color w:val="231F20"/>
          <w:spacing w:val="-7"/>
        </w:rPr>
        <w:t>。</w:t>
      </w:r>
    </w:p>
    <w:p>
      <w:pPr>
        <w:pStyle w:val="BodyText"/>
        <w:ind w:left="67" w:right="53" w:firstLine="364"/>
        <w:spacing w:before="2" w:line="241" w:lineRule="auto"/>
        <w:jc w:val="both"/>
        <w:rPr/>
      </w:pPr>
      <w:r>
        <w:rPr>
          <w:color w:val="231F20"/>
          <w:spacing w:val="13"/>
        </w:rPr>
        <w:t>放疗会显著增加使用抗血管生成药物导致瘘/穿孔的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8"/>
        </w:rPr>
        <w:t>治疗难度，对于这些患者，多学科会诊极为必要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。放疗会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导致组织缺血和瘢痕化，瘘修补术失败率极高，临床决策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7"/>
        </w:rPr>
        <w:t>需格外慎重。</w:t>
      </w:r>
    </w:p>
    <w:p>
      <w:pPr>
        <w:pStyle w:val="BodyText"/>
        <w:ind w:left="70" w:right="53" w:firstLine="364"/>
        <w:spacing w:line="241" w:lineRule="auto"/>
        <w:jc w:val="both"/>
        <w:rPr/>
      </w:pPr>
      <w:r>
        <w:rPr>
          <w:rFonts w:ascii="SimHei" w:hAnsi="SimHei" w:eastAsia="SimHei" w:cs="SimHei"/>
          <w:color w:val="231F20"/>
          <w:spacing w:val="11"/>
        </w:rPr>
        <w:t>推荐意见</w:t>
      </w:r>
      <w:r>
        <w:rPr>
          <w:rFonts w:ascii="SimHei" w:hAnsi="SimHei" w:eastAsia="SimHei" w:cs="SimHei"/>
          <w:color w:val="231F20"/>
          <w:spacing w:val="-37"/>
        </w:rPr>
        <w:t xml:space="preserve"> </w:t>
      </w:r>
      <w:r>
        <w:rPr>
          <w:rFonts w:ascii="SimHei" w:hAnsi="SimHei" w:eastAsia="SimHei" w:cs="SimHei"/>
          <w:color w:val="231F20"/>
          <w:spacing w:val="11"/>
        </w:rPr>
        <w:t>1：</w:t>
      </w:r>
      <w:r>
        <w:rPr>
          <w:color w:val="231F20"/>
          <w:spacing w:val="11"/>
        </w:rPr>
        <w:t>子宫颈癌患者使用抗血管生成药物后发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生瘘/穿孔的风险增加，贝伐（珠）单抗和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TKIs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"/>
        </w:rPr>
        <w:t>导致瘘/穿孔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的风险相仿，风险评估和处理原则基本一致（1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级推荐）。</w:t>
      </w:r>
    </w:p>
    <w:p>
      <w:pPr>
        <w:pStyle w:val="BodyText"/>
        <w:ind w:right="53" w:firstLine="443"/>
        <w:spacing w:before="1" w:line="241" w:lineRule="auto"/>
        <w:jc w:val="both"/>
        <w:rPr/>
      </w:pPr>
      <w:r>
        <w:rPr>
          <w:rFonts w:ascii="SimHei" w:hAnsi="SimHei" w:eastAsia="SimHei" w:cs="SimHei"/>
          <w:color w:val="231F20"/>
          <w:spacing w:val="11"/>
        </w:rPr>
        <w:t>推荐意见</w:t>
      </w:r>
      <w:r>
        <w:rPr>
          <w:rFonts w:ascii="SimHei" w:hAnsi="SimHei" w:eastAsia="SimHei" w:cs="SimHei"/>
          <w:color w:val="231F20"/>
          <w:spacing w:val="-42"/>
        </w:rPr>
        <w:t xml:space="preserve"> </w:t>
      </w:r>
      <w:r>
        <w:rPr>
          <w:rFonts w:ascii="SimHei" w:hAnsi="SimHei" w:eastAsia="SimHei" w:cs="SimHei"/>
          <w:color w:val="231F20"/>
          <w:spacing w:val="11"/>
        </w:rPr>
        <w:t>2：</w:t>
      </w:r>
      <w:r>
        <w:rPr>
          <w:color w:val="231F20"/>
          <w:spacing w:val="11"/>
        </w:rPr>
        <w:t>既往放疗是贝伐（珠）单抗用药</w:t>
      </w:r>
      <w:r>
        <w:rPr>
          <w:color w:val="231F20"/>
          <w:spacing w:val="10"/>
        </w:rPr>
        <w:t>后发生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瘘/穿孔的独立风险因素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5"/>
        </w:rPr>
        <w:t>。其他风险因素包括患者合并高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血压、有盆腔肿瘤、正在吸烟、严重低蛋白血症和营养不良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2"/>
        </w:rPr>
        <w:t>（2A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2"/>
        </w:rPr>
        <w:t>级推荐）。</w:t>
      </w:r>
    </w:p>
    <w:p>
      <w:pPr>
        <w:pStyle w:val="BodyText"/>
        <w:ind w:left="83" w:right="53" w:firstLine="347"/>
        <w:spacing w:before="2" w:line="205" w:lineRule="auto"/>
        <w:rPr/>
      </w:pPr>
      <w:r>
        <w:rPr>
          <w:rFonts w:ascii="SimHei" w:hAnsi="SimHei" w:eastAsia="SimHei" w:cs="SimHei"/>
          <w:color w:val="231F20"/>
          <w:spacing w:val="2"/>
        </w:rPr>
        <w:t>推荐意见3：</w:t>
      </w:r>
      <w:r>
        <w:rPr>
          <w:color w:val="231F20"/>
          <w:spacing w:val="2"/>
        </w:rPr>
        <w:t>由于瘘/穿孔影响显著，对于既往有放疗史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的患者，临床医生可结合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Moore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标准，</w:t>
      </w:r>
      <w:r>
        <w:rPr>
          <w:color w:val="231F20"/>
          <w:spacing w:val="-2"/>
        </w:rPr>
        <w:t>评价低危患者使用贝</w:t>
      </w:r>
    </w:p>
    <w:p>
      <w:pPr>
        <w:spacing w:line="205" w:lineRule="auto"/>
        <w:sectPr>
          <w:type w:val="continuous"/>
          <w:pgSz w:w="11906" w:h="16838"/>
          <w:pgMar w:top="1561" w:right="1222" w:bottom="0" w:left="407" w:header="1315" w:footer="0" w:gutter="0"/>
          <w:cols w:equalWidth="0" w:num="2">
            <w:col w:w="5560" w:space="100"/>
            <w:col w:w="4617" w:space="0"/>
          </w:cols>
        </w:sectPr>
        <w:rPr/>
      </w:pPr>
    </w:p>
    <w:p>
      <w:pPr>
        <w:spacing w:before="71"/>
        <w:rPr/>
      </w:pPr>
      <w:r>
        <w:drawing>
          <wp:anchor distT="0" distB="0" distL="0" distR="0" simplePos="0" relativeHeight="251682816" behindDoc="0" locked="0" layoutInCell="0" allowOverlap="1">
            <wp:simplePos x="0" y="0"/>
            <wp:positionH relativeFrom="page">
              <wp:posOffset>823564</wp:posOffset>
            </wp:positionH>
            <wp:positionV relativeFrom="page">
              <wp:posOffset>980524</wp:posOffset>
            </wp:positionV>
            <wp:extent cx="2400275" cy="6350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027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14"/>
          <w:pgSz w:w="11906" w:h="16838"/>
          <w:pgMar w:top="1561" w:right="1155" w:bottom="0" w:left="407" w:header="1315" w:footer="0" w:gutter="0"/>
          <w:cols w:equalWidth="0" w:num="1">
            <w:col w:w="10342" w:space="0"/>
          </w:cols>
        </w:sectPr>
        <w:rPr/>
      </w:pPr>
    </w:p>
    <w:p>
      <w:pPr>
        <w:pStyle w:val="BodyText"/>
        <w:ind w:left="871"/>
        <w:spacing w:before="45" w:line="210" w:lineRule="auto"/>
        <w:rPr/>
      </w:pPr>
      <w:r>
        <w:rPr>
          <w:color w:val="231F20"/>
          <w:spacing w:val="-12"/>
          <w:w w:val="98"/>
        </w:rPr>
        <w:t>伐（珠）单抗的利弊（2B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2"/>
          <w:w w:val="98"/>
        </w:rPr>
        <w:t>级推荐）。</w:t>
      </w:r>
    </w:p>
    <w:p>
      <w:pPr>
        <w:pStyle w:val="BodyText"/>
        <w:ind w:left="870" w:right="194" w:firstLine="367"/>
        <w:spacing w:before="39" w:line="241" w:lineRule="auto"/>
        <w:rPr/>
      </w:pPr>
      <w:r>
        <w:rPr>
          <w:rFonts w:ascii="SimHei" w:hAnsi="SimHei" w:eastAsia="SimHei" w:cs="SimHei"/>
          <w:color w:val="231F20"/>
          <w:spacing w:val="13"/>
        </w:rPr>
        <w:t>推荐意见4：</w:t>
      </w:r>
      <w:r>
        <w:rPr>
          <w:color w:val="231F20"/>
          <w:spacing w:val="13"/>
        </w:rPr>
        <w:t>子宫颈癌患者使用抗血管生成药物发生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4"/>
        </w:rPr>
        <w:t>瘘/穿孔后，应终身禁用抗血管生成药物（2A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级推荐）。</w:t>
      </w:r>
    </w:p>
    <w:p>
      <w:pPr>
        <w:pStyle w:val="BodyText"/>
        <w:ind w:left="870" w:right="194" w:firstLine="367"/>
        <w:spacing w:line="241" w:lineRule="auto"/>
        <w:jc w:val="both"/>
        <w:rPr/>
      </w:pPr>
      <w:r>
        <w:rPr>
          <w:rFonts w:ascii="SimHei" w:hAnsi="SimHei" w:eastAsia="SimHei" w:cs="SimHei"/>
          <w:color w:val="231F20"/>
          <w:spacing w:val="13"/>
        </w:rPr>
        <w:t>推荐意见5：</w:t>
      </w:r>
      <w:r>
        <w:rPr>
          <w:color w:val="231F20"/>
          <w:spacing w:val="13"/>
        </w:rPr>
        <w:t>子宫颈癌患者使用抗血管生成药物发生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5"/>
        </w:rPr>
        <w:t>瘘/穿孔后，应及时进行多学科会诊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5"/>
        </w:rPr>
        <w:t>。对于既往有放疗史的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患者，瘘位于放疗野内时，推荐行尿路或肠道改</w:t>
      </w:r>
      <w:r>
        <w:rPr>
          <w:color w:val="231F20"/>
          <w:spacing w:val="2"/>
        </w:rPr>
        <w:t>道，直接行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瘘修补术成功率极低（2A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5"/>
        </w:rPr>
        <w:t>级推荐）。</w:t>
      </w:r>
    </w:p>
    <w:p>
      <w:pPr>
        <w:pStyle w:val="BodyText"/>
        <w:ind w:left="802" w:right="194" w:firstLine="70"/>
        <w:spacing w:before="4" w:line="241" w:lineRule="auto"/>
        <w:jc w:val="both"/>
        <w:rPr/>
      </w:pPr>
      <w:r>
        <w:rPr>
          <w:color w:val="231F20"/>
          <w:spacing w:val="6"/>
        </w:rPr>
        <w:t>5.3   高血压    使用抗血管生成药物阻断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VEGF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6"/>
        </w:rPr>
        <w:t>通路后，因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一氧化氮水平下降，血管无法扩张、肾排泄量减少使水钠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0"/>
        </w:rPr>
        <w:t>潴留都可诱发高血压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0"/>
        </w:rPr>
        <w:t>。子宫颈癌患者使用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TKIs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0"/>
        </w:rPr>
        <w:t>后，高血压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是最常见的毒性反应，发生率为 19%~84%，显著高</w:t>
      </w:r>
      <w:r>
        <w:rPr>
          <w:color w:val="231F20"/>
          <w:spacing w:val="3"/>
        </w:rPr>
        <w:t>于贝伐</w:t>
      </w:r>
      <w:r>
        <w:rPr>
          <w:color w:val="231F20"/>
        </w:rPr>
        <w:t xml:space="preserve"> </w:t>
      </w:r>
      <w:r>
        <w:rPr>
          <w:color w:val="231F20"/>
          <w:spacing w:val="-16"/>
          <w:w w:val="98"/>
        </w:rPr>
        <w:t>（珠）单抗（25%</w:t>
      </w:r>
      <w:r>
        <w:rPr>
          <w:color w:val="231F20"/>
          <w:spacing w:val="-22"/>
          <w:w w:val="73"/>
        </w:rPr>
        <w:t>）</w:t>
      </w:r>
      <w:r>
        <w:rPr>
          <w:sz w:val="9"/>
          <w:szCs w:val="9"/>
          <w:color w:val="231F20"/>
          <w:spacing w:val="-6"/>
          <w:w w:val="33"/>
          <w:position w:val="6"/>
        </w:rPr>
        <w:t>［</w:t>
      </w:r>
      <w:r>
        <w:rPr>
          <w:sz w:val="9"/>
          <w:szCs w:val="9"/>
          <w:color w:val="231F20"/>
          <w:spacing w:val="-2"/>
          <w:position w:val="6"/>
        </w:rPr>
        <w:t>6］</w:t>
      </w:r>
      <w:r>
        <w:rPr>
          <w:color w:val="231F20"/>
          <w:spacing w:val="-2"/>
        </w:rPr>
        <w:t>。</w:t>
      </w:r>
    </w:p>
    <w:p>
      <w:pPr>
        <w:pStyle w:val="BodyText"/>
        <w:ind w:left="802" w:right="130" w:firstLine="424"/>
        <w:spacing w:line="241" w:lineRule="auto"/>
        <w:jc w:val="both"/>
        <w:rPr/>
      </w:pPr>
      <w:r>
        <w:rPr>
          <w:color w:val="231F20"/>
          <w:spacing w:val="10"/>
        </w:rPr>
        <w:t>抗血管生成药物使用期间的血压监测和评估</w:t>
      </w:r>
      <w:r>
        <w:rPr>
          <w:color w:val="231F20"/>
          <w:spacing w:val="9"/>
        </w:rPr>
        <w:t>需要贯穿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整个用药过程，血压评估应从给药前开始</w:t>
      </w:r>
      <w:r>
        <w:rPr>
          <w:sz w:val="9"/>
          <w:szCs w:val="9"/>
          <w:color w:val="231F20"/>
          <w:spacing w:val="7"/>
          <w:position w:val="6"/>
        </w:rPr>
        <w:t>［31］</w:t>
      </w:r>
      <w:r>
        <w:rPr>
          <w:color w:val="231F20"/>
          <w:spacing w:val="7"/>
        </w:rPr>
        <w:t>。若医院内测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量血压——诊室血压＜160/100mmHg（1mmHg=0.133kPa）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或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家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4"/>
        </w:rPr>
        <w:t>庭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4"/>
        </w:rPr>
        <w:t>血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压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监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测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4"/>
        </w:rPr>
        <w:t>值 ＜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4"/>
        </w:rPr>
        <w:t>150/95mmHg，可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4"/>
        </w:rPr>
        <w:t>以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4"/>
        </w:rPr>
        <w:t>直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4"/>
        </w:rPr>
        <w:t>接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使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用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贝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伐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（珠）单抗；用药期间血压应控制在＜160/100mmHg（诊室血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9"/>
        </w:rPr>
        <w:t>压）或 150/95mmHg（家庭血压）。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9"/>
        </w:rPr>
        <w:t>对于使用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9"/>
        </w:rPr>
        <w:t>TKIs 的患者，血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压控制标准更加严格，推荐收缩压＜140</w:t>
      </w:r>
      <w:r>
        <w:rPr>
          <w:color w:val="231F20"/>
        </w:rPr>
        <w:t>mmHg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5"/>
        </w:rPr>
        <w:t>且舒张压&lt;</w:t>
      </w:r>
      <w:r>
        <w:rPr>
          <w:color w:val="231F20"/>
        </w:rPr>
        <w:t xml:space="preserve">   </w:t>
      </w:r>
      <w:r>
        <w:rPr>
          <w:color w:val="231F20"/>
          <w:spacing w:val="1"/>
        </w:rPr>
        <w:t>90</w:t>
      </w:r>
      <w:r>
        <w:rPr>
          <w:color w:val="231F20"/>
        </w:rPr>
        <w:t>mmHg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"/>
        </w:rPr>
        <w:t>时才可开始用药。</w:t>
      </w:r>
    </w:p>
    <w:p>
      <w:pPr>
        <w:pStyle w:val="BodyText"/>
        <w:ind w:left="870" w:right="141" w:firstLine="377"/>
        <w:jc w:val="both"/>
        <w:rPr/>
      </w:pPr>
      <w:r>
        <w:rPr>
          <w:color w:val="231F20"/>
          <w:spacing w:val="-5"/>
        </w:rPr>
        <w:t>贝伐（珠）单抗用药期间血压≥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5"/>
        </w:rPr>
        <w:t>160/100mmH</w:t>
      </w:r>
      <w:r>
        <w:rPr>
          <w:color w:val="231F20"/>
          <w:spacing w:val="-6"/>
        </w:rPr>
        <w:t>g（诊室血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压）或≥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9"/>
        </w:rPr>
        <w:t>150/95mmHg（家庭血压</w:t>
      </w:r>
      <w:r>
        <w:rPr>
          <w:color w:val="231F20"/>
          <w:spacing w:val="-26"/>
          <w:w w:val="64"/>
        </w:rPr>
        <w:t>），</w:t>
      </w:r>
      <w:r>
        <w:rPr>
          <w:color w:val="231F20"/>
          <w:spacing w:val="-9"/>
        </w:rPr>
        <w:t>应停药并进行药物干预，2</w:t>
      </w:r>
      <w:r>
        <w:rPr>
          <w:color w:val="231F20"/>
        </w:rPr>
        <w:t xml:space="preserve">  </w:t>
      </w:r>
      <w:r>
        <w:rPr>
          <w:color w:val="231F20"/>
        </w:rPr>
        <w:t>周后再进行评估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，当血压＜160/100mmHg（诊室血压）或  </w:t>
      </w:r>
      <w:r>
        <w:rPr>
          <w:color w:val="231F20"/>
          <w:spacing w:val="-4"/>
        </w:rPr>
        <w:t>150/95mmHg（家庭血压）才可继续用</w:t>
      </w:r>
      <w:r>
        <w:rPr>
          <w:color w:val="231F20"/>
          <w:spacing w:val="-5"/>
        </w:rPr>
        <w:t>药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。使用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5"/>
        </w:rPr>
        <w:t>TKIs 时，高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血压多在用药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3"/>
        </w:rPr>
        <w:t>2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3"/>
        </w:rPr>
        <w:t>周内出现，患者收缩压≥180</w:t>
      </w:r>
      <w:r>
        <w:rPr>
          <w:color w:val="231F20"/>
        </w:rPr>
        <w:t>mmHg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3"/>
        </w:rPr>
        <w:t>或</w:t>
      </w:r>
      <w:r>
        <w:rPr>
          <w:color w:val="231F20"/>
          <w:spacing w:val="2"/>
        </w:rPr>
        <w:t>舒张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压≥110</w:t>
      </w:r>
      <w:r>
        <w:rPr>
          <w:color w:val="231F20"/>
        </w:rPr>
        <w:t>mmHg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5"/>
        </w:rPr>
        <w:t>或患者诉有头痛等与高血压有关的症状时，</w:t>
      </w:r>
      <w:r>
        <w:rPr>
          <w:color w:val="231F20"/>
        </w:rPr>
        <w:t xml:space="preserve"> </w:t>
      </w:r>
      <w:r>
        <w:rPr>
          <w:color w:val="231F20"/>
        </w:rPr>
        <w:t>应暂停用药并进行药物干预，血压＜160/100mmHg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或症状  </w:t>
      </w:r>
      <w:r>
        <w:rPr>
          <w:color w:val="231F20"/>
          <w:spacing w:val="8"/>
        </w:rPr>
        <w:t>缓解后才可继续用药。</w:t>
      </w:r>
    </w:p>
    <w:p>
      <w:pPr>
        <w:pStyle w:val="BodyText"/>
        <w:ind w:left="871" w:right="194" w:firstLine="360"/>
        <w:spacing w:before="13" w:line="241" w:lineRule="auto"/>
        <w:rPr/>
      </w:pPr>
      <w:r>
        <w:rPr>
          <w:color w:val="231F20"/>
          <w:spacing w:val="9"/>
        </w:rPr>
        <w:t>如果高血压经过治疗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9"/>
        </w:rPr>
        <w:t>1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9"/>
        </w:rPr>
        <w:t>个月仍未控制或出现高血压危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象或高血压性脑病，则需永久停用贝伐（珠）单抗或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TKIs。</w:t>
      </w:r>
    </w:p>
    <w:p>
      <w:pPr>
        <w:pStyle w:val="BodyText"/>
        <w:ind w:left="868" w:right="130" w:firstLine="375"/>
        <w:spacing w:before="1" w:line="241" w:lineRule="auto"/>
        <w:rPr/>
      </w:pPr>
      <w:r>
        <w:rPr>
          <w:color w:val="231F20"/>
          <w:spacing w:val="9"/>
        </w:rPr>
        <w:t>贝伐（珠）单抗的代谢主要通过内皮细胞蛋白水解完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成，肾脏和肝脏的代谢作用有限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8"/>
        </w:rPr>
        <w:t>。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8"/>
        </w:rPr>
        <w:t>因此，同时使</w:t>
      </w:r>
      <w:r>
        <w:rPr>
          <w:color w:val="231F20"/>
          <w:spacing w:val="7"/>
        </w:rPr>
        <w:t>用抗高血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压药物时发生药物相互作用的风险较小</w:t>
      </w:r>
      <w:r>
        <w:rPr>
          <w:sz w:val="9"/>
          <w:szCs w:val="9"/>
          <w:color w:val="231F20"/>
          <w:spacing w:val="7"/>
          <w:position w:val="6"/>
        </w:rPr>
        <w:t>［6</w:t>
      </w:r>
      <w:r>
        <w:rPr>
          <w:sz w:val="9"/>
          <w:szCs w:val="9"/>
          <w:color w:val="231F20"/>
          <w:spacing w:val="6"/>
          <w:position w:val="6"/>
        </w:rPr>
        <w:t>］</w:t>
      </w:r>
      <w:r>
        <w:rPr>
          <w:color w:val="231F20"/>
          <w:spacing w:val="6"/>
        </w:rPr>
        <w:t>。阿帕替尼、安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罗替尼和法米替尼等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TKIs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2"/>
        </w:rPr>
        <w:t>主要在肝脏内通过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CYP</w:t>
      </w:r>
      <w:r>
        <w:rPr>
          <w:color w:val="231F20"/>
          <w:spacing w:val="12"/>
        </w:rPr>
        <w:t>3A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2"/>
        </w:rPr>
        <w:t>等肝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药酶进行代谢，部分抗高血压药物（地尔硫卓和维拉帕米）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2"/>
        </w:rPr>
        <w:t>会抑制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CYP</w:t>
      </w:r>
      <w:r>
        <w:rPr>
          <w:color w:val="231F20"/>
          <w:spacing w:val="2"/>
        </w:rPr>
        <w:t>3A 的酶功能，应避免同时使用</w:t>
      </w:r>
      <w:r>
        <w:rPr>
          <w:sz w:val="9"/>
          <w:szCs w:val="9"/>
          <w:color w:val="231F20"/>
          <w:spacing w:val="2"/>
          <w:position w:val="6"/>
        </w:rPr>
        <w:t>［</w:t>
      </w:r>
      <w:r>
        <w:rPr>
          <w:sz w:val="9"/>
          <w:szCs w:val="9"/>
          <w:color w:val="231F20"/>
          <w:spacing w:val="1"/>
          <w:position w:val="6"/>
        </w:rPr>
        <w:t>6］</w:t>
      </w:r>
      <w:r>
        <w:rPr>
          <w:color w:val="231F20"/>
          <w:spacing w:val="1"/>
        </w:rPr>
        <w:t>。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"/>
        </w:rPr>
        <w:t>由于代谢通</w:t>
      </w:r>
      <w:r>
        <w:rPr>
          <w:color w:val="231F20"/>
        </w:rPr>
        <w:t xml:space="preserve">  </w:t>
      </w:r>
      <w:r>
        <w:rPr>
          <w:color w:val="231F20"/>
        </w:rPr>
        <w:t>路不同，贝伐（珠）单抗和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TKIs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导致的高血压，在临床用药  </w:t>
      </w:r>
      <w:r>
        <w:rPr>
          <w:color w:val="231F20"/>
          <w:spacing w:val="8"/>
        </w:rPr>
        <w:t>干预策略方面有差异。</w:t>
      </w:r>
    </w:p>
    <w:p>
      <w:pPr>
        <w:pStyle w:val="BodyText"/>
        <w:ind w:left="870" w:right="194" w:firstLine="362"/>
        <w:spacing w:before="2"/>
        <w:jc w:val="both"/>
        <w:rPr/>
      </w:pPr>
      <w:r>
        <w:rPr>
          <w:color w:val="231F20"/>
          <w:spacing w:val="2"/>
        </w:rPr>
        <w:t>在对贝伐（珠）单抗导致的高血压进行药物干预时，可 </w:t>
      </w:r>
      <w:r>
        <w:rPr>
          <w:color w:val="231F20"/>
          <w:spacing w:val="11"/>
        </w:rPr>
        <w:t>先使用钙离子受体拮抗剂（</w:t>
      </w:r>
      <w:r>
        <w:rPr>
          <w:color w:val="231F20"/>
        </w:rPr>
        <w:t>CCB</w:t>
      </w:r>
      <w:r>
        <w:rPr>
          <w:color w:val="231F20"/>
          <w:spacing w:val="-28"/>
          <w:w w:val="68"/>
        </w:rPr>
        <w:t>），</w:t>
      </w:r>
      <w:r>
        <w:rPr>
          <w:color w:val="231F20"/>
          <w:spacing w:val="11"/>
        </w:rPr>
        <w:t>推荐氨氯地平（络活喜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8"/>
          <w:w w:val="97"/>
        </w:rPr>
        <w:t>5mg，qd</w:t>
      </w:r>
      <w:r>
        <w:rPr>
          <w:color w:val="231F20"/>
          <w:spacing w:val="-15"/>
          <w:w w:val="50"/>
        </w:rPr>
        <w:t>）</w:t>
      </w:r>
      <w:r>
        <w:rPr>
          <w:sz w:val="9"/>
          <w:szCs w:val="9"/>
          <w:color w:val="231F20"/>
          <w:spacing w:val="-15"/>
          <w:w w:val="81"/>
          <w:position w:val="6"/>
        </w:rPr>
        <w:t>［</w:t>
      </w:r>
      <w:r>
        <w:rPr>
          <w:sz w:val="9"/>
          <w:szCs w:val="9"/>
          <w:color w:val="231F20"/>
          <w:spacing w:val="9"/>
          <w:position w:val="6"/>
        </w:rPr>
        <w:t>31］</w:t>
      </w:r>
      <w:r>
        <w:rPr>
          <w:color w:val="231F20"/>
          <w:spacing w:val="9"/>
        </w:rPr>
        <w:t>。用药后如果效果欠佳，可加用血管紧张</w:t>
      </w:r>
      <w:r>
        <w:rPr>
          <w:color w:val="231F20"/>
          <w:spacing w:val="8"/>
        </w:rPr>
        <w:t>素转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换酶抑制剂（</w:t>
      </w:r>
      <w:r>
        <w:rPr>
          <w:color w:val="231F20"/>
        </w:rPr>
        <w:t>ACEI</w:t>
      </w:r>
      <w:r>
        <w:rPr>
          <w:color w:val="231F20"/>
          <w:spacing w:val="2"/>
        </w:rPr>
        <w:t>）或血管紧张素Ⅱ受体拮抗剂（</w:t>
      </w:r>
      <w:r>
        <w:rPr>
          <w:color w:val="231F20"/>
        </w:rPr>
        <w:t>ARB</w:t>
      </w:r>
      <w:r>
        <w:rPr>
          <w:color w:val="231F20"/>
          <w:spacing w:val="-18"/>
          <w:w w:val="59"/>
        </w:rPr>
        <w:t>）（</w:t>
      </w:r>
      <w:r>
        <w:rPr>
          <w:color w:val="231F20"/>
          <w:spacing w:val="2"/>
        </w:rPr>
        <w:t>如 </w:t>
      </w:r>
      <w:r>
        <w:rPr>
          <w:color w:val="231F20"/>
          <w:spacing w:val="-9"/>
        </w:rPr>
        <w:t>培哚普利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9"/>
        </w:rPr>
        <w:t>2mg，qd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9"/>
        </w:rPr>
        <w:t>或氯沙坦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9"/>
        </w:rPr>
        <w:t>50mg，qd</w:t>
      </w:r>
      <w:r>
        <w:rPr>
          <w:color w:val="231F20"/>
          <w:spacing w:val="-27"/>
          <w:w w:val="66"/>
        </w:rPr>
        <w:t>）；</w:t>
      </w:r>
      <w:r>
        <w:rPr>
          <w:color w:val="231F20"/>
          <w:spacing w:val="-9"/>
        </w:rPr>
        <w:t>如果效果仍欠佳，加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用吲达帕胺（2.5mg，qd）。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6"/>
        </w:rPr>
        <w:t>使用上述方法如果仍无法达到血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压控制标准，建议转高血压专科治疗。</w:t>
      </w:r>
    </w:p>
    <w:p>
      <w:pPr>
        <w:pStyle w:val="BodyText"/>
        <w:ind w:left="870" w:right="194" w:firstLine="361"/>
        <w:spacing w:before="13" w:line="193" w:lineRule="auto"/>
        <w:rPr/>
      </w:pPr>
      <w:r>
        <w:rPr>
          <w:color w:val="231F20"/>
          <w:spacing w:val="8"/>
        </w:rPr>
        <w:t>针对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TKIs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8"/>
        </w:rPr>
        <w:t>使用后发生的高血压进行药物干预时，可首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选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ACEI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或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ARB</w:t>
      </w:r>
      <w:r>
        <w:rPr>
          <w:color w:val="231F20"/>
          <w:spacing w:val="5"/>
        </w:rPr>
        <w:t>，如果血压控制效果欠佳，可联合钙离子受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7" w:right="120" w:firstLine="1"/>
        <w:spacing w:before="39" w:line="242" w:lineRule="auto"/>
        <w:jc w:val="both"/>
        <w:rPr/>
      </w:pPr>
      <w:r>
        <w:rPr>
          <w:color w:val="231F20"/>
          <w:spacing w:val="1"/>
        </w:rPr>
        <w:t>体阻滞剂（</w:t>
      </w:r>
      <w:r>
        <w:rPr>
          <w:color w:val="231F20"/>
        </w:rPr>
        <w:t>CCB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类）±利尿药</w:t>
      </w:r>
      <w:r>
        <w:rPr>
          <w:sz w:val="9"/>
          <w:szCs w:val="9"/>
          <w:color w:val="231F20"/>
          <w:spacing w:val="1"/>
          <w:position w:val="6"/>
        </w:rPr>
        <w:t>［6］</w:t>
      </w:r>
      <w:r>
        <w:rPr>
          <w:color w:val="231F20"/>
          <w:spacing w:val="1"/>
        </w:rPr>
        <w:t>。需要注意的是，非二氢吡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啶类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CCB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5"/>
        </w:rPr>
        <w:t>包括地尔硫卓和维拉帕米会显著抑制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CYP</w:t>
      </w:r>
      <w:r>
        <w:rPr>
          <w:color w:val="231F20"/>
          <w:spacing w:val="5"/>
        </w:rPr>
        <w:t>3A，从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而影响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TKIs</w:t>
      </w:r>
      <w:r>
        <w:rPr>
          <w:color w:val="231F20"/>
          <w:spacing w:val="6"/>
        </w:rPr>
        <w:t xml:space="preserve"> 的血药浓度，应避免使用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6"/>
        </w:rPr>
        <w:t>。已有证据显示氨氯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地平对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CYP</w:t>
      </w:r>
      <w:r>
        <w:rPr>
          <w:color w:val="231F20"/>
          <w:spacing w:val="6"/>
        </w:rPr>
        <w:t>3A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6"/>
        </w:rPr>
        <w:t>等肝药酶的影响程度小且优于硝苯地平，与</w:t>
      </w:r>
      <w:r>
        <w:rPr>
          <w:color w:val="231F20"/>
        </w:rPr>
        <w:t xml:space="preserve"> </w:t>
      </w:r>
      <w:r>
        <w:rPr>
          <w:color w:val="231F20"/>
        </w:rPr>
        <w:t>TKIs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6"/>
        </w:rPr>
        <w:t>发生药物间相互作用的风险极低，可作为优先选</w:t>
      </w:r>
      <w:r>
        <w:rPr>
          <w:color w:val="231F20"/>
          <w:spacing w:val="5"/>
        </w:rPr>
        <w:t>择。</w:t>
      </w:r>
    </w:p>
    <w:p>
      <w:pPr>
        <w:pStyle w:val="BodyText"/>
        <w:ind w:left="70" w:right="120" w:firstLine="363"/>
        <w:spacing w:line="241" w:lineRule="auto"/>
        <w:jc w:val="both"/>
        <w:rPr/>
      </w:pPr>
      <w:r>
        <w:rPr>
          <w:rFonts w:ascii="SimHei" w:hAnsi="SimHei" w:eastAsia="SimHei" w:cs="SimHei"/>
          <w:color w:val="231F20"/>
          <w:spacing w:val="1"/>
        </w:rPr>
        <w:t>推荐意见</w:t>
      </w:r>
      <w:r>
        <w:rPr>
          <w:rFonts w:ascii="SimHei" w:hAnsi="SimHei" w:eastAsia="SimHei" w:cs="SimHei"/>
          <w:color w:val="231F20"/>
          <w:spacing w:val="-30"/>
        </w:rPr>
        <w:t xml:space="preserve"> </w:t>
      </w:r>
      <w:r>
        <w:rPr>
          <w:rFonts w:ascii="SimHei" w:hAnsi="SimHei" w:eastAsia="SimHei" w:cs="SimHei"/>
          <w:color w:val="231F20"/>
          <w:spacing w:val="1"/>
        </w:rPr>
        <w:t>1：</w:t>
      </w:r>
      <w:r>
        <w:rPr>
          <w:color w:val="231F20"/>
          <w:spacing w:val="1"/>
        </w:rPr>
        <w:t>高血压是使用贝伐（珠）单抗和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TKIs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"/>
        </w:rPr>
        <w:t>后的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常见不良反应，以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TKIs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8"/>
        </w:rPr>
        <w:t>用药后更为显著，推荐在用药前和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整个用药过程中对血压进行监测（1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级推荐）。</w:t>
      </w:r>
    </w:p>
    <w:p>
      <w:pPr>
        <w:pStyle w:val="BodyText"/>
        <w:ind w:left="77" w:right="120" w:firstLine="355"/>
        <w:spacing w:before="1" w:line="241" w:lineRule="auto"/>
        <w:rPr/>
      </w:pPr>
      <w:r>
        <w:rPr>
          <w:rFonts w:ascii="SimHei" w:hAnsi="SimHei" w:eastAsia="SimHei" w:cs="SimHei"/>
          <w:color w:val="231F20"/>
          <w:spacing w:val="3"/>
        </w:rPr>
        <w:t>推荐意见2：</w:t>
      </w:r>
      <w:r>
        <w:rPr>
          <w:color w:val="231F20"/>
          <w:spacing w:val="3"/>
        </w:rPr>
        <w:t>使用贝伐（珠）单抗和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TKIs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后发生高血压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时，干预指征和方案建议差异化处理（2A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5"/>
        </w:rPr>
        <w:t>级推荐）。</w:t>
      </w:r>
    </w:p>
    <w:p>
      <w:pPr>
        <w:pStyle w:val="BodyText"/>
        <w:ind w:left="68" w:right="66" w:firstLine="361"/>
        <w:spacing w:line="241" w:lineRule="auto"/>
        <w:jc w:val="both"/>
        <w:rPr/>
      </w:pPr>
      <w:r>
        <w:rPr>
          <w:rFonts w:ascii="SimHei" w:hAnsi="SimHei" w:eastAsia="SimHei" w:cs="SimHei"/>
          <w:color w:val="231F20"/>
          <w:spacing w:val="6"/>
        </w:rPr>
        <w:t>推荐意见3：</w:t>
      </w:r>
      <w:r>
        <w:rPr>
          <w:color w:val="231F20"/>
          <w:spacing w:val="6"/>
        </w:rPr>
        <w:t>使用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TKIs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6"/>
        </w:rPr>
        <w:t>后因高血压而需要药物干预时，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应避免使用非二氢吡啶类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CCB</w:t>
      </w:r>
      <w:r>
        <w:rPr>
          <w:color w:val="231F20"/>
          <w:spacing w:val="6"/>
        </w:rPr>
        <w:t>（地尔硫和维拉帕米</w:t>
      </w:r>
      <w:r>
        <w:rPr>
          <w:color w:val="231F20"/>
          <w:spacing w:val="-18"/>
          <w:w w:val="60"/>
        </w:rPr>
        <w:t>）（</w:t>
      </w:r>
      <w:r>
        <w:rPr>
          <w:color w:val="231F20"/>
          <w:spacing w:val="6"/>
        </w:rPr>
        <w:t>2A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6"/>
        </w:rPr>
        <w:t>级</w:t>
      </w:r>
      <w:r>
        <w:rPr>
          <w:color w:val="231F20"/>
        </w:rPr>
        <w:t xml:space="preserve">  </w:t>
      </w:r>
      <w:r>
        <w:rPr>
          <w:color w:val="231F20"/>
          <w:spacing w:val="-14"/>
          <w:w w:val="96"/>
        </w:rPr>
        <w:t>推荐）。</w:t>
      </w:r>
    </w:p>
    <w:p>
      <w:pPr>
        <w:pStyle w:val="BodyText"/>
        <w:ind w:left="67" w:right="120" w:firstLine="2"/>
        <w:spacing w:before="4" w:line="237" w:lineRule="auto"/>
        <w:jc w:val="both"/>
        <w:rPr/>
      </w:pPr>
      <w:r>
        <w:rPr>
          <w:color w:val="231F20"/>
          <w:spacing w:val="-6"/>
        </w:rPr>
        <w:t>5.4   蛋白尿    子宫颈癌患者使用贝伐（珠）单</w:t>
      </w:r>
      <w:r>
        <w:rPr>
          <w:color w:val="231F20"/>
          <w:spacing w:val="-7"/>
        </w:rPr>
        <w:t>抗或TKIs后，≥3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级蛋白尿的发生率较低，小于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4"/>
        </w:rPr>
        <w:t>5%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4"/>
        </w:rPr>
        <w:t>。总体上，该事件在使用</w:t>
      </w:r>
      <w:r>
        <w:rPr>
          <w:color w:val="231F20"/>
        </w:rPr>
        <w:t xml:space="preserve"> </w:t>
      </w:r>
      <w:r>
        <w:rPr>
          <w:color w:val="231F20"/>
          <w:position w:val="-1"/>
        </w:rPr>
        <w:t>TKIs</w:t>
      </w:r>
      <w:r>
        <w:rPr>
          <w:color w:val="231F20"/>
          <w:spacing w:val="-2"/>
          <w:position w:val="-1"/>
        </w:rPr>
        <w:t xml:space="preserve"> </w:t>
      </w:r>
      <w:r>
        <w:rPr>
          <w:color w:val="231F20"/>
          <w:spacing w:val="1"/>
          <w:position w:val="-1"/>
        </w:rPr>
        <w:t>的患者中更加常见</w:t>
      </w:r>
      <w:r>
        <w:rPr>
          <w:sz w:val="9"/>
          <w:szCs w:val="9"/>
          <w:color w:val="231F20"/>
          <w:spacing w:val="1"/>
          <w:position w:val="6"/>
        </w:rPr>
        <w:t>［5-6］</w:t>
      </w:r>
      <w:r>
        <w:rPr>
          <w:color w:val="231F20"/>
          <w:spacing w:val="1"/>
          <w:position w:val="-1"/>
        </w:rPr>
        <w:t>。</w:t>
      </w:r>
    </w:p>
    <w:p>
      <w:pPr>
        <w:pStyle w:val="BodyText"/>
        <w:ind w:left="67" w:right="120" w:firstLine="367"/>
        <w:spacing w:before="13" w:line="241" w:lineRule="auto"/>
        <w:jc w:val="both"/>
        <w:rPr/>
      </w:pPr>
      <w:r>
        <w:rPr>
          <w:rFonts w:ascii="SimHei" w:hAnsi="SimHei" w:eastAsia="SimHei" w:cs="SimHei"/>
          <w:color w:val="231F20"/>
          <w:spacing w:val="3"/>
        </w:rPr>
        <w:t>推荐意见</w:t>
      </w:r>
      <w:r>
        <w:rPr>
          <w:rFonts w:ascii="SimHei" w:hAnsi="SimHei" w:eastAsia="SimHei" w:cs="SimHei"/>
          <w:color w:val="231F20"/>
          <w:spacing w:val="-26"/>
        </w:rPr>
        <w:t xml:space="preserve"> </w:t>
      </w:r>
      <w:r>
        <w:rPr>
          <w:rFonts w:ascii="SimHei" w:hAnsi="SimHei" w:eastAsia="SimHei" w:cs="SimHei"/>
          <w:color w:val="231F20"/>
          <w:spacing w:val="3"/>
        </w:rPr>
        <w:t>1：</w:t>
      </w:r>
      <w:r>
        <w:rPr>
          <w:color w:val="231F20"/>
          <w:spacing w:val="3"/>
        </w:rPr>
        <w:t>建议子宫颈癌患者首次使用贝伐（珠）单</w:t>
      </w:r>
      <w:r>
        <w:rPr>
          <w:color w:val="231F20"/>
        </w:rPr>
        <w:t xml:space="preserve"> </w:t>
      </w:r>
      <w:r>
        <w:rPr>
          <w:color w:val="231F20"/>
        </w:rPr>
        <w:t>抗和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TKIs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前，常规行随机尿常规检查，尿蛋白</w:t>
      </w:r>
      <w:r>
        <w:rPr>
          <w:color w:val="231F20"/>
          <w:spacing w:val="-1"/>
        </w:rPr>
        <w:t>≥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"/>
        </w:rPr>
        <w:t>1+时行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24h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尿蛋白定量（2A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9"/>
        </w:rPr>
        <w:t>级推荐）。</w:t>
      </w:r>
    </w:p>
    <w:p>
      <w:pPr>
        <w:pStyle w:val="BodyText"/>
        <w:ind w:left="68" w:right="55" w:firstLine="366"/>
        <w:spacing w:before="1" w:line="241" w:lineRule="auto"/>
        <w:jc w:val="both"/>
        <w:rPr/>
      </w:pPr>
      <w:r>
        <w:rPr>
          <w:rFonts w:ascii="SimHei" w:hAnsi="SimHei" w:eastAsia="SimHei" w:cs="SimHei"/>
          <w:color w:val="231F20"/>
          <w:spacing w:val="4"/>
        </w:rPr>
        <w:t>推荐意见</w:t>
      </w:r>
      <w:r>
        <w:rPr>
          <w:rFonts w:ascii="SimHei" w:hAnsi="SimHei" w:eastAsia="SimHei" w:cs="SimHei"/>
          <w:color w:val="231F20"/>
          <w:spacing w:val="-50"/>
        </w:rPr>
        <w:t xml:space="preserve"> </w:t>
      </w:r>
      <w:r>
        <w:rPr>
          <w:rFonts w:ascii="SimHei" w:hAnsi="SimHei" w:eastAsia="SimHei" w:cs="SimHei"/>
          <w:color w:val="231F20"/>
          <w:spacing w:val="4"/>
        </w:rPr>
        <w:t>2：</w:t>
      </w:r>
      <w:r>
        <w:rPr>
          <w:color w:val="231F20"/>
          <w:spacing w:val="4"/>
        </w:rPr>
        <w:t>建议子宫颈癌患者在使用贝伐（珠）单抗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和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TKIs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过程中，每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3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4"/>
        </w:rPr>
        <w:t>周进行尿常规检测以确定尿蛋白情况。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如果随机尿蛋白≥2+，则行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24h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尿蛋白定量测定；24h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蛋白尿</w:t>
      </w:r>
      <w:r>
        <w:rPr>
          <w:color w:val="231F20"/>
        </w:rPr>
        <w:t xml:space="preserve">  </w:t>
      </w:r>
      <w:r>
        <w:rPr>
          <w:color w:val="231F20"/>
        </w:rPr>
        <w:t>定量＞2g，应该暂停贝伐（珠）单抗或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TKIs，密切观察直至  </w:t>
      </w:r>
      <w:r>
        <w:rPr>
          <w:color w:val="231F20"/>
          <w:spacing w:val="-5"/>
        </w:rPr>
        <w:t>24h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蛋白尿定量＜2g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5"/>
        </w:rPr>
        <w:t>才可继续用药（2</w:t>
      </w:r>
      <w:r>
        <w:rPr>
          <w:color w:val="231F20"/>
          <w:spacing w:val="-6"/>
        </w:rPr>
        <w:t>A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6"/>
        </w:rPr>
        <w:t>级推荐）。</w:t>
      </w:r>
    </w:p>
    <w:p>
      <w:pPr>
        <w:pStyle w:val="BodyText"/>
        <w:ind w:left="70" w:right="64" w:firstLine="403"/>
        <w:spacing w:before="1" w:line="241" w:lineRule="auto"/>
        <w:jc w:val="both"/>
        <w:rPr/>
      </w:pPr>
      <w:r>
        <w:rPr>
          <w:rFonts w:ascii="SimHei" w:hAnsi="SimHei" w:eastAsia="SimHei" w:cs="SimHei"/>
          <w:color w:val="231F20"/>
          <w:spacing w:val="4"/>
        </w:rPr>
        <w:t>推荐意见3：</w:t>
      </w:r>
      <w:r>
        <w:rPr>
          <w:color w:val="231F20"/>
          <w:spacing w:val="4"/>
        </w:rPr>
        <w:t>永久性停用抗血管生成药物的指征为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24h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蛋白尿定量＞3.5g（诊断肾病综合征</w:t>
      </w:r>
      <w:r>
        <w:rPr>
          <w:color w:val="231F20"/>
          <w:spacing w:val="-26"/>
          <w:w w:val="64"/>
        </w:rPr>
        <w:t>），</w:t>
      </w:r>
      <w:r>
        <w:rPr>
          <w:color w:val="231F20"/>
          <w:spacing w:val="9"/>
        </w:rPr>
        <w:t>或随机尿常规尿蛋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白≥2+且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7"/>
        </w:rPr>
        <w:t>24h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7"/>
        </w:rPr>
        <w:t>尿蛋白＞2g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持续时间超过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3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7"/>
        </w:rPr>
        <w:t>个月（2A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7"/>
        </w:rPr>
        <w:t>级推荐）。</w:t>
      </w:r>
    </w:p>
    <w:p>
      <w:pPr>
        <w:pStyle w:val="BodyText"/>
        <w:ind w:left="67" w:right="120" w:firstLine="365"/>
        <w:spacing w:before="1" w:line="241" w:lineRule="auto"/>
        <w:jc w:val="both"/>
        <w:rPr/>
      </w:pPr>
      <w:r>
        <w:rPr>
          <w:rFonts w:ascii="SimHei" w:hAnsi="SimHei" w:eastAsia="SimHei" w:cs="SimHei"/>
          <w:color w:val="231F20"/>
          <w:spacing w:val="6"/>
        </w:rPr>
        <w:t>推荐意见4：</w:t>
      </w:r>
      <w:r>
        <w:rPr>
          <w:color w:val="231F20"/>
          <w:spacing w:val="6"/>
        </w:rPr>
        <w:t>停用抗血管生成药物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6"/>
        </w:rPr>
        <w:t>2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6"/>
        </w:rPr>
        <w:t>周后，随</w:t>
      </w:r>
      <w:r>
        <w:rPr>
          <w:color w:val="231F20"/>
          <w:spacing w:val="5"/>
        </w:rPr>
        <w:t>机尿蛋白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4+或 24h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蛋白尿定量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＞2g 时，需要肾脏专科协同治疗（2A</w:t>
      </w:r>
      <w:r>
        <w:rPr>
          <w:color w:val="231F20"/>
        </w:rPr>
        <w:t xml:space="preserve"> </w:t>
      </w:r>
      <w:r>
        <w:rPr>
          <w:color w:val="231F20"/>
          <w:spacing w:val="-13"/>
          <w:w w:val="99"/>
        </w:rPr>
        <w:t>级推荐）。</w:t>
      </w:r>
    </w:p>
    <w:p>
      <w:pPr>
        <w:pStyle w:val="BodyText"/>
        <w:ind w:left="68" w:right="120" w:firstLine="1"/>
        <w:spacing w:before="3" w:line="241" w:lineRule="auto"/>
        <w:jc w:val="both"/>
        <w:rPr/>
      </w:pPr>
      <w:r>
        <w:rPr>
          <w:color w:val="231F20"/>
          <w:spacing w:val="12"/>
        </w:rPr>
        <w:t>5.5</w:t>
      </w:r>
      <w:r>
        <w:rPr>
          <w:color w:val="231F20"/>
          <w:spacing w:val="1"/>
        </w:rPr>
        <w:t xml:space="preserve">    </w:t>
      </w:r>
      <w:r>
        <w:rPr>
          <w:color w:val="231F20"/>
          <w:spacing w:val="12"/>
        </w:rPr>
        <w:t>出血和血栓栓塞事件   子宫颈癌患者接受抗血管生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成药物后，出血和血栓事件发生率低，小于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4"/>
        </w:rPr>
        <w:t>5%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4"/>
        </w:rPr>
        <w:t>。发生出血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事件的患者中，以 1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2"/>
        </w:rPr>
        <w:t>级鼻出血最常见</w:t>
      </w:r>
      <w:r>
        <w:rPr>
          <w:sz w:val="9"/>
          <w:szCs w:val="9"/>
          <w:color w:val="231F20"/>
          <w:spacing w:val="2"/>
          <w:position w:val="6"/>
        </w:rPr>
        <w:t>［5-6］</w:t>
      </w:r>
      <w:r>
        <w:rPr>
          <w:color w:val="231F20"/>
          <w:spacing w:val="2"/>
        </w:rPr>
        <w:t>。对于这一不良事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件，重点在于甄别出血和血栓高风险人群。</w:t>
      </w:r>
    </w:p>
    <w:p>
      <w:pPr>
        <w:pStyle w:val="BodyText"/>
        <w:ind w:left="67" w:right="120" w:firstLine="363"/>
        <w:spacing w:before="2" w:line="241" w:lineRule="auto"/>
        <w:jc w:val="both"/>
        <w:rPr/>
      </w:pPr>
      <w:r>
        <w:rPr>
          <w:rFonts w:ascii="SimHei" w:hAnsi="SimHei" w:eastAsia="SimHei" w:cs="SimHei"/>
          <w:color w:val="231F20"/>
          <w:spacing w:val="4"/>
        </w:rPr>
        <w:t>推荐意见</w:t>
      </w:r>
      <w:r>
        <w:rPr>
          <w:rFonts w:ascii="SimHei" w:hAnsi="SimHei" w:eastAsia="SimHei" w:cs="SimHei"/>
          <w:color w:val="231F20"/>
          <w:spacing w:val="-43"/>
        </w:rPr>
        <w:t xml:space="preserve"> </w:t>
      </w:r>
      <w:r>
        <w:rPr>
          <w:rFonts w:ascii="SimHei" w:hAnsi="SimHei" w:eastAsia="SimHei" w:cs="SimHei"/>
          <w:color w:val="231F20"/>
          <w:spacing w:val="4"/>
        </w:rPr>
        <w:t>1：</w:t>
      </w:r>
      <w:r>
        <w:rPr>
          <w:color w:val="231F20"/>
          <w:spacing w:val="4"/>
        </w:rPr>
        <w:t>子宫颈癌患者接受抗血管生成药物</w:t>
      </w:r>
      <w:r>
        <w:rPr>
          <w:color w:val="231F20"/>
          <w:spacing w:val="3"/>
        </w:rPr>
        <w:t>前，需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要常规对出血风险进行筛查，具有以下风险因素的患者应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3"/>
        </w:rPr>
        <w:t>慎用：长期或大剂量使用抗风湿/抗炎药物治疗或抗凝治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9"/>
        </w:rPr>
        <w:t>疗、既往具有动脉硬化症病史、合并消化性溃疡或有相关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6"/>
        </w:rPr>
        <w:t>病史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。如果子宫颈癌患者肿瘤侵犯大血管或患者有肺转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移且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4"/>
        </w:rPr>
        <w:t>3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4"/>
        </w:rPr>
        <w:t>个月内发生过肺出血、咯血</w:t>
      </w:r>
      <w:r>
        <w:rPr>
          <w:color w:val="231F20"/>
          <w:spacing w:val="-44"/>
          <w:w w:val="86"/>
        </w:rPr>
        <w:t>（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4"/>
          <w:w w:val="86"/>
        </w:rPr>
        <w:t>＞</w:t>
      </w:r>
      <w:r>
        <w:rPr>
          <w:color w:val="231F20"/>
          <w:spacing w:val="4"/>
        </w:rPr>
        <w:t>3</w:t>
      </w:r>
      <w:r>
        <w:rPr>
          <w:color w:val="231F20"/>
        </w:rPr>
        <w:t>mL</w:t>
      </w:r>
      <w:r>
        <w:rPr>
          <w:color w:val="231F20"/>
          <w:spacing w:val="4"/>
        </w:rPr>
        <w:t xml:space="preserve"> 的鲜红血液</w:t>
      </w:r>
      <w:r>
        <w:rPr>
          <w:color w:val="231F20"/>
          <w:spacing w:val="-44"/>
          <w:w w:val="86"/>
        </w:rPr>
        <w:t>），</w:t>
      </w:r>
      <w:r>
        <w:rPr>
          <w:color w:val="231F20"/>
          <w:spacing w:val="4"/>
        </w:rPr>
        <w:t>应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禁用抗血管生成药物（2A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5"/>
        </w:rPr>
        <w:t>级推荐）。</w:t>
      </w:r>
    </w:p>
    <w:p>
      <w:pPr>
        <w:pStyle w:val="BodyText"/>
        <w:ind w:right="120" w:firstLine="435"/>
        <w:spacing w:before="1" w:line="241" w:lineRule="auto"/>
        <w:jc w:val="both"/>
        <w:rPr/>
      </w:pPr>
      <w:r>
        <w:rPr>
          <w:rFonts w:ascii="SimHei" w:hAnsi="SimHei" w:eastAsia="SimHei" w:cs="SimHei"/>
          <w:color w:val="231F20"/>
          <w:spacing w:val="11"/>
        </w:rPr>
        <w:t>推荐意见</w:t>
      </w:r>
      <w:r>
        <w:rPr>
          <w:rFonts w:ascii="SimHei" w:hAnsi="SimHei" w:eastAsia="SimHei" w:cs="SimHei"/>
          <w:color w:val="231F20"/>
          <w:spacing w:val="-37"/>
        </w:rPr>
        <w:t xml:space="preserve"> </w:t>
      </w:r>
      <w:r>
        <w:rPr>
          <w:rFonts w:ascii="SimHei" w:hAnsi="SimHei" w:eastAsia="SimHei" w:cs="SimHei"/>
          <w:color w:val="231F20"/>
          <w:spacing w:val="11"/>
        </w:rPr>
        <w:t>2：</w:t>
      </w:r>
      <w:r>
        <w:rPr>
          <w:color w:val="231F20"/>
          <w:spacing w:val="11"/>
        </w:rPr>
        <w:t>子宫颈癌患者接受抗血管生成药物后发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生 出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3"/>
        </w:rPr>
        <w:t>血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3"/>
        </w:rPr>
        <w:t>事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3"/>
        </w:rPr>
        <w:t>件 时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3"/>
        </w:rPr>
        <w:t>，推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3"/>
        </w:rPr>
        <w:t>荐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3"/>
        </w:rPr>
        <w:t>按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3"/>
        </w:rPr>
        <w:t>照《常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3"/>
        </w:rPr>
        <w:t>见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3"/>
        </w:rPr>
        <w:t>不 良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3"/>
        </w:rPr>
        <w:t>事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3"/>
        </w:rPr>
        <w:t>件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3"/>
        </w:rPr>
        <w:t>评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3"/>
        </w:rPr>
        <w:t>价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3"/>
        </w:rPr>
        <w:t>标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3"/>
        </w:rPr>
        <w:t>准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（CTCAE）》进行评估，评价为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6"/>
        </w:rPr>
        <w:t>2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6"/>
        </w:rPr>
        <w:t>级事件时，应停药；3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6"/>
        </w:rPr>
        <w:t>级</w:t>
      </w:r>
      <w:r>
        <w:rPr>
          <w:color w:val="231F20"/>
          <w:spacing w:val="-7"/>
        </w:rPr>
        <w:t>事件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应终身禁用抗血管生成药物（2A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级推荐）。</w:t>
      </w:r>
    </w:p>
    <w:p>
      <w:pPr>
        <w:pStyle w:val="BodyText"/>
        <w:ind w:left="77" w:right="120" w:firstLine="357"/>
        <w:spacing w:before="2" w:line="193" w:lineRule="auto"/>
        <w:rPr/>
      </w:pPr>
      <w:r>
        <w:rPr>
          <w:rFonts w:ascii="SimHei" w:hAnsi="SimHei" w:eastAsia="SimHei" w:cs="SimHei"/>
          <w:color w:val="231F20"/>
          <w:spacing w:val="11"/>
        </w:rPr>
        <w:t>推荐意见</w:t>
      </w:r>
      <w:r>
        <w:rPr>
          <w:rFonts w:ascii="SimHei" w:hAnsi="SimHei" w:eastAsia="SimHei" w:cs="SimHei"/>
          <w:color w:val="231F20"/>
          <w:spacing w:val="-37"/>
        </w:rPr>
        <w:t xml:space="preserve"> </w:t>
      </w:r>
      <w:r>
        <w:rPr>
          <w:rFonts w:ascii="SimHei" w:hAnsi="SimHei" w:eastAsia="SimHei" w:cs="SimHei"/>
          <w:color w:val="231F20"/>
          <w:spacing w:val="11"/>
        </w:rPr>
        <w:t>3：</w:t>
      </w:r>
      <w:r>
        <w:rPr>
          <w:color w:val="231F20"/>
          <w:spacing w:val="11"/>
        </w:rPr>
        <w:t>使用抗血管生成药物发生血栓栓塞事件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时，临床评估和处理基本原则为“事前预防、事中监测、事</w:t>
      </w:r>
    </w:p>
    <w:p>
      <w:pPr>
        <w:spacing w:line="193" w:lineRule="auto"/>
        <w:sectPr>
          <w:type w:val="continuous"/>
          <w:pgSz w:w="11906" w:h="16838"/>
          <w:pgMar w:top="1561" w:right="1155" w:bottom="0" w:left="407" w:header="1315" w:footer="0" w:gutter="0"/>
          <w:cols w:equalWidth="0" w:num="2">
            <w:col w:w="5560" w:space="100"/>
            <w:col w:w="4683" w:space="0"/>
          </w:cols>
        </w:sectPr>
        <w:rPr/>
      </w:pPr>
    </w:p>
    <w:p>
      <w:pPr>
        <w:spacing w:before="75"/>
        <w:rPr/>
      </w:pPr>
      <w:r>
        <w:drawing>
          <wp:anchor distT="0" distB="0" distL="0" distR="0" simplePos="0" relativeHeight="251686912" behindDoc="0" locked="0" layoutInCell="0" allowOverlap="1">
            <wp:simplePos x="0" y="0"/>
            <wp:positionH relativeFrom="page">
              <wp:posOffset>4336025</wp:posOffset>
            </wp:positionH>
            <wp:positionV relativeFrom="page">
              <wp:posOffset>980524</wp:posOffset>
            </wp:positionV>
            <wp:extent cx="2400277" cy="6350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027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16"/>
          <w:pgSz w:w="11906" w:h="16838"/>
          <w:pgMar w:top="1561" w:right="1219" w:bottom="0" w:left="407" w:header="1315" w:footer="0" w:gutter="0"/>
          <w:cols w:equalWidth="0" w:num="1">
            <w:col w:w="10278" w:space="0"/>
          </w:cols>
        </w:sectPr>
        <w:rPr/>
      </w:pPr>
    </w:p>
    <w:p>
      <w:pPr>
        <w:pStyle w:val="BodyText"/>
        <w:ind w:left="872" w:right="194" w:hanging="2"/>
        <w:spacing w:before="43" w:line="241" w:lineRule="auto"/>
        <w:jc w:val="both"/>
        <w:rPr/>
      </w:pPr>
      <w:r>
        <w:rPr>
          <w:color w:val="231F20"/>
          <w:spacing w:val="9"/>
        </w:rPr>
        <w:t>后应对”。重点在于甄别血栓事件高危人群，具有以下风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8"/>
        </w:rPr>
        <w:t>险因素的患者应慎用：有动脉或静脉血栓栓塞史、年龄＞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65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岁、合并糖尿病、心脏支架植入史、合并心律失常等心血 </w:t>
      </w:r>
      <w:r>
        <w:rPr>
          <w:color w:val="231F20"/>
          <w:spacing w:val="-12"/>
          <w:w w:val="99"/>
        </w:rPr>
        <w:t>管疾病（2A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2"/>
          <w:w w:val="99"/>
        </w:rPr>
        <w:t>级推荐）。</w:t>
      </w:r>
    </w:p>
    <w:p>
      <w:pPr>
        <w:pStyle w:val="BodyText"/>
        <w:ind w:left="871" w:right="141" w:firstLine="361"/>
        <w:spacing w:before="1" w:line="241" w:lineRule="auto"/>
        <w:jc w:val="both"/>
        <w:rPr/>
      </w:pPr>
      <w:r>
        <w:rPr>
          <w:rFonts w:ascii="SimHei" w:hAnsi="SimHei" w:eastAsia="SimHei" w:cs="SimHei"/>
          <w:color w:val="231F20"/>
          <w:spacing w:val="5"/>
        </w:rPr>
        <w:t>推荐意见4：</w:t>
      </w:r>
      <w:r>
        <w:rPr>
          <w:color w:val="231F20"/>
          <w:spacing w:val="5"/>
        </w:rPr>
        <w:t>子宫颈癌患者多有盆腔病灶，容易因血管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0"/>
        </w:rPr>
        <w:t>壁受压而发生血栓事件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0"/>
        </w:rPr>
        <w:t>。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0"/>
        </w:rPr>
        <w:t>因此，使用抗血管生成药</w:t>
      </w:r>
      <w:r>
        <w:rPr>
          <w:color w:val="231F20"/>
          <w:spacing w:val="9"/>
        </w:rPr>
        <w:t>物前，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推荐常规行下肢血管超声检查以对血栓进行筛</w:t>
      </w:r>
      <w:r>
        <w:rPr>
          <w:color w:val="231F20"/>
          <w:spacing w:val="6"/>
        </w:rPr>
        <w:t>查（2B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6"/>
        </w:rPr>
        <w:t>级推</w:t>
      </w:r>
      <w:r>
        <w:rPr>
          <w:color w:val="231F20"/>
        </w:rPr>
        <w:t xml:space="preserve">  </w:t>
      </w:r>
      <w:r>
        <w:rPr>
          <w:color w:val="231F20"/>
          <w:spacing w:val="-17"/>
          <w:w w:val="92"/>
        </w:rPr>
        <w:t>荐）。</w:t>
      </w:r>
    </w:p>
    <w:p>
      <w:pPr>
        <w:pStyle w:val="BodyText"/>
        <w:ind w:left="869" w:right="141" w:firstLine="363"/>
        <w:spacing w:before="1" w:line="241" w:lineRule="auto"/>
        <w:jc w:val="both"/>
        <w:rPr/>
      </w:pPr>
      <w:r>
        <w:rPr>
          <w:rFonts w:ascii="SimHei" w:hAnsi="SimHei" w:eastAsia="SimHei" w:cs="SimHei"/>
          <w:color w:val="231F20"/>
          <w:spacing w:val="13"/>
        </w:rPr>
        <w:t>推荐意见5：</w:t>
      </w:r>
      <w:r>
        <w:rPr>
          <w:color w:val="231F20"/>
          <w:spacing w:val="13"/>
        </w:rPr>
        <w:t>子宫颈癌患者使用抗血管生成药物后发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9"/>
        </w:rPr>
        <w:t>生血栓栓塞事件时，应首先确定属于动脉栓塞还是静脉栓  </w:t>
      </w:r>
      <w:r>
        <w:rPr>
          <w:color w:val="231F20"/>
          <w:spacing w:val="9"/>
        </w:rPr>
        <w:t>塞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。发生任何级别动脉血栓事件，应永久停</w:t>
      </w:r>
      <w:r>
        <w:rPr>
          <w:color w:val="231F20"/>
          <w:spacing w:val="8"/>
        </w:rPr>
        <w:t>用抗血管生成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药物，并立即请专科医师协助诊治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6"/>
        </w:rPr>
        <w:t>。发生</w:t>
      </w:r>
      <w:r>
        <w:rPr>
          <w:rFonts w:ascii="Arial" w:hAnsi="Arial" w:eastAsia="Arial" w:cs="Arial"/>
          <w:color w:val="231F20"/>
          <w:spacing w:val="6"/>
        </w:rPr>
        <w:t>≥</w:t>
      </w:r>
      <w:r>
        <w:rPr>
          <w:color w:val="231F20"/>
          <w:spacing w:val="6"/>
        </w:rPr>
        <w:t>3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6"/>
        </w:rPr>
        <w:t>级静脉栓塞事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件（需要紧急医学干预，包括肺栓塞或心脏腔内栓塞</w:t>
      </w:r>
      <w:r>
        <w:rPr>
          <w:color w:val="231F20"/>
          <w:spacing w:val="4"/>
        </w:rPr>
        <w:t>）时，</w:t>
      </w:r>
      <w:r>
        <w:rPr>
          <w:color w:val="231F20"/>
        </w:rPr>
        <w:t xml:space="preserve"> </w:t>
      </w:r>
      <w:r>
        <w:rPr>
          <w:color w:val="231F20"/>
        </w:rPr>
        <w:t>需停药至少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2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周，待稳定后再开始继续用药；发生 1~2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级静  </w:t>
      </w:r>
      <w:r>
        <w:rPr>
          <w:color w:val="231F20"/>
          <w:spacing w:val="9"/>
        </w:rPr>
        <w:t>脉栓塞事件时，可在使用低分子肝素的同时继续使用抗血  </w:t>
      </w:r>
      <w:r>
        <w:rPr>
          <w:color w:val="231F20"/>
          <w:spacing w:val="-9"/>
        </w:rPr>
        <w:t>管生成药物（2A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9"/>
        </w:rPr>
        <w:t>级推荐）。</w:t>
      </w:r>
    </w:p>
    <w:p>
      <w:pPr>
        <w:pStyle w:val="BodyText"/>
        <w:ind w:left="870" w:right="194" w:firstLine="1"/>
        <w:spacing w:before="2" w:line="241" w:lineRule="auto"/>
        <w:jc w:val="both"/>
        <w:rPr/>
      </w:pPr>
      <w:r>
        <w:rPr>
          <w:color w:val="231F20"/>
          <w:spacing w:val="10"/>
        </w:rPr>
        <w:t>5.6   其他常见不良反应    子宫颈癌患者使用抗血管生成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药物后，其他较常见的不良反应还包括手足综合征、肝功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能异常、胃肠道反应、口腔-黏膜炎等</w:t>
      </w:r>
      <w:r>
        <w:rPr>
          <w:sz w:val="9"/>
          <w:szCs w:val="9"/>
          <w:color w:val="231F20"/>
          <w:position w:val="6"/>
        </w:rPr>
        <w:t>［5-6］</w:t>
      </w:r>
      <w:r>
        <w:rPr>
          <w:color w:val="231F20"/>
        </w:rPr>
        <w:t>。总体上，这些事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6"/>
        </w:rPr>
        <w:t>件在使用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TKIs</w:t>
      </w:r>
      <w:r>
        <w:rPr>
          <w:color w:val="231F20"/>
          <w:spacing w:val="6"/>
        </w:rPr>
        <w:t xml:space="preserve"> 的患者中更为常见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6"/>
        </w:rPr>
        <w:t>。此外，如果患者需要使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用贝伐（珠）单抗，不建议用药前后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6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周内行重大手术</w:t>
      </w:r>
      <w:r>
        <w:rPr>
          <w:color w:val="231F20"/>
          <w:spacing w:val="-4"/>
        </w:rPr>
        <w:t>，以降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低吻合口瘘和切口愈合不良的发生风险</w:t>
      </w:r>
      <w:r>
        <w:rPr>
          <w:sz w:val="9"/>
          <w:szCs w:val="9"/>
          <w:color w:val="231F20"/>
          <w:spacing w:val="4"/>
          <w:position w:val="6"/>
        </w:rPr>
        <w:t>［5］</w:t>
      </w:r>
      <w:r>
        <w:rPr>
          <w:color w:val="231F20"/>
          <w:spacing w:val="4"/>
        </w:rPr>
        <w:t>。</w:t>
      </w:r>
    </w:p>
    <w:p>
      <w:pPr>
        <w:pStyle w:val="BodyText"/>
        <w:ind w:left="871" w:right="194" w:firstLine="361"/>
        <w:spacing w:line="247" w:lineRule="auto"/>
        <w:rPr/>
      </w:pPr>
      <w:r>
        <w:rPr>
          <w:rFonts w:ascii="SimHei" w:hAnsi="SimHei" w:eastAsia="SimHei" w:cs="SimHei"/>
          <w:color w:val="231F20"/>
          <w:spacing w:val="-3"/>
        </w:rPr>
        <w:t>推荐意见：</w:t>
      </w:r>
      <w:r>
        <w:rPr>
          <w:color w:val="231F20"/>
          <w:spacing w:val="-3"/>
        </w:rPr>
        <w:t>患者需要使用贝伐（珠）单抗时，</w:t>
      </w:r>
      <w:r>
        <w:rPr>
          <w:color w:val="231F20"/>
          <w:spacing w:val="-4"/>
        </w:rPr>
        <w:t>用药前后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6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周内禁行重大手术（1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6"/>
        </w:rPr>
        <w:t>级推荐）。</w:t>
      </w:r>
    </w:p>
    <w:p>
      <w:pPr>
        <w:ind w:left="873"/>
        <w:spacing w:before="280" w:line="230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6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结语</w:t>
      </w:r>
    </w:p>
    <w:p>
      <w:pPr>
        <w:pStyle w:val="BodyText"/>
        <w:ind w:left="868" w:right="141" w:firstLine="360"/>
        <w:spacing w:before="85" w:line="241" w:lineRule="auto"/>
        <w:jc w:val="both"/>
        <w:rPr/>
      </w:pPr>
      <w:r>
        <w:rPr>
          <w:color w:val="231F20"/>
          <w:spacing w:val="18"/>
        </w:rPr>
        <w:t>抗血管生成药物在晚期和复发性子宫颈癌治</w:t>
      </w:r>
      <w:r>
        <w:rPr>
          <w:color w:val="231F20"/>
          <w:spacing w:val="17"/>
        </w:rPr>
        <w:t>疗中发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挥了重要作用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。该类药物包括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8"/>
        </w:rPr>
        <w:t>3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8"/>
        </w:rPr>
        <w:t>大类，子宫颈癌治疗中以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贝伐（珠）单抗相关证据最为充分，TKIs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5"/>
        </w:rPr>
        <w:t>次之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5"/>
        </w:rPr>
        <w:t>。贝伐（珠）单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抗用于治疗晚期子宫颈癌的适应证已在我国获批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6"/>
        </w:rPr>
        <w:t>。抗血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管生成药物与其他药物联合应用可发挥更好的疗效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6"/>
        </w:rPr>
        <w:t>。贝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伐（珠）单抗联合化疗-免疫治疗、</w:t>
      </w:r>
      <w:r>
        <w:rPr>
          <w:color w:val="231F20"/>
        </w:rPr>
        <w:t>TKIs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6"/>
        </w:rPr>
        <w:t>联合免疫治疗已成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为改善晚期子宫颈癌患者预后的重要方法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5"/>
        </w:rPr>
        <w:t>。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5"/>
        </w:rPr>
        <w:t>由于绝大多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数晚期和复发性子宫颈癌为不可治愈性，患者预后极</w:t>
      </w:r>
      <w:r>
        <w:rPr>
          <w:color w:val="231F20"/>
          <w:spacing w:val="11"/>
        </w:rPr>
        <w:t>差，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故应用抗血管生成药物时，应平衡肿瘤治疗</w:t>
      </w:r>
      <w:r>
        <w:rPr>
          <w:color w:val="231F20"/>
          <w:spacing w:val="9"/>
        </w:rPr>
        <w:t>疗效和患者生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存质量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6"/>
        </w:rPr>
        <w:t>。对抗血管生成药物相关不良反应进行全面评估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和科学处理，有助于在保证患者生存质量的</w:t>
      </w:r>
      <w:r>
        <w:rPr>
          <w:color w:val="231F20"/>
          <w:spacing w:val="9"/>
        </w:rPr>
        <w:t>同时取得更好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的肿瘤治疗效果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8"/>
        </w:rPr>
        <w:t>。本指南在编写过程中，始终秉承“尊重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证据、兼顾经验和全面系统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2"/>
        </w:rPr>
        <w:t>”的原则，旨在全面推动抗血管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生成药物在我国子宫颈癌临床治疗中的规范</w:t>
      </w:r>
      <w:r>
        <w:rPr>
          <w:color w:val="231F20"/>
          <w:spacing w:val="9"/>
        </w:rPr>
        <w:t>应用，以期患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者从该类药物中获得充分的益处。</w:t>
      </w:r>
    </w:p>
    <w:p>
      <w:pPr>
        <w:pStyle w:val="BodyText"/>
        <w:ind w:left="1231"/>
        <w:spacing w:before="1" w:line="214" w:lineRule="auto"/>
        <w:rPr/>
      </w:pPr>
      <w:r>
        <w:rPr>
          <w:color w:val="231F20"/>
          <w:spacing w:val="5"/>
        </w:rPr>
        <w:t>利益冲突：专家组所有成员均声明不存在利益冲突。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ind w:left="1231"/>
        <w:spacing w:before="56" w:line="229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参与编写指南专家组成员</w:t>
      </w:r>
    </w:p>
    <w:p>
      <w:pPr>
        <w:pStyle w:val="BodyText"/>
        <w:ind w:left="802" w:right="194" w:firstLine="433"/>
        <w:spacing w:before="81" w:line="217" w:lineRule="auto"/>
        <w:rPr/>
      </w:pPr>
      <w:r>
        <w:rPr>
          <w:rFonts w:ascii="SimHei" w:hAnsi="SimHei" w:eastAsia="SimHei" w:cs="SimHei"/>
          <w:color w:val="231F20"/>
          <w:spacing w:val="3"/>
        </w:rPr>
        <w:t>专家委员会：</w:t>
      </w:r>
      <w:r>
        <w:rPr>
          <w:color w:val="231F20"/>
          <w:spacing w:val="3"/>
        </w:rPr>
        <w:t>林仲秋（中山大学孙逸仙纪念医院</w:t>
      </w:r>
      <w:r>
        <w:rPr>
          <w:color w:val="231F20"/>
          <w:spacing w:val="-24"/>
          <w:w w:val="58"/>
        </w:rPr>
        <w:t>）；</w:t>
      </w:r>
      <w:r>
        <w:rPr>
          <w:color w:val="231F20"/>
          <w:spacing w:val="2"/>
        </w:rPr>
        <w:t>周琦 </w:t>
      </w:r>
      <w:r>
        <w:rPr>
          <w:color w:val="231F20"/>
          <w:spacing w:val="10"/>
        </w:rPr>
        <w:t>（重庆大学附属肿瘤医院/重庆市肿瘤医院</w:t>
      </w:r>
      <w:r>
        <w:rPr>
          <w:color w:val="231F20"/>
          <w:spacing w:val="-25"/>
          <w:w w:val="61"/>
        </w:rPr>
        <w:t>）；</w:t>
      </w:r>
      <w:r>
        <w:rPr>
          <w:color w:val="231F20"/>
          <w:spacing w:val="10"/>
        </w:rPr>
        <w:t>盛修贵（中国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0"/>
        </w:rPr>
        <w:t>医学科学院肿瘤医院</w:t>
      </w:r>
      <w:r>
        <w:rPr>
          <w:color w:val="231F20"/>
          <w:spacing w:val="-30"/>
          <w:w w:val="73"/>
        </w:rPr>
        <w:t>）；</w:t>
      </w:r>
      <w:r>
        <w:rPr>
          <w:color w:val="231F20"/>
          <w:spacing w:val="20"/>
        </w:rPr>
        <w:t>王丹波（大连理工大学附属肿瘤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96"/>
        <w:spacing w:before="39"/>
        <w:jc w:val="both"/>
        <w:rPr/>
      </w:pPr>
      <w:r>
        <w:rPr>
          <w:color w:val="231F20"/>
          <w:spacing w:val="6"/>
        </w:rPr>
        <w:t>医院/辽宁省肿瘤医院</w:t>
      </w:r>
      <w:r>
        <w:rPr>
          <w:color w:val="231F20"/>
          <w:spacing w:val="-31"/>
          <w:w w:val="76"/>
        </w:rPr>
        <w:t>）；</w:t>
      </w:r>
      <w:r>
        <w:rPr>
          <w:color w:val="231F20"/>
          <w:spacing w:val="6"/>
        </w:rPr>
        <w:t>李斌（中国医学科学院肿瘤医院</w:t>
      </w:r>
      <w:r>
        <w:rPr>
          <w:color w:val="231F20"/>
          <w:spacing w:val="-31"/>
          <w:w w:val="76"/>
        </w:rPr>
        <w:t>）；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刘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开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江（上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4"/>
        </w:rPr>
        <w:t>海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交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通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4"/>
        </w:rPr>
        <w:t>大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学 医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学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院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附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4"/>
        </w:rPr>
        <w:t>属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4"/>
        </w:rPr>
        <w:t>仁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4"/>
        </w:rPr>
        <w:t>济 医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院</w:t>
      </w:r>
      <w:r>
        <w:rPr>
          <w:color w:val="231F20"/>
          <w:spacing w:val="-40"/>
        </w:rPr>
        <w:t>）；</w:t>
      </w:r>
      <w:r>
        <w:rPr>
          <w:color w:val="231F20"/>
          <w:spacing w:val="-4"/>
        </w:rPr>
        <w:t>田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5"/>
        </w:rPr>
        <w:t>小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5"/>
        </w:rPr>
        <w:t>飞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（陕西省肿瘤医院</w:t>
      </w:r>
      <w:r>
        <w:rPr>
          <w:color w:val="231F20"/>
          <w:spacing w:val="-27"/>
          <w:w w:val="66"/>
        </w:rPr>
        <w:t>）；</w:t>
      </w:r>
      <w:r>
        <w:rPr>
          <w:color w:val="231F20"/>
          <w:spacing w:val="11"/>
        </w:rPr>
        <w:t>朱滔（浙江省肿瘤医院）</w:t>
      </w:r>
    </w:p>
    <w:p>
      <w:pPr>
        <w:pStyle w:val="BodyText"/>
        <w:ind w:left="83" w:right="56" w:firstLine="352"/>
        <w:spacing w:before="3" w:line="239" w:lineRule="auto"/>
        <w:jc w:val="both"/>
        <w:rPr/>
      </w:pPr>
      <w:r>
        <w:rPr>
          <w:rFonts w:ascii="SimHei" w:hAnsi="SimHei" w:eastAsia="SimHei" w:cs="SimHei"/>
          <w:color w:val="231F20"/>
          <w:spacing w:val="2"/>
        </w:rPr>
        <w:t>主编：</w:t>
      </w:r>
      <w:r>
        <w:rPr>
          <w:color w:val="231F20"/>
          <w:spacing w:val="2"/>
        </w:rPr>
        <w:t>李晶（中山大学孙逸仙纪念医院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2"/>
        </w:rPr>
        <w:t>林仲秋（中山 </w:t>
      </w:r>
      <w:r>
        <w:rPr>
          <w:color w:val="231F20"/>
          <w:spacing w:val="17"/>
        </w:rPr>
        <w:t>大学孙逸仙纪念医院</w:t>
      </w:r>
      <w:r>
        <w:rPr>
          <w:color w:val="231F20"/>
          <w:spacing w:val="-27"/>
          <w:w w:val="67"/>
        </w:rPr>
        <w:t>）；</w:t>
      </w:r>
      <w:r>
        <w:rPr>
          <w:color w:val="231F20"/>
          <w:spacing w:val="17"/>
        </w:rPr>
        <w:t>吴鸣（中国医学科学院北京协和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"/>
        </w:rPr>
        <w:t>医院）</w:t>
      </w:r>
    </w:p>
    <w:p>
      <w:pPr>
        <w:pStyle w:val="BodyText"/>
        <w:ind w:left="83" w:right="56" w:firstLine="350"/>
        <w:spacing w:before="3" w:line="239" w:lineRule="auto"/>
        <w:jc w:val="both"/>
        <w:rPr/>
      </w:pPr>
      <w:r>
        <w:rPr>
          <w:rFonts w:ascii="SimHei" w:hAnsi="SimHei" w:eastAsia="SimHei" w:cs="SimHei"/>
          <w:color w:val="231F20"/>
          <w:spacing w:val="-4"/>
        </w:rPr>
        <w:t>副主编：</w:t>
      </w:r>
      <w:r>
        <w:rPr>
          <w:color w:val="231F20"/>
          <w:spacing w:val="-4"/>
        </w:rPr>
        <w:t>尹如铁（四川大学华西第二医院</w:t>
      </w:r>
      <w:r>
        <w:rPr>
          <w:color w:val="231F20"/>
          <w:spacing w:val="-22"/>
          <w:w w:val="55"/>
        </w:rPr>
        <w:t>）；</w:t>
      </w:r>
      <w:r>
        <w:rPr>
          <w:color w:val="231F20"/>
          <w:spacing w:val="-4"/>
        </w:rPr>
        <w:t>高雨农（北京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大学肿瘤医院</w:t>
      </w:r>
      <w:r>
        <w:rPr>
          <w:color w:val="231F20"/>
          <w:spacing w:val="-26"/>
          <w:w w:val="64"/>
        </w:rPr>
        <w:t>）；</w:t>
      </w:r>
      <w:r>
        <w:rPr>
          <w:color w:val="231F20"/>
          <w:spacing w:val="10"/>
        </w:rPr>
        <w:t>姜洁（山东大学齐鲁医院</w:t>
      </w:r>
      <w:r>
        <w:rPr>
          <w:color w:val="231F20"/>
          <w:spacing w:val="-26"/>
          <w:w w:val="64"/>
        </w:rPr>
        <w:t>）；</w:t>
      </w:r>
      <w:r>
        <w:rPr>
          <w:color w:val="231F20"/>
          <w:spacing w:val="10"/>
        </w:rPr>
        <w:t>吴妙芳（中山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7"/>
        </w:rPr>
        <w:t>大学孙逸仙纪念医院）</w:t>
      </w:r>
    </w:p>
    <w:p>
      <w:pPr>
        <w:pStyle w:val="BodyText"/>
        <w:ind w:firstLine="475"/>
        <w:spacing w:before="17"/>
        <w:jc w:val="both"/>
        <w:rPr/>
      </w:pPr>
      <w:r>
        <w:rPr>
          <w:rFonts w:ascii="SimHei" w:hAnsi="SimHei" w:eastAsia="SimHei" w:cs="SimHei"/>
          <w:color w:val="231F20"/>
          <w:spacing w:val="1"/>
        </w:rPr>
        <w:t>编委（按姓氏笔画排序</w:t>
      </w:r>
      <w:r>
        <w:rPr>
          <w:rFonts w:ascii="SimHei" w:hAnsi="SimHei" w:eastAsia="SimHei" w:cs="SimHei"/>
          <w:color w:val="231F20"/>
          <w:spacing w:val="-35"/>
          <w:w w:val="76"/>
        </w:rPr>
        <w:t>）：</w:t>
      </w:r>
      <w:r>
        <w:rPr>
          <w:color w:val="231F20"/>
          <w:spacing w:val="1"/>
        </w:rPr>
        <w:t>王建六（北京大学人民医院</w:t>
      </w:r>
      <w:r>
        <w:rPr>
          <w:color w:val="231F20"/>
          <w:spacing w:val="-35"/>
          <w:w w:val="76"/>
        </w:rPr>
        <w:t>）；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7"/>
        </w:rPr>
        <w:t>王莉（河南省肿瘤医院</w:t>
      </w:r>
      <w:r>
        <w:rPr>
          <w:color w:val="231F20"/>
          <w:spacing w:val="-37"/>
          <w:w w:val="91"/>
        </w:rPr>
        <w:t>）；</w:t>
      </w:r>
      <w:r>
        <w:rPr>
          <w:color w:val="231F20"/>
          <w:spacing w:val="17"/>
        </w:rPr>
        <w:t>王薇（广州医科大学附属第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7"/>
        </w:rPr>
        <w:t>一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医院</w:t>
      </w:r>
      <w:r>
        <w:rPr>
          <w:color w:val="231F20"/>
          <w:spacing w:val="-27"/>
          <w:w w:val="67"/>
        </w:rPr>
        <w:t>）；</w:t>
      </w:r>
      <w:r>
        <w:rPr>
          <w:color w:val="231F20"/>
          <w:spacing w:val="13"/>
        </w:rPr>
        <w:t>尹如铁（四川大学华西第二医院</w:t>
      </w:r>
      <w:r>
        <w:rPr>
          <w:color w:val="231F20"/>
          <w:spacing w:val="-27"/>
          <w:w w:val="67"/>
        </w:rPr>
        <w:t>）；</w:t>
      </w:r>
      <w:r>
        <w:rPr>
          <w:color w:val="231F20"/>
          <w:spacing w:val="13"/>
        </w:rPr>
        <w:t>申鹏（南方医科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大学南方医院</w:t>
      </w:r>
      <w:r>
        <w:rPr>
          <w:color w:val="231F20"/>
          <w:spacing w:val="-22"/>
          <w:w w:val="55"/>
        </w:rPr>
        <w:t>）；</w:t>
      </w:r>
      <w:r>
        <w:rPr>
          <w:color w:val="231F20"/>
          <w:spacing w:val="8"/>
        </w:rPr>
        <w:t>生秀杰（广州医科大学附属第三医院</w:t>
      </w:r>
      <w:r>
        <w:rPr>
          <w:color w:val="231F20"/>
          <w:spacing w:val="-22"/>
          <w:w w:val="55"/>
        </w:rPr>
        <w:t>）；</w:t>
      </w:r>
      <w:r>
        <w:rPr>
          <w:color w:val="231F20"/>
          <w:spacing w:val="8"/>
        </w:rPr>
        <w:t>朱滔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4"/>
        </w:rPr>
        <w:t>（浙江省肿瘤医院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李从铸（汕头大学肿瘤医院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李玉芝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2"/>
        </w:rPr>
        <w:t>（蚌埠医学院附属第一医院</w:t>
      </w:r>
      <w:r>
        <w:rPr>
          <w:color w:val="231F20"/>
          <w:spacing w:val="-34"/>
          <w:w w:val="83"/>
        </w:rPr>
        <w:t>）；</w:t>
      </w:r>
      <w:r>
        <w:rPr>
          <w:color w:val="231F20"/>
          <w:spacing w:val="12"/>
        </w:rPr>
        <w:t>李兴（武汉大学人民医院</w:t>
      </w:r>
      <w:r>
        <w:rPr>
          <w:color w:val="231F20"/>
          <w:spacing w:val="-34"/>
          <w:w w:val="83"/>
        </w:rPr>
        <w:t>）；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6"/>
        </w:rPr>
        <w:t>李政（云南省肿瘤医院</w:t>
      </w:r>
      <w:r>
        <w:rPr>
          <w:color w:val="231F20"/>
          <w:spacing w:val="-31"/>
          <w:w w:val="76"/>
        </w:rPr>
        <w:t>）；</w:t>
      </w:r>
      <w:r>
        <w:rPr>
          <w:color w:val="231F20"/>
          <w:spacing w:val="6"/>
        </w:rPr>
        <w:t>李晶（中山大学孙逸仙纪念医院</w:t>
      </w:r>
      <w:r>
        <w:rPr>
          <w:color w:val="231F20"/>
          <w:spacing w:val="-31"/>
          <w:w w:val="76"/>
        </w:rPr>
        <w:t>）；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吴鸣（中国医学科学院北京协和医院</w:t>
      </w:r>
      <w:r>
        <w:rPr>
          <w:color w:val="231F20"/>
          <w:spacing w:val="-25"/>
          <w:w w:val="62"/>
        </w:rPr>
        <w:t>）；</w:t>
      </w:r>
      <w:r>
        <w:rPr>
          <w:color w:val="231F20"/>
          <w:spacing w:val="6"/>
        </w:rPr>
        <w:t>何勉（中山大学附属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第一医院</w:t>
      </w:r>
      <w:r>
        <w:rPr>
          <w:color w:val="231F20"/>
          <w:spacing w:val="-25"/>
          <w:w w:val="61"/>
        </w:rPr>
        <w:t>）；</w:t>
      </w:r>
      <w:r>
        <w:rPr>
          <w:color w:val="231F20"/>
          <w:spacing w:val="10"/>
        </w:rPr>
        <w:t>佟锐（大连理工大学附属肿瘤医院/辽宁省肿瘤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医院</w:t>
      </w:r>
      <w:r>
        <w:rPr>
          <w:color w:val="231F20"/>
          <w:spacing w:val="-27"/>
          <w:w w:val="66"/>
        </w:rPr>
        <w:t>）；</w:t>
      </w:r>
      <w:r>
        <w:rPr>
          <w:color w:val="231F20"/>
          <w:spacing w:val="1"/>
        </w:rPr>
        <w:t>张国楠（四川省肿瘤医院</w:t>
      </w:r>
      <w:r>
        <w:rPr>
          <w:color w:val="231F20"/>
          <w:spacing w:val="-27"/>
          <w:w w:val="66"/>
        </w:rPr>
        <w:t>）；</w:t>
      </w:r>
      <w:r>
        <w:rPr>
          <w:color w:val="231F20"/>
          <w:spacing w:val="1"/>
        </w:rPr>
        <w:t>张瑜（中南大学湘雅医院</w:t>
      </w:r>
      <w:r>
        <w:rPr>
          <w:color w:val="231F20"/>
          <w:spacing w:val="-27"/>
          <w:w w:val="66"/>
        </w:rPr>
        <w:t>）；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陈刚（华中科技大学同济医学院附属协和医院</w:t>
      </w:r>
      <w:r>
        <w:rPr>
          <w:color w:val="231F20"/>
          <w:spacing w:val="-22"/>
          <w:w w:val="54"/>
        </w:rPr>
        <w:t>）；</w:t>
      </w:r>
      <w:r>
        <w:rPr>
          <w:color w:val="231F20"/>
        </w:rPr>
        <w:t>林仲秋（中山  </w:t>
      </w:r>
      <w:r>
        <w:rPr>
          <w:color w:val="231F20"/>
          <w:spacing w:val="13"/>
        </w:rPr>
        <w:t>大学孙逸仙纪念医院</w:t>
      </w:r>
      <w:r>
        <w:rPr>
          <w:color w:val="231F20"/>
          <w:spacing w:val="-32"/>
          <w:w w:val="78"/>
        </w:rPr>
        <w:t>）；</w:t>
      </w:r>
      <w:r>
        <w:rPr>
          <w:color w:val="231F20"/>
          <w:spacing w:val="13"/>
        </w:rPr>
        <w:t>周圣涛（四川大学华西第二医院</w:t>
      </w:r>
      <w:r>
        <w:rPr>
          <w:color w:val="231F20"/>
          <w:spacing w:val="-32"/>
          <w:w w:val="78"/>
        </w:rPr>
        <w:t>）；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3"/>
        </w:rPr>
        <w:t>周琦（重庆大学附属肿瘤医院/重庆市肿瘤医院</w:t>
      </w:r>
      <w:r>
        <w:rPr>
          <w:color w:val="231F20"/>
          <w:spacing w:val="-25"/>
          <w:w w:val="61"/>
        </w:rPr>
        <w:t>）；</w:t>
      </w:r>
      <w:r>
        <w:rPr>
          <w:color w:val="231F20"/>
          <w:spacing w:val="3"/>
        </w:rPr>
        <w:t>姜洁（山东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20"/>
        </w:rPr>
        <w:t>大学齐鲁医院</w:t>
      </w:r>
      <w:r>
        <w:rPr>
          <w:color w:val="231F20"/>
          <w:spacing w:val="-34"/>
          <w:w w:val="84"/>
        </w:rPr>
        <w:t>）；</w:t>
      </w:r>
      <w:r>
        <w:rPr>
          <w:color w:val="231F20"/>
          <w:spacing w:val="20"/>
        </w:rPr>
        <w:t>姚德生（广西医科大学附属肿瘤医院</w:t>
      </w:r>
      <w:r>
        <w:rPr>
          <w:color w:val="231F20"/>
          <w:spacing w:val="-34"/>
          <w:w w:val="84"/>
        </w:rPr>
        <w:t>）；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0"/>
        </w:rPr>
        <w:t>高雨农（北京大学肿瘤医院）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ind w:left="72"/>
        <w:spacing w:before="56" w:line="230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参考文献</w:t>
      </w:r>
    </w:p>
    <w:p>
      <w:pPr>
        <w:pStyle w:val="BodyText"/>
        <w:ind w:left="469" w:right="8" w:hanging="457"/>
        <w:spacing w:before="79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［1］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12"/>
        </w:rPr>
        <w:t>Chen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W，Zheng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R，Baade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2"/>
        </w:rPr>
        <w:t>PD，et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Cancer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statistics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2"/>
        </w:rPr>
        <w:t>China，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2015［J］. CA Cancer J Clin，2016，66（2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14"/>
        </w:rPr>
        <w:t>115-132.</w:t>
      </w:r>
    </w:p>
    <w:p>
      <w:pPr>
        <w:pStyle w:val="BodyText"/>
        <w:ind w:left="407" w:right="56" w:hanging="395"/>
        <w:spacing w:before="42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［2］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1"/>
        </w:rPr>
        <w:t>Xia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C，Dong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X，Li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H，et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Cancer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statistics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i</w:t>
      </w:r>
      <w:r>
        <w:rPr>
          <w:sz w:val="15"/>
          <w:szCs w:val="15"/>
          <w:color w:val="231F20"/>
          <w:spacing w:val="-12"/>
        </w:rPr>
        <w:t>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China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United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States，2022：profiles，trends，and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determinants［J］</w:t>
      </w:r>
      <w:r>
        <w:rPr>
          <w:sz w:val="15"/>
          <w:szCs w:val="15"/>
          <w:color w:val="231F20"/>
          <w:spacing w:val="-15"/>
        </w:rPr>
        <w:t>.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5"/>
        </w:rPr>
        <w:t>Chin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5"/>
        </w:rPr>
        <w:t>Med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（Engl</w:t>
      </w:r>
      <w:r>
        <w:rPr>
          <w:sz w:val="15"/>
          <w:szCs w:val="15"/>
          <w:color w:val="231F20"/>
          <w:spacing w:val="-23"/>
          <w:w w:val="59"/>
        </w:rPr>
        <w:t>），</w:t>
      </w:r>
      <w:r>
        <w:rPr>
          <w:sz w:val="15"/>
          <w:szCs w:val="15"/>
          <w:color w:val="231F20"/>
          <w:spacing w:val="-9"/>
        </w:rPr>
        <w:t>2022，135（5</w:t>
      </w:r>
      <w:r>
        <w:rPr>
          <w:sz w:val="15"/>
          <w:szCs w:val="15"/>
          <w:color w:val="231F20"/>
          <w:spacing w:val="-23"/>
          <w:w w:val="59"/>
        </w:rPr>
        <w:t>）：</w:t>
      </w:r>
      <w:r>
        <w:rPr>
          <w:sz w:val="15"/>
          <w:szCs w:val="15"/>
          <w:color w:val="231F20"/>
          <w:spacing w:val="-9"/>
        </w:rPr>
        <w:t>584-590.</w:t>
      </w:r>
    </w:p>
    <w:p>
      <w:pPr>
        <w:pStyle w:val="BodyText"/>
        <w:ind w:left="468" w:right="56" w:hanging="456"/>
        <w:spacing w:before="54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［3］  Jr  SW，Bacon  MA，Bajaj  A，et  al.  Cervical  cancer：A  global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2"/>
        </w:rPr>
        <w:t>health crisis［J］. Cancer，</w:t>
      </w:r>
      <w:r>
        <w:rPr>
          <w:sz w:val="15"/>
          <w:szCs w:val="15"/>
          <w:color w:val="231F20"/>
          <w:spacing w:val="-13"/>
        </w:rPr>
        <w:t>2017，123（13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3"/>
        </w:rPr>
        <w:t>2404-2412.</w:t>
      </w:r>
    </w:p>
    <w:p>
      <w:pPr>
        <w:pStyle w:val="BodyText"/>
        <w:ind w:left="467" w:right="56" w:hanging="455"/>
        <w:spacing w:before="41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［4］</w:t>
      </w:r>
      <w:r>
        <w:rPr>
          <w:sz w:val="15"/>
          <w:szCs w:val="15"/>
          <w:color w:val="231F20"/>
          <w:spacing w:val="41"/>
        </w:rPr>
        <w:t xml:space="preserve"> </w:t>
      </w:r>
      <w:r>
        <w:rPr>
          <w:sz w:val="15"/>
          <w:szCs w:val="15"/>
          <w:color w:val="231F20"/>
          <w:spacing w:val="-11"/>
        </w:rPr>
        <w:t>Monk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BJ，Tewari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KS，Koh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1"/>
        </w:rPr>
        <w:t>WJ.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1"/>
        </w:rPr>
        <w:t>Multimodality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1"/>
        </w:rPr>
        <w:t>therapy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for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locally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advanced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cervical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carcinoma：state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of the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art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0"/>
        </w:rPr>
        <w:t>future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dir</w:t>
      </w:r>
      <w:r>
        <w:rPr>
          <w:sz w:val="15"/>
          <w:szCs w:val="15"/>
          <w:color w:val="231F20"/>
          <w:spacing w:val="-11"/>
        </w:rPr>
        <w:t>ec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tions［J］. J Clin Oncol，2007，25（20</w:t>
      </w:r>
      <w:r>
        <w:rPr>
          <w:sz w:val="15"/>
          <w:szCs w:val="15"/>
          <w:color w:val="231F20"/>
          <w:spacing w:val="-25"/>
          <w:w w:val="62"/>
        </w:rPr>
        <w:t>）：</w:t>
      </w:r>
      <w:r>
        <w:rPr>
          <w:sz w:val="15"/>
          <w:szCs w:val="15"/>
          <w:color w:val="231F20"/>
          <w:spacing w:val="-13"/>
        </w:rPr>
        <w:t>2952-2965.</w:t>
      </w:r>
    </w:p>
    <w:p>
      <w:pPr>
        <w:pStyle w:val="BodyText"/>
        <w:ind w:left="469" w:right="8" w:hanging="457"/>
        <w:spacing w:before="42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［5］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1"/>
        </w:rPr>
        <w:t>Monk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BJ，Willmott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1"/>
        </w:rPr>
        <w:t>LJ，Sumner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DA.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1"/>
        </w:rPr>
        <w:t>Anti-angiogene</w:t>
      </w:r>
      <w:r>
        <w:rPr>
          <w:sz w:val="15"/>
          <w:szCs w:val="15"/>
          <w:color w:val="231F20"/>
          <w:spacing w:val="-12"/>
        </w:rPr>
        <w:t>sis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2"/>
        </w:rPr>
        <w:t>agents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metastatic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1"/>
        </w:rPr>
        <w:t>or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1"/>
        </w:rPr>
        <w:t>recurrent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1"/>
        </w:rPr>
        <w:t>cervical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1"/>
        </w:rPr>
        <w:t>cancer［J］.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1"/>
        </w:rPr>
        <w:t>Gynecol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1"/>
        </w:rPr>
        <w:t>Onc</w:t>
      </w:r>
      <w:r>
        <w:rPr>
          <w:sz w:val="15"/>
          <w:szCs w:val="15"/>
          <w:color w:val="231F20"/>
          <w:spacing w:val="-12"/>
        </w:rPr>
        <w:t>ol，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2010，116（2</w:t>
      </w:r>
      <w:r>
        <w:rPr>
          <w:sz w:val="15"/>
          <w:szCs w:val="15"/>
          <w:color w:val="231F20"/>
          <w:spacing w:val="-35"/>
          <w:w w:val="86"/>
        </w:rPr>
        <w:t>）：</w:t>
      </w:r>
      <w:r>
        <w:rPr>
          <w:sz w:val="15"/>
          <w:szCs w:val="15"/>
          <w:color w:val="231F20"/>
          <w:spacing w:val="-15"/>
        </w:rPr>
        <w:t>181-186.</w:t>
      </w:r>
    </w:p>
    <w:p>
      <w:pPr>
        <w:pStyle w:val="BodyText"/>
        <w:ind w:left="467" w:right="55" w:hanging="455"/>
        <w:spacing w:before="39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［6］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Rimassa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2"/>
        </w:rPr>
        <w:t>L，Danesi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2"/>
        </w:rPr>
        <w:t>R，Pressiani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T，et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Managem</w:t>
      </w:r>
      <w:r>
        <w:rPr>
          <w:sz w:val="15"/>
          <w:szCs w:val="15"/>
          <w:color w:val="231F20"/>
          <w:spacing w:val="-13"/>
        </w:rPr>
        <w:t>ent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adverse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events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associated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0"/>
        </w:rPr>
        <w:t>with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tyrosine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kinase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0"/>
        </w:rPr>
        <w:t>inhibi</w:t>
      </w:r>
      <w:r>
        <w:rPr>
          <w:sz w:val="15"/>
          <w:szCs w:val="15"/>
          <w:color w:val="231F20"/>
          <w:spacing w:val="-11"/>
        </w:rPr>
        <w:t>tors：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1"/>
        </w:rPr>
        <w:t>Improving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outcomes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2"/>
        </w:rPr>
        <w:t>for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patients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w</w:t>
      </w:r>
      <w:r>
        <w:rPr>
          <w:sz w:val="15"/>
          <w:szCs w:val="15"/>
          <w:color w:val="231F20"/>
          <w:spacing w:val="-13"/>
        </w:rPr>
        <w:t>ith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3"/>
        </w:rPr>
        <w:t>hepatocellular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3"/>
        </w:rPr>
        <w:t>carcinoma［J］.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Cancer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Treat Rev，2019，77：20-28.</w:t>
      </w:r>
    </w:p>
    <w:p>
      <w:pPr>
        <w:pStyle w:val="BodyText"/>
        <w:ind w:left="407" w:right="56" w:hanging="395"/>
        <w:spacing w:before="38"/>
        <w:tabs>
          <w:tab w:val="left" w:pos="467"/>
        </w:tabs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［7］  Mutlu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1"/>
        </w:rPr>
        <w:t>L，Tymon-Rosario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J，Harold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J，et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al</w:t>
      </w:r>
      <w:r>
        <w:rPr>
          <w:sz w:val="15"/>
          <w:szCs w:val="15"/>
          <w:color w:val="231F20"/>
          <w:spacing w:val="-12"/>
        </w:rPr>
        <w:t>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Targeted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treatment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options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for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management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metastatic/persistent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recu</w:t>
      </w:r>
      <w:r>
        <w:rPr>
          <w:sz w:val="15"/>
          <w:szCs w:val="15"/>
          <w:color w:val="231F20"/>
          <w:spacing w:val="-12"/>
        </w:rPr>
        <w:t>r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ab/>
      </w:r>
      <w:r>
        <w:rPr>
          <w:sz w:val="15"/>
          <w:szCs w:val="15"/>
          <w:color w:val="231F20"/>
          <w:spacing w:val="-11"/>
        </w:rPr>
        <w:t>rent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cervical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1"/>
        </w:rPr>
        <w:t>cancer［J］.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1"/>
        </w:rPr>
        <w:t>Expert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Rev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Anticancer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-12"/>
        </w:rPr>
        <w:t>r，2022，22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（6</w:t>
      </w:r>
      <w:r>
        <w:rPr>
          <w:sz w:val="15"/>
          <w:szCs w:val="15"/>
          <w:color w:val="231F20"/>
          <w:spacing w:val="-25"/>
          <w:w w:val="62"/>
        </w:rPr>
        <w:t>）：</w:t>
      </w:r>
      <w:r>
        <w:rPr>
          <w:sz w:val="15"/>
          <w:szCs w:val="15"/>
          <w:color w:val="231F20"/>
          <w:spacing w:val="-2"/>
        </w:rPr>
        <w:t>633-645.</w:t>
      </w:r>
    </w:p>
    <w:p>
      <w:pPr>
        <w:pStyle w:val="BodyText"/>
        <w:ind w:left="468" w:right="56" w:hanging="456"/>
        <w:spacing w:before="41" w:line="21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［8］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Monk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BJ，Sill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9"/>
        </w:rPr>
        <w:t>MW，Burger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RA，et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9"/>
        </w:rPr>
        <w:t>Pha</w:t>
      </w:r>
      <w:r>
        <w:rPr>
          <w:sz w:val="15"/>
          <w:szCs w:val="15"/>
          <w:color w:val="231F20"/>
          <w:spacing w:val="-10"/>
        </w:rPr>
        <w:t>se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0"/>
        </w:rPr>
        <w:t>II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0"/>
        </w:rPr>
        <w:t>trial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of bevaci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zumab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treatment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persistent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2"/>
        </w:rPr>
        <w:t>or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2"/>
        </w:rPr>
        <w:t>recurrent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squam</w:t>
      </w:r>
      <w:r>
        <w:rPr>
          <w:sz w:val="15"/>
          <w:szCs w:val="15"/>
          <w:color w:val="231F20"/>
          <w:spacing w:val="-13"/>
        </w:rPr>
        <w:t>ous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3"/>
        </w:rPr>
        <w:t>cell</w:t>
      </w:r>
    </w:p>
    <w:p>
      <w:pPr>
        <w:spacing w:line="211" w:lineRule="auto"/>
        <w:sectPr>
          <w:type w:val="continuous"/>
          <w:pgSz w:w="11906" w:h="16838"/>
          <w:pgMar w:top="1561" w:right="1219" w:bottom="0" w:left="407" w:header="1315" w:footer="0" w:gutter="0"/>
          <w:cols w:equalWidth="0" w:num="2">
            <w:col w:w="5560" w:space="100"/>
            <w:col w:w="4619" w:space="0"/>
          </w:cols>
        </w:sectPr>
        <w:rPr>
          <w:sz w:val="15"/>
          <w:szCs w:val="15"/>
        </w:rPr>
      </w:pPr>
    </w:p>
    <w:p>
      <w:pPr>
        <w:spacing w:before="80"/>
        <w:rPr/>
      </w:pPr>
      <w:r>
        <w:drawing>
          <wp:anchor distT="0" distB="0" distL="0" distR="0" simplePos="0" relativeHeight="251691008" behindDoc="0" locked="0" layoutInCell="0" allowOverlap="1">
            <wp:simplePos x="0" y="0"/>
            <wp:positionH relativeFrom="page">
              <wp:posOffset>823564</wp:posOffset>
            </wp:positionH>
            <wp:positionV relativeFrom="page">
              <wp:posOffset>980524</wp:posOffset>
            </wp:positionV>
            <wp:extent cx="2400275" cy="6350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027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18"/>
          <w:pgSz w:w="11906" w:h="16838"/>
          <w:pgMar w:top="1561" w:right="1155" w:bottom="0" w:left="407" w:header="1315" w:footer="0" w:gutter="0"/>
          <w:cols w:equalWidth="0" w:num="1">
            <w:col w:w="10342" w:space="0"/>
          </w:cols>
        </w:sectPr>
        <w:rPr/>
      </w:pPr>
    </w:p>
    <w:p>
      <w:pPr>
        <w:pStyle w:val="BodyText"/>
        <w:ind w:left="1268" w:right="206" w:firstLine="4"/>
        <w:spacing w:before="37" w:line="24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carcinoma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4"/>
        </w:rPr>
        <w:t>of the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</w:rPr>
        <w:t>cervix：a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4"/>
        </w:rPr>
        <w:t>gynecologic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4"/>
        </w:rPr>
        <w:t>oncolog</w:t>
      </w:r>
      <w:r>
        <w:rPr>
          <w:sz w:val="15"/>
          <w:szCs w:val="15"/>
          <w:color w:val="231F20"/>
          <w:spacing w:val="-15"/>
        </w:rPr>
        <w:t>y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5"/>
        </w:rPr>
        <w:t>group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5"/>
        </w:rPr>
        <w:t>study［J］.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J Clin Oncol，2009，27（7</w:t>
      </w:r>
      <w:r>
        <w:rPr>
          <w:sz w:val="15"/>
          <w:szCs w:val="15"/>
          <w:color w:val="231F20"/>
          <w:spacing w:val="-36"/>
          <w:w w:val="87"/>
        </w:rPr>
        <w:t>）：</w:t>
      </w:r>
      <w:r>
        <w:rPr>
          <w:sz w:val="15"/>
          <w:szCs w:val="15"/>
          <w:color w:val="231F20"/>
          <w:spacing w:val="-13"/>
        </w:rPr>
        <w:t>1069-1074.</w:t>
      </w:r>
    </w:p>
    <w:p>
      <w:pPr>
        <w:pStyle w:val="BodyText"/>
        <w:ind w:left="1270" w:right="159" w:hanging="456"/>
        <w:spacing w:line="23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［9］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Tewari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KS，Sill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MW，Long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HJ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3rd，et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1"/>
        </w:rPr>
        <w:t>Improv</w:t>
      </w:r>
      <w:r>
        <w:rPr>
          <w:sz w:val="15"/>
          <w:szCs w:val="15"/>
          <w:color w:val="231F20"/>
          <w:spacing w:val="-12"/>
        </w:rPr>
        <w:t>ed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2"/>
        </w:rPr>
        <w:t>survival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with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bevacizumab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advanced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cervical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2"/>
        </w:rPr>
        <w:t>cancer［J］.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N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2"/>
        </w:rPr>
        <w:t>Engl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J  Med，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2014，370（8</w:t>
      </w:r>
      <w:r>
        <w:rPr>
          <w:sz w:val="15"/>
          <w:szCs w:val="15"/>
          <w:color w:val="231F20"/>
          <w:spacing w:val="-27"/>
          <w:w w:val="65"/>
        </w:rPr>
        <w:t>）：</w:t>
      </w:r>
      <w:r>
        <w:rPr>
          <w:sz w:val="15"/>
          <w:szCs w:val="15"/>
          <w:color w:val="231F20"/>
          <w:spacing w:val="-12"/>
        </w:rPr>
        <w:t>734-743.</w:t>
      </w:r>
    </w:p>
    <w:p>
      <w:pPr>
        <w:pStyle w:val="BodyText"/>
        <w:ind w:left="1289" w:right="206" w:hanging="475"/>
        <w:spacing w:before="38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［10］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0"/>
        </w:rPr>
        <w:t>Tewari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KS，Sill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0"/>
        </w:rPr>
        <w:t>MW，Pen</w:t>
      </w:r>
      <w:r>
        <w:rPr>
          <w:sz w:val="15"/>
          <w:szCs w:val="15"/>
          <w:color w:val="231F20"/>
          <w:spacing w:val="-11"/>
        </w:rPr>
        <w:t>son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RT，et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Bevacizumab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for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1"/>
        </w:rPr>
        <w:t>ad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vanced cervical cancer：final overall survival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and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8"/>
        </w:rPr>
        <w:t>adverse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8"/>
        </w:rPr>
        <w:t>event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analysis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randomised，controlled，open-l</w:t>
      </w:r>
      <w:r>
        <w:rPr>
          <w:sz w:val="15"/>
          <w:szCs w:val="15"/>
          <w:color w:val="231F20"/>
          <w:spacing w:val="-12"/>
        </w:rPr>
        <w:t>abel，phase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2"/>
        </w:rPr>
        <w:t>3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trial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（Gynecologic  Oncology  Group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1"/>
        </w:rPr>
        <w:t>240</w:t>
      </w:r>
      <w:r>
        <w:rPr>
          <w:sz w:val="15"/>
          <w:szCs w:val="15"/>
          <w:color w:val="231F20"/>
          <w:spacing w:val="-22"/>
          <w:w w:val="76"/>
        </w:rPr>
        <w:t>）［</w:t>
      </w:r>
      <w:r>
        <w:rPr>
          <w:sz w:val="15"/>
          <w:szCs w:val="15"/>
          <w:color w:val="231F20"/>
          <w:spacing w:val="-11"/>
        </w:rPr>
        <w:t>J］.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1"/>
        </w:rPr>
        <w:t>Lancet，2017，390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8"/>
        </w:rPr>
        <w:t>（10103</w:t>
      </w:r>
      <w:r>
        <w:rPr>
          <w:sz w:val="15"/>
          <w:szCs w:val="15"/>
          <w:color w:val="231F20"/>
          <w:spacing w:val="-35"/>
          <w:w w:val="86"/>
        </w:rPr>
        <w:t>）：</w:t>
      </w:r>
      <w:r>
        <w:rPr>
          <w:sz w:val="15"/>
          <w:szCs w:val="15"/>
          <w:color w:val="231F20"/>
          <w:spacing w:val="-8"/>
        </w:rPr>
        <w:t>1654-1663.</w:t>
      </w:r>
    </w:p>
    <w:p>
      <w:pPr>
        <w:pStyle w:val="BodyText"/>
        <w:ind w:left="1350" w:right="206" w:hanging="536"/>
        <w:spacing w:before="40" w:line="24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［11］  Kitagawa R，Katsumata N，Shibata T，et al.Paclitaxel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0"/>
        </w:rPr>
        <w:t>Plus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0"/>
        </w:rPr>
        <w:t>Car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boplatin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Versus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8"/>
        </w:rPr>
        <w:t>Paclitaxel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8"/>
        </w:rPr>
        <w:t>Plus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Cisplatin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8"/>
        </w:rPr>
        <w:t>in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8"/>
        </w:rPr>
        <w:t>Metastatic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8"/>
        </w:rPr>
        <w:t>or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8"/>
        </w:rPr>
        <w:t>Re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current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Cervical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Cancer：The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Open-Lab</w:t>
      </w:r>
      <w:r>
        <w:rPr>
          <w:sz w:val="15"/>
          <w:szCs w:val="15"/>
          <w:color w:val="231F20"/>
          <w:spacing w:val="-10"/>
        </w:rPr>
        <w:t>el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Randomized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Phase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III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Trial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JCOG0505［J］.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Clin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Oncol，2015，33（19</w:t>
      </w:r>
      <w:r>
        <w:rPr>
          <w:sz w:val="15"/>
          <w:szCs w:val="15"/>
          <w:color w:val="231F20"/>
          <w:spacing w:val="-37"/>
        </w:rPr>
        <w:t>）：</w:t>
      </w:r>
      <w:r>
        <w:rPr>
          <w:sz w:val="15"/>
          <w:szCs w:val="15"/>
          <w:color w:val="231F20"/>
          <w:spacing w:val="-10"/>
        </w:rPr>
        <w:t>2129-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2135.</w:t>
      </w:r>
    </w:p>
    <w:p>
      <w:pPr>
        <w:pStyle w:val="BodyText"/>
        <w:ind w:left="1347" w:right="207" w:hanging="533"/>
        <w:spacing w:before="16" w:line="23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［12］  Redondo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3"/>
        </w:rPr>
        <w:t>A，Colombo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N，McC</w:t>
      </w:r>
      <w:r>
        <w:rPr>
          <w:sz w:val="15"/>
          <w:szCs w:val="15"/>
          <w:color w:val="231F20"/>
          <w:spacing w:val="-14"/>
        </w:rPr>
        <w:t>ormack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M，et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4"/>
        </w:rPr>
        <w:t>al.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4"/>
        </w:rPr>
        <w:t>Primary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4"/>
        </w:rPr>
        <w:t>results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from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CECILIA，a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9"/>
        </w:rPr>
        <w:t>global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single-arm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9"/>
        </w:rPr>
        <w:t>phase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II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st</w:t>
      </w:r>
      <w:r>
        <w:rPr>
          <w:sz w:val="15"/>
          <w:szCs w:val="15"/>
          <w:color w:val="231F20"/>
          <w:spacing w:val="-10"/>
        </w:rPr>
        <w:t>udy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0"/>
        </w:rPr>
        <w:t>evaluating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bevacizumab，carboplatin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paclitaxel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1"/>
        </w:rPr>
        <w:t>for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advanced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1"/>
        </w:rPr>
        <w:t>cervical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6"/>
        </w:rPr>
        <w:t>cancer［J］.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6"/>
        </w:rPr>
        <w:t>Gynecol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6"/>
        </w:rPr>
        <w:t>Oncol，2020，159（1</w:t>
      </w:r>
      <w:r>
        <w:rPr>
          <w:sz w:val="15"/>
          <w:szCs w:val="15"/>
          <w:color w:val="231F20"/>
          <w:spacing w:val="-34"/>
          <w:w w:val="84"/>
        </w:rPr>
        <w:t>）：</w:t>
      </w:r>
      <w:r>
        <w:rPr>
          <w:sz w:val="15"/>
          <w:szCs w:val="15"/>
          <w:color w:val="231F20"/>
          <w:spacing w:val="-16"/>
        </w:rPr>
        <w:t>142-149.</w:t>
      </w:r>
    </w:p>
    <w:p>
      <w:pPr>
        <w:pStyle w:val="BodyText"/>
        <w:ind w:left="1352" w:right="206" w:hanging="538"/>
        <w:spacing w:before="52" w:line="23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［13］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3"/>
        </w:rPr>
        <w:t>Colombo N，Dubot C，Lorusso D，et al.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13"/>
        </w:rPr>
        <w:t>Pembr</w:t>
      </w:r>
      <w:r>
        <w:rPr>
          <w:sz w:val="15"/>
          <w:szCs w:val="15"/>
          <w:color w:val="231F20"/>
          <w:spacing w:val="-14"/>
        </w:rPr>
        <w:t>olizumab for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4"/>
        </w:rPr>
        <w:t>Per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sistent，Recurrent，or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2"/>
        </w:rPr>
        <w:t>Metastatic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Cervical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Cance</w:t>
      </w:r>
      <w:r>
        <w:rPr>
          <w:sz w:val="15"/>
          <w:szCs w:val="15"/>
          <w:color w:val="231F20"/>
          <w:spacing w:val="-13"/>
        </w:rPr>
        <w:t>r［J］.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N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Engl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7"/>
        </w:rPr>
        <w:t>Med，2021，385（20</w:t>
      </w:r>
      <w:r>
        <w:rPr>
          <w:sz w:val="15"/>
          <w:szCs w:val="15"/>
          <w:color w:val="231F20"/>
          <w:spacing w:val="-36"/>
          <w:w w:val="88"/>
        </w:rPr>
        <w:t>）：</w:t>
      </w:r>
      <w:r>
        <w:rPr>
          <w:sz w:val="15"/>
          <w:szCs w:val="15"/>
          <w:color w:val="231F20"/>
          <w:spacing w:val="-17"/>
        </w:rPr>
        <w:t>1856-1867.</w:t>
      </w:r>
    </w:p>
    <w:p>
      <w:pPr>
        <w:pStyle w:val="BodyText"/>
        <w:ind w:left="1349" w:right="159" w:hanging="535"/>
        <w:spacing w:before="37" w:line="23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［14］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Wang J，Lou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0"/>
        </w:rPr>
        <w:t>H，Cai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0"/>
        </w:rPr>
        <w:t>H-B，et al. A stu</w:t>
      </w:r>
      <w:r>
        <w:rPr>
          <w:sz w:val="15"/>
          <w:szCs w:val="15"/>
          <w:color w:val="231F20"/>
          <w:spacing w:val="-11"/>
        </w:rPr>
        <w:t>dy of AK</w:t>
      </w:r>
      <w:r>
        <w:rPr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11"/>
        </w:rPr>
        <w:t>104（an anti-PD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11"/>
        </w:rPr>
        <w:t>1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anti-CTLA4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bispecific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antibody）combined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with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stan</w:t>
      </w:r>
      <w:r>
        <w:rPr>
          <w:sz w:val="15"/>
          <w:szCs w:val="15"/>
          <w:color w:val="231F20"/>
          <w:spacing w:val="-11"/>
        </w:rPr>
        <w:t>dard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therapy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1"/>
        </w:rPr>
        <w:t>for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first-line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treatment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1"/>
        </w:rPr>
        <w:t>persisten</w:t>
      </w:r>
      <w:r>
        <w:rPr>
          <w:sz w:val="15"/>
          <w:szCs w:val="15"/>
          <w:color w:val="231F20"/>
          <w:spacing w:val="-12"/>
        </w:rPr>
        <w:t>t，recurrent，or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metastatic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cervical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0"/>
        </w:rPr>
        <w:t>cancer（R/M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C</w:t>
      </w:r>
      <w:r>
        <w:rPr>
          <w:sz w:val="15"/>
          <w:szCs w:val="15"/>
          <w:color w:val="231F20"/>
          <w:spacing w:val="-11"/>
        </w:rPr>
        <w:t>C</w:t>
      </w:r>
      <w:r>
        <w:rPr>
          <w:sz w:val="15"/>
          <w:szCs w:val="15"/>
          <w:color w:val="231F20"/>
          <w:spacing w:val="-18"/>
          <w:w w:val="63"/>
        </w:rPr>
        <w:t>）［</w:t>
      </w:r>
      <w:r>
        <w:rPr>
          <w:sz w:val="15"/>
          <w:szCs w:val="15"/>
          <w:color w:val="231F20"/>
          <w:spacing w:val="-11"/>
        </w:rPr>
        <w:t>J］.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Clin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Oncol，2022，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40（16_suppl</w:t>
      </w:r>
      <w:r>
        <w:rPr>
          <w:sz w:val="15"/>
          <w:szCs w:val="15"/>
          <w:color w:val="231F20"/>
          <w:spacing w:val="-35"/>
          <w:w w:val="85"/>
        </w:rPr>
        <w:t>）：</w:t>
      </w:r>
      <w:r>
        <w:rPr>
          <w:sz w:val="15"/>
          <w:szCs w:val="15"/>
          <w:color w:val="231F20"/>
          <w:spacing w:val="-13"/>
        </w:rPr>
        <w:t>106.</w:t>
      </w:r>
    </w:p>
    <w:p>
      <w:pPr>
        <w:pStyle w:val="BodyText"/>
        <w:ind w:left="1350" w:right="197" w:hanging="536"/>
        <w:spacing w:before="53" w:line="23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［15］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Vergote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0"/>
        </w:rPr>
        <w:t>I，Van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Nieuwenhuysen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E，O'Cearbhaill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RE，et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Ti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sotumab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2"/>
        </w:rPr>
        <w:t>Vedotin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Combination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With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Carboplatin，Pembroli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zumab，or  Bevacizumab  in  Recurrent</w:t>
      </w:r>
      <w:r>
        <w:rPr>
          <w:sz w:val="15"/>
          <w:szCs w:val="15"/>
          <w:color w:val="231F20"/>
          <w:spacing w:val="59"/>
        </w:rPr>
        <w:t xml:space="preserve"> </w:t>
      </w:r>
      <w:r>
        <w:rPr>
          <w:sz w:val="15"/>
          <w:szCs w:val="15"/>
          <w:color w:val="231F20"/>
          <w:spacing w:val="-10"/>
        </w:rPr>
        <w:t>or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10"/>
        </w:rPr>
        <w:t>Metastatic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Cervical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8"/>
        </w:rPr>
        <w:t>Cancer：Results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From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8"/>
        </w:rPr>
        <w:t>the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8"/>
        </w:rPr>
        <w:t>innovaTV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8"/>
        </w:rPr>
        <w:t>205/GOG-3024/ENGOT-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cx8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Study［J］. J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Clin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Oncol，2023：JCO2300720.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Epub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ahead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print.</w:t>
      </w:r>
    </w:p>
    <w:p>
      <w:pPr>
        <w:pStyle w:val="BodyText"/>
        <w:ind w:left="1289" w:right="198" w:hanging="475"/>
        <w:spacing w:before="51" w:line="23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［16］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2"/>
        </w:rPr>
        <w:t>Friedman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CF，Snyder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C</w:t>
      </w:r>
      <w:r>
        <w:rPr>
          <w:sz w:val="15"/>
          <w:szCs w:val="15"/>
          <w:color w:val="231F20"/>
          <w:spacing w:val="-13"/>
        </w:rPr>
        <w:t>haren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A，Zhou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Q，et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al.Phase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II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study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atezolizumab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combination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with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bevacizumab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patients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advanced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1"/>
        </w:rPr>
        <w:t>cervical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1"/>
        </w:rPr>
        <w:t>cancer［J］.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1"/>
        </w:rPr>
        <w:t>Imm</w:t>
      </w:r>
      <w:r>
        <w:rPr>
          <w:sz w:val="15"/>
          <w:szCs w:val="15"/>
          <w:color w:val="231F20"/>
          <w:spacing w:val="-12"/>
        </w:rPr>
        <w:t>unother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Cancer，2020，8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（2</w:t>
      </w:r>
      <w:r>
        <w:rPr>
          <w:sz w:val="15"/>
          <w:szCs w:val="15"/>
          <w:color w:val="231F20"/>
          <w:spacing w:val="-32"/>
          <w:w w:val="78"/>
        </w:rPr>
        <w:t>）：</w:t>
      </w:r>
      <w:r>
        <w:rPr>
          <w:sz w:val="15"/>
          <w:szCs w:val="15"/>
          <w:color w:val="231F20"/>
          <w:spacing w:val="-9"/>
        </w:rPr>
        <w:t>e001126.</w:t>
      </w:r>
    </w:p>
    <w:p>
      <w:pPr>
        <w:pStyle w:val="BodyText"/>
        <w:ind w:left="1350" w:right="206" w:hanging="536"/>
        <w:spacing w:before="40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［17］  Jackson CG，Moore KN，Cantrell L，et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</w:rPr>
        <w:t>al.A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10"/>
        </w:rPr>
        <w:t>phase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</w:rPr>
        <w:t>II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-10"/>
        </w:rPr>
        <w:t>trial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</w:rPr>
        <w:t>of be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vacizumab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0"/>
        </w:rPr>
        <w:t>rucaparib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recurrent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carcinoma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cervix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or endometrium［J］.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Gynecol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5"/>
        </w:rPr>
        <w:t>Oncol，</w:t>
      </w:r>
      <w:r>
        <w:rPr>
          <w:sz w:val="15"/>
          <w:szCs w:val="15"/>
          <w:color w:val="231F20"/>
          <w:spacing w:val="-16"/>
        </w:rPr>
        <w:t>2022，166（1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16"/>
        </w:rPr>
        <w:t>44-49.</w:t>
      </w:r>
    </w:p>
    <w:p>
      <w:pPr>
        <w:pStyle w:val="BodyText"/>
        <w:ind w:left="1349" w:right="159" w:hanging="535"/>
        <w:spacing w:before="49" w:line="23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［18］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0"/>
        </w:rPr>
        <w:t>Zhu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J，Pan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M，Yu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H，et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0"/>
        </w:rPr>
        <w:t>The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efficacy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safety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-11"/>
        </w:rPr>
        <w:t xml:space="preserve"> tisleli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zumab plus bevacizumab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chemotherapy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</w:rPr>
        <w:t>as first line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1"/>
        </w:rPr>
        <w:t>therapy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in  patients  with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9"/>
        </w:rPr>
        <w:t>persistent，recurre</w:t>
      </w:r>
      <w:r>
        <w:rPr>
          <w:sz w:val="15"/>
          <w:szCs w:val="15"/>
          <w:color w:val="231F20"/>
          <w:spacing w:val="-10"/>
        </w:rPr>
        <w:t>nt，or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0"/>
        </w:rPr>
        <w:t>metastatic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0"/>
        </w:rPr>
        <w:t>cervical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3"/>
        </w:rPr>
        <w:t>cancer：A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multicenter，phase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3"/>
        </w:rPr>
        <w:t>II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3"/>
        </w:rPr>
        <w:t>study［J］.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Clin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3"/>
        </w:rPr>
        <w:t>Oncol，2023，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41（16_suppl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sz w:val="15"/>
          <w:szCs w:val="15"/>
          <w:color w:val="231F20"/>
          <w:spacing w:val="-9"/>
        </w:rPr>
        <w:t>5531.</w:t>
      </w:r>
    </w:p>
    <w:p>
      <w:pPr>
        <w:pStyle w:val="BodyText"/>
        <w:ind w:left="1350" w:right="206" w:hanging="536"/>
        <w:spacing w:before="52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［19］  Jordan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SE，Schlumbrecht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M，George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S，et a</w:t>
      </w:r>
      <w:r>
        <w:rPr>
          <w:sz w:val="15"/>
          <w:szCs w:val="15"/>
          <w:color w:val="231F20"/>
          <w:spacing w:val="-13"/>
        </w:rPr>
        <w:t>l. The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Moore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Crite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ria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7"/>
        </w:rPr>
        <w:t>：Applicability  in  a  diverse，non-trial，recurrent  cervical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cancer population［J］.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5"/>
        </w:rPr>
        <w:t>Gynecol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Oncol，2020，157（1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15"/>
        </w:rPr>
        <w:t>167-172.</w:t>
      </w:r>
    </w:p>
    <w:p>
      <w:pPr>
        <w:pStyle w:val="BodyText"/>
        <w:ind w:left="1350" w:right="161" w:hanging="536"/>
        <w:spacing w:before="52" w:line="22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［20］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Tewari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1"/>
        </w:rPr>
        <w:t>KS，Sill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MW，Monk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BJ，et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Prospective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1"/>
        </w:rPr>
        <w:t>Validation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Pooled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Prognostic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Factors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Women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1"/>
        </w:rPr>
        <w:t>with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1"/>
        </w:rPr>
        <w:t>Advanced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Cervi</w:t>
      </w:r>
      <w:r>
        <w:rPr>
          <w:sz w:val="15"/>
          <w:szCs w:val="15"/>
          <w:color w:val="231F20"/>
          <w:spacing w:val="-12"/>
        </w:rPr>
        <w:t>cal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Cancer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Treated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with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Chemotherapy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with/without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Bevacizum</w:t>
      </w:r>
      <w:r>
        <w:rPr>
          <w:sz w:val="15"/>
          <w:szCs w:val="15"/>
          <w:color w:val="231F20"/>
          <w:spacing w:val="-13"/>
        </w:rPr>
        <w:t>ab：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NRG  Oncology/GOG  Stud</w:t>
      </w:r>
      <w:r>
        <w:rPr>
          <w:sz w:val="15"/>
          <w:szCs w:val="15"/>
          <w:color w:val="231F20"/>
          <w:spacing w:val="-11"/>
        </w:rPr>
        <w:t>y［J］.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1"/>
        </w:rPr>
        <w:t>Clin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1"/>
        </w:rPr>
        <w:t>Cancer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1"/>
        </w:rPr>
        <w:t>Res，2015，21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75"/>
        <w:spacing w:before="34" w:line="21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（24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3"/>
        </w:rPr>
        <w:t>5480-5487.</w:t>
      </w:r>
    </w:p>
    <w:p>
      <w:pPr>
        <w:pStyle w:val="BodyText"/>
        <w:ind w:left="537" w:right="120" w:hanging="537"/>
        <w:spacing w:before="38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［21］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2"/>
        </w:rPr>
        <w:t>Coleman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RL，Lorusso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D，Gennigens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C，et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al.Efficacy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saf</w:t>
      </w:r>
      <w:r>
        <w:rPr>
          <w:sz w:val="15"/>
          <w:szCs w:val="15"/>
          <w:color w:val="231F20"/>
          <w:spacing w:val="-13"/>
        </w:rPr>
        <w:t>ety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tisotumab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vedotin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previously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1"/>
        </w:rPr>
        <w:t>treated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recurre</w:t>
      </w:r>
      <w:r>
        <w:rPr>
          <w:sz w:val="15"/>
          <w:szCs w:val="15"/>
          <w:color w:val="231F20"/>
          <w:spacing w:val="-12"/>
        </w:rPr>
        <w:t>nt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2"/>
        </w:rPr>
        <w:t>or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meta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static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-7"/>
        </w:rPr>
        <w:t>cervical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-7"/>
        </w:rPr>
        <w:t>cancer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7"/>
        </w:rPr>
        <w:t>（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7"/>
        </w:rPr>
        <w:t>innovaTV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-7"/>
        </w:rPr>
        <w:t>204/GOG-3023/ENGOT-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cx6</w:t>
      </w:r>
      <w:r>
        <w:rPr>
          <w:sz w:val="15"/>
          <w:szCs w:val="15"/>
          <w:color w:val="231F20"/>
          <w:spacing w:val="8"/>
        </w:rPr>
        <w:t>）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8"/>
        </w:rPr>
        <w:t>：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a   multicentre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10"/>
        </w:rPr>
        <w:t>open-label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10"/>
        </w:rPr>
        <w:t>single-arm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10"/>
        </w:rPr>
        <w:t>phase    2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study［J］. Lancet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Oncol，2021，22（5</w:t>
      </w:r>
      <w:r>
        <w:rPr>
          <w:sz w:val="15"/>
          <w:szCs w:val="15"/>
          <w:color w:val="231F20"/>
          <w:spacing w:val="-27"/>
          <w:w w:val="66"/>
        </w:rPr>
        <w:t>）：</w:t>
      </w:r>
      <w:r>
        <w:rPr>
          <w:sz w:val="15"/>
          <w:szCs w:val="15"/>
          <w:color w:val="231F20"/>
          <w:spacing w:val="-15"/>
        </w:rPr>
        <w:t>609-619.</w:t>
      </w:r>
    </w:p>
    <w:p>
      <w:pPr>
        <w:pStyle w:val="BodyText"/>
        <w:ind w:left="535" w:right="111" w:hanging="536"/>
        <w:spacing w:before="49" w:line="23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［22］  Chung  HC，Ros  W，Delord  JP，et  al.  Efficacy  and  Safety  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Pembrolizumab in Previously Treated Advanced Cervica</w:t>
      </w:r>
      <w:r>
        <w:rPr>
          <w:sz w:val="15"/>
          <w:szCs w:val="15"/>
          <w:color w:val="231F20"/>
          <w:spacing w:val="-9"/>
        </w:rPr>
        <w:t>l Can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cer：Results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From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the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8"/>
        </w:rPr>
        <w:t>Phase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II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KEYNOTE-158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Study［J］.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Clin Oncol，2019，37（17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13"/>
        </w:rPr>
        <w:t>1</w:t>
      </w:r>
      <w:r>
        <w:rPr>
          <w:sz w:val="15"/>
          <w:szCs w:val="15"/>
          <w:color w:val="231F20"/>
          <w:spacing w:val="-14"/>
        </w:rPr>
        <w:t>470-1478.</w:t>
      </w:r>
    </w:p>
    <w:p>
      <w:pPr>
        <w:pStyle w:val="BodyText"/>
        <w:ind w:left="537" w:right="72" w:hanging="537"/>
        <w:spacing w:before="37" w:line="23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［23］  Mackay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HJ，Tinker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0"/>
        </w:rPr>
        <w:t>A，Winquist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0"/>
        </w:rPr>
        <w:t>E，et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0"/>
        </w:rPr>
        <w:t>A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0"/>
        </w:rPr>
        <w:t>phase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II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0"/>
        </w:rPr>
        <w:t>study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8"/>
        </w:rPr>
        <w:t>sunitinib in patients with locally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8"/>
        </w:rPr>
        <w:t>advanced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8"/>
        </w:rPr>
        <w:t>or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8"/>
        </w:rPr>
        <w:t>m</w:t>
      </w:r>
      <w:r>
        <w:rPr>
          <w:sz w:val="15"/>
          <w:szCs w:val="15"/>
          <w:color w:val="231F20"/>
          <w:spacing w:val="-9"/>
        </w:rPr>
        <w:t>etastatic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9"/>
        </w:rPr>
        <w:t>cervi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cal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carcinoma：NCIC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CT</w:t>
      </w:r>
      <w:r>
        <w:rPr>
          <w:sz w:val="15"/>
          <w:szCs w:val="15"/>
          <w:color w:val="231F20"/>
          <w:spacing w:val="-11"/>
        </w:rPr>
        <w:t>G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Trial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IND.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184［J］.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Gynecol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1"/>
        </w:rPr>
        <w:t>Oncol，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2010，116（2</w:t>
      </w:r>
      <w:r>
        <w:rPr>
          <w:sz w:val="15"/>
          <w:szCs w:val="15"/>
          <w:color w:val="231F20"/>
          <w:spacing w:val="-35"/>
          <w:w w:val="86"/>
        </w:rPr>
        <w:t>）：</w:t>
      </w:r>
      <w:r>
        <w:rPr>
          <w:sz w:val="15"/>
          <w:szCs w:val="15"/>
          <w:color w:val="231F20"/>
          <w:spacing w:val="-15"/>
        </w:rPr>
        <w:t>163-167.</w:t>
      </w:r>
    </w:p>
    <w:p>
      <w:pPr>
        <w:pStyle w:val="BodyText"/>
        <w:ind w:left="535" w:right="72" w:hanging="536"/>
        <w:spacing w:before="35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［24］  Monk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1"/>
        </w:rPr>
        <w:t>BJ，Mas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Lopez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L，Zarba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JJ，et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Phase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II，open-label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study  of  pazopanib  or  lapatinib</w:t>
      </w:r>
      <w:r>
        <w:rPr>
          <w:sz w:val="15"/>
          <w:szCs w:val="15"/>
          <w:color w:val="231F20"/>
          <w:spacing w:val="54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monotherapy</w:t>
      </w:r>
      <w:r>
        <w:rPr>
          <w:sz w:val="15"/>
          <w:szCs w:val="15"/>
          <w:color w:val="231F20"/>
          <w:spacing w:val="43"/>
        </w:rPr>
        <w:t xml:space="preserve"> </w:t>
      </w:r>
      <w:r>
        <w:rPr>
          <w:sz w:val="15"/>
          <w:szCs w:val="15"/>
          <w:color w:val="231F20"/>
          <w:spacing w:val="-12"/>
        </w:rPr>
        <w:t>compared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with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pazopanib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plus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lapatinib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combination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ther</w:t>
      </w:r>
      <w:r>
        <w:rPr>
          <w:sz w:val="15"/>
          <w:szCs w:val="15"/>
          <w:color w:val="231F20"/>
          <w:spacing w:val="-12"/>
        </w:rPr>
        <w:t>apy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2"/>
        </w:rPr>
        <w:t>patients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with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advanced and recurrent cervical cancer［J］</w:t>
      </w:r>
      <w:r>
        <w:rPr>
          <w:sz w:val="15"/>
          <w:szCs w:val="15"/>
          <w:color w:val="231F20"/>
          <w:spacing w:val="-12"/>
        </w:rPr>
        <w:t>. J Clin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2"/>
        </w:rPr>
        <w:t>Oncol，2010，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28（22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sz w:val="15"/>
          <w:szCs w:val="15"/>
          <w:color w:val="231F20"/>
          <w:spacing w:val="-8"/>
        </w:rPr>
        <w:t>3562-3569.</w:t>
      </w:r>
    </w:p>
    <w:p>
      <w:pPr>
        <w:pStyle w:val="BodyText"/>
        <w:ind w:left="535" w:right="120" w:hanging="536"/>
        <w:spacing w:before="36" w:line="23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［25］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Lan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1"/>
        </w:rPr>
        <w:t>C，Shen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J，Wang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1"/>
        </w:rPr>
        <w:t>Y，et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1"/>
        </w:rPr>
        <w:t>Camre</w:t>
      </w:r>
      <w:r>
        <w:rPr>
          <w:sz w:val="15"/>
          <w:szCs w:val="15"/>
          <w:color w:val="231F20"/>
          <w:spacing w:val="-12"/>
        </w:rPr>
        <w:t>lizumab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Plus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Apatinib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Patients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7"/>
        </w:rPr>
        <w:t>With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Advanced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7"/>
        </w:rPr>
        <w:t>Cervical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Cancer（CLAP</w:t>
      </w:r>
      <w:r>
        <w:rPr>
          <w:sz w:val="15"/>
          <w:szCs w:val="15"/>
          <w:color w:val="231F20"/>
          <w:spacing w:val="-40"/>
          <w:w w:val="97"/>
        </w:rPr>
        <w:t>）：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8"/>
        </w:rPr>
        <w:t>A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Multi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center，Open-Label，Single-Ar</w:t>
      </w:r>
      <w:r>
        <w:rPr>
          <w:sz w:val="15"/>
          <w:szCs w:val="15"/>
          <w:color w:val="231F20"/>
          <w:spacing w:val="-8"/>
        </w:rPr>
        <w:t>m，Phase  II  Trial［J］.  J  Clin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Oncol，2020，38（34</w:t>
      </w:r>
      <w:r>
        <w:rPr>
          <w:sz w:val="15"/>
          <w:szCs w:val="15"/>
          <w:color w:val="231F20"/>
          <w:spacing w:val="-28"/>
          <w:w w:val="68"/>
        </w:rPr>
        <w:t>）：</w:t>
      </w:r>
      <w:r>
        <w:rPr>
          <w:sz w:val="15"/>
          <w:szCs w:val="15"/>
          <w:color w:val="231F20"/>
          <w:spacing w:val="-14"/>
        </w:rPr>
        <w:t>4095-4106.</w:t>
      </w:r>
    </w:p>
    <w:p>
      <w:pPr>
        <w:pStyle w:val="BodyText"/>
        <w:ind w:left="535" w:right="120" w:hanging="536"/>
        <w:spacing w:before="37" w:line="23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［26］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Xu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Q，Wang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J，Sun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Y，et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Efficacy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Safety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Sintili</w:t>
      </w:r>
      <w:r>
        <w:rPr>
          <w:sz w:val="15"/>
          <w:szCs w:val="15"/>
          <w:color w:val="231F20"/>
          <w:spacing w:val="-12"/>
        </w:rPr>
        <w:t>mab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Plus  Anlotinib  for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7"/>
        </w:rPr>
        <w:t>PD-L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-7"/>
        </w:rPr>
        <w:t>1-Positive   Recurrent  or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7"/>
        </w:rPr>
        <w:t>Metastatic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Cervical   Cancer：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A   Multicenter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8"/>
        </w:rPr>
        <w:t>，Single-Arm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8"/>
        </w:rPr>
        <w:t>，Prospective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Phase II Trial［J］. J C</w:t>
      </w:r>
      <w:r>
        <w:rPr>
          <w:sz w:val="15"/>
          <w:szCs w:val="15"/>
          <w:color w:val="231F20"/>
          <w:spacing w:val="-12"/>
        </w:rPr>
        <w:t>lin Oncol，2022，40（16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12"/>
        </w:rPr>
        <w:t>1795-1805.</w:t>
      </w:r>
    </w:p>
    <w:p>
      <w:pPr>
        <w:pStyle w:val="BodyText"/>
        <w:ind w:left="537" w:right="72" w:hanging="537"/>
        <w:spacing w:before="37" w:line="23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［27］  Xia  L，Zhou  Q，Gao  Y，et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0"/>
        </w:rPr>
        <w:t>A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multicenter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0"/>
        </w:rPr>
        <w:t>phase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10"/>
        </w:rPr>
        <w:t>2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0"/>
        </w:rPr>
        <w:t>trial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camrelizumab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1"/>
        </w:rPr>
        <w:t>plus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famiti</w:t>
      </w:r>
      <w:r>
        <w:rPr>
          <w:sz w:val="15"/>
          <w:szCs w:val="15"/>
          <w:color w:val="231F20"/>
          <w:spacing w:val="-12"/>
        </w:rPr>
        <w:t>nib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2"/>
        </w:rPr>
        <w:t>for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2"/>
        </w:rPr>
        <w:t>women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2"/>
        </w:rPr>
        <w:t>with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2"/>
        </w:rPr>
        <w:t>recurrent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-12"/>
        </w:rPr>
        <w:t>or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3"/>
        </w:rPr>
        <w:t>metastatic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cervical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squamous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ce</w:t>
      </w:r>
      <w:r>
        <w:rPr>
          <w:sz w:val="15"/>
          <w:szCs w:val="15"/>
          <w:color w:val="231F20"/>
          <w:spacing w:val="-14"/>
        </w:rPr>
        <w:t>ll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carcinoma［J］.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4"/>
        </w:rPr>
        <w:t>Nat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4"/>
        </w:rPr>
        <w:t>Commun，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2022，13（1</w:t>
      </w:r>
      <w:r>
        <w:rPr>
          <w:sz w:val="15"/>
          <w:szCs w:val="15"/>
          <w:color w:val="231F20"/>
          <w:spacing w:val="-26"/>
          <w:w w:val="63"/>
        </w:rPr>
        <w:t>）：</w:t>
      </w:r>
      <w:r>
        <w:rPr>
          <w:sz w:val="15"/>
          <w:szCs w:val="15"/>
          <w:color w:val="231F20"/>
          <w:spacing w:val="-15"/>
        </w:rPr>
        <w:t>7581.</w:t>
      </w:r>
    </w:p>
    <w:p>
      <w:pPr>
        <w:pStyle w:val="BodyText"/>
        <w:ind w:left="475" w:right="120" w:hanging="475"/>
        <w:spacing w:before="35"/>
        <w:tabs>
          <w:tab w:val="left" w:pos="535"/>
        </w:tabs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［28］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9"/>
        </w:rPr>
        <w:t>Frumovitz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9"/>
        </w:rPr>
        <w:t>M，Munsell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9"/>
        </w:rPr>
        <w:t>MF，Burza</w:t>
      </w:r>
      <w:r>
        <w:rPr>
          <w:sz w:val="15"/>
          <w:szCs w:val="15"/>
          <w:color w:val="231F20"/>
          <w:spacing w:val="-10"/>
        </w:rPr>
        <w:t>wa  JK，et  al.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0"/>
        </w:rPr>
        <w:t>Combination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ab/>
      </w:r>
      <w:r>
        <w:rPr>
          <w:sz w:val="15"/>
          <w:szCs w:val="15"/>
          <w:color w:val="231F20"/>
          <w:spacing w:val="-13"/>
        </w:rPr>
        <w:t>therapy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with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3"/>
        </w:rPr>
        <w:t>topotecan，paclitaxel，and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bevacizumab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3"/>
        </w:rPr>
        <w:t>improves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progression-free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survival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8"/>
        </w:rPr>
        <w:t>in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8"/>
        </w:rPr>
        <w:t>recurrent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8"/>
        </w:rPr>
        <w:t>small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8"/>
        </w:rPr>
        <w:t>cell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8"/>
        </w:rPr>
        <w:t>neuroendo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crine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-11"/>
        </w:rPr>
        <w:t>carcinoma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cervix［J］.  Gynecol  Oncol，2017，144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（1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sz w:val="15"/>
          <w:szCs w:val="15"/>
          <w:color w:val="231F20"/>
        </w:rPr>
        <w:t>46-50.</w:t>
      </w:r>
    </w:p>
    <w:p>
      <w:pPr>
        <w:pStyle w:val="BodyText"/>
        <w:ind w:left="535" w:right="72" w:hanging="535"/>
        <w:spacing w:before="36" w:line="24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［29］  Frumovitz  M，Chisholm  GB，Jhingran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sz w:val="15"/>
          <w:szCs w:val="15"/>
          <w:color w:val="231F20"/>
          <w:spacing w:val="-10"/>
        </w:rPr>
        <w:t>A，et</w:t>
      </w:r>
      <w:r>
        <w:rPr>
          <w:sz w:val="15"/>
          <w:szCs w:val="15"/>
          <w:color w:val="231F20"/>
          <w:spacing w:val="40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43"/>
        </w:rPr>
        <w:t xml:space="preserve"> </w:t>
      </w:r>
      <w:r>
        <w:rPr>
          <w:sz w:val="15"/>
          <w:szCs w:val="15"/>
          <w:color w:val="231F20"/>
          <w:spacing w:val="-10"/>
        </w:rPr>
        <w:t>Combi</w:t>
      </w:r>
      <w:r>
        <w:rPr>
          <w:sz w:val="15"/>
          <w:szCs w:val="15"/>
          <w:color w:val="231F20"/>
          <w:spacing w:val="-11"/>
        </w:rPr>
        <w:t>nation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3"/>
        </w:rPr>
        <w:t>therapy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3"/>
        </w:rPr>
        <w:t>with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topotecan，paclitaxel，and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bevacizumab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improves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progression-free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survi</w:t>
      </w:r>
      <w:r>
        <w:rPr>
          <w:sz w:val="15"/>
          <w:szCs w:val="15"/>
          <w:color w:val="231F20"/>
          <w:spacing w:val="-10"/>
        </w:rPr>
        <w:t>val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0"/>
        </w:rPr>
        <w:t>patients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with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recurrent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0"/>
        </w:rPr>
        <w:t>high-grade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neuroendocrine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0"/>
        </w:rPr>
        <w:t>cervical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cancer：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10"/>
        </w:rPr>
        <w:t>a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Neuroendocrine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Cervical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Tumor  Registry（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11"/>
        </w:rPr>
        <w:t>NeCTuR）</w:t>
      </w:r>
      <w:r>
        <w:rPr>
          <w:sz w:val="15"/>
          <w:szCs w:val="15"/>
          <w:color w:val="231F20"/>
          <w:spacing w:val="-12"/>
        </w:rPr>
        <w:t>study［J］.  Am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J  Obstet  Gynecol，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2023，228（4</w:t>
      </w:r>
      <w:r>
        <w:rPr>
          <w:sz w:val="15"/>
          <w:szCs w:val="15"/>
          <w:color w:val="231F20"/>
          <w:spacing w:val="-26"/>
          <w:w w:val="64"/>
        </w:rPr>
        <w:t>）：</w:t>
      </w:r>
      <w:r>
        <w:rPr>
          <w:sz w:val="15"/>
          <w:szCs w:val="15"/>
          <w:color w:val="231F20"/>
          <w:spacing w:val="-15"/>
        </w:rPr>
        <w:t>445.</w:t>
      </w:r>
    </w:p>
    <w:p>
      <w:pPr>
        <w:pStyle w:val="BodyText"/>
        <w:ind w:left="537" w:right="120" w:hanging="537"/>
        <w:spacing w:before="36" w:line="23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［30］  Sugiyama  T，Katsumata  N，Toi</w:t>
      </w:r>
      <w:r>
        <w:rPr>
          <w:sz w:val="15"/>
          <w:szCs w:val="15"/>
          <w:color w:val="231F20"/>
          <w:spacing w:val="-11"/>
        </w:rPr>
        <w:t>ta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1"/>
        </w:rPr>
        <w:t>T，et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al. Incidence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fistula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occurrence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9"/>
        </w:rPr>
        <w:t>in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patients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9"/>
        </w:rPr>
        <w:t>with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9"/>
        </w:rPr>
        <w:t>cervic</w:t>
      </w:r>
      <w:r>
        <w:rPr>
          <w:sz w:val="15"/>
          <w:szCs w:val="15"/>
          <w:color w:val="231F20"/>
          <w:spacing w:val="-10"/>
        </w:rPr>
        <w:t>al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cancer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treated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with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beva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cizumab：data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0"/>
        </w:rPr>
        <w:t>from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0"/>
        </w:rPr>
        <w:t>real-world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0"/>
        </w:rPr>
        <w:t>clinical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0"/>
        </w:rPr>
        <w:t>practice［J］.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0"/>
        </w:rPr>
        <w:t>Int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0"/>
        </w:rPr>
        <w:t>Clin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6"/>
        </w:rPr>
        <w:t>Oncol，2022，27（9</w:t>
      </w:r>
      <w:r>
        <w:rPr>
          <w:sz w:val="15"/>
          <w:szCs w:val="15"/>
          <w:color w:val="231F20"/>
          <w:spacing w:val="-35"/>
          <w:w w:val="85"/>
        </w:rPr>
        <w:t>）：</w:t>
      </w:r>
      <w:r>
        <w:rPr>
          <w:sz w:val="15"/>
          <w:szCs w:val="15"/>
          <w:color w:val="231F20"/>
          <w:spacing w:val="-16"/>
        </w:rPr>
        <w:t>1517-1528.</w:t>
      </w:r>
    </w:p>
    <w:p>
      <w:pPr>
        <w:pStyle w:val="BodyText"/>
        <w:ind w:left="535" w:right="120" w:hanging="535"/>
        <w:spacing w:before="37" w:line="23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［31］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2"/>
        </w:rPr>
        <w:t>Plummer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2"/>
        </w:rPr>
        <w:t>C，Michael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2"/>
        </w:rPr>
        <w:t>A，Shaikh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G，et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-12"/>
        </w:rPr>
        <w:t>Expert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2"/>
        </w:rPr>
        <w:t>recommenda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tions on the management of hypertension in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11"/>
        </w:rPr>
        <w:t>patients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-11"/>
        </w:rPr>
        <w:t>w</w:t>
      </w:r>
      <w:r>
        <w:rPr>
          <w:sz w:val="15"/>
          <w:szCs w:val="15"/>
          <w:color w:val="231F20"/>
          <w:spacing w:val="-12"/>
        </w:rPr>
        <w:t>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ovar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2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ian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cervical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cancer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receiving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bevacizumab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UK［J］.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Br J Cancer，2019，121（2</w:t>
      </w:r>
      <w:r>
        <w:rPr>
          <w:sz w:val="15"/>
          <w:szCs w:val="15"/>
          <w:color w:val="231F20"/>
          <w:spacing w:val="-34"/>
          <w:w w:val="83"/>
        </w:rPr>
        <w:t>）：</w:t>
      </w:r>
      <w:r>
        <w:rPr>
          <w:sz w:val="15"/>
          <w:szCs w:val="15"/>
          <w:color w:val="231F20"/>
          <w:spacing w:val="-13"/>
        </w:rPr>
        <w:t>109-116.</w:t>
      </w:r>
    </w:p>
    <w:p>
      <w:pPr>
        <w:pStyle w:val="BodyText"/>
        <w:ind w:left="3182"/>
        <w:spacing w:before="37" w:line="21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（2023-11-03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2"/>
        </w:rPr>
        <w:t>收稿）</w:t>
      </w:r>
    </w:p>
    <w:sectPr>
      <w:type w:val="continuous"/>
      <w:pgSz w:w="11906" w:h="16838"/>
      <w:pgMar w:top="1561" w:right="1155" w:bottom="0" w:left="407" w:header="1315" w:footer="0" w:gutter="0"/>
      <w:cols w:equalWidth="0" w:num="2">
        <w:col w:w="5572" w:space="100"/>
        <w:col w:w="467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814.49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0" style="position:absolute;margin-left:20.4pt;margin-top:814.49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6" w:line="177" w:lineRule="auto"/>
      <w:jc w:val="right"/>
      <w:rPr>
        <w:rFonts w:ascii="SimSun" w:hAnsi="SimSun" w:eastAsia="SimSun" w:cs="SimSun"/>
        <w:sz w:val="15"/>
        <w:szCs w:val="15"/>
      </w:rPr>
    </w:pPr>
    <w:r>
      <w:pict>
        <v:shape id="WordPictureWatermark16" style="position:absolute;margin-left:20.4pt;margin-top:814.49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rPr>
        <w:sz w:val="15"/>
        <w:szCs w:val="15"/>
        <w:color w:val="231F20"/>
        <w:spacing w:val="-1"/>
      </w:rPr>
      <w:t>中国实用妇科与产科杂志 2023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1"/>
      </w:rPr>
      <w:t>年 12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39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1"/>
      </w:rPr>
      <w:t>卷 第 12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1"/>
      </w:rPr>
      <w:t>期       </w:t>
    </w:r>
    <w:r>
      <w:rPr>
        <w:sz w:val="15"/>
        <w:szCs w:val="15"/>
        <w:color w:val="231F20"/>
        <w:spacing w:val="-2"/>
      </w:rPr>
      <w:t xml:space="preserve">                                                               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  <w:r>
      <w:rPr>
        <w:sz w:val="15"/>
        <w:szCs w:val="15"/>
        <w:color w:val="231F20"/>
        <w:spacing w:val="-2"/>
      </w:rPr>
      <w:t>1203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4"/>
      <w:spacing w:before="46" w:line="177" w:lineRule="auto"/>
      <w:rPr>
        <w:sz w:val="15"/>
        <w:szCs w:val="15"/>
      </w:rPr>
    </w:pPr>
    <w:r>
      <w:pict>
        <v:shape id="WordPictureWatermark18" style="position:absolute;margin-left:20.4pt;margin-top:814.49pt;mso-position-vertical-relative:page;mso-position-horizontal-relative:page;width:475.5pt;height:9.7pt;z-index:-251655168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  <w:r>
      <w:rPr>
        <w:sz w:val="15"/>
        <w:szCs w:val="15"/>
        <w:color w:val="231F20"/>
        <w:spacing w:val="-2"/>
      </w:rPr>
      <w:t>1204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                         </w:t>
    </w:r>
    <w:r>
      <w:rPr>
        <w:rFonts w:ascii="SimSun" w:hAnsi="SimSun" w:eastAsia="SimSun" w:cs="SimSun"/>
        <w:sz w:val="15"/>
        <w:szCs w:val="15"/>
        <w:color w:val="231F20"/>
        <w:spacing w:val="-3"/>
      </w:rPr>
      <w:t xml:space="preserve">                                             </w:t>
    </w:r>
    <w:r>
      <w:rPr>
        <w:sz w:val="15"/>
        <w:szCs w:val="15"/>
        <w:color w:val="231F20"/>
        <w:spacing w:val="-3"/>
      </w:rPr>
      <w:t>中国实用妇科与产科杂志 2023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3"/>
      </w:rPr>
      <w:t>年 12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3"/>
      </w:rPr>
      <w:t>月第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3"/>
      </w:rPr>
      <w:t>39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3"/>
      </w:rPr>
      <w:t>卷 第 12</w:t>
    </w:r>
    <w:r>
      <w:rPr>
        <w:sz w:val="15"/>
        <w:szCs w:val="15"/>
        <w:color w:val="231F20"/>
        <w:spacing w:val="-23"/>
      </w:rPr>
      <w:t xml:space="preserve"> </w:t>
    </w:r>
    <w:r>
      <w:rPr>
        <w:sz w:val="15"/>
        <w:szCs w:val="15"/>
        <w:color w:val="231F20"/>
        <w:spacing w:val="-3"/>
      </w:rPr>
      <w:t>期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6" w:line="177" w:lineRule="auto"/>
      <w:jc w:val="right"/>
      <w:rPr>
        <w:rFonts w:ascii="SimSun" w:hAnsi="SimSun" w:eastAsia="SimSun" w:cs="SimSun"/>
        <w:sz w:val="15"/>
        <w:szCs w:val="15"/>
      </w:rPr>
    </w:pPr>
    <w:r>
      <w:pict>
        <v:shape id="WordPictureWatermark20" style="position:absolute;margin-left:20.4pt;margin-top:814.49pt;mso-position-vertical-relative:page;mso-position-horizontal-relative:page;width:475.5pt;height:9.7pt;z-index:-251654144;" o:allowincell="f" filled="false" stroked="false" type="#_x0000_t75">
          <v:imagedata o:title="" r:id="rId1"/>
        </v:shape>
      </w:pict>
    </w:r>
    <w:r>
      <w:rPr>
        <w:sz w:val="15"/>
        <w:szCs w:val="15"/>
        <w:color w:val="231F20"/>
        <w:spacing w:val="-1"/>
      </w:rPr>
      <w:t>中国实用妇科与产科杂志 2023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1"/>
      </w:rPr>
      <w:t>年 12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39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1"/>
      </w:rPr>
      <w:t>卷 第 12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1"/>
      </w:rPr>
      <w:t>期       </w:t>
    </w:r>
    <w:r>
      <w:rPr>
        <w:sz w:val="15"/>
        <w:szCs w:val="15"/>
        <w:color w:val="231F20"/>
        <w:spacing w:val="-2"/>
      </w:rPr>
      <w:t xml:space="preserve">                                                               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  <w:r>
      <w:rPr>
        <w:sz w:val="15"/>
        <w:szCs w:val="15"/>
        <w:color w:val="231F20"/>
        <w:spacing w:val="-2"/>
      </w:rPr>
      <w:t>1205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4"/>
      <w:spacing w:before="46" w:line="177" w:lineRule="auto"/>
      <w:rPr>
        <w:sz w:val="15"/>
        <w:szCs w:val="15"/>
      </w:rPr>
    </w:pPr>
    <w:r>
      <w:pict>
        <v:shape id="WordPictureWatermark22" style="position:absolute;margin-left:20.4pt;margin-top:814.49pt;mso-position-vertical-relative:page;mso-position-horizontal-relative:page;width:475.5pt;height:9.7pt;z-index:-251653120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  <w:r>
      <w:rPr>
        <w:sz w:val="15"/>
        <w:szCs w:val="15"/>
        <w:color w:val="231F20"/>
        <w:spacing w:val="-2"/>
      </w:rPr>
      <w:t>1206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                         </w:t>
    </w:r>
    <w:r>
      <w:rPr>
        <w:rFonts w:ascii="SimSun" w:hAnsi="SimSun" w:eastAsia="SimSun" w:cs="SimSun"/>
        <w:sz w:val="15"/>
        <w:szCs w:val="15"/>
        <w:color w:val="231F20"/>
        <w:spacing w:val="-3"/>
      </w:rPr>
      <w:t xml:space="preserve">                                             </w:t>
    </w:r>
    <w:r>
      <w:rPr>
        <w:sz w:val="15"/>
        <w:szCs w:val="15"/>
        <w:color w:val="231F20"/>
        <w:spacing w:val="-3"/>
      </w:rPr>
      <w:t>中国实用妇科与产科杂志 2023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3"/>
      </w:rPr>
      <w:t>年 12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3"/>
      </w:rPr>
      <w:t>月第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3"/>
      </w:rPr>
      <w:t>39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3"/>
      </w:rPr>
      <w:t>卷 第 12</w:t>
    </w:r>
    <w:r>
      <w:rPr>
        <w:sz w:val="15"/>
        <w:szCs w:val="15"/>
        <w:color w:val="231F20"/>
        <w:spacing w:val="-23"/>
      </w:rPr>
      <w:t xml:space="preserve"> </w:t>
    </w:r>
    <w:r>
      <w:rPr>
        <w:sz w:val="15"/>
        <w:szCs w:val="15"/>
        <w:color w:val="231F20"/>
        <w:spacing w:val="-3"/>
      </w:rPr>
      <w:t>期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6" w:line="177" w:lineRule="auto"/>
      <w:jc w:val="right"/>
      <w:rPr>
        <w:rFonts w:ascii="SimSun" w:hAnsi="SimSun" w:eastAsia="SimSun" w:cs="SimSun"/>
        <w:sz w:val="15"/>
        <w:szCs w:val="15"/>
      </w:rPr>
    </w:pPr>
    <w:r>
      <w:pict>
        <v:shape id="WordPictureWatermark24" style="position:absolute;margin-left:20.4pt;margin-top:814.49pt;mso-position-vertical-relative:page;mso-position-horizontal-relative:page;width:475.5pt;height:9.7pt;z-index:-251652096;" o:allowincell="f" filled="false" stroked="false" type="#_x0000_t75">
          <v:imagedata o:title="" r:id="rId1"/>
        </v:shape>
      </w:pict>
    </w:r>
    <w:r>
      <w:rPr>
        <w:sz w:val="15"/>
        <w:szCs w:val="15"/>
        <w:color w:val="231F20"/>
        <w:spacing w:val="-1"/>
      </w:rPr>
      <w:t>中国实用妇科与产科杂志 2023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1"/>
      </w:rPr>
      <w:t>年 12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39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1"/>
      </w:rPr>
      <w:t>卷 第 12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1"/>
      </w:rPr>
      <w:t>期       </w:t>
    </w:r>
    <w:r>
      <w:rPr>
        <w:sz w:val="15"/>
        <w:szCs w:val="15"/>
        <w:color w:val="231F20"/>
        <w:spacing w:val="-2"/>
      </w:rPr>
      <w:t xml:space="preserve">                                                               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  <w:r>
      <w:rPr>
        <w:sz w:val="15"/>
        <w:szCs w:val="15"/>
        <w:color w:val="231F20"/>
        <w:spacing w:val="-2"/>
      </w:rPr>
      <w:t>1207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4"/>
      <w:spacing w:before="46" w:line="177" w:lineRule="auto"/>
      <w:rPr>
        <w:sz w:val="15"/>
        <w:szCs w:val="15"/>
      </w:rPr>
    </w:pPr>
    <w:r>
      <w:pict>
        <v:shape id="WordPictureWatermark26" style="position:absolute;margin-left:20.4pt;margin-top:814.49pt;mso-position-vertical-relative:page;mso-position-horizontal-relative:page;width:475.5pt;height:9.7pt;z-index:-251651072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  <w:r>
      <w:rPr>
        <w:rFonts w:ascii="Arial" w:hAnsi="Arial" w:eastAsia="Arial" w:cs="Arial"/>
        <w:sz w:val="15"/>
        <w:szCs w:val="15"/>
        <w:color w:val="231F20"/>
        <w:spacing w:val="-1"/>
      </w:rPr>
      <w:t>1208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       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 xml:space="preserve">             </w:t>
    </w:r>
    <w:r>
      <w:rPr>
        <w:sz w:val="15"/>
        <w:szCs w:val="15"/>
        <w:color w:val="231F20"/>
        <w:spacing w:val="-2"/>
      </w:rPr>
      <w:t>中国实用妇科与产科杂志 </w:t>
    </w:r>
    <w:r>
      <w:rPr>
        <w:rFonts w:ascii="Arial" w:hAnsi="Arial" w:eastAsia="Arial" w:cs="Arial"/>
        <w:sz w:val="15"/>
        <w:szCs w:val="15"/>
        <w:color w:val="231F20"/>
        <w:spacing w:val="-2"/>
      </w:rPr>
      <w:t>2023</w:t>
    </w:r>
    <w:r>
      <w:rPr>
        <w:rFonts w:ascii="Arial" w:hAnsi="Arial" w:eastAsia="Arial" w:cs="Arial"/>
        <w:sz w:val="15"/>
        <w:szCs w:val="15"/>
        <w:color w:val="231F20"/>
        <w:spacing w:val="-16"/>
      </w:rPr>
      <w:t xml:space="preserve"> </w:t>
    </w:r>
    <w:r>
      <w:rPr>
        <w:sz w:val="15"/>
        <w:szCs w:val="15"/>
        <w:color w:val="231F20"/>
        <w:spacing w:val="-2"/>
      </w:rPr>
      <w:t>年 </w:t>
    </w:r>
    <w:r>
      <w:rPr>
        <w:rFonts w:ascii="Arial" w:hAnsi="Arial" w:eastAsia="Arial" w:cs="Arial"/>
        <w:sz w:val="15"/>
        <w:szCs w:val="15"/>
        <w:color w:val="231F20"/>
        <w:spacing w:val="-2"/>
      </w:rPr>
      <w:t>12</w:t>
    </w:r>
    <w:r>
      <w:rPr>
        <w:rFonts w:ascii="Arial" w:hAnsi="Arial" w:eastAsia="Arial" w:cs="Arial"/>
        <w:sz w:val="15"/>
        <w:szCs w:val="15"/>
        <w:color w:val="231F20"/>
        <w:spacing w:val="-16"/>
      </w:rPr>
      <w:t xml:space="preserve"> </w:t>
    </w:r>
    <w:r>
      <w:rPr>
        <w:sz w:val="15"/>
        <w:szCs w:val="15"/>
        <w:color w:val="231F20"/>
        <w:spacing w:val="-2"/>
      </w:rPr>
      <w:t>月第</w:t>
    </w:r>
    <w:r>
      <w:rPr>
        <w:sz w:val="15"/>
        <w:szCs w:val="15"/>
        <w:color w:val="231F20"/>
        <w:spacing w:val="-18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2"/>
      </w:rPr>
      <w:t>39</w:t>
    </w:r>
    <w:r>
      <w:rPr>
        <w:rFonts w:ascii="Arial" w:hAnsi="Arial" w:eastAsia="Arial" w:cs="Arial"/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2"/>
      </w:rPr>
      <w:t>卷 第 </w:t>
    </w:r>
    <w:r>
      <w:rPr>
        <w:rFonts w:ascii="Arial" w:hAnsi="Arial" w:eastAsia="Arial" w:cs="Arial"/>
        <w:sz w:val="15"/>
        <w:szCs w:val="15"/>
        <w:color w:val="231F20"/>
        <w:spacing w:val="-2"/>
      </w:rPr>
      <w:t>12</w:t>
    </w:r>
    <w:r>
      <w:rPr>
        <w:rFonts w:ascii="Arial" w:hAnsi="Arial" w:eastAsia="Arial" w:cs="Arial"/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2"/>
      </w:rPr>
      <w:t>期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6" w:line="177" w:lineRule="auto"/>
      <w:jc w:val="right"/>
      <w:rPr>
        <w:rFonts w:ascii="SimSun" w:hAnsi="SimSun" w:eastAsia="SimSun" w:cs="SimSun"/>
        <w:sz w:val="15"/>
        <w:szCs w:val="15"/>
      </w:rPr>
    </w:pPr>
    <w:r>
      <w:pict>
        <v:shape id="WordPictureWatermark28" style="position:absolute;margin-left:20.4pt;margin-top:814.49pt;mso-position-vertical-relative:page;mso-position-horizontal-relative:page;width:475.5pt;height:9.7pt;z-index:-251650048;" o:allowincell="f" filled="false" stroked="false" type="#_x0000_t75">
          <v:imagedata o:title="" r:id="rId1"/>
        </v:shape>
      </w:pict>
    </w:r>
    <w:r>
      <w:rPr>
        <w:sz w:val="15"/>
        <w:szCs w:val="15"/>
        <w:color w:val="231F20"/>
        <w:spacing w:val="-1"/>
      </w:rPr>
      <w:t>中国实用妇科与产科杂志 </w:t>
    </w:r>
    <w:r>
      <w:rPr>
        <w:rFonts w:ascii="Arial" w:hAnsi="Arial" w:eastAsia="Arial" w:cs="Arial"/>
        <w:sz w:val="15"/>
        <w:szCs w:val="15"/>
        <w:color w:val="231F20"/>
        <w:spacing w:val="-1"/>
      </w:rPr>
      <w:t>2023</w:t>
    </w:r>
    <w:r>
      <w:rPr>
        <w:rFonts w:ascii="Arial" w:hAnsi="Arial" w:eastAsia="Arial" w:cs="Arial"/>
        <w:sz w:val="15"/>
        <w:szCs w:val="15"/>
        <w:color w:val="231F20"/>
        <w:spacing w:val="-16"/>
      </w:rPr>
      <w:t xml:space="preserve"> </w:t>
    </w:r>
    <w:r>
      <w:rPr>
        <w:sz w:val="15"/>
        <w:szCs w:val="15"/>
        <w:color w:val="231F20"/>
        <w:spacing w:val="-1"/>
      </w:rPr>
      <w:t>年 </w:t>
    </w:r>
    <w:r>
      <w:rPr>
        <w:rFonts w:ascii="Arial" w:hAnsi="Arial" w:eastAsia="Arial" w:cs="Arial"/>
        <w:sz w:val="15"/>
        <w:szCs w:val="15"/>
        <w:color w:val="231F20"/>
        <w:spacing w:val="-1"/>
      </w:rPr>
      <w:t>12</w:t>
    </w:r>
    <w:r>
      <w:rPr>
        <w:rFonts w:ascii="Arial" w:hAnsi="Arial" w:eastAsia="Arial" w:cs="Arial"/>
        <w:sz w:val="15"/>
        <w:szCs w:val="15"/>
        <w:color w:val="231F20"/>
        <w:spacing w:val="-16"/>
      </w:rPr>
      <w:t xml:space="preserve"> </w:t>
    </w:r>
    <w:r>
      <w:rPr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18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39</w:t>
    </w:r>
    <w:r>
      <w:rPr>
        <w:rFonts w:ascii="Arial" w:hAnsi="Arial" w:eastAsia="Arial" w:cs="Arial"/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卷 第 </w:t>
    </w:r>
    <w:r>
      <w:rPr>
        <w:rFonts w:ascii="Arial" w:hAnsi="Arial" w:eastAsia="Arial" w:cs="Arial"/>
        <w:sz w:val="15"/>
        <w:szCs w:val="15"/>
        <w:color w:val="231F20"/>
        <w:spacing w:val="-1"/>
      </w:rPr>
      <w:t>12</w:t>
    </w:r>
    <w:r>
      <w:rPr>
        <w:rFonts w:ascii="Arial" w:hAnsi="Arial" w:eastAsia="Arial" w:cs="Arial"/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1"/>
      </w:rPr>
      <w:t>期                                                                                                                   </w:t>
    </w:r>
    <w:r>
      <w:rPr>
        <w:sz w:val="15"/>
        <w:szCs w:val="15"/>
        <w:color w:val="231F20"/>
        <w:spacing w:val="-2"/>
      </w:rPr>
      <w:t xml:space="preserve">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  <w:r>
      <w:rPr>
        <w:rFonts w:ascii="Arial" w:hAnsi="Arial" w:eastAsia="Arial" w:cs="Arial"/>
        <w:sz w:val="15"/>
        <w:szCs w:val="15"/>
        <w:color w:val="231F20"/>
        <w:spacing w:val="-2"/>
      </w:rPr>
      <w:t>1209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header" Target="header4.xml"/><Relationship Id="rId7" Type="http://schemas.openxmlformats.org/officeDocument/2006/relationships/image" Target="media/image7.png"/><Relationship Id="rId6" Type="http://schemas.openxmlformats.org/officeDocument/2006/relationships/header" Target="header3.xml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header" Target="header2.xml"/><Relationship Id="rId22" Type="http://schemas.openxmlformats.org/officeDocument/2006/relationships/fontTable" Target="fontTable.xml"/><Relationship Id="rId21" Type="http://schemas.openxmlformats.org/officeDocument/2006/relationships/styles" Target="styles.xml"/><Relationship Id="rId20" Type="http://schemas.openxmlformats.org/officeDocument/2006/relationships/settings" Target="settings.xml"/><Relationship Id="rId2" Type="http://schemas.openxmlformats.org/officeDocument/2006/relationships/image" Target="media/image2.png"/><Relationship Id="rId19" Type="http://schemas.openxmlformats.org/officeDocument/2006/relationships/image" Target="media/image19.png"/><Relationship Id="rId18" Type="http://schemas.openxmlformats.org/officeDocument/2006/relationships/header" Target="header9.xml"/><Relationship Id="rId17" Type="http://schemas.openxmlformats.org/officeDocument/2006/relationships/image" Target="media/image17.png"/><Relationship Id="rId16" Type="http://schemas.openxmlformats.org/officeDocument/2006/relationships/header" Target="header8.xml"/><Relationship Id="rId15" Type="http://schemas.openxmlformats.org/officeDocument/2006/relationships/image" Target="media/image15.png"/><Relationship Id="rId14" Type="http://schemas.openxmlformats.org/officeDocument/2006/relationships/header" Target="header7.xml"/><Relationship Id="rId13" Type="http://schemas.openxmlformats.org/officeDocument/2006/relationships/image" Target="media/image13.png"/><Relationship Id="rId12" Type="http://schemas.openxmlformats.org/officeDocument/2006/relationships/header" Target="header6.xml"/><Relationship Id="rId11" Type="http://schemas.openxmlformats.org/officeDocument/2006/relationships/image" Target="media/image11.png"/><Relationship Id="rId10" Type="http://schemas.openxmlformats.org/officeDocument/2006/relationships/header" Target="header5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2023-12-27T15:57:33Z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2025-10-28T22:21:38</vt:filetime>
  </property>
</Properties>
</file>