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71"/>
        <w:spacing w:before="35" w:line="20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</w:t>
      </w:r>
      <w:r>
        <w:rPr>
          <w:sz w:val="15"/>
          <w:szCs w:val="15"/>
          <w:color w:val="231F20"/>
          <w:spacing w:val="-1"/>
        </w:rPr>
        <w:t>58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                        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                      </w:t>
      </w:r>
      <w:r>
        <w:rPr>
          <w:sz w:val="15"/>
          <w:szCs w:val="15"/>
          <w:u w:val="single" w:color="auto"/>
          <w:color w:val="231F20"/>
          <w:spacing w:val="-25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中国实用妇科与产科杂志 2023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年 1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39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卷 第 1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期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75"/>
        <w:spacing w:before="86" w:line="18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7"/>
          <w:w w:val="150"/>
        </w:rPr>
        <w:t>指南解读</w:t>
      </w:r>
    </w:p>
    <w:p>
      <w:pPr>
        <w:pStyle w:val="BodyText"/>
        <w:ind w:left="71"/>
        <w:spacing w:before="49" w:line="1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DOI</w:t>
      </w:r>
      <w:r>
        <w:rPr>
          <w:rFonts w:ascii="SimHei" w:hAnsi="SimHei" w:eastAsia="SimHei" w:cs="SimHei"/>
          <w:sz w:val="15"/>
          <w:szCs w:val="15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10.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0"/>
        </w:rPr>
        <w:t>19538/j.fk2023010116</w:t>
      </w:r>
    </w:p>
    <w:p>
      <w:pPr>
        <w:spacing w:line="457" w:lineRule="auto"/>
        <w:rPr>
          <w:rFonts w:ascii="Arial"/>
          <w:sz w:val="21"/>
        </w:rPr>
      </w:pPr>
      <w:r/>
    </w:p>
    <w:p>
      <w:pPr>
        <w:pStyle w:val="BodyText"/>
        <w:ind w:left="56"/>
        <w:spacing w:before="176" w:line="180" w:lineRule="auto"/>
        <w:outlineLvl w:val="0"/>
        <w:rPr>
          <w:sz w:val="41"/>
          <w:szCs w:val="41"/>
        </w:rPr>
      </w:pPr>
      <w:r>
        <w:rPr>
          <w:sz w:val="41"/>
          <w:szCs w:val="41"/>
          <w:color w:val="231F20"/>
          <w:spacing w:val="-6"/>
        </w:rPr>
        <w:t>《2023 NCCN</w:t>
      </w:r>
      <w:r>
        <w:rPr>
          <w:sz w:val="41"/>
          <w:szCs w:val="41"/>
          <w:color w:val="231F20"/>
          <w:spacing w:val="-48"/>
        </w:rPr>
        <w:t xml:space="preserve"> </w:t>
      </w:r>
      <w:r>
        <w:rPr>
          <w:sz w:val="41"/>
          <w:szCs w:val="41"/>
          <w:color w:val="231F20"/>
          <w:spacing w:val="-6"/>
        </w:rPr>
        <w:t>卵巢癌包括输卵管癌及原发性腹膜癌</w:t>
      </w:r>
    </w:p>
    <w:p>
      <w:pPr>
        <w:pStyle w:val="BodyText"/>
        <w:ind w:left="2202"/>
        <w:spacing w:before="2" w:line="204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-30"/>
          <w:w w:val="96"/>
        </w:rPr>
        <w:t>临床实践指南（第 1</w:t>
      </w:r>
      <w:r>
        <w:rPr>
          <w:sz w:val="41"/>
          <w:szCs w:val="41"/>
          <w:color w:val="231F20"/>
          <w:spacing w:val="-25"/>
        </w:rPr>
        <w:t xml:space="preserve"> </w:t>
      </w:r>
      <w:r>
        <w:rPr>
          <w:sz w:val="41"/>
          <w:szCs w:val="41"/>
          <w:color w:val="231F20"/>
          <w:spacing w:val="-30"/>
          <w:w w:val="96"/>
        </w:rPr>
        <w:t>版）》解读</w:t>
      </w:r>
    </w:p>
    <w:p>
      <w:pPr>
        <w:pStyle w:val="BodyText"/>
        <w:ind w:left="2593"/>
        <w:spacing w:before="218" w:line="20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3"/>
        </w:rPr>
        <w:t>卢淮武，叶栋栋，吴    斌，许妙纯，霍楚莹，林仲秋</w:t>
      </w:r>
    </w:p>
    <w:p>
      <w:pPr>
        <w:pStyle w:val="BodyText"/>
        <w:ind w:left="439"/>
        <w:spacing w:before="315" w:line="205" w:lineRule="auto"/>
        <w:rPr/>
      </w:pPr>
      <w:r>
        <w:rPr>
          <w:rFonts w:ascii="SimHei" w:hAnsi="SimHei" w:eastAsia="SimHei" w:cs="SimHei"/>
          <w:color w:val="231F20"/>
          <w:spacing w:val="-5"/>
        </w:rPr>
        <w:t>关键词：</w:t>
      </w:r>
      <w:r>
        <w:rPr>
          <w:color w:val="231F20"/>
          <w:spacing w:val="-5"/>
        </w:rPr>
        <w:t>美国国立综合癌症网络；指南；卵巢</w:t>
      </w:r>
      <w:r>
        <w:rPr>
          <w:color w:val="231F20"/>
          <w:spacing w:val="-6"/>
        </w:rPr>
        <w:t>癌；输卵管癌；原发性腹膜癌；解读</w:t>
      </w:r>
    </w:p>
    <w:p>
      <w:pPr>
        <w:pStyle w:val="BodyText"/>
        <w:ind w:left="430"/>
        <w:spacing w:before="39" w:line="190" w:lineRule="auto"/>
        <w:rPr/>
      </w:pPr>
      <w:r>
        <w:rPr>
          <w:color w:val="231F20"/>
          <w:spacing w:val="-14"/>
        </w:rPr>
        <w:t>Keywords：NCCN；guidelines；ovarian cancer；fallopian tube cancer；primary peritoneal cancer；interpretation</w:t>
      </w:r>
    </w:p>
    <w:p>
      <w:pPr>
        <w:pStyle w:val="BodyText"/>
        <w:ind w:left="446"/>
        <w:spacing w:before="57" w:line="210" w:lineRule="auto"/>
        <w:rPr/>
      </w:pPr>
      <w:r>
        <w:rPr>
          <w:rFonts w:ascii="SimHei" w:hAnsi="SimHei" w:eastAsia="SimHei" w:cs="SimHei"/>
          <w:color w:val="231F20"/>
          <w:spacing w:val="-6"/>
        </w:rPr>
        <w:t>中图分类号：</w:t>
      </w:r>
      <w:r>
        <w:rPr>
          <w:color w:val="231F20"/>
          <w:spacing w:val="-6"/>
        </w:rPr>
        <w:t>R737.3</w:t>
      </w:r>
      <w:r>
        <w:rPr>
          <w:color w:val="231F20"/>
          <w:spacing w:val="2"/>
        </w:rPr>
        <w:t xml:space="preserve">       </w:t>
      </w:r>
      <w:r>
        <w:rPr>
          <w:rFonts w:ascii="SimHei" w:hAnsi="SimHei" w:eastAsia="SimHei" w:cs="SimHei"/>
          <w:color w:val="231F20"/>
          <w:spacing w:val="-6"/>
        </w:rPr>
        <w:t>文献标志码：</w:t>
      </w:r>
      <w:r>
        <w:rPr>
          <w:color w:val="231F20"/>
          <w:spacing w:val="-6"/>
        </w:rPr>
        <w:t>A</w:t>
      </w:r>
    </w:p>
    <w:p>
      <w:pPr>
        <w:spacing w:before="14"/>
        <w:rPr/>
      </w:pPr>
      <w:r/>
    </w:p>
    <w:p>
      <w:pPr>
        <w:sectPr>
          <w:pgSz w:w="12076" w:h="17008"/>
          <w:pgMar w:top="1408" w:right="1306" w:bottom="0" w:left="1295" w:header="0" w:footer="0" w:gutter="0"/>
          <w:cols w:equalWidth="0" w:num="1">
            <w:col w:w="9474" w:space="0"/>
          </w:cols>
        </w:sectPr>
        <w:rPr/>
      </w:pPr>
    </w:p>
    <w:p>
      <w:pPr>
        <w:pStyle w:val="BodyText"/>
        <w:ind w:left="68" w:right="197" w:firstLine="369"/>
        <w:spacing w:before="42" w:line="237" w:lineRule="auto"/>
        <w:jc w:val="both"/>
        <w:rPr/>
      </w:pPr>
      <w:r>
        <w:rPr>
          <w:color w:val="231F20"/>
          <w:spacing w:val="-7"/>
        </w:rPr>
        <w:t>近日，美国国立综合癌症网络（Natio</w:t>
      </w:r>
      <w:r>
        <w:rPr>
          <w:color w:val="231F20"/>
          <w:spacing w:val="-8"/>
        </w:rPr>
        <w:t>nal Comprehensive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Cancer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0"/>
        </w:rPr>
        <w:t>Network，NCCN）公布了《2023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NCCN 卵巢癌包</w:t>
      </w:r>
      <w:r>
        <w:rPr>
          <w:color w:val="231F20"/>
          <w:spacing w:val="-11"/>
        </w:rPr>
        <w:t>括输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卵管癌及原发性腹膜癌临床实践指南（第 1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版）》。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新版指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南在卵巢癌化疗、靶向治疗、基因检测等方面有重要更新。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现对新版指南进行简要解读。</w:t>
      </w:r>
    </w:p>
    <w:p>
      <w:pPr>
        <w:ind w:left="81"/>
        <w:spacing w:before="288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2023年指南主要更新</w:t>
      </w:r>
    </w:p>
    <w:p>
      <w:pPr>
        <w:pStyle w:val="BodyText"/>
        <w:ind w:left="67" w:right="195" w:firstLine="253"/>
        <w:spacing w:before="82" w:line="234" w:lineRule="auto"/>
        <w:rPr/>
      </w:pPr>
      <w:r>
        <w:rPr>
          <w:color w:val="231F20"/>
          <w:spacing w:val="9"/>
        </w:rPr>
        <w:t>（1）新增推荐保留生育功能患者术前进行生殖内分泌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与不孕症评估、必要时行子宫内膜活检。（2）一线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PARP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抑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制剂维持治疗更新：①一线维持治疗新增卢卡帕利；②贝  </w:t>
      </w:r>
      <w:r>
        <w:rPr>
          <w:color w:val="231F20"/>
          <w:spacing w:val="1"/>
        </w:rPr>
        <w:t>伐珠单抗+奥拉帕利维持治疗改为 1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类推荐</w:t>
      </w:r>
      <w:r>
        <w:rPr>
          <w:color w:val="231F20"/>
        </w:rPr>
        <w:t>；③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BRCA</w:t>
      </w:r>
      <w:r>
        <w:rPr>
          <w:color w:val="231F20"/>
        </w:rPr>
        <w:t>突变、 </w:t>
      </w:r>
      <w:r>
        <w:rPr>
          <w:color w:val="231F20"/>
          <w:spacing w:val="11"/>
        </w:rPr>
        <w:t>化疗联合贝伐珠单抗患者，停化疗后推荐奥拉帕利+贝伐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珠单抗（1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类）维持治疗，也可以使用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PA</w:t>
      </w:r>
      <w:r>
        <w:rPr>
          <w:color w:val="231F20"/>
          <w:spacing w:val="-2"/>
        </w:rPr>
        <w:t>RP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抑制剂单药维持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治疗；④化疗联合贝伐珠单抗的同源重组修复缺陷（</w:t>
      </w:r>
      <w:r>
        <w:rPr>
          <w:color w:val="231F20"/>
        </w:rPr>
        <w:t>HRD</w:t>
      </w:r>
      <w:r>
        <w:rPr>
          <w:color w:val="231F20"/>
          <w:spacing w:val="4"/>
        </w:rPr>
        <w:t>）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患者，也可以选择贝伐珠单抗维持治疗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。（3）铂敏感复发</w:t>
      </w:r>
      <w:r>
        <w:rPr>
          <w:color w:val="231F20"/>
        </w:rPr>
        <w:t xml:space="preserve">  </w:t>
      </w:r>
      <w:r>
        <w:rPr>
          <w:color w:val="231F20"/>
        </w:rPr>
        <w:t>PARP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抑制剂维持治疗推荐更新：无论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BRCA</w:t>
      </w:r>
      <w:r>
        <w:rPr>
          <w:color w:val="231F20"/>
          <w:spacing w:val="3"/>
        </w:rPr>
        <w:t>状态如何，均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可使用奥拉帕利，首选用于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BRCA</w:t>
      </w:r>
      <w:r>
        <w:rPr>
          <w:color w:val="231F20"/>
          <w:spacing w:val="1"/>
        </w:rPr>
        <w:t>突变患者；尼拉帕利仅限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5"/>
        </w:rPr>
        <w:t>于胚系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BRCA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6"/>
        </w:rPr>
        <w:t xml:space="preserve"> </w:t>
      </w:r>
      <w:r>
        <w:rPr>
          <w:color w:val="231F20"/>
          <w:spacing w:val="5"/>
        </w:rPr>
        <w:t>突变的患者；卢卡帕利仅限于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BRCA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6"/>
        </w:rPr>
        <w:t xml:space="preserve"> </w:t>
      </w:r>
      <w:r>
        <w:rPr>
          <w:color w:val="231F20"/>
          <w:spacing w:val="5"/>
        </w:rPr>
        <w:t>突变的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患者；使用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PARP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抑制剂维持时间超过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9"/>
        </w:rPr>
        <w:t>24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9"/>
        </w:rPr>
        <w:t>个月时应谨慎。</w:t>
      </w:r>
    </w:p>
    <w:p>
      <w:pPr>
        <w:pStyle w:val="BodyText"/>
        <w:ind w:right="262"/>
        <w:spacing w:before="34" w:line="234" w:lineRule="auto"/>
        <w:rPr/>
      </w:pPr>
      <w:r>
        <w:rPr>
          <w:color w:val="231F20"/>
          <w:spacing w:val="-3"/>
        </w:rPr>
        <w:t>（4）对于复发的患者，分子检测项目新增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MMR、叶酸</w:t>
      </w:r>
      <w:r>
        <w:rPr>
          <w:color w:val="231F20"/>
          <w:spacing w:val="-4"/>
        </w:rPr>
        <w:t>受体-a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（</w:t>
      </w:r>
      <w:r>
        <w:rPr>
          <w:rFonts w:ascii="Arial" w:hAnsi="Arial" w:eastAsia="Arial" w:cs="Arial"/>
          <w:i/>
          <w:iCs/>
          <w:color w:val="231F20"/>
        </w:rPr>
        <w:t>FR</w:t>
      </w:r>
      <w:r>
        <w:rPr>
          <w:rFonts w:ascii="Arial" w:hAnsi="Arial" w:eastAsia="Arial" w:cs="Arial"/>
          <w:i/>
          <w:iCs/>
          <w:color w:val="231F20"/>
          <w:spacing w:val="1"/>
        </w:rPr>
        <w:t>-</w:t>
      </w:r>
      <w:r>
        <w:rPr>
          <w:color w:val="231F20"/>
          <w:spacing w:val="1"/>
        </w:rPr>
        <w:t>a）</w:t>
      </w:r>
      <w:r>
        <w:rPr>
          <w:sz w:val="18"/>
          <w:szCs w:val="18"/>
          <w:i/>
          <w:iCs/>
          <w:color w:val="231F20"/>
          <w:spacing w:val="1"/>
        </w:rPr>
        <w:t>、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RET</w:t>
      </w:r>
      <w:r>
        <w:rPr>
          <w:sz w:val="18"/>
          <w:szCs w:val="18"/>
          <w:i/>
          <w:iCs/>
          <w:color w:val="231F20"/>
          <w:spacing w:val="1"/>
        </w:rPr>
        <w:t>、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BRAF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color w:val="231F20"/>
          <w:spacing w:val="1"/>
        </w:rPr>
        <w:t>等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。不能获得组织者推荐循环肿瘤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DNA（ctDNA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或液体活检）检测。（5）全身治疗方案更新：①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Ⅰ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0"/>
        </w:rPr>
        <w:t>C~Ⅳ期的低级别浆液性和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0"/>
        </w:rPr>
        <w:t>G1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级子宫内膜样癌，其他推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荐方案中卡铂+脂质体多柔比星，多烯紫杉醇/卡</w:t>
      </w:r>
      <w:r>
        <w:rPr>
          <w:color w:val="231F20"/>
          <w:spacing w:val="10"/>
        </w:rPr>
        <w:t>铂两个化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疗方案也增加了来曲唑或其他内分泌维持治疗的选择；②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4"/>
        </w:rPr>
        <w:t>Ⅱ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4"/>
        </w:rPr>
        <w:t>~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4"/>
        </w:rPr>
        <w:t>Ⅳ期上皮性卵巢癌其他推荐方案增加多烯紫杉醇+卡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铂/贝伐珠单抗+贝伐珠单抗维持治疗（</w:t>
      </w:r>
      <w:r>
        <w:rPr>
          <w:color w:val="231F20"/>
        </w:rPr>
        <w:t>GOG</w:t>
      </w:r>
      <w:r>
        <w:rPr>
          <w:color w:val="231F20"/>
          <w:spacing w:val="8"/>
        </w:rPr>
        <w:t>-218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8"/>
        </w:rPr>
        <w:t>③铂耐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2"/>
        </w:rPr>
        <w:t>药复发其他推荐方案新增含铂方案，但脚注说明不用于铂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难治疾病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。新增伊沙匹隆/贝伐珠单抗方案。（6）铂敏感复</w:t>
      </w:r>
      <w:r>
        <w:rPr>
          <w:color w:val="231F20"/>
        </w:rPr>
        <w:t xml:space="preserve"> </w:t>
      </w:r>
      <w:r>
        <w:rPr>
          <w:u w:val="single" w:color="auto"/>
          <w:color w:val="231F20"/>
          <w:spacing w:val="5"/>
        </w:rPr>
        <w:t>发某些情况有效方案新增</w:t>
      </w:r>
      <w:r>
        <w:rPr>
          <w:color w:val="231F20"/>
          <w:spacing w:val="5"/>
        </w:rPr>
        <w:t>：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BRAF</w:t>
      </w:r>
      <w:r>
        <w:rPr>
          <w:color w:val="231F20"/>
        </w:rPr>
        <w:t>V</w:t>
      </w:r>
      <w:r>
        <w:rPr>
          <w:color w:val="231F20"/>
          <w:spacing w:val="5"/>
        </w:rPr>
        <w:t>600E 阳性肿瘤，可</w:t>
      </w:r>
      <w:r>
        <w:rPr>
          <w:color w:val="231F20"/>
          <w:spacing w:val="4"/>
        </w:rPr>
        <w:t>使用</w:t>
      </w:r>
    </w:p>
    <w:p>
      <w:pPr>
        <w:pStyle w:val="BodyText"/>
        <w:ind w:left="70" w:right="279" w:firstLine="316"/>
        <w:spacing w:before="119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作者单位：中山大学孙逸仙纪念医院妇科肿瘤专科，广东 广州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510120</w:t>
      </w:r>
    </w:p>
    <w:p>
      <w:pPr>
        <w:pStyle w:val="BodyText"/>
        <w:ind w:left="385"/>
        <w:spacing w:line="17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通讯作者：林仲秋，电子信箱：lin-zh</w:t>
      </w:r>
      <w:r>
        <w:rPr>
          <w:sz w:val="15"/>
          <w:szCs w:val="15"/>
          <w:color w:val="231F20"/>
          <w:spacing w:val="-10"/>
        </w:rPr>
        <w:t>ongqiu@163.com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53" w:firstLine="1"/>
        <w:spacing w:before="40" w:line="236" w:lineRule="auto"/>
        <w:jc w:val="both"/>
        <w:rPr/>
      </w:pPr>
      <w:r>
        <w:rPr>
          <w:color w:val="231F20"/>
          <w:spacing w:val="11"/>
        </w:rPr>
        <w:t>达拉非尼+曲美替尼；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RET</w:t>
      </w:r>
      <w:r>
        <w:rPr>
          <w:color w:val="231F20"/>
          <w:spacing w:val="11"/>
        </w:rPr>
        <w:t>基因融合阳性肿瘤可使用塞尔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帕替尼。（7）铂耐药复发首选方案新增：</w:t>
      </w:r>
      <w:r>
        <w:rPr>
          <w:rFonts w:ascii="Arial" w:hAnsi="Arial" w:eastAsia="Arial" w:cs="Arial"/>
          <w:i/>
          <w:iCs/>
          <w:color w:val="231F20"/>
          <w:spacing w:val="-4"/>
        </w:rPr>
        <w:t>FR-</w:t>
      </w:r>
      <w:r>
        <w:rPr>
          <w:color w:val="231F20"/>
          <w:spacing w:val="-4"/>
        </w:rPr>
        <w:t>a 阳性肿瘤可使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0"/>
        </w:rPr>
        <w:t>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0"/>
        </w:rPr>
        <w:t>Mirvetuximab Soravtansine。（8）铂耐药复发某些情况有效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方案新增：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BRAF</w:t>
      </w:r>
      <w:r>
        <w:rPr>
          <w:color w:val="231F20"/>
        </w:rPr>
        <w:t>V</w:t>
      </w:r>
      <w:r>
        <w:rPr>
          <w:color w:val="231F20"/>
          <w:spacing w:val="4"/>
        </w:rPr>
        <w:t>600E 阳性肿瘤可使用达拉非尼+曲</w:t>
      </w:r>
      <w:r>
        <w:rPr>
          <w:color w:val="231F20"/>
          <w:spacing w:val="3"/>
        </w:rPr>
        <w:t>美替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尼；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RET</w:t>
      </w:r>
      <w:r>
        <w:rPr>
          <w:color w:val="231F20"/>
          <w:spacing w:val="5"/>
        </w:rPr>
        <w:t>基因融合阳性肿瘤可使用塞尔帕替尼；</w:t>
      </w:r>
      <w:r>
        <w:rPr>
          <w:rFonts w:ascii="Arial" w:hAnsi="Arial" w:eastAsia="Arial" w:cs="Arial"/>
          <w:i/>
          <w:iCs/>
          <w:color w:val="231F20"/>
        </w:rPr>
        <w:t>FR</w:t>
      </w:r>
      <w:r>
        <w:rPr>
          <w:rFonts w:ascii="Arial" w:hAnsi="Arial" w:eastAsia="Arial" w:cs="Arial"/>
          <w:i/>
          <w:iCs/>
          <w:color w:val="231F20"/>
          <w:spacing w:val="5"/>
        </w:rPr>
        <w:t>-</w:t>
      </w:r>
      <w:r>
        <w:rPr>
          <w:color w:val="231F20"/>
          <w:spacing w:val="5"/>
        </w:rPr>
        <w:t>a 阳性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肿瘤可使用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Mirvetuximab Soravtansi</w:t>
      </w:r>
      <w:r>
        <w:rPr>
          <w:color w:val="231F20"/>
          <w:spacing w:val="-7"/>
        </w:rPr>
        <w:t>ne+贝伐珠单抗。</w:t>
      </w:r>
    </w:p>
    <w:p>
      <w:pPr>
        <w:ind w:left="3"/>
        <w:spacing w:before="296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上皮性卵巢癌/输卵管癌/原发性腹膜癌手术原则</w:t>
      </w:r>
    </w:p>
    <w:p>
      <w:pPr>
        <w:pStyle w:val="BodyText"/>
        <w:ind w:left="1" w:firstLine="1"/>
        <w:spacing w:before="77" w:line="231" w:lineRule="auto"/>
        <w:rPr/>
      </w:pPr>
      <w:r>
        <w:rPr>
          <w:color w:val="231F20"/>
          <w:spacing w:val="-5"/>
        </w:rPr>
        <w:t>2.1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-5"/>
        </w:rPr>
        <w:t>总原则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5"/>
        </w:rPr>
        <w:t>（1）推荐由妇科肿瘤医生完成手术。（2）</w:t>
      </w:r>
      <w:r>
        <w:rPr>
          <w:color w:val="231F20"/>
          <w:spacing w:val="-6"/>
        </w:rPr>
        <w:t>绝大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多数卵巢癌患者选择开腹手术，下腹正中直切口可用于全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面分期手术、初始和间歇性减瘤术或再次减瘤术。（3）微创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手术应由有经验的医生施行，可考虑用于经选择的早期疾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病、评估初治和复发患者能否达到满意减瘤术、经选择的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间歇性减瘤术，减瘤术不理想者须及时中转开腹。（4）术中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冰冻病理检查有助于选择手术方案。（5）如考虑腹腔化疗，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建议放置腹腔输液港。</w:t>
      </w:r>
    </w:p>
    <w:p>
      <w:pPr>
        <w:pStyle w:val="BodyText"/>
        <w:ind w:right="53" w:firstLine="2"/>
        <w:spacing w:before="60" w:line="227" w:lineRule="auto"/>
        <w:rPr/>
      </w:pPr>
      <w:r>
        <w:rPr>
          <w:color w:val="231F20"/>
          <w:spacing w:val="7"/>
        </w:rPr>
        <w:t>2.2   手术记录    手术记录必须描述以下内容</w:t>
      </w:r>
      <w:r>
        <w:rPr>
          <w:color w:val="231F20"/>
          <w:spacing w:val="-34"/>
          <w:w w:val="73"/>
        </w:rPr>
        <w:t>：（</w:t>
      </w:r>
      <w:r>
        <w:rPr>
          <w:color w:val="231F20"/>
          <w:spacing w:val="7"/>
        </w:rPr>
        <w:t>1）减瘤术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前盆腔、中腹部、上腹部原发疾病的范围。（2）减瘤术后残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留病灶的数量。（3）完整或不完整切除，如果为不完整切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9"/>
        </w:rPr>
        <w:t>除，记录病灶的大小和数目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。注明是粟粒状</w:t>
      </w:r>
      <w:r>
        <w:rPr>
          <w:color w:val="231F20"/>
          <w:spacing w:val="8"/>
        </w:rPr>
        <w:t>病灶还是小病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灶。</w:t>
      </w:r>
    </w:p>
    <w:p>
      <w:pPr>
        <w:pStyle w:val="BodyText"/>
        <w:ind w:right="50" w:firstLine="3"/>
        <w:spacing w:before="60" w:line="233" w:lineRule="auto"/>
        <w:rPr/>
      </w:pPr>
      <w:r>
        <w:rPr>
          <w:color w:val="231F20"/>
          <w:spacing w:val="2"/>
        </w:rPr>
        <w:t>2.3   初治局限于卵巢或盆腔（评估为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ⅠA~ⅡA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期）的浸润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性上皮性卵巢癌手术步骤   尽最大努力切除盆腔所有肿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瘤组织并评估上腹部或腹膜后的隐匿性病灶。（1）进入腹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腔后，抽吸腹水或腹腔冲洗液行细胞学检查。（2）对腹膜表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0"/>
        </w:rPr>
        <w:t>面进行全面诊视，可能潜在转移的腹膜组织或粘</w:t>
      </w:r>
      <w:r>
        <w:rPr>
          <w:color w:val="231F20"/>
          <w:spacing w:val="9"/>
        </w:rPr>
        <w:t>连组织都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要切除或病理活检；如果无可疑病灶，则行腹膜随机活检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并至少包括双侧盆腔、双侧结肠旁沟、膈下（也</w:t>
      </w:r>
      <w:r>
        <w:rPr>
          <w:color w:val="231F20"/>
          <w:spacing w:val="2"/>
        </w:rPr>
        <w:t>可使用细胞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刮片进行膈下细胞学取样和病理学检查）。（3）切除子宫和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双附件，尽力完整切除肿瘤并避免肿瘤破裂。（4）期望并符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合保留生育功能指征的患者，可考虑行单侧附件切除术或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切除双侧附件保留子宫。（5）切除大网膜。（6）系统切除下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9"/>
        </w:rPr>
        <w:t>腔静脉和腹主动脉表面及两侧的主动脉旁淋巴结，上界至</w:t>
      </w:r>
    </w:p>
    <w:p>
      <w:pPr>
        <w:spacing w:line="233" w:lineRule="auto"/>
        <w:sectPr>
          <w:type w:val="continuous"/>
          <w:pgSz w:w="12076" w:h="17008"/>
          <w:pgMar w:top="1408" w:right="1306" w:bottom="0" w:left="1295" w:header="0" w:footer="0" w:gutter="0"/>
          <w:cols w:equalWidth="0" w:num="2">
            <w:col w:w="4825" w:space="100"/>
            <w:col w:w="4549" w:space="0"/>
          </w:cols>
        </w:sectPr>
        <w:rPr/>
      </w:pPr>
    </w:p>
    <w:p>
      <w:pPr>
        <w:pStyle w:val="BodyText"/>
        <w:ind w:left="186"/>
        <w:spacing w:before="37" w:line="205" w:lineRule="auto"/>
        <w:rPr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1"/>
        </w:rPr>
        <w:t>中国实用妇科与产科杂志 2023</w:t>
      </w:r>
      <w:r>
        <w:rPr>
          <w:sz w:val="15"/>
          <w:szCs w:val="15"/>
          <w:u w:val="single" w:color="auto"/>
          <w:color w:val="231F20"/>
          <w:spacing w:val="-4"/>
        </w:rPr>
        <w:t xml:space="preserve"> </w:t>
      </w:r>
      <w:r>
        <w:rPr>
          <w:sz w:val="15"/>
          <w:szCs w:val="15"/>
          <w:u w:val="single" w:color="auto"/>
          <w:color w:val="231F20"/>
          <w:spacing w:val="1"/>
        </w:rPr>
        <w:t>年 1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1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1"/>
        </w:rPr>
        <w:t>39</w:t>
      </w:r>
      <w:r>
        <w:rPr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sz w:val="15"/>
          <w:szCs w:val="15"/>
          <w:u w:val="single" w:color="auto"/>
          <w:color w:val="231F20"/>
          <w:spacing w:val="1"/>
        </w:rPr>
        <w:t>卷 第 1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1"/>
        </w:rPr>
        <w:t>期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69" w:right="194" w:hanging="1"/>
        <w:spacing w:before="73" w:line="235" w:lineRule="auto"/>
        <w:jc w:val="both"/>
        <w:rPr/>
      </w:pPr>
      <w:r>
        <w:rPr>
          <w:color w:val="231F20"/>
          <w:spacing w:val="-1"/>
        </w:rPr>
        <w:t>少达到肠系膜下动脉水平，最好达到肾血管水平。（7）切除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盆腔淋巴结时最好包括髂内、髂外、髂总血管表面和内侧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淋巴结以及闭孔神经上方的淋巴结。（8）术中冰冻确认的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2"/>
        </w:rPr>
        <w:t>黏液性癌，如无可疑增大的淋巴结，可考虑不切除淋巴结。</w:t>
      </w:r>
    </w:p>
    <w:p>
      <w:pPr>
        <w:pStyle w:val="BodyText"/>
        <w:ind w:left="68" w:right="194" w:firstLine="2"/>
        <w:spacing w:before="5" w:line="233" w:lineRule="auto"/>
        <w:rPr/>
      </w:pPr>
      <w:r>
        <w:rPr>
          <w:color w:val="231F20"/>
          <w:spacing w:val="3"/>
        </w:rPr>
        <w:t>2.4   初治累及盆腔和上腹部（评估≥ⅡB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期）浸润性上皮性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卵巢癌手术步骤（</w:t>
      </w:r>
      <w:r>
        <w:rPr>
          <w:color w:val="231F20"/>
        </w:rPr>
        <w:t>PDS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）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5"/>
        </w:rPr>
        <w:t>尽最大努力切除所有盆腔、腹部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和腹膜后肿瘤病灶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。满意减瘤术标准为残余肿瘤病灶直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径&lt;1cm，尽量达到无肉眼残留病灶。（1）取腹水进行细胞学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检查。（2）切除肿瘤累及的所有大网膜。（3）切除能够切除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9"/>
        </w:rPr>
        <w:t>的术前影像学或术中探查发现的肿大或者可疑淋巴结；临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床阴性淋巴结不需要切除。（4）为达到满意的减瘤术，可根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据需要切除肠管、阑尾、脾脏、胆囊、部分肝脏、部分胃、部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分膀胱、胰尾、输尿管及剥除膈肌和其他腹膜。（5）减瘤术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后残余小病灶的上皮性卵巢癌或腹膜癌患者是腹腔化疗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6"/>
        </w:rPr>
        <w:t>的适应证，可以考虑在初次手术时放置腹腔化疗</w:t>
      </w:r>
      <w:r>
        <w:rPr>
          <w:color w:val="231F20"/>
          <w:spacing w:val="5"/>
        </w:rPr>
        <w:t>输液港。</w:t>
      </w:r>
    </w:p>
    <w:p>
      <w:pPr>
        <w:pStyle w:val="BodyText"/>
        <w:ind w:left="68" w:right="127" w:firstLine="2"/>
        <w:spacing w:before="58" w:line="235" w:lineRule="auto"/>
        <w:rPr/>
      </w:pPr>
      <w:r>
        <w:rPr>
          <w:color w:val="231F20"/>
          <w:spacing w:val="4"/>
        </w:rPr>
        <w:t>2.5   侵袭性上皮性卵巢癌新辅助化疗后减瘤术（</w:t>
      </w:r>
      <w:r>
        <w:rPr>
          <w:color w:val="231F20"/>
        </w:rPr>
        <w:t>IDS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）  间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歇性减瘤术也须尽最大努力达到最大的减瘤效果，尽力切  </w:t>
      </w:r>
      <w:r>
        <w:rPr>
          <w:color w:val="231F20"/>
          <w:spacing w:val="-1"/>
        </w:rPr>
        <w:t>除腹部、盆腔和腹膜肉眼可见病灶。（1）对化疗反应良好或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者疾病稳定者，新辅助化疗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7"/>
        </w:rPr>
        <w:t>3~4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个疗程后可行间歇性减瘤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术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。手术时机并没有前瞻性证据，可根据患</w:t>
      </w:r>
      <w:r>
        <w:rPr>
          <w:color w:val="231F20"/>
          <w:spacing w:val="8"/>
        </w:rPr>
        <w:t>者个体化因素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而定。（2）Ⅲ期患者接受间歇性减瘤术后可以考虑使用顺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8"/>
          <w:w w:val="96"/>
        </w:rPr>
        <w:t>铂（100mg/m</w:t>
      </w:r>
      <w:r>
        <w:rPr>
          <w:sz w:val="8"/>
          <w:szCs w:val="8"/>
          <w:color w:val="231F20"/>
          <w:spacing w:val="5"/>
          <w:position w:val="7"/>
        </w:rPr>
        <w:t>2</w:t>
      </w:r>
      <w:r>
        <w:rPr>
          <w:color w:val="231F20"/>
          <w:spacing w:val="5"/>
        </w:rPr>
        <w:t>）腹腔热灌注化疗；在腹腔热灌注开始时使用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5"/>
        </w:rPr>
        <w:t>硫代硫酸钠持续静脉滴注以保护肾功能。（3）探查所有腹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9"/>
        </w:rPr>
        <w:t>膜表面，任何可疑潜在转移的腹膜表面或粘连都必须选择  </w:t>
      </w:r>
      <w:r>
        <w:rPr>
          <w:color w:val="231F20"/>
          <w:spacing w:val="-5"/>
        </w:rPr>
        <w:t>性地切除或活检。（4）切除大网膜。（5）切除可以切除的可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8"/>
        </w:rPr>
        <w:t>疑和（或）增大的淋巴结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。初次诊断时疑有潜在转移可能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的淋巴结也必须切除，即使术中探查无可疑或增大。（6）为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达满意的减瘤术，可根据需要切除肠管、阑尾、剥除膈肌、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其他腹膜、脾脏、胆囊、部分肝脏、部分胃、部分膀胱</w:t>
      </w:r>
      <w:r>
        <w:rPr>
          <w:color w:val="231F20"/>
          <w:spacing w:val="-8"/>
        </w:rPr>
        <w:t>、胰尾、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输尿管和（或）远端胰腺。</w:t>
      </w:r>
    </w:p>
    <w:p>
      <w:pPr>
        <w:pStyle w:val="BodyText"/>
        <w:ind w:right="194" w:firstLine="70"/>
        <w:spacing w:before="33" w:line="231" w:lineRule="auto"/>
        <w:rPr/>
      </w:pPr>
      <w:r>
        <w:rPr>
          <w:color w:val="231F20"/>
          <w:spacing w:val="1"/>
        </w:rPr>
        <w:t>2.6    针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对 </w:t>
      </w:r>
      <w:r>
        <w:rPr>
          <w:rFonts w:ascii="Arial" w:hAnsi="Arial" w:eastAsia="Arial" w:cs="Arial"/>
          <w:i/>
          <w:iCs/>
          <w:color w:val="231F20"/>
        </w:rPr>
        <w:t>BRCA</w:t>
      </w:r>
      <w:r>
        <w:rPr>
          <w:rFonts w:ascii="Arial" w:hAnsi="Arial" w:eastAsia="Arial" w:cs="Arial"/>
          <w:i/>
          <w:iCs/>
          <w:color w:val="231F20"/>
          <w:spacing w:val="1"/>
        </w:rPr>
        <w:t xml:space="preserve"> </w:t>
      </w:r>
      <w:r>
        <w:rPr>
          <w:color w:val="231F20"/>
          <w:spacing w:val="1"/>
        </w:rPr>
        <w:t>突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变 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遗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传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性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乳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-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卵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巢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癌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综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合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征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（</w:t>
      </w:r>
      <w:r>
        <w:rPr>
          <w:color w:val="231F20"/>
        </w:rPr>
        <w:t>HBOC</w:t>
      </w:r>
      <w:r>
        <w:rPr>
          <w:color w:val="231F20"/>
          <w:spacing w:val="7"/>
        </w:rPr>
        <w:t>）患者的降低患卵巢癌风险的附件切除术方案   无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更新，参见本刊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2019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年第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35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卷第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5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期“《2019 NCCN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卵巢癌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包括输卵管癌及原发性腹膜癌临床实践指南》解读”。</w:t>
      </w:r>
    </w:p>
    <w:p>
      <w:pPr>
        <w:pStyle w:val="BodyText"/>
        <w:ind w:left="70"/>
        <w:spacing w:before="32" w:line="204" w:lineRule="auto"/>
        <w:rPr/>
      </w:pPr>
      <w:r>
        <w:rPr>
          <w:color w:val="231F20"/>
          <w:spacing w:val="1"/>
        </w:rPr>
        <w:t>2.7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1"/>
        </w:rPr>
        <w:t>特殊情况</w:t>
      </w:r>
    </w:p>
    <w:p>
      <w:pPr>
        <w:pStyle w:val="BodyText"/>
        <w:ind w:left="68" w:right="194" w:firstLine="2"/>
        <w:spacing w:before="37" w:line="231" w:lineRule="auto"/>
        <w:rPr/>
      </w:pPr>
      <w:r>
        <w:rPr>
          <w:color w:val="231F20"/>
          <w:spacing w:val="11"/>
        </w:rPr>
        <w:t>2.7.1   保留生育功能手术    希望保留生育功能的早期患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者或者低风险恶性肿瘤（早期上皮性卵巢癌、低度恶性潜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能肿瘤、生殖细胞肿瘤或恶性性索间质细胞瘤）可行保留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生育功能手术，即行单侧附件切除术或双侧附件切除术保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6"/>
        </w:rPr>
        <w:t>留子宫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。有保留生育功能指征建议转诊至生殖内分泌专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家进行咨询评估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。需进行全面的手术分期以排除更晚期</w:t>
      </w:r>
      <w:r>
        <w:rPr>
          <w:color w:val="231F20"/>
        </w:rPr>
        <w:t xml:space="preserve"> </w:t>
      </w:r>
      <w:r>
        <w:rPr>
          <w:color w:val="231F20"/>
        </w:rPr>
        <w:t>疾病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。儿童/青少年/年轻成人(≤25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岁）、临床明确的早期生 </w:t>
      </w:r>
      <w:r>
        <w:rPr>
          <w:color w:val="231F20"/>
          <w:spacing w:val="9"/>
        </w:rPr>
        <w:t>殖细胞肿瘤可以不切除淋巴结。</w:t>
      </w:r>
    </w:p>
    <w:p>
      <w:pPr>
        <w:pStyle w:val="BodyText"/>
        <w:ind w:left="68" w:right="130" w:firstLine="2"/>
        <w:spacing w:before="63" w:line="217" w:lineRule="auto"/>
        <w:rPr/>
      </w:pPr>
      <w:r>
        <w:rPr>
          <w:color w:val="231F20"/>
          <w:spacing w:val="11"/>
        </w:rPr>
        <w:t>2.7.2   黏液性肿瘤    原发卵巢浸润性黏液性肿瘤并不常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6"/>
        </w:rPr>
        <w:t>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。必须对上下消化道进行全面评估以排除消化道转移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。怀疑或确诊黏液性癌的患者需切除外观异常的阑尾。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外观正常阑尾不须切除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。术中冰冻确诊者，</w:t>
      </w:r>
      <w:r>
        <w:rPr>
          <w:color w:val="231F20"/>
          <w:spacing w:val="8"/>
        </w:rPr>
        <w:t>如无可疑或增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166"/>
        <w:spacing w:before="33" w:line="22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>·</w:t>
      </w:r>
      <w:r>
        <w:rPr>
          <w:sz w:val="15"/>
          <w:szCs w:val="15"/>
          <w:color w:val="231F20"/>
          <w:spacing w:val="-22"/>
        </w:rPr>
        <w:t>59 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>·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73" w:line="188" w:lineRule="auto"/>
        <w:rPr/>
      </w:pPr>
      <w:r>
        <w:rPr>
          <w:color w:val="231F20"/>
          <w:spacing w:val="2"/>
        </w:rPr>
        <w:t>大的淋巴结，可以不切除淋巴结。</w:t>
      </w:r>
    </w:p>
    <w:p>
      <w:pPr>
        <w:pStyle w:val="BodyText"/>
        <w:ind w:left="67" w:right="64" w:firstLine="3"/>
        <w:spacing w:before="53" w:line="227" w:lineRule="auto"/>
        <w:rPr/>
      </w:pPr>
      <w:r>
        <w:rPr>
          <w:color w:val="231F20"/>
          <w:spacing w:val="2"/>
        </w:rPr>
        <w:t>2.7.3   卵巢交界性肿瘤（</w:t>
      </w:r>
      <w:r>
        <w:rPr>
          <w:color w:val="231F20"/>
        </w:rPr>
        <w:t>LMP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）  淋巴结切除术可能提高分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期，但并不影响总体生存率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。大网膜切除和</w:t>
      </w:r>
      <w:r>
        <w:rPr>
          <w:color w:val="231F20"/>
          <w:spacing w:val="8"/>
        </w:rPr>
        <w:t>腹膜多点活检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可使近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30%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患者提高分期并可能影响预后。</w:t>
      </w:r>
    </w:p>
    <w:p>
      <w:pPr>
        <w:pStyle w:val="BodyText"/>
        <w:ind w:left="68" w:right="64" w:firstLine="1"/>
        <w:spacing w:before="41" w:line="227" w:lineRule="auto"/>
        <w:rPr/>
      </w:pPr>
      <w:r>
        <w:rPr>
          <w:color w:val="231F20"/>
          <w:spacing w:val="3"/>
        </w:rPr>
        <w:t>2.7.4   复发患者二次减瘤术    初次化疗结束后&gt;6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个月、一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般情况良好、无腹水、病灶孤立可以完整切除</w:t>
      </w:r>
      <w:r>
        <w:rPr>
          <w:color w:val="231F20"/>
          <w:spacing w:val="2"/>
        </w:rPr>
        <w:t>者，可考虑二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次减瘤术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。可以使用有效的评分方法评估是否进行二次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减瘤术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。除了通过影像学，也可以采用腹腔镜评估能否完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整切除病灶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。二次减瘤术可选择开腹或微创方式进行。</w:t>
      </w:r>
    </w:p>
    <w:p>
      <w:pPr>
        <w:pStyle w:val="BodyText"/>
        <w:ind w:left="68" w:right="64" w:firstLine="2"/>
        <w:spacing w:before="63" w:line="230" w:lineRule="auto"/>
        <w:rPr/>
      </w:pPr>
      <w:r>
        <w:rPr>
          <w:color w:val="231F20"/>
          <w:spacing w:val="11"/>
        </w:rPr>
        <w:t>2.7.5   辅助性姑息手术    对接受姑息治疗的晚期卵巢癌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6"/>
        </w:rPr>
        <w:t>患者，如有可能需要行以下辅助性手术：腹腔穿刺术/留置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0"/>
        </w:rPr>
        <w:t>腹膜透析导管、胸腔穿刺术/胸膜融合术/胸腔镜下留置胸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3"/>
        </w:rPr>
        <w:t>腔导管、放置输尿管支架/肾造瘘术、胃造瘘术/放置肠道支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架/手术缓解肠梗阻。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left="72"/>
        <w:spacing w:before="56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病理诊断原则</w:t>
      </w:r>
    </w:p>
    <w:p>
      <w:pPr>
        <w:pStyle w:val="BodyText"/>
        <w:ind w:left="68" w:firstLine="363"/>
        <w:spacing w:before="78" w:line="235" w:lineRule="auto"/>
        <w:jc w:val="both"/>
        <w:rPr/>
      </w:pPr>
      <w:r>
        <w:rPr>
          <w:color w:val="231F20"/>
          <w:spacing w:val="-10"/>
        </w:rPr>
        <w:t>肿瘤分子检测更新</w:t>
      </w:r>
      <w:r>
        <w:rPr>
          <w:color w:val="231F20"/>
          <w:spacing w:val="-34"/>
          <w:w w:val="73"/>
        </w:rPr>
        <w:t>：（</w:t>
      </w:r>
      <w:r>
        <w:rPr>
          <w:color w:val="231F20"/>
          <w:spacing w:val="-10"/>
        </w:rPr>
        <w:t>1）首诊（up-front setting）时，体细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胞检测至少包含可以提供明确有效干预措施的项目，包括 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BRCA1/2</w:t>
      </w:r>
      <w:r>
        <w:rPr>
          <w:color w:val="231F20"/>
          <w:spacing w:val="-3"/>
        </w:rPr>
        <w:t>、杂合性丢失（LOH）或无胚系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BRCA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color w:val="231F20"/>
          <w:spacing w:val="-3"/>
        </w:rPr>
        <w:t>突变的同源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重组修复状态。（2）复发时，至少检测以前未检测的对肿瘤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特异性或泛癌靶向治疗存在潜在获益的项目，包括但不限  </w:t>
      </w:r>
      <w:r>
        <w:rPr>
          <w:color w:val="231F20"/>
          <w:spacing w:val="-12"/>
        </w:rPr>
        <w:t>于：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2"/>
        </w:rPr>
        <w:t>BRCA1/2</w:t>
      </w:r>
      <w:r>
        <w:rPr>
          <w:color w:val="231F20"/>
          <w:spacing w:val="-12"/>
        </w:rPr>
        <w:t>、HR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状态、微卫星不</w:t>
      </w:r>
      <w:r>
        <w:rPr>
          <w:color w:val="231F20"/>
          <w:spacing w:val="-13"/>
        </w:rPr>
        <w:t>稳定性（MSI）、肿瘤突变负</w:t>
      </w:r>
      <w:r>
        <w:rPr>
          <w:color w:val="231F20"/>
        </w:rPr>
        <w:t xml:space="preserve">  </w:t>
      </w:r>
      <w:r>
        <w:rPr>
          <w:color w:val="231F20"/>
          <w:spacing w:val="-13"/>
          <w:w w:val="99"/>
        </w:rPr>
        <w:t>荷（TMB）、MMR、</w:t>
      </w:r>
      <w:r>
        <w:rPr>
          <w:rFonts w:ascii="Arial" w:hAnsi="Arial" w:eastAsia="Arial" w:cs="Arial"/>
          <w:i/>
          <w:iCs/>
          <w:color w:val="231F20"/>
          <w:spacing w:val="-13"/>
          <w:w w:val="99"/>
        </w:rPr>
        <w:t>FR-</w:t>
      </w:r>
      <w:r>
        <w:rPr>
          <w:color w:val="231F20"/>
          <w:spacing w:val="-13"/>
          <w:w w:val="99"/>
        </w:rPr>
        <w:t>a</w:t>
      </w:r>
      <w:r>
        <w:rPr>
          <w:sz w:val="18"/>
          <w:szCs w:val="18"/>
          <w:i/>
          <w:iCs/>
          <w:color w:val="231F20"/>
          <w:spacing w:val="-13"/>
          <w:w w:val="99"/>
        </w:rPr>
        <w:t>、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3"/>
          <w:w w:val="99"/>
        </w:rPr>
        <w:t>RET</w:t>
      </w:r>
      <w:r>
        <w:rPr>
          <w:sz w:val="18"/>
          <w:szCs w:val="18"/>
          <w:i/>
          <w:iCs/>
          <w:color w:val="231F20"/>
          <w:spacing w:val="-13"/>
          <w:w w:val="99"/>
        </w:rPr>
        <w:t>、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3"/>
          <w:w w:val="99"/>
        </w:rPr>
        <w:t>BRAF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color w:val="231F20"/>
          <w:spacing w:val="-13"/>
          <w:w w:val="99"/>
        </w:rPr>
        <w:t>和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3"/>
          <w:w w:val="99"/>
        </w:rPr>
        <w:t>NTRK</w:t>
      </w:r>
      <w:r>
        <w:rPr>
          <w:color w:val="231F20"/>
          <w:spacing w:val="-13"/>
          <w:w w:val="99"/>
        </w:rPr>
        <w:t>。更全面的检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测对缺少有效治疗措施的少见的病理组织类型尤为重要。</w:t>
      </w:r>
    </w:p>
    <w:p>
      <w:pPr>
        <w:pStyle w:val="BodyText"/>
        <w:spacing w:before="1" w:line="210" w:lineRule="auto"/>
        <w:jc w:val="right"/>
        <w:rPr/>
      </w:pPr>
      <w:r>
        <w:rPr>
          <w:color w:val="231F20"/>
          <w:spacing w:val="10"/>
        </w:rPr>
        <w:t>（3）分子检测最好采用最新获得的组织标本或血液标本。</w:t>
      </w:r>
    </w:p>
    <w:p>
      <w:pPr>
        <w:pStyle w:val="BodyText"/>
        <w:ind w:right="64"/>
        <w:spacing w:before="34" w:line="233" w:lineRule="auto"/>
        <w:rPr/>
      </w:pPr>
      <w:r>
        <w:rPr>
          <w:color w:val="231F20"/>
          <w:spacing w:val="11"/>
        </w:rPr>
        <w:t>（4）如不能获得组织进行检测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1"/>
        </w:rPr>
        <w:t>，推荐进行循环</w:t>
      </w:r>
      <w:r>
        <w:rPr>
          <w:color w:val="231F20"/>
          <w:spacing w:val="10"/>
        </w:rPr>
        <w:t>肿瘤 </w:t>
      </w:r>
      <w:r>
        <w:rPr>
          <w:color w:val="231F20"/>
        </w:rPr>
        <w:t>DNA </w:t>
      </w:r>
      <w:r>
        <w:rPr>
          <w:color w:val="231F20"/>
          <w:spacing w:val="-6"/>
        </w:rPr>
        <w:t>（ctDNA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或液体活检）检测。（5）分子检测应在经</w:t>
      </w:r>
      <w:r>
        <w:rPr>
          <w:color w:val="231F20"/>
          <w:spacing w:val="-7"/>
        </w:rPr>
        <w:t>过美国临床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实验室改进修正方案（</w:t>
      </w:r>
      <w:r>
        <w:rPr>
          <w:color w:val="231F20"/>
        </w:rPr>
        <w:t>CLIA</w:t>
      </w:r>
      <w:r>
        <w:rPr>
          <w:color w:val="231F20"/>
          <w:spacing w:val="11"/>
        </w:rPr>
        <w:t>）批准验证的机构进行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1"/>
        </w:rPr>
        <w:t>。传统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病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理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学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荐 内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容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见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本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刊 2019 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第 35 卷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第</w:t>
      </w:r>
      <w:r>
        <w:rPr>
          <w:color w:val="231F20"/>
          <w:spacing w:val="-3"/>
        </w:rPr>
        <w:t xml:space="preserve"> 5 期“《2019</w:t>
      </w:r>
      <w:r>
        <w:rPr>
          <w:color w:val="231F20"/>
        </w:rPr>
        <w:t xml:space="preserve"> </w:t>
      </w:r>
      <w:r>
        <w:rPr>
          <w:color w:val="231F20"/>
        </w:rPr>
        <w:t>NCCN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21"/>
        </w:rPr>
        <w:t>卵巢癌包括输卵管癌及原发性腹膜癌临床实践指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南》解读”。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ind w:left="67"/>
        <w:spacing w:before="56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全身治疗原则</w:t>
      </w:r>
    </w:p>
    <w:p>
      <w:pPr>
        <w:pStyle w:val="BodyText"/>
        <w:ind w:left="67" w:right="64" w:firstLine="369"/>
        <w:spacing w:before="80" w:line="237" w:lineRule="auto"/>
        <w:jc w:val="both"/>
        <w:rPr/>
      </w:pPr>
      <w:r>
        <w:rPr>
          <w:color w:val="231F20"/>
          <w:spacing w:val="9"/>
        </w:rPr>
        <w:t>化疗总原则、初治、新辅助化疗和复发化疗原则无更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新，见本刊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2021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年第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37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卷第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4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期“《2021 NCCN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卵巢癌包括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输卵管癌及原发性腹膜癌临床实践指南（第 1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版）</w:t>
      </w:r>
      <w:r>
        <w:rPr>
          <w:color w:val="231F20"/>
          <w:spacing w:val="-7"/>
        </w:rPr>
        <w:t>》解读”。</w:t>
      </w:r>
    </w:p>
    <w:p>
      <w:pPr>
        <w:pStyle w:val="BodyText"/>
        <w:ind w:left="67"/>
        <w:spacing w:before="1" w:line="203" w:lineRule="auto"/>
        <w:rPr/>
      </w:pPr>
      <w:r>
        <w:rPr>
          <w:color w:val="231F20"/>
          <w:spacing w:val="5"/>
        </w:rPr>
        <w:t>4.1</w:t>
      </w:r>
      <w:r>
        <w:rPr>
          <w:color w:val="231F20"/>
          <w:spacing w:val="8"/>
        </w:rPr>
        <w:t xml:space="preserve">    </w:t>
      </w:r>
      <w:r>
        <w:rPr>
          <w:color w:val="231F20"/>
        </w:rPr>
        <w:t>PARP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抑制剂维持治疗原则</w:t>
      </w:r>
    </w:p>
    <w:p>
      <w:pPr>
        <w:pStyle w:val="BodyText"/>
        <w:ind w:left="67" w:right="64"/>
        <w:spacing w:before="37" w:line="229" w:lineRule="auto"/>
        <w:rPr/>
      </w:pPr>
      <w:r>
        <w:rPr>
          <w:color w:val="231F20"/>
          <w:spacing w:val="6"/>
        </w:rPr>
        <w:t>4.1.1   初始治疗后维持治疗    部分新诊断的Ⅱ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6"/>
        </w:rPr>
        <w:t>~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6"/>
        </w:rPr>
        <w:t>Ⅳ期高级</w:t>
      </w:r>
      <w:r>
        <w:rPr>
          <w:color w:val="231F20"/>
        </w:rPr>
        <w:t xml:space="preserve"> </w:t>
      </w:r>
      <w:r>
        <w:rPr>
          <w:color w:val="231F20"/>
        </w:rPr>
        <w:t>别浆液性癌、G2/3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级子宫内膜样癌，或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BRCA1/2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7"/>
        </w:rPr>
        <w:t xml:space="preserve"> </w:t>
      </w:r>
      <w:r>
        <w:rPr>
          <w:color w:val="231F20"/>
        </w:rPr>
        <w:t>突变的透 </w:t>
      </w:r>
      <w:r>
        <w:rPr>
          <w:color w:val="231F20"/>
          <w:spacing w:val="17"/>
        </w:rPr>
        <w:t>明细胞癌和癌肉瘤在手术和以铂为基础的一线治疗后达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到完全缓解（CR）或部分缓解（PR</w:t>
      </w:r>
      <w:r>
        <w:rPr>
          <w:color w:val="231F20"/>
          <w:spacing w:val="-25"/>
          <w:w w:val="60"/>
        </w:rPr>
        <w:t>），</w:t>
      </w:r>
      <w:r>
        <w:rPr>
          <w:color w:val="231F20"/>
        </w:rPr>
        <w:t>接受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PARP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抑制剂维持 </w:t>
      </w:r>
      <w:r>
        <w:rPr>
          <w:color w:val="231F20"/>
          <w:spacing w:val="14"/>
        </w:rPr>
        <w:t>治疗可能获益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4"/>
        </w:rPr>
        <w:t>Ⅱ期患者和少见病理类型患者初始治疗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后使用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PARP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抑制剂维持治疗的数据有限。</w:t>
      </w:r>
    </w:p>
    <w:p>
      <w:pPr>
        <w:pStyle w:val="BodyText"/>
        <w:ind w:left="68" w:right="64" w:hanging="1"/>
        <w:spacing w:before="63" w:line="220" w:lineRule="auto"/>
        <w:rPr/>
      </w:pPr>
      <w:r>
        <w:rPr>
          <w:color w:val="231F20"/>
          <w:spacing w:val="11"/>
        </w:rPr>
        <w:t>4.1.2   复发治疗后维持治疗    部分复发患者既往未用过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PARP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2"/>
        </w:rPr>
        <w:t>抑制剂，经过以铂为基础的化疗达到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CR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和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PR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后，使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用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PARP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抑制剂维持治疗可能获益。</w:t>
      </w:r>
    </w:p>
    <w:p>
      <w:pPr>
        <w:pStyle w:val="BodyText"/>
        <w:ind w:left="67"/>
        <w:spacing w:before="60" w:line="159" w:lineRule="auto"/>
        <w:rPr/>
      </w:pPr>
      <w:r>
        <w:rPr>
          <w:color w:val="231F20"/>
          <w:spacing w:val="13"/>
        </w:rPr>
        <w:t>4.2   </w:t>
      </w:r>
      <w:r>
        <w:rPr>
          <w:color w:val="231F20"/>
        </w:rPr>
        <w:t>PARP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3"/>
        </w:rPr>
        <w:t>抑制剂使用的注意事项    必须严密监测血常</w:t>
      </w:r>
    </w:p>
    <w:p>
      <w:pPr>
        <w:spacing w:line="159" w:lineRule="auto"/>
        <w:sectPr>
          <w:pgSz w:w="12076" w:h="17008"/>
          <w:pgMar w:top="1408" w:right="1296" w:bottom="0" w:left="1295" w:header="0" w:footer="0" w:gutter="0"/>
          <w:cols w:equalWidth="0" w:num="2">
            <w:col w:w="4758" w:space="100"/>
            <w:col w:w="4627" w:space="0"/>
          </w:cols>
        </w:sectPr>
        <w:rPr/>
      </w:pPr>
    </w:p>
    <w:p>
      <w:pPr>
        <w:spacing w:before="77"/>
        <w:rPr/>
      </w:pPr>
      <w:r/>
    </w:p>
    <w:p>
      <w:pPr>
        <w:sectPr>
          <w:headerReference w:type="default" r:id="rId1"/>
          <w:pgSz w:w="12076" w:h="17008"/>
          <w:pgMar w:top="1654" w:right="1296" w:bottom="0" w:left="1352" w:header="1408" w:footer="0" w:gutter="0"/>
          <w:cols w:equalWidth="0" w:num="1">
            <w:col w:w="9427" w:space="0"/>
          </w:cols>
        </w:sectPr>
        <w:rPr/>
      </w:pPr>
    </w:p>
    <w:p>
      <w:pPr>
        <w:pStyle w:val="BodyText"/>
        <w:ind w:left="12"/>
        <w:spacing w:before="36" w:line="185" w:lineRule="auto"/>
        <w:rPr/>
      </w:pPr>
      <w:r>
        <w:rPr>
          <w:color w:val="231F20"/>
          <w:spacing w:val="-1"/>
        </w:rPr>
        <w:t>规、肾功能和肝功能。</w:t>
      </w:r>
    </w:p>
    <w:p>
      <w:pPr>
        <w:pStyle w:val="BodyText"/>
        <w:ind w:left="377"/>
        <w:spacing w:before="61" w:line="189" w:lineRule="auto"/>
        <w:rPr/>
      </w:pPr>
      <w:r>
        <w:rPr>
          <w:color w:val="231F20"/>
          <w:spacing w:val="11"/>
        </w:rPr>
        <w:t>使用尼拉帕利必须监测血压，使用其他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PARP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1"/>
        </w:rPr>
        <w:t>抑制剂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2" w:line="245" w:lineRule="auto"/>
        <w:rPr/>
      </w:pPr>
      <w:r>
        <w:rPr>
          <w:color w:val="231F20"/>
          <w:spacing w:val="17"/>
        </w:rPr>
        <w:t>也推荐监测血压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7"/>
        </w:rPr>
        <w:t>。必须根据毒性反应调整合适的剂量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7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使用前请认真阅读使用说明书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。</w:t>
      </w:r>
      <w:r>
        <w:rPr>
          <w:color w:val="231F20"/>
        </w:rPr>
        <w:t>PARP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抑制剂用法见表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6"/>
        </w:rPr>
        <w:t>1。</w:t>
      </w:r>
    </w:p>
    <w:p>
      <w:pPr>
        <w:spacing w:line="245" w:lineRule="auto"/>
        <w:sectPr>
          <w:type w:val="continuous"/>
          <w:pgSz w:w="12076" w:h="17008"/>
          <w:pgMar w:top="1654" w:right="1296" w:bottom="0" w:left="1352" w:header="1408" w:footer="0" w:gutter="0"/>
          <w:cols w:equalWidth="0" w:num="2">
            <w:col w:w="4768" w:space="100"/>
            <w:col w:w="4559" w:space="0"/>
          </w:cols>
        </w:sectPr>
        <w:rPr/>
      </w:pP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left="3777"/>
        <w:spacing w:before="73" w:line="193" w:lineRule="auto"/>
        <w:rPr/>
      </w:pPr>
      <w:r>
        <w:rPr>
          <w:rFonts w:ascii="SimHei" w:hAnsi="SimHei" w:eastAsia="SimHei" w:cs="SimHei"/>
          <w:spacing w:val="5"/>
        </w:rPr>
        <w:t>表</w:t>
      </w:r>
      <w:r>
        <w:rPr>
          <w:rFonts w:ascii="SimHei" w:hAnsi="SimHei" w:eastAsia="SimHei" w:cs="SimHei"/>
          <w:spacing w:val="-47"/>
        </w:rPr>
        <w:t xml:space="preserve"> </w:t>
      </w:r>
      <w:r>
        <w:rPr>
          <w:rFonts w:ascii="SimHei" w:hAnsi="SimHei" w:eastAsia="SimHei" w:cs="SimHei"/>
          <w:spacing w:val="5"/>
        </w:rPr>
        <w:t>1</w:t>
      </w:r>
      <w:r>
        <w:rPr>
          <w:rFonts w:ascii="SimHei" w:hAnsi="SimHei" w:eastAsia="SimHei" w:cs="SimHei"/>
          <w:spacing w:val="5"/>
        </w:rPr>
        <w:t xml:space="preserve">  </w:t>
      </w:r>
      <w:r>
        <w:rPr/>
        <w:t>PARP</w:t>
      </w:r>
      <w:r>
        <w:rPr>
          <w:spacing w:val="-23"/>
        </w:rPr>
        <w:t xml:space="preserve"> </w:t>
      </w:r>
      <w:r>
        <w:rPr>
          <w:spacing w:val="5"/>
        </w:rPr>
        <w:t>抑制剂用法</w:t>
      </w:r>
    </w:p>
    <w:p>
      <w:pPr>
        <w:spacing w:line="140" w:lineRule="exact"/>
        <w:rPr/>
      </w:pPr>
      <w:r/>
    </w:p>
    <w:tbl>
      <w:tblPr>
        <w:tblStyle w:val="TableNormal"/>
        <w:tblW w:w="935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59"/>
        <w:gridCol w:w="1645"/>
        <w:gridCol w:w="2438"/>
        <w:gridCol w:w="3912"/>
      </w:tblGrid>
      <w:tr>
        <w:trPr>
          <w:trHeight w:val="276" w:hRule="atLeast"/>
        </w:trPr>
        <w:tc>
          <w:tcPr>
            <w:tcW w:w="135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23"/>
              <w:spacing w:before="57" w:line="187" w:lineRule="auto"/>
              <w:rPr/>
            </w:pPr>
            <w:r>
              <w:rPr>
                <w:spacing w:val="8"/>
              </w:rPr>
              <w:t>方案</w:t>
            </w:r>
          </w:p>
        </w:tc>
        <w:tc>
          <w:tcPr>
            <w:tcW w:w="164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07"/>
              <w:spacing w:before="57" w:line="187" w:lineRule="auto"/>
              <w:rPr/>
            </w:pPr>
            <w:r>
              <w:rPr>
                <w:spacing w:val="9"/>
              </w:rPr>
              <w:t>用药方法</w:t>
            </w:r>
          </w:p>
        </w:tc>
        <w:tc>
          <w:tcPr>
            <w:tcW w:w="243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63"/>
              <w:spacing w:before="58" w:line="185" w:lineRule="auto"/>
              <w:rPr/>
            </w:pPr>
            <w:r>
              <w:rPr>
                <w:spacing w:val="8"/>
              </w:rPr>
              <w:t>剂量</w:t>
            </w:r>
          </w:p>
        </w:tc>
        <w:tc>
          <w:tcPr>
            <w:tcW w:w="391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98"/>
              <w:spacing w:before="57" w:line="186" w:lineRule="auto"/>
              <w:rPr/>
            </w:pPr>
            <w:r>
              <w:rPr>
                <w:spacing w:val="9"/>
              </w:rPr>
              <w:t>疗程</w:t>
            </w:r>
          </w:p>
        </w:tc>
      </w:tr>
      <w:tr>
        <w:trPr>
          <w:trHeight w:val="1060" w:hRule="atLeast"/>
        </w:trPr>
        <w:tc>
          <w:tcPr>
            <w:tcW w:w="135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19" w:right="55" w:hanging="158"/>
              <w:spacing w:before="53" w:line="248" w:lineRule="auto"/>
              <w:rPr/>
            </w:pPr>
            <w:r>
              <w:rPr>
                <w:spacing w:val="10"/>
              </w:rPr>
              <w:t>奥拉帕利+贝伐珠</w:t>
            </w:r>
            <w:r>
              <w:rPr/>
              <w:t xml:space="preserve"> </w:t>
            </w:r>
            <w:r>
              <w:rPr>
                <w:spacing w:val="8"/>
              </w:rPr>
              <w:t>单抗</w:t>
            </w:r>
          </w:p>
        </w:tc>
        <w:tc>
          <w:tcPr>
            <w:tcW w:w="164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20" w:right="56" w:hanging="160"/>
              <w:spacing w:before="52" w:line="258" w:lineRule="auto"/>
              <w:rPr/>
            </w:pPr>
            <w:r>
              <w:rPr>
                <w:spacing w:val="19"/>
              </w:rPr>
              <w:t>初始化疗包含贝伐珠</w:t>
            </w:r>
            <w:r>
              <w:rPr>
                <w:spacing w:val="6"/>
              </w:rPr>
              <w:t xml:space="preserve"> </w:t>
            </w:r>
            <w:r>
              <w:rPr>
                <w:spacing w:val="9"/>
              </w:rPr>
              <w:t>单抗的维持治疗</w:t>
            </w:r>
          </w:p>
        </w:tc>
        <w:tc>
          <w:tcPr>
            <w:tcW w:w="243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1"/>
              <w:spacing w:before="53" w:line="189" w:lineRule="auto"/>
              <w:rPr/>
            </w:pPr>
            <w:r>
              <w:rPr>
                <w:spacing w:val="-5"/>
              </w:rPr>
              <w:t>奥拉帕利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300mg bid</w:t>
            </w:r>
          </w:p>
          <w:p>
            <w:pPr>
              <w:pStyle w:val="TableText"/>
              <w:ind w:left="67"/>
              <w:spacing w:before="62" w:line="189" w:lineRule="auto"/>
              <w:rPr/>
            </w:pPr>
            <w:r>
              <w:rPr>
                <w:spacing w:val="-6"/>
              </w:rPr>
              <w:t>贝伐珠单抗</w:t>
            </w:r>
            <w:r>
              <w:rPr>
                <w:spacing w:val="19"/>
              </w:rPr>
              <w:t xml:space="preserve"> </w:t>
            </w:r>
            <w:r>
              <w:rPr>
                <w:spacing w:val="-6"/>
              </w:rPr>
              <w:t>15mg/kg iv 每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21d</w:t>
            </w:r>
          </w:p>
        </w:tc>
        <w:tc>
          <w:tcPr>
            <w:tcW w:w="391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22" w:hanging="161"/>
              <w:spacing w:before="50" w:line="247" w:lineRule="auto"/>
              <w:rPr/>
            </w:pPr>
            <w:r>
              <w:rPr>
                <w:spacing w:val="10"/>
              </w:rPr>
              <w:t>奥拉帕利：用药至疾病进展或出现不可接受的毒性反应</w:t>
            </w:r>
            <w:r>
              <w:rPr>
                <w:spacing w:val="9"/>
              </w:rPr>
              <w:t xml:space="preserve"> </w:t>
            </w:r>
            <w:r>
              <w:rPr>
                <w:spacing w:val="5"/>
              </w:rPr>
              <w:t>或用药达到</w:t>
            </w:r>
            <w:r>
              <w:rPr>
                <w:spacing w:val="-19"/>
              </w:rPr>
              <w:t xml:space="preserve"> </w:t>
            </w:r>
            <w:r>
              <w:rPr>
                <w:spacing w:val="5"/>
              </w:rPr>
              <w:t>2</w:t>
            </w:r>
            <w:r>
              <w:rPr>
                <w:spacing w:val="-20"/>
              </w:rPr>
              <w:t xml:space="preserve"> </w:t>
            </w:r>
            <w:r>
              <w:rPr>
                <w:spacing w:val="5"/>
              </w:rPr>
              <w:t>年</w:t>
            </w:r>
          </w:p>
          <w:p>
            <w:pPr>
              <w:pStyle w:val="TableText"/>
              <w:ind w:left="218" w:hanging="151"/>
              <w:spacing w:before="1" w:line="218" w:lineRule="auto"/>
              <w:rPr/>
            </w:pPr>
            <w:r>
              <w:rPr>
                <w:spacing w:val="10"/>
              </w:rPr>
              <w:t>贝伐珠单抗：用药至疾病进展或出现不可接受的毒性反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应或用药到 15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个月</w:t>
            </w:r>
          </w:p>
        </w:tc>
      </w:tr>
      <w:tr>
        <w:trPr>
          <w:trHeight w:val="1625" w:hRule="atLeast"/>
        </w:trPr>
        <w:tc>
          <w:tcPr>
            <w:tcW w:w="135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1"/>
              <w:spacing w:before="57" w:line="189" w:lineRule="auto"/>
              <w:rPr/>
            </w:pPr>
            <w:r>
              <w:rPr>
                <w:spacing w:val="9"/>
              </w:rPr>
              <w:t>尼拉帕利单药</w:t>
            </w:r>
          </w:p>
        </w:tc>
        <w:tc>
          <w:tcPr>
            <w:tcW w:w="164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0"/>
              <w:spacing w:before="57" w:line="188" w:lineRule="auto"/>
              <w:rPr/>
            </w:pPr>
            <w:r>
              <w:rPr>
                <w:spacing w:val="9"/>
              </w:rPr>
              <w:t>初始化疗后维持治疗</w:t>
            </w:r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64" w:line="188" w:lineRule="auto"/>
              <w:rPr/>
            </w:pPr>
            <w:r>
              <w:rPr>
                <w:spacing w:val="9"/>
              </w:rPr>
              <w:t>复发化疗后维持治疗</w:t>
            </w:r>
          </w:p>
        </w:tc>
        <w:tc>
          <w:tcPr>
            <w:tcW w:w="243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4" w:right="9"/>
              <w:spacing w:before="51" w:line="255" w:lineRule="auto"/>
              <w:tabs>
                <w:tab w:val="left" w:pos="220"/>
              </w:tabs>
              <w:jc w:val="right"/>
              <w:rPr/>
            </w:pPr>
            <w:r>
              <w:rPr>
                <w:spacing w:val="-12"/>
              </w:rPr>
              <w:t>300mg  qd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2"/>
              </w:rPr>
              <w:t>或（200mg  qd）体 重</w:t>
            </w:r>
            <w:r>
              <w:rPr>
                <w:spacing w:val="10"/>
              </w:rPr>
              <w:t xml:space="preserve"> </w:t>
            </w:r>
            <w:r>
              <w:rPr>
                <w:spacing w:val="-12"/>
              </w:rPr>
              <w:t>&lt;</w:t>
            </w:r>
            <w:r>
              <w:rPr/>
              <w:t xml:space="preserve">  </w:t>
            </w:r>
            <w:r>
              <w:rPr/>
              <w:tab/>
            </w:r>
            <w:r>
              <w:rPr>
                <w:spacing w:val="-11"/>
              </w:rPr>
              <w:t>77kg</w:t>
            </w:r>
            <w:r>
              <w:rPr>
                <w:spacing w:val="-15"/>
              </w:rPr>
              <w:t xml:space="preserve"> </w:t>
            </w:r>
            <w:r>
              <w:rPr>
                <w:spacing w:val="-11"/>
              </w:rPr>
              <w:t>和（或）血小板＜150×10</w:t>
            </w:r>
            <w:r>
              <w:rPr>
                <w:sz w:val="7"/>
                <w:szCs w:val="7"/>
                <w:spacing w:val="-2"/>
                <w:w w:val="98"/>
                <w:position w:val="6"/>
              </w:rPr>
              <w:t>9</w:t>
            </w:r>
            <w:r>
              <w:rPr>
                <w:spacing w:val="-2"/>
                <w:w w:val="98"/>
              </w:rPr>
              <w:t>/L</w:t>
            </w:r>
            <w:r>
              <w:rPr/>
              <w:t xml:space="preserve">   </w:t>
            </w:r>
            <w:r>
              <w:rPr>
                <w:spacing w:val="-12"/>
              </w:rPr>
              <w:t>300mg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2"/>
              </w:rPr>
              <w:t>qd（或</w:t>
            </w:r>
            <w:r>
              <w:rPr>
                <w:spacing w:val="12"/>
              </w:rPr>
              <w:t xml:space="preserve"> </w:t>
            </w:r>
            <w:r>
              <w:rPr>
                <w:spacing w:val="-12"/>
              </w:rPr>
              <w:t>200mg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2"/>
              </w:rPr>
              <w:t>qd）体 </w:t>
            </w:r>
            <w:r>
              <w:rPr>
                <w:spacing w:val="-13"/>
              </w:rPr>
              <w:t>重</w:t>
            </w:r>
            <w:r>
              <w:rPr>
                <w:spacing w:val="5"/>
              </w:rPr>
              <w:t xml:space="preserve"> </w:t>
            </w:r>
            <w:r>
              <w:rPr>
                <w:spacing w:val="-13"/>
              </w:rPr>
              <w:t>&lt;</w:t>
            </w:r>
            <w:r>
              <w:rPr/>
              <w:t xml:space="preserve">  </w:t>
            </w:r>
            <w:r>
              <w:rPr/>
              <w:tab/>
            </w:r>
            <w:r>
              <w:rPr>
                <w:spacing w:val="-13"/>
              </w:rPr>
              <w:t>77kg</w:t>
            </w:r>
            <w:r>
              <w:rPr>
                <w:spacing w:val="-19"/>
              </w:rPr>
              <w:t xml:space="preserve"> </w:t>
            </w:r>
            <w:r>
              <w:rPr>
                <w:spacing w:val="-13"/>
              </w:rPr>
              <w:t>和（或）血小板＜150×10</w:t>
            </w:r>
            <w:r>
              <w:rPr>
                <w:sz w:val="7"/>
                <w:szCs w:val="7"/>
                <w:spacing w:val="7"/>
                <w:w w:val="112"/>
                <w:position w:val="6"/>
              </w:rPr>
              <w:t>9</w:t>
            </w:r>
            <w:r>
              <w:rPr>
                <w:spacing w:val="-11"/>
              </w:rPr>
              <w:t>/L，</w:t>
            </w:r>
            <w:r>
              <w:rPr/>
              <w:t xml:space="preserve"> </w:t>
            </w:r>
            <w:r>
              <w:rPr>
                <w:spacing w:val="11"/>
              </w:rPr>
              <w:t>2～3</w:t>
            </w:r>
            <w:r>
              <w:rPr>
                <w:spacing w:val="-16"/>
              </w:rPr>
              <w:t xml:space="preserve"> </w:t>
            </w:r>
            <w:r>
              <w:rPr>
                <w:spacing w:val="11"/>
              </w:rPr>
              <w:t>个月后如无血液毒性可考</w:t>
            </w:r>
          </w:p>
          <w:p>
            <w:pPr>
              <w:pStyle w:val="TableText"/>
              <w:ind w:left="222"/>
              <w:spacing w:line="182" w:lineRule="auto"/>
              <w:rPr/>
            </w:pPr>
            <w:r>
              <w:rPr>
                <w:spacing w:val="-6"/>
              </w:rPr>
              <w:t>虑加量至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300mg qd</w:t>
            </w:r>
          </w:p>
        </w:tc>
        <w:tc>
          <w:tcPr>
            <w:tcW w:w="391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23" w:right="56" w:hanging="163"/>
              <w:spacing w:before="58" w:line="264" w:lineRule="auto"/>
              <w:rPr/>
            </w:pPr>
            <w:r>
              <w:rPr>
                <w:spacing w:val="15"/>
              </w:rPr>
              <w:t>用药至疾病进展或出现不可接受的毒性反应或用</w:t>
            </w:r>
            <w:r>
              <w:rPr>
                <w:spacing w:val="14"/>
              </w:rPr>
              <w:t>药到</w:t>
            </w:r>
            <w:r>
              <w:rPr/>
              <w:t xml:space="preserve"> </w:t>
            </w:r>
            <w:r>
              <w:rPr>
                <w:spacing w:val="-2"/>
              </w:rPr>
              <w:t>36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个月</w:t>
            </w:r>
          </w:p>
          <w:p>
            <w:pPr>
              <w:pStyle w:val="TableText"/>
              <w:ind w:left="60"/>
              <w:spacing w:line="187" w:lineRule="auto"/>
              <w:rPr/>
            </w:pPr>
            <w:r>
              <w:rPr>
                <w:spacing w:val="9"/>
              </w:rPr>
              <w:t>用药至疾病进展或出现不可接受的毒性反应</w:t>
            </w:r>
          </w:p>
        </w:tc>
      </w:tr>
      <w:tr>
        <w:trPr>
          <w:trHeight w:val="842" w:hRule="atLeast"/>
        </w:trPr>
        <w:tc>
          <w:tcPr>
            <w:tcW w:w="135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1"/>
              <w:spacing w:before="62" w:line="189" w:lineRule="auto"/>
              <w:rPr/>
            </w:pPr>
            <w:r>
              <w:rPr>
                <w:spacing w:val="9"/>
              </w:rPr>
              <w:t>奥拉帕利单药</w:t>
            </w:r>
          </w:p>
        </w:tc>
        <w:tc>
          <w:tcPr>
            <w:tcW w:w="164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0"/>
              <w:spacing w:before="63" w:line="188" w:lineRule="auto"/>
              <w:rPr/>
            </w:pPr>
            <w:r>
              <w:rPr>
                <w:spacing w:val="9"/>
              </w:rPr>
              <w:t>初始化疗后维持治疗</w:t>
            </w:r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64" w:line="188" w:lineRule="auto"/>
              <w:rPr/>
            </w:pPr>
            <w:r>
              <w:rPr>
                <w:spacing w:val="9"/>
              </w:rPr>
              <w:t>复发化疗后维持治疗</w:t>
            </w:r>
          </w:p>
        </w:tc>
        <w:tc>
          <w:tcPr>
            <w:tcW w:w="243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4"/>
              <w:spacing w:before="61" w:line="189" w:lineRule="auto"/>
              <w:rPr/>
            </w:pPr>
            <w:r>
              <w:rPr>
                <w:spacing w:val="-12"/>
              </w:rPr>
              <w:t>300mg bid</w:t>
            </w:r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"/>
              <w:spacing w:before="64" w:line="189" w:lineRule="auto"/>
              <w:rPr/>
            </w:pPr>
            <w:r>
              <w:rPr>
                <w:spacing w:val="-12"/>
              </w:rPr>
              <w:t>300mg bid</w:t>
            </w:r>
          </w:p>
        </w:tc>
        <w:tc>
          <w:tcPr>
            <w:tcW w:w="391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58" w:right="56" w:hanging="98"/>
              <w:spacing w:before="62" w:line="257" w:lineRule="auto"/>
              <w:rPr/>
            </w:pPr>
            <w:r>
              <w:rPr>
                <w:spacing w:val="11"/>
              </w:rPr>
              <w:t>用药至疾病进展或</w:t>
            </w:r>
            <w:r>
              <w:rPr>
                <w:spacing w:val="-14"/>
              </w:rPr>
              <w:t xml:space="preserve"> </w:t>
            </w:r>
            <w:r>
              <w:rPr/>
              <w:t>CR</w:t>
            </w:r>
            <w:r>
              <w:rPr>
                <w:spacing w:val="-16"/>
              </w:rPr>
              <w:t xml:space="preserve"> </w:t>
            </w:r>
            <w:r>
              <w:rPr>
                <w:spacing w:val="11"/>
              </w:rPr>
              <w:t>达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2</w:t>
            </w:r>
            <w:r>
              <w:rPr>
                <w:spacing w:val="-16"/>
              </w:rPr>
              <w:t xml:space="preserve"> </w:t>
            </w:r>
            <w:r>
              <w:rPr>
                <w:spacing w:val="11"/>
              </w:rPr>
              <w:t>年或出现不可接受毒性反应</w:t>
            </w:r>
            <w:r>
              <w:rPr/>
              <w:t xml:space="preserve"> </w:t>
            </w:r>
            <w:r>
              <w:rPr>
                <w:spacing w:val="6"/>
              </w:rPr>
              <w:t>（在临床试验中</w:t>
            </w:r>
            <w:r>
              <w:rPr>
                <w:spacing w:val="-11"/>
              </w:rPr>
              <w:t xml:space="preserve"> </w:t>
            </w:r>
            <w:r>
              <w:rPr/>
              <w:t>PR</w:t>
            </w:r>
            <w:r>
              <w:rPr>
                <w:spacing w:val="-18"/>
              </w:rPr>
              <w:t xml:space="preserve"> </w:t>
            </w:r>
            <w:r>
              <w:rPr>
                <w:spacing w:val="6"/>
              </w:rPr>
              <w:t>患者用药</w:t>
            </w:r>
            <w:r>
              <w:rPr>
                <w:spacing w:val="-19"/>
              </w:rPr>
              <w:t xml:space="preserve"> </w:t>
            </w:r>
            <w:r>
              <w:rPr>
                <w:spacing w:val="6"/>
              </w:rPr>
              <w:t>2</w:t>
            </w:r>
            <w:r>
              <w:rPr>
                <w:spacing w:val="-20"/>
              </w:rPr>
              <w:t xml:space="preserve"> </w:t>
            </w:r>
            <w:r>
              <w:rPr>
                <w:spacing w:val="6"/>
              </w:rPr>
              <w:t>年后继续用药）</w:t>
            </w:r>
          </w:p>
          <w:p>
            <w:pPr>
              <w:pStyle w:val="TableText"/>
              <w:ind w:left="60"/>
              <w:spacing w:before="16" w:line="187" w:lineRule="auto"/>
              <w:rPr/>
            </w:pPr>
            <w:r>
              <w:rPr>
                <w:spacing w:val="9"/>
              </w:rPr>
              <w:t>用药至疾病进展或出现不可接受的毒性反应</w:t>
            </w:r>
          </w:p>
        </w:tc>
      </w:tr>
      <w:tr>
        <w:trPr>
          <w:trHeight w:val="851" w:hRule="atLeast"/>
        </w:trPr>
        <w:tc>
          <w:tcPr>
            <w:tcW w:w="1359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59"/>
              <w:spacing w:before="66" w:line="188" w:lineRule="auto"/>
              <w:rPr/>
            </w:pPr>
            <w:r>
              <w:rPr>
                <w:spacing w:val="9"/>
              </w:rPr>
              <w:t>卢卡帕利</w:t>
            </w:r>
          </w:p>
        </w:tc>
        <w:tc>
          <w:tcPr>
            <w:tcW w:w="1645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60"/>
              <w:spacing w:before="66" w:line="188" w:lineRule="auto"/>
              <w:rPr/>
            </w:pPr>
            <w:r>
              <w:rPr>
                <w:spacing w:val="9"/>
              </w:rPr>
              <w:t>初始化疗后维持治疗</w:t>
            </w:r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64" w:line="188" w:lineRule="auto"/>
              <w:rPr/>
            </w:pPr>
            <w:r>
              <w:rPr>
                <w:spacing w:val="9"/>
              </w:rPr>
              <w:t>复发化疗后维持治疗</w:t>
            </w:r>
          </w:p>
        </w:tc>
        <w:tc>
          <w:tcPr>
            <w:tcW w:w="2438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62"/>
              <w:spacing w:before="65" w:line="189" w:lineRule="auto"/>
              <w:rPr/>
            </w:pPr>
            <w:r>
              <w:rPr>
                <w:spacing w:val="-11"/>
              </w:rPr>
              <w:t>600mg bid</w:t>
            </w:r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"/>
              <w:spacing w:before="64" w:line="189" w:lineRule="auto"/>
              <w:rPr/>
            </w:pPr>
            <w:r>
              <w:rPr>
                <w:spacing w:val="-11"/>
              </w:rPr>
              <w:t>600mg bid</w:t>
            </w:r>
          </w:p>
        </w:tc>
        <w:tc>
          <w:tcPr>
            <w:tcW w:w="3912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60"/>
              <w:spacing w:before="66" w:line="187" w:lineRule="auto"/>
              <w:rPr/>
            </w:pPr>
            <w:r>
              <w:rPr>
                <w:spacing w:val="15"/>
              </w:rPr>
              <w:t>用药至疾病进展或出现不可接受的毒性反应或用</w:t>
            </w:r>
            <w:r>
              <w:rPr>
                <w:spacing w:val="14"/>
              </w:rPr>
              <w:t>药达</w:t>
            </w:r>
          </w:p>
          <w:p>
            <w:pPr>
              <w:pStyle w:val="TableText"/>
              <w:ind w:left="224"/>
              <w:spacing w:before="63" w:line="205" w:lineRule="auto"/>
              <w:rPr/>
            </w:pPr>
            <w:r>
              <w:rPr>
                <w:spacing w:val="14"/>
              </w:rPr>
              <w:t>到2年</w:t>
            </w:r>
          </w:p>
          <w:p>
            <w:pPr>
              <w:pStyle w:val="TableText"/>
              <w:ind w:left="60"/>
              <w:spacing w:before="82" w:line="187" w:lineRule="auto"/>
              <w:rPr/>
            </w:pPr>
            <w:r>
              <w:rPr>
                <w:spacing w:val="9"/>
              </w:rPr>
              <w:t>用药至疾病进展或出现不可接受的毒性反应</w:t>
            </w:r>
          </w:p>
        </w:tc>
      </w:tr>
    </w:tbl>
    <w:p>
      <w:pPr>
        <w:spacing w:line="43" w:lineRule="exact"/>
        <w:rPr>
          <w:rFonts w:ascii="Arial"/>
          <w:sz w:val="3"/>
        </w:rPr>
      </w:pPr>
      <w:r/>
    </w:p>
    <w:p>
      <w:pPr>
        <w:spacing w:line="43" w:lineRule="exact"/>
        <w:sectPr>
          <w:type w:val="continuous"/>
          <w:pgSz w:w="12076" w:h="17008"/>
          <w:pgMar w:top="1654" w:right="1296" w:bottom="0" w:left="1352" w:header="1408" w:footer="0" w:gutter="0"/>
          <w:cols w:equalWidth="0" w:num="1">
            <w:col w:w="9427" w:space="0"/>
          </w:cols>
        </w:sectPr>
        <w:rPr>
          <w:rFonts w:ascii="Arial" w:hAnsi="Arial" w:eastAsia="Arial" w:cs="Arial"/>
          <w:sz w:val="3"/>
          <w:szCs w:val="3"/>
        </w:rPr>
      </w:pPr>
    </w:p>
    <w:p>
      <w:pPr>
        <w:pStyle w:val="BodyText"/>
        <w:ind w:left="174"/>
        <w:spacing w:before="36" w:line="2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注：bid：每日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5"/>
        </w:rPr>
        <w:t>2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5"/>
        </w:rPr>
        <w:t>次；iv：静脉注射；qd：每日1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5"/>
        </w:rPr>
        <w:t>次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10"/>
        <w:spacing w:before="56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5</w:t>
      </w:r>
      <w:r>
        <w:rPr>
          <w:rFonts w:ascii="SimHei" w:hAnsi="SimHei" w:eastAsia="SimHei" w:cs="SimHei"/>
          <w:sz w:val="17"/>
          <w:szCs w:val="17"/>
          <w:color w:val="231F20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化疗方案</w:t>
      </w:r>
    </w:p>
    <w:p>
      <w:pPr>
        <w:pStyle w:val="BodyText"/>
        <w:ind w:left="372"/>
        <w:spacing w:before="80" w:line="204" w:lineRule="auto"/>
        <w:rPr/>
      </w:pPr>
      <w:r>
        <w:rPr>
          <w:color w:val="231F20"/>
          <w:spacing w:val="-6"/>
        </w:rPr>
        <w:t>化疗方案有调整，见表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6"/>
        </w:rPr>
        <w:t>2~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6"/>
        </w:rPr>
        <w:t>10。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14"/>
        <w:spacing w:before="55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6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药物反应的处理</w:t>
      </w:r>
    </w:p>
    <w:p>
      <w:pPr>
        <w:pStyle w:val="BodyText"/>
        <w:ind w:left="12" w:right="263" w:firstLine="367"/>
        <w:spacing w:before="78" w:line="237" w:lineRule="auto"/>
        <w:jc w:val="both"/>
        <w:rPr/>
      </w:pPr>
      <w:r>
        <w:rPr>
          <w:color w:val="231F20"/>
          <w:spacing w:val="9"/>
        </w:rPr>
        <w:t>化疗药物反应是常见的，有时甚至是致命的，医生必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9"/>
        </w:rPr>
        <w:t>须详细了解化疗药物反应的临床表现，熟悉化疗反应的处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6"/>
        </w:rPr>
        <w:t>理方法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6"/>
        </w:rPr>
        <w:t>。指南详细介绍了化疗药物反应的处</w:t>
      </w:r>
      <w:r>
        <w:rPr>
          <w:color w:val="231F20"/>
          <w:spacing w:val="15"/>
        </w:rPr>
        <w:t>理，包括概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spacing w:before="73" w:line="188" w:lineRule="auto"/>
        <w:rPr/>
      </w:pPr>
      <w:r>
        <w:rPr>
          <w:color w:val="231F20"/>
          <w:spacing w:val="2"/>
        </w:rPr>
        <w:t>述、输液反应和过敏反应三部分，有兴趣者可阅读原文。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ind w:left="4"/>
        <w:spacing w:before="55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7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分期</w:t>
      </w:r>
    </w:p>
    <w:p>
      <w:pPr>
        <w:pStyle w:val="BodyText"/>
        <w:ind w:right="64" w:firstLine="364"/>
        <w:spacing w:before="74" w:line="235" w:lineRule="auto"/>
        <w:jc w:val="both"/>
        <w:rPr/>
      </w:pPr>
      <w:r>
        <w:rPr>
          <w:color w:val="231F20"/>
          <w:spacing w:val="6"/>
        </w:rPr>
        <w:t>新版指南根据美国癌症联合委员会（</w:t>
      </w:r>
      <w:r>
        <w:rPr>
          <w:color w:val="231F20"/>
        </w:rPr>
        <w:t>AJCC</w:t>
      </w:r>
      <w:r>
        <w:rPr>
          <w:color w:val="231F20"/>
          <w:spacing w:val="6"/>
        </w:rPr>
        <w:t>）癌症分期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指南第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8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版，TMN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分期和国际妇产科联盟（FIGO）分期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。有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兴趣者可阅读原文。</w:t>
      </w:r>
    </w:p>
    <w:p>
      <w:pPr>
        <w:spacing w:line="235" w:lineRule="auto"/>
        <w:sectPr>
          <w:type w:val="continuous"/>
          <w:pgSz w:w="12076" w:h="17008"/>
          <w:pgMar w:top="1654" w:right="1296" w:bottom="0" w:left="1352" w:header="1408" w:footer="0" w:gutter="0"/>
          <w:cols w:equalWidth="0" w:num="2">
            <w:col w:w="4769" w:space="100"/>
            <w:col w:w="4558" w:space="0"/>
          </w:cols>
        </w:sectPr>
        <w:rPr/>
      </w:pPr>
    </w:p>
    <w:p>
      <w:pPr>
        <w:spacing w:line="357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3581936</wp:posOffset>
            </wp:positionH>
            <wp:positionV relativeFrom="paragraph">
              <wp:posOffset>-5953914</wp:posOffset>
            </wp:positionV>
            <wp:extent cx="2298700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216"/>
        <w:spacing w:before="74" w:line="205" w:lineRule="auto"/>
        <w:rPr/>
      </w:pPr>
      <w:r>
        <w:rPr>
          <w:rFonts w:ascii="SimHei" w:hAnsi="SimHei" w:eastAsia="SimHei" w:cs="SimHei"/>
          <w:spacing w:val="5"/>
        </w:rPr>
        <w:t>表2</w:t>
      </w:r>
      <w:r>
        <w:rPr>
          <w:rFonts w:ascii="SimHei" w:hAnsi="SimHei" w:eastAsia="SimHei" w:cs="SimHei"/>
          <w:spacing w:val="45"/>
        </w:rPr>
        <w:t xml:space="preserve">  </w:t>
      </w:r>
      <w:r>
        <w:rPr>
          <w:spacing w:val="5"/>
        </w:rPr>
        <w:t>Ⅰ期上皮性卵巢/输卵管/原发性腹膜癌初始全身治疗方案</w:t>
      </w:r>
    </w:p>
    <w:p>
      <w:pPr>
        <w:spacing w:line="68" w:lineRule="exact"/>
        <w:rPr/>
      </w:pPr>
      <w:r/>
    </w:p>
    <w:tbl>
      <w:tblPr>
        <w:tblStyle w:val="TableNormal"/>
        <w:tblW w:w="937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03"/>
        <w:gridCol w:w="2458"/>
        <w:gridCol w:w="2558"/>
        <w:gridCol w:w="2851"/>
      </w:tblGrid>
      <w:tr>
        <w:trPr>
          <w:trHeight w:val="276" w:hRule="atLeast"/>
        </w:trPr>
        <w:tc>
          <w:tcPr>
            <w:tcW w:w="150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04"/>
              <w:spacing w:before="55" w:line="196" w:lineRule="auto"/>
              <w:rPr/>
            </w:pPr>
            <w:r>
              <w:rPr>
                <w:spacing w:val="-19"/>
              </w:rPr>
              <w:t>Ⅰ期</w:t>
            </w:r>
          </w:p>
        </w:tc>
        <w:tc>
          <w:tcPr>
            <w:tcW w:w="245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50"/>
              <w:spacing w:before="57" w:line="187" w:lineRule="auto"/>
              <w:rPr/>
            </w:pPr>
            <w:r>
              <w:rPr>
                <w:spacing w:val="8"/>
              </w:rPr>
              <w:t>首选方案</w:t>
            </w:r>
          </w:p>
        </w:tc>
        <w:tc>
          <w:tcPr>
            <w:tcW w:w="255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17"/>
              <w:spacing w:before="56" w:line="189" w:lineRule="auto"/>
              <w:rPr/>
            </w:pPr>
            <w:r>
              <w:rPr>
                <w:spacing w:val="9"/>
              </w:rPr>
              <w:t>其他推荐方案</w:t>
            </w:r>
          </w:p>
        </w:tc>
        <w:tc>
          <w:tcPr>
            <w:tcW w:w="285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96"/>
              <w:spacing w:before="56" w:line="187" w:lineRule="auto"/>
              <w:rPr/>
            </w:pPr>
            <w:r>
              <w:rPr>
                <w:spacing w:val="9"/>
              </w:rPr>
              <w:t>某些情况下有效方案</w:t>
            </w:r>
          </w:p>
        </w:tc>
      </w:tr>
      <w:tr>
        <w:trPr>
          <w:trHeight w:val="262" w:hRule="atLeast"/>
        </w:trPr>
        <w:tc>
          <w:tcPr>
            <w:tcW w:w="150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"/>
              <w:spacing w:before="53" w:line="185" w:lineRule="auto"/>
              <w:rPr/>
            </w:pPr>
            <w:r>
              <w:rPr>
                <w:spacing w:val="9"/>
              </w:rPr>
              <w:t>高级别浆液性癌</w:t>
            </w:r>
          </w:p>
        </w:tc>
        <w:tc>
          <w:tcPr>
            <w:tcW w:w="245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53" w:line="185" w:lineRule="auto"/>
              <w:rPr/>
            </w:pPr>
            <w:r>
              <w:rPr>
                <w:spacing w:val="-4"/>
              </w:rPr>
              <w:t>紫杉醇/卡铂，3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周疗</w:t>
            </w:r>
          </w:p>
        </w:tc>
        <w:tc>
          <w:tcPr>
            <w:tcW w:w="255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1"/>
              <w:spacing w:before="52" w:line="186" w:lineRule="auto"/>
              <w:rPr/>
            </w:pPr>
            <w:r>
              <w:rPr>
                <w:spacing w:val="6"/>
              </w:rPr>
              <w:t>卡铂/脂质体多柔比星</w:t>
            </w:r>
          </w:p>
        </w:tc>
        <w:tc>
          <w:tcPr>
            <w:tcW w:w="285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96"/>
              <w:spacing w:before="50" w:line="188" w:lineRule="auto"/>
              <w:rPr/>
            </w:pPr>
            <w:r>
              <w:rPr/>
              <w:t>卡铂/异环磷酰胺（癌肉瘤）</w:t>
            </w:r>
          </w:p>
        </w:tc>
      </w:tr>
      <w:tr>
        <w:trPr>
          <w:trHeight w:val="263" w:hRule="atLeast"/>
        </w:trPr>
        <w:tc>
          <w:tcPr>
            <w:tcW w:w="1503" w:type="dxa"/>
            <w:vAlign w:val="top"/>
          </w:tcPr>
          <w:p>
            <w:pPr>
              <w:pStyle w:val="TableText"/>
              <w:spacing w:before="53" w:line="186" w:lineRule="auto"/>
              <w:jc w:val="right"/>
              <w:rPr/>
            </w:pPr>
            <w:r>
              <w:rPr>
                <w:spacing w:val="-7"/>
              </w:rPr>
              <w:t>子宫内膜样癌（G2/3）</w:t>
            </w:r>
          </w:p>
        </w:tc>
        <w:tc>
          <w:tcPr>
            <w:tcW w:w="24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8" w:type="dxa"/>
            <w:vAlign w:val="top"/>
          </w:tcPr>
          <w:p>
            <w:pPr>
              <w:pStyle w:val="TableText"/>
              <w:ind w:left="82"/>
              <w:spacing w:before="56" w:line="183" w:lineRule="auto"/>
              <w:rPr/>
            </w:pPr>
            <w:r>
              <w:rPr>
                <w:spacing w:val="5"/>
              </w:rPr>
              <w:t>多烯紫杉醇/卡铂</w:t>
            </w:r>
          </w:p>
        </w:tc>
        <w:tc>
          <w:tcPr>
            <w:tcW w:w="2851" w:type="dxa"/>
            <w:vAlign w:val="top"/>
          </w:tcPr>
          <w:p>
            <w:pPr>
              <w:pStyle w:val="TableText"/>
              <w:ind w:left="891"/>
              <w:spacing w:before="53" w:line="186" w:lineRule="auto"/>
              <w:rPr/>
            </w:pPr>
            <w:r>
              <w:rPr/>
              <w:t>顺铂/异环磷酰胺（癌肉瘤）</w:t>
            </w:r>
          </w:p>
        </w:tc>
      </w:tr>
      <w:tr>
        <w:trPr>
          <w:trHeight w:val="264" w:hRule="atLeast"/>
        </w:trPr>
        <w:tc>
          <w:tcPr>
            <w:tcW w:w="1503" w:type="dxa"/>
            <w:vAlign w:val="top"/>
          </w:tcPr>
          <w:p>
            <w:pPr>
              <w:pStyle w:val="TableText"/>
              <w:ind w:left="33"/>
              <w:spacing w:before="59" w:line="181" w:lineRule="auto"/>
              <w:rPr/>
            </w:pPr>
            <w:r>
              <w:rPr>
                <w:spacing w:val="9"/>
              </w:rPr>
              <w:t>透明细胞癌</w:t>
            </w:r>
          </w:p>
        </w:tc>
        <w:tc>
          <w:tcPr>
            <w:tcW w:w="24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1" w:type="dxa"/>
            <w:vAlign w:val="top"/>
          </w:tcPr>
          <w:p>
            <w:pPr>
              <w:pStyle w:val="TableText"/>
              <w:spacing w:before="55" w:line="185" w:lineRule="auto"/>
              <w:jc w:val="right"/>
              <w:rPr/>
            </w:pPr>
            <w:r>
              <w:rPr>
                <w:spacing w:val="1"/>
              </w:rPr>
              <w:t>紫</w:t>
            </w:r>
            <w:r>
              <w:rPr>
                <w:spacing w:val="-13"/>
              </w:rPr>
              <w:t xml:space="preserve"> </w:t>
            </w:r>
            <w:r>
              <w:rPr>
                <w:spacing w:val="1"/>
              </w:rPr>
              <w:t>杉</w:t>
            </w:r>
            <w:r>
              <w:rPr>
                <w:spacing w:val="-13"/>
              </w:rPr>
              <w:t xml:space="preserve"> </w:t>
            </w:r>
            <w:r>
              <w:rPr>
                <w:spacing w:val="1"/>
              </w:rPr>
              <w:t>醇/异</w:t>
            </w:r>
            <w:r>
              <w:rPr>
                <w:spacing w:val="-14"/>
              </w:rPr>
              <w:t xml:space="preserve"> </w:t>
            </w:r>
            <w:r>
              <w:rPr>
                <w:spacing w:val="1"/>
              </w:rPr>
              <w:t>环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磷</w:t>
            </w:r>
            <w:r>
              <w:rPr>
                <w:spacing w:val="-12"/>
              </w:rPr>
              <w:t xml:space="preserve"> </w:t>
            </w:r>
            <w:r>
              <w:rPr>
                <w:spacing w:val="1"/>
              </w:rPr>
              <w:t>酰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胺（癌 肉</w:t>
            </w:r>
          </w:p>
        </w:tc>
      </w:tr>
      <w:tr>
        <w:trPr>
          <w:trHeight w:val="334" w:hRule="atLeast"/>
        </w:trPr>
        <w:tc>
          <w:tcPr>
            <w:tcW w:w="150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2"/>
              <w:spacing w:before="60" w:line="187" w:lineRule="auto"/>
              <w:rPr/>
            </w:pPr>
            <w:r>
              <w:rPr>
                <w:spacing w:val="8"/>
              </w:rPr>
              <w:t>癌肉瘤</w:t>
            </w:r>
          </w:p>
        </w:tc>
        <w:tc>
          <w:tcPr>
            <w:tcW w:w="2458" w:type="dxa"/>
            <w:vAlign w:val="top"/>
            <w:tcBorders>
              <w:bottom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8" w:type="dxa"/>
            <w:vAlign w:val="top"/>
            <w:tcBorders>
              <w:bottom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053"/>
              <w:spacing w:before="56" w:line="211" w:lineRule="auto"/>
              <w:rPr/>
            </w:pPr>
            <w:r>
              <w:rPr>
                <w:spacing w:val="3"/>
              </w:rPr>
              <w:t>瘤）</w:t>
            </w:r>
          </w:p>
        </w:tc>
      </w:tr>
      <w:tr>
        <w:trPr>
          <w:trHeight w:val="842" w:hRule="atLeast"/>
        </w:trPr>
        <w:tc>
          <w:tcPr>
            <w:tcW w:w="150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3"/>
              <w:spacing w:before="56" w:line="211" w:lineRule="auto"/>
              <w:rPr/>
            </w:pPr>
            <w:r>
              <w:rPr/>
              <w:t>黏液性癌(</w:t>
            </w:r>
            <w:r>
              <w:rPr>
                <w:spacing w:val="34"/>
              </w:rPr>
              <w:t xml:space="preserve"> </w:t>
            </w:r>
            <w:r>
              <w:rPr/>
              <w:t>ⅠC</w:t>
            </w:r>
            <w:r>
              <w:rPr>
                <w:spacing w:val="-23"/>
              </w:rPr>
              <w:t xml:space="preserve"> </w:t>
            </w:r>
            <w:r>
              <w:rPr/>
              <w:t>期）</w:t>
            </w:r>
          </w:p>
        </w:tc>
        <w:tc>
          <w:tcPr>
            <w:tcW w:w="245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1" w:right="73"/>
              <w:spacing w:before="59" w:line="247" w:lineRule="auto"/>
              <w:rPr/>
            </w:pPr>
            <w:r>
              <w:rPr>
                <w:spacing w:val="5"/>
              </w:rPr>
              <w:t>氟尿嘧啶/甲酰四氢叶酸/奥沙利铂</w:t>
            </w:r>
            <w:r>
              <w:rPr>
                <w:spacing w:val="14"/>
              </w:rPr>
              <w:t xml:space="preserve"> </w:t>
            </w:r>
            <w:r>
              <w:rPr>
                <w:spacing w:val="6"/>
              </w:rPr>
              <w:t>卡培他滨/奥沙利铂</w:t>
            </w:r>
          </w:p>
          <w:p>
            <w:pPr>
              <w:pStyle w:val="TableText"/>
              <w:ind w:left="61"/>
              <w:spacing w:line="204" w:lineRule="auto"/>
              <w:rPr/>
            </w:pPr>
            <w:r>
              <w:rPr>
                <w:spacing w:val="-4"/>
              </w:rPr>
              <w:t>紫杉醇/卡铂，3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周疗</w:t>
            </w:r>
          </w:p>
        </w:tc>
        <w:tc>
          <w:tcPr>
            <w:tcW w:w="255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2" w:right="998" w:hanging="1"/>
              <w:spacing w:before="56" w:line="257" w:lineRule="auto"/>
              <w:rPr/>
            </w:pPr>
            <w:r>
              <w:rPr>
                <w:spacing w:val="6"/>
              </w:rPr>
              <w:t>卡铂/脂质体多柔比星</w:t>
            </w:r>
            <w:r>
              <w:rPr>
                <w:spacing w:val="3"/>
              </w:rPr>
              <w:t xml:space="preserve"> </w:t>
            </w:r>
            <w:r>
              <w:rPr>
                <w:spacing w:val="5"/>
              </w:rPr>
              <w:t>多烯紫杉醇/卡铂</w:t>
            </w:r>
          </w:p>
        </w:tc>
        <w:tc>
          <w:tcPr>
            <w:tcW w:w="285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92"/>
              <w:spacing w:before="65" w:line="177" w:lineRule="auto"/>
              <w:rPr/>
            </w:pPr>
            <w:r>
              <w:rPr>
                <w:spacing w:val="8"/>
              </w:rPr>
              <w:t>无</w:t>
            </w:r>
          </w:p>
        </w:tc>
      </w:tr>
      <w:tr>
        <w:trPr>
          <w:trHeight w:val="1641" w:hRule="atLeast"/>
        </w:trPr>
        <w:tc>
          <w:tcPr>
            <w:tcW w:w="1503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204" w:right="354" w:hanging="174"/>
              <w:spacing w:before="61" w:line="246" w:lineRule="auto"/>
              <w:rPr/>
            </w:pPr>
            <w:r>
              <w:rPr>
                <w:spacing w:val="9"/>
              </w:rPr>
              <w:t>低级别浆液性癌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(</w:t>
            </w:r>
            <w:r>
              <w:rPr>
                <w:spacing w:val="32"/>
              </w:rPr>
              <w:t xml:space="preserve"> </w:t>
            </w:r>
            <w:r>
              <w:rPr>
                <w:spacing w:val="-10"/>
              </w:rPr>
              <w:t>ⅠC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>期）</w:t>
            </w:r>
          </w:p>
          <w:p>
            <w:pPr>
              <w:pStyle w:val="TableText"/>
              <w:ind w:left="32"/>
              <w:spacing w:line="211" w:lineRule="auto"/>
              <w:rPr/>
            </w:pPr>
            <w:r>
              <w:rPr>
                <w:spacing w:val="-3"/>
              </w:rPr>
              <w:t>子宫内膜样癌（G1，</w:t>
            </w:r>
          </w:p>
          <w:p>
            <w:pPr>
              <w:pStyle w:val="TableText"/>
              <w:ind w:left="244"/>
              <w:spacing w:before="38" w:line="211" w:lineRule="auto"/>
              <w:rPr/>
            </w:pPr>
            <w:r>
              <w:rPr>
                <w:spacing w:val="-11"/>
              </w:rPr>
              <w:t>ⅠC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>期）</w:t>
            </w:r>
          </w:p>
        </w:tc>
        <w:tc>
          <w:tcPr>
            <w:tcW w:w="2458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220" w:right="9" w:hanging="159"/>
              <w:spacing w:before="61" w:line="246" w:lineRule="auto"/>
              <w:rPr/>
            </w:pPr>
            <w:r>
              <w:rPr>
                <w:spacing w:val="8"/>
              </w:rPr>
              <w:t>紫杉醇/卡铂，3</w:t>
            </w:r>
            <w:r>
              <w:rPr>
                <w:spacing w:val="-1"/>
              </w:rPr>
              <w:t xml:space="preserve"> </w:t>
            </w:r>
            <w:r>
              <w:rPr>
                <w:spacing w:val="8"/>
              </w:rPr>
              <w:t>周疗±来曲唑维持</w:t>
            </w:r>
            <w:r>
              <w:rPr/>
              <w:t xml:space="preserve"> </w:t>
            </w:r>
            <w:r>
              <w:rPr>
                <w:spacing w:val="4"/>
              </w:rPr>
              <w:t>治疗（2B</w:t>
            </w:r>
            <w:r>
              <w:rPr>
                <w:spacing w:val="-11"/>
              </w:rPr>
              <w:t xml:space="preserve"> </w:t>
            </w:r>
            <w:r>
              <w:rPr>
                <w:spacing w:val="4"/>
              </w:rPr>
              <w:t>类）或其他内分泌治疗</w:t>
            </w:r>
          </w:p>
          <w:p>
            <w:pPr>
              <w:pStyle w:val="TableText"/>
              <w:ind w:left="158"/>
              <w:spacing w:line="211" w:lineRule="auto"/>
              <w:rPr/>
            </w:pPr>
            <w:r>
              <w:rPr>
                <w:spacing w:val="-2"/>
              </w:rPr>
              <w:t>（2B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类）</w:t>
            </w:r>
          </w:p>
          <w:p>
            <w:pPr>
              <w:pStyle w:val="TableText"/>
              <w:ind w:left="217" w:right="9" w:hanging="158"/>
              <w:spacing w:before="36" w:line="242" w:lineRule="auto"/>
              <w:rPr/>
            </w:pPr>
            <w:r>
              <w:rPr>
                <w:spacing w:val="9"/>
              </w:rPr>
              <w:t>激素治疗［芳香化酶抑制剂（阿那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曲唑</w:t>
            </w:r>
            <w:r>
              <w:rPr>
                <w:spacing w:val="-21"/>
              </w:rPr>
              <w:t xml:space="preserve"> </w:t>
            </w:r>
            <w:r>
              <w:rPr>
                <w:spacing w:val="6"/>
              </w:rPr>
              <w:t>，来曲唑</w:t>
            </w:r>
            <w:r>
              <w:rPr>
                <w:spacing w:val="-22"/>
              </w:rPr>
              <w:t xml:space="preserve"> </w:t>
            </w:r>
            <w:r>
              <w:rPr>
                <w:spacing w:val="6"/>
              </w:rPr>
              <w:t>，依西美坦</w:t>
            </w:r>
            <w:r>
              <w:rPr>
                <w:spacing w:val="-20"/>
                <w:w w:val="74"/>
              </w:rPr>
              <w:t>）］（</w:t>
            </w:r>
            <w:r>
              <w:rPr>
                <w:spacing w:val="6"/>
              </w:rPr>
              <w:t>2B</w:t>
            </w:r>
            <w:r>
              <w:rPr/>
              <w:t xml:space="preserve"> </w:t>
            </w:r>
            <w:r>
              <w:rPr>
                <w:spacing w:val="4"/>
              </w:rPr>
              <w:t>类）</w:t>
            </w:r>
          </w:p>
        </w:tc>
        <w:tc>
          <w:tcPr>
            <w:tcW w:w="5409" w:type="dxa"/>
            <w:vAlign w:val="top"/>
            <w:gridSpan w:val="2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240" w:right="1800" w:hanging="159"/>
              <w:spacing w:before="59" w:line="247" w:lineRule="auto"/>
              <w:rPr/>
            </w:pPr>
            <w:r>
              <w:rPr>
                <w:spacing w:val="3"/>
              </w:rPr>
              <w:t>卡铂/脂质体多柔比星±来曲唑维持治疗（2B</w:t>
            </w:r>
            <w:r>
              <w:rPr>
                <w:spacing w:val="-21"/>
              </w:rPr>
              <w:t xml:space="preserve"> </w:t>
            </w:r>
            <w:r>
              <w:rPr>
                <w:spacing w:val="3"/>
              </w:rPr>
              <w:t>类</w:t>
            </w:r>
            <w:r>
              <w:rPr>
                <w:spacing w:val="2"/>
              </w:rPr>
              <w:t>）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2"/>
              </w:rPr>
              <w:t>无</w:t>
            </w:r>
            <w:r>
              <w:rPr/>
              <w:t xml:space="preserve"> </w:t>
            </w:r>
            <w:r>
              <w:rPr/>
              <w:t>或其他内分泌治疗（2B</w:t>
            </w:r>
            <w:r>
              <w:rPr>
                <w:spacing w:val="-16"/>
              </w:rPr>
              <w:t xml:space="preserve"> </w:t>
            </w:r>
            <w:r>
              <w:rPr/>
              <w:t>类）</w:t>
            </w:r>
          </w:p>
          <w:p>
            <w:pPr>
              <w:pStyle w:val="TableText"/>
              <w:ind w:left="238" w:right="2102" w:hanging="156"/>
              <w:spacing w:line="247" w:lineRule="auto"/>
              <w:rPr/>
            </w:pPr>
            <w:r>
              <w:rPr>
                <w:spacing w:val="-1"/>
              </w:rPr>
              <w:t>多烯紫杉醇/卡铂±来曲唑维持（2B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类）或其他内</w:t>
            </w:r>
            <w:r>
              <w:rPr/>
              <w:t xml:space="preserve"> </w:t>
            </w:r>
            <w:r>
              <w:rPr>
                <w:spacing w:val="-4"/>
              </w:rPr>
              <w:t>分泌治疗（2B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类）</w:t>
            </w:r>
          </w:p>
          <w:p>
            <w:pPr>
              <w:pStyle w:val="TableText"/>
              <w:ind w:left="177" w:right="2045" w:hanging="98"/>
              <w:spacing w:before="1" w:line="238" w:lineRule="auto"/>
              <w:rPr/>
            </w:pPr>
            <w:r>
              <w:rPr>
                <w:spacing w:val="-1"/>
              </w:rPr>
              <w:t>激素治疗（醋酸亮丙瑞林，他莫昔芬，氟维司群）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（2B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类）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076" w:h="17008"/>
          <w:pgMar w:top="1654" w:right="1296" w:bottom="0" w:left="1352" w:header="1408" w:footer="0" w:gutter="0"/>
          <w:cols w:equalWidth="0" w:num="1">
            <w:col w:w="9427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76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928396</wp:posOffset>
            </wp:positionH>
            <wp:positionV relativeFrom="page">
              <wp:posOffset>1034494</wp:posOffset>
            </wp:positionV>
            <wp:extent cx="2298700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072"/>
        <w:spacing w:before="73" w:line="205" w:lineRule="auto"/>
        <w:rPr/>
      </w:pPr>
      <w:r>
        <w:rPr>
          <w:rFonts w:ascii="SimHei" w:hAnsi="SimHei" w:eastAsia="SimHei" w:cs="SimHei"/>
          <w:spacing w:val="5"/>
        </w:rPr>
        <w:t>表3</w:t>
      </w:r>
      <w:r>
        <w:rPr>
          <w:rFonts w:ascii="SimHei" w:hAnsi="SimHei" w:eastAsia="SimHei" w:cs="SimHei"/>
          <w:spacing w:val="26"/>
        </w:rPr>
        <w:t xml:space="preserve">  </w:t>
      </w:r>
      <w:r>
        <w:rPr>
          <w:spacing w:val="5"/>
        </w:rPr>
        <w:t>Ⅱ</w:t>
      </w:r>
      <w:r>
        <w:rPr>
          <w:color w:val="231F20"/>
          <w:spacing w:val="5"/>
        </w:rPr>
        <w:t>~</w:t>
      </w:r>
      <w:r>
        <w:rPr>
          <w:color w:val="231F20"/>
          <w:spacing w:val="-31"/>
        </w:rPr>
        <w:t xml:space="preserve"> </w:t>
      </w:r>
      <w:r>
        <w:rPr>
          <w:spacing w:val="5"/>
        </w:rPr>
        <w:t>Ⅳ期上皮性卵巢/输卵管/原发性腹膜癌</w:t>
      </w:r>
      <w:r>
        <w:rPr>
          <w:spacing w:val="4"/>
        </w:rPr>
        <w:t>初始全身治疗方案</w:t>
      </w:r>
    </w:p>
    <w:p>
      <w:pPr>
        <w:spacing w:line="103" w:lineRule="exact"/>
        <w:rPr/>
      </w:pPr>
      <w:r/>
    </w:p>
    <w:tbl>
      <w:tblPr>
        <w:tblStyle w:val="TableNormal"/>
        <w:tblW w:w="935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59"/>
        <w:gridCol w:w="2863"/>
        <w:gridCol w:w="2860"/>
        <w:gridCol w:w="2072"/>
      </w:tblGrid>
      <w:tr>
        <w:trPr>
          <w:trHeight w:val="276" w:hRule="atLeast"/>
        </w:trPr>
        <w:tc>
          <w:tcPr>
            <w:tcW w:w="155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15"/>
              <w:spacing w:before="57" w:line="186" w:lineRule="auto"/>
              <w:rPr/>
            </w:pPr>
            <w:r>
              <w:rPr>
                <w:spacing w:val="-13"/>
              </w:rPr>
              <w:t>Ⅱ ~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3"/>
              </w:rPr>
              <w:t>Ⅳ期</w:t>
            </w:r>
          </w:p>
        </w:tc>
        <w:tc>
          <w:tcPr>
            <w:tcW w:w="286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30"/>
              <w:spacing w:before="57" w:line="187" w:lineRule="auto"/>
              <w:rPr/>
            </w:pPr>
            <w:r>
              <w:rPr>
                <w:spacing w:val="8"/>
              </w:rPr>
              <w:t>首选方案</w:t>
            </w:r>
          </w:p>
        </w:tc>
        <w:tc>
          <w:tcPr>
            <w:tcW w:w="286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99"/>
              <w:spacing w:before="56" w:line="189" w:lineRule="auto"/>
              <w:rPr/>
            </w:pPr>
            <w:r>
              <w:rPr>
                <w:spacing w:val="9"/>
              </w:rPr>
              <w:t>其他推荐方案</w:t>
            </w:r>
          </w:p>
        </w:tc>
        <w:tc>
          <w:tcPr>
            <w:tcW w:w="207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45"/>
              <w:spacing w:before="56" w:line="187" w:lineRule="auto"/>
              <w:rPr/>
            </w:pPr>
            <w:r>
              <w:rPr>
                <w:spacing w:val="9"/>
              </w:rPr>
              <w:t>某些情况有效</w:t>
            </w:r>
          </w:p>
        </w:tc>
      </w:tr>
      <w:tr>
        <w:trPr>
          <w:trHeight w:val="1854" w:hRule="atLeast"/>
        </w:trPr>
        <w:tc>
          <w:tcPr>
            <w:tcW w:w="155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2"/>
              <w:spacing w:before="54" w:line="188" w:lineRule="auto"/>
              <w:rPr/>
            </w:pPr>
            <w:r>
              <w:rPr>
                <w:spacing w:val="9"/>
              </w:rPr>
              <w:t>高级别浆液性癌</w:t>
            </w:r>
          </w:p>
          <w:p>
            <w:pPr>
              <w:pStyle w:val="TableText"/>
              <w:ind w:left="61" w:right="14"/>
              <w:spacing w:before="60" w:line="244" w:lineRule="auto"/>
              <w:rPr/>
            </w:pPr>
            <w:r>
              <w:rPr>
                <w:spacing w:val="-6"/>
              </w:rPr>
              <w:t>子宫内膜样癌（G2/3）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</w:rPr>
              <w:t>透明细胞癌</w:t>
            </w:r>
          </w:p>
          <w:p>
            <w:pPr>
              <w:pStyle w:val="TableText"/>
              <w:ind w:left="61"/>
              <w:spacing w:before="9" w:line="187" w:lineRule="auto"/>
              <w:rPr/>
            </w:pPr>
            <w:r>
              <w:rPr>
                <w:spacing w:val="8"/>
              </w:rPr>
              <w:t>癌肉瘤</w:t>
            </w:r>
          </w:p>
        </w:tc>
        <w:tc>
          <w:tcPr>
            <w:tcW w:w="286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90"/>
              <w:spacing w:before="53" w:line="205" w:lineRule="auto"/>
              <w:rPr/>
            </w:pPr>
            <w:r>
              <w:rPr>
                <w:spacing w:val="-4"/>
              </w:rPr>
              <w:t>紫杉醇/卡铂，3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周疗</w:t>
            </w:r>
          </w:p>
          <w:p>
            <w:pPr>
              <w:pStyle w:val="TableText"/>
              <w:ind w:left="246" w:right="9" w:hanging="156"/>
              <w:spacing w:before="44" w:line="254" w:lineRule="auto"/>
              <w:rPr/>
            </w:pPr>
            <w:r>
              <w:rPr>
                <w:spacing w:val="12"/>
              </w:rPr>
              <w:t>紫杉醇/卡铂/贝伐珠单抗+贝伐珠单抗</w:t>
            </w:r>
            <w:r>
              <w:rPr>
                <w:spacing w:val="4"/>
              </w:rPr>
              <w:t xml:space="preserve">  </w:t>
            </w:r>
            <w:r>
              <w:rPr>
                <w:spacing w:val="-7"/>
              </w:rPr>
              <w:t>维持（注：为</w:t>
            </w:r>
            <w:r>
              <w:rPr/>
              <w:t xml:space="preserve"> </w:t>
            </w:r>
            <w:r>
              <w:rPr>
                <w:spacing w:val="-7"/>
              </w:rPr>
              <w:t>ICON-7&amp;GOG-218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方案，</w:t>
            </w:r>
            <w:r>
              <w:rPr/>
              <w:t xml:space="preserve"> </w:t>
            </w:r>
            <w:r>
              <w:rPr>
                <w:spacing w:val="18"/>
              </w:rPr>
              <w:t>也可用</w:t>
            </w:r>
            <w:r>
              <w:rPr>
                <w:spacing w:val="-4"/>
              </w:rPr>
              <w:t xml:space="preserve"> </w:t>
            </w:r>
            <w:r>
              <w:rPr/>
              <w:t>FDA</w:t>
            </w:r>
            <w:r>
              <w:rPr>
                <w:spacing w:val="-10"/>
              </w:rPr>
              <w:t xml:space="preserve"> </w:t>
            </w:r>
            <w:r>
              <w:rPr>
                <w:spacing w:val="18"/>
              </w:rPr>
              <w:t>批准的同类药代替贝伐</w:t>
            </w:r>
            <w:r>
              <w:rPr/>
              <w:t xml:space="preserve">  </w:t>
            </w:r>
            <w:r>
              <w:rPr>
                <w:spacing w:val="-4"/>
              </w:rPr>
              <w:t>珠单抗，下同）</w:t>
            </w:r>
          </w:p>
        </w:tc>
        <w:tc>
          <w:tcPr>
            <w:tcW w:w="286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20" w:right="82" w:hanging="158"/>
              <w:spacing w:before="51" w:line="248" w:lineRule="auto"/>
              <w:rPr/>
            </w:pPr>
            <w:r>
              <w:rPr>
                <w:spacing w:val="5"/>
              </w:rPr>
              <w:t>紫杉醇周疗/卡铂周疗（注：用于一般情</w:t>
            </w:r>
            <w:r>
              <w:rPr>
                <w:spacing w:val="10"/>
              </w:rPr>
              <w:t xml:space="preserve"> </w:t>
            </w:r>
            <w:r>
              <w:rPr/>
              <w:t>况较差的患者，下同）</w:t>
            </w:r>
          </w:p>
          <w:p>
            <w:pPr>
              <w:pStyle w:val="TableText"/>
              <w:ind w:left="64"/>
              <w:spacing w:line="204" w:lineRule="auto"/>
              <w:rPr/>
            </w:pPr>
            <w:r>
              <w:rPr>
                <w:spacing w:val="5"/>
              </w:rPr>
              <w:t>多烯紫杉醇/卡铂</w:t>
            </w:r>
          </w:p>
          <w:p>
            <w:pPr>
              <w:pStyle w:val="TableText"/>
              <w:ind w:left="62" w:right="1198"/>
              <w:spacing w:before="43" w:line="248" w:lineRule="auto"/>
              <w:rPr/>
            </w:pPr>
            <w:r>
              <w:rPr>
                <w:spacing w:val="6"/>
              </w:rPr>
              <w:t>卡铂/脂质体多柔比星</w:t>
            </w:r>
            <w:r>
              <w:rPr/>
              <w:t xml:space="preserve">    </w:t>
            </w:r>
            <w:r>
              <w:rPr>
                <w:spacing w:val="4"/>
              </w:rPr>
              <w:t>紫杉醇周疗/卡铂</w:t>
            </w:r>
            <w:r>
              <w:rPr>
                <w:spacing w:val="-16"/>
              </w:rPr>
              <w:t xml:space="preserve"> </w:t>
            </w:r>
            <w:r>
              <w:rPr>
                <w:spacing w:val="4"/>
              </w:rPr>
              <w:t>3</w:t>
            </w:r>
            <w:r>
              <w:rPr>
                <w:spacing w:val="-21"/>
              </w:rPr>
              <w:t xml:space="preserve"> </w:t>
            </w:r>
            <w:r>
              <w:rPr>
                <w:spacing w:val="4"/>
              </w:rPr>
              <w:t>周疗</w:t>
            </w:r>
          </w:p>
          <w:p>
            <w:pPr>
              <w:pStyle w:val="TableText"/>
              <w:ind w:left="219" w:right="82" w:hanging="155"/>
              <w:spacing w:before="2" w:line="216" w:lineRule="auto"/>
              <w:rPr/>
            </w:pPr>
            <w:r>
              <w:rPr>
                <w:spacing w:val="12"/>
              </w:rPr>
              <w:t>多烯紫杉醇/卡铂/贝伐珠单抗+贝伐珠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单抗维持（GOG-218）</w:t>
            </w:r>
          </w:p>
        </w:tc>
        <w:tc>
          <w:tcPr>
            <w:tcW w:w="207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right="5"/>
              <w:spacing w:before="50" w:line="212" w:lineRule="auto"/>
              <w:jc w:val="right"/>
              <w:rPr/>
            </w:pPr>
            <w:r>
              <w:rPr>
                <w:spacing w:val="2"/>
              </w:rPr>
              <w:t>腹腔/静脉 紫杉醇/卡铂(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Ⅱ ~</w:t>
            </w:r>
          </w:p>
          <w:p>
            <w:pPr>
              <w:pStyle w:val="TableText"/>
              <w:ind w:left="272"/>
              <w:spacing w:before="37" w:line="212" w:lineRule="auto"/>
              <w:rPr/>
            </w:pPr>
            <w:r>
              <w:rPr>
                <w:spacing w:val="6"/>
              </w:rPr>
              <w:t>Ⅲ期满意减瘤术患者）</w:t>
            </w:r>
          </w:p>
          <w:p>
            <w:pPr>
              <w:pStyle w:val="TableText"/>
              <w:ind w:left="94"/>
              <w:spacing w:before="37" w:line="212" w:lineRule="auto"/>
              <w:rPr/>
            </w:pPr>
            <w:r>
              <w:rPr/>
              <w:t>卡铂/异环磷酰胺（癌肉瘤）</w:t>
            </w:r>
          </w:p>
          <w:p>
            <w:pPr>
              <w:pStyle w:val="TableText"/>
              <w:ind w:left="88"/>
              <w:spacing w:before="37" w:line="212" w:lineRule="auto"/>
              <w:rPr/>
            </w:pPr>
            <w:r>
              <w:rPr/>
              <w:t>顺铂/异环磷酰胺（癌肉瘤）</w:t>
            </w:r>
          </w:p>
          <w:p>
            <w:pPr>
              <w:pStyle w:val="TableText"/>
              <w:ind w:left="248" w:hanging="155"/>
              <w:spacing w:before="38" w:line="253" w:lineRule="auto"/>
              <w:rPr/>
            </w:pPr>
            <w:r>
              <w:rPr>
                <w:spacing w:val="-3"/>
              </w:rPr>
              <w:t>紫杉醇/异环磷酰胺（癌肉瘤，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2B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类）</w:t>
            </w:r>
          </w:p>
        </w:tc>
      </w:tr>
      <w:tr>
        <w:trPr>
          <w:trHeight w:val="1854" w:hRule="atLeast"/>
        </w:trPr>
        <w:tc>
          <w:tcPr>
            <w:tcW w:w="155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2"/>
              <w:spacing w:before="58" w:line="187" w:lineRule="auto"/>
              <w:rPr/>
            </w:pPr>
            <w:r>
              <w:rPr>
                <w:spacing w:val="8"/>
              </w:rPr>
              <w:t>黏液性癌</w:t>
            </w:r>
          </w:p>
        </w:tc>
        <w:tc>
          <w:tcPr>
            <w:tcW w:w="286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47" w:right="56" w:hanging="157"/>
              <w:spacing w:before="57" w:line="246" w:lineRule="auto"/>
              <w:rPr/>
            </w:pPr>
            <w:r>
              <w:rPr>
                <w:spacing w:val="11"/>
              </w:rPr>
              <w:t>氟尿嘧啶/甲酰四氢叶酸/奥沙利铂±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</w:rPr>
              <w:t>贝</w:t>
            </w:r>
            <w:r>
              <w:rPr/>
              <w:t xml:space="preserve"> </w:t>
            </w:r>
            <w:r>
              <w:rPr>
                <w:spacing w:val="1"/>
              </w:rPr>
              <w:t>伐珠单抗（贝伐珠单抗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2B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类）</w:t>
            </w:r>
          </w:p>
          <w:p>
            <w:pPr>
              <w:pStyle w:val="TableText"/>
              <w:ind w:left="246" w:right="56" w:hanging="155"/>
              <w:spacing w:line="248" w:lineRule="auto"/>
              <w:rPr/>
            </w:pPr>
            <w:r>
              <w:rPr>
                <w:spacing w:val="6"/>
              </w:rPr>
              <w:t>卡培他滨/奥沙利铂±</w:t>
            </w:r>
            <w:r>
              <w:rPr>
                <w:spacing w:val="-14"/>
              </w:rPr>
              <w:t xml:space="preserve"> </w:t>
            </w:r>
            <w:r>
              <w:rPr>
                <w:spacing w:val="6"/>
              </w:rPr>
              <w:t>贝伐珠单抗（贝伐</w:t>
            </w:r>
            <w:r>
              <w:rPr/>
              <w:t xml:space="preserve"> </w:t>
            </w:r>
            <w:r>
              <w:rPr>
                <w:spacing w:val="3"/>
              </w:rPr>
              <w:t>珠单抗</w:t>
            </w:r>
            <w:r>
              <w:rPr>
                <w:spacing w:val="-15"/>
              </w:rPr>
              <w:t xml:space="preserve"> </w:t>
            </w:r>
            <w:r>
              <w:rPr>
                <w:spacing w:val="3"/>
              </w:rPr>
              <w:t>2B</w:t>
            </w:r>
            <w:r>
              <w:rPr>
                <w:spacing w:val="-23"/>
              </w:rPr>
              <w:t xml:space="preserve"> </w:t>
            </w:r>
            <w:r>
              <w:rPr>
                <w:spacing w:val="3"/>
              </w:rPr>
              <w:t>类）</w:t>
            </w:r>
          </w:p>
          <w:p>
            <w:pPr>
              <w:pStyle w:val="TableText"/>
              <w:ind w:left="90"/>
              <w:spacing w:line="204" w:lineRule="auto"/>
              <w:rPr/>
            </w:pPr>
            <w:r>
              <w:rPr>
                <w:spacing w:val="-4"/>
              </w:rPr>
              <w:t>紫杉醇/卡铂，3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周疗</w:t>
            </w:r>
          </w:p>
          <w:p>
            <w:pPr>
              <w:pStyle w:val="TableText"/>
              <w:ind w:left="248" w:right="56" w:hanging="158"/>
              <w:spacing w:before="45" w:line="215" w:lineRule="auto"/>
              <w:rPr/>
            </w:pPr>
            <w:r>
              <w:rPr>
                <w:spacing w:val="12"/>
              </w:rPr>
              <w:t>紫杉醇/卡铂/贝伐珠单抗+贝伐珠单抗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维持（ICON-7 &amp; GOG-218）</w:t>
            </w:r>
          </w:p>
        </w:tc>
        <w:tc>
          <w:tcPr>
            <w:tcW w:w="286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3" w:right="1318" w:hanging="1"/>
              <w:spacing w:before="56" w:line="247" w:lineRule="auto"/>
              <w:rPr/>
            </w:pPr>
            <w:r>
              <w:rPr>
                <w:spacing w:val="6"/>
              </w:rPr>
              <w:t>紫杉醇周疗/卡铂周疗</w:t>
            </w:r>
            <w:r>
              <w:rPr>
                <w:spacing w:val="3"/>
              </w:rPr>
              <w:t xml:space="preserve"> </w:t>
            </w:r>
            <w:r>
              <w:rPr>
                <w:spacing w:val="5"/>
              </w:rPr>
              <w:t>多烯紫杉醇/卡铂</w:t>
            </w:r>
          </w:p>
          <w:p>
            <w:pPr>
              <w:pStyle w:val="TableText"/>
              <w:ind w:left="62" w:right="1198"/>
              <w:spacing w:before="1" w:line="247" w:lineRule="auto"/>
              <w:rPr/>
            </w:pPr>
            <w:r>
              <w:rPr>
                <w:spacing w:val="6"/>
              </w:rPr>
              <w:t>卡铂/脂质体多柔比星</w:t>
            </w:r>
            <w:r>
              <w:rPr/>
              <w:t xml:space="preserve">    </w:t>
            </w:r>
            <w:r>
              <w:rPr>
                <w:spacing w:val="4"/>
              </w:rPr>
              <w:t>紫杉醇周疗/卡铂</w:t>
            </w:r>
            <w:r>
              <w:rPr>
                <w:spacing w:val="-16"/>
              </w:rPr>
              <w:t xml:space="preserve"> </w:t>
            </w:r>
            <w:r>
              <w:rPr>
                <w:spacing w:val="4"/>
              </w:rPr>
              <w:t>3</w:t>
            </w:r>
            <w:r>
              <w:rPr>
                <w:spacing w:val="-21"/>
              </w:rPr>
              <w:t xml:space="preserve"> </w:t>
            </w:r>
            <w:r>
              <w:rPr>
                <w:spacing w:val="4"/>
              </w:rPr>
              <w:t>周疗</w:t>
            </w:r>
          </w:p>
          <w:p>
            <w:pPr>
              <w:pStyle w:val="TableText"/>
              <w:ind w:left="219" w:right="82" w:hanging="155"/>
              <w:spacing w:before="2" w:line="256" w:lineRule="auto"/>
              <w:rPr/>
            </w:pPr>
            <w:r>
              <w:rPr>
                <w:spacing w:val="12"/>
              </w:rPr>
              <w:t>多烯紫杉醇/卡铂/贝伐珠单抗+贝伐珠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单抗维持（GOG-218）</w:t>
            </w:r>
          </w:p>
        </w:tc>
        <w:tc>
          <w:tcPr>
            <w:tcW w:w="207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90"/>
              <w:spacing w:before="64" w:line="177" w:lineRule="auto"/>
              <w:rPr/>
            </w:pPr>
            <w:r>
              <w:rPr>
                <w:spacing w:val="8"/>
              </w:rPr>
              <w:t>无</w:t>
            </w:r>
          </w:p>
        </w:tc>
      </w:tr>
      <w:tr>
        <w:trPr>
          <w:trHeight w:val="2656" w:hRule="atLeast"/>
        </w:trPr>
        <w:tc>
          <w:tcPr>
            <w:tcW w:w="1559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59"/>
              <w:spacing w:before="62" w:line="188" w:lineRule="auto"/>
              <w:rPr/>
            </w:pPr>
            <w:r>
              <w:rPr>
                <w:spacing w:val="9"/>
              </w:rPr>
              <w:t>低级别浆液性癌</w:t>
            </w:r>
          </w:p>
          <w:p>
            <w:pPr>
              <w:pStyle w:val="TableText"/>
              <w:ind w:left="61"/>
              <w:spacing w:before="59" w:line="212" w:lineRule="auto"/>
              <w:rPr/>
            </w:pPr>
            <w:r>
              <w:rPr>
                <w:spacing w:val="-3"/>
              </w:rPr>
              <w:t>子宫内膜样癌（G1）</w:t>
            </w:r>
          </w:p>
        </w:tc>
        <w:tc>
          <w:tcPr>
            <w:tcW w:w="2863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246" w:right="56" w:hanging="156"/>
              <w:spacing w:before="60" w:line="248" w:lineRule="auto"/>
              <w:rPr/>
            </w:pPr>
            <w:r>
              <w:rPr>
                <w:spacing w:val="4"/>
              </w:rPr>
              <w:t>紫杉醇/卡铂</w:t>
            </w:r>
            <w:r>
              <w:rPr>
                <w:spacing w:val="-18"/>
              </w:rPr>
              <w:t xml:space="preserve"> </w:t>
            </w:r>
            <w:r>
              <w:rPr>
                <w:spacing w:val="4"/>
              </w:rPr>
              <w:t>，3 周疗±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来曲唑维持（2B</w:t>
            </w:r>
            <w:r>
              <w:rPr/>
              <w:t xml:space="preserve"> </w:t>
            </w:r>
            <w:r>
              <w:rPr>
                <w:spacing w:val="-4"/>
              </w:rPr>
              <w:t>类）或其他内分泌治疗（2B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类）</w:t>
            </w:r>
          </w:p>
          <w:p>
            <w:pPr>
              <w:pStyle w:val="TableText"/>
              <w:ind w:left="248" w:right="56" w:hanging="158"/>
              <w:spacing w:before="1" w:line="245" w:lineRule="auto"/>
              <w:rPr/>
            </w:pPr>
            <w:r>
              <w:rPr>
                <w:spacing w:val="12"/>
              </w:rPr>
              <w:t>紫杉醇/卡铂/贝伐珠单抗+贝伐珠单抗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维持（ICON-7 &amp; GOG-218）</w:t>
            </w:r>
          </w:p>
          <w:p>
            <w:pPr>
              <w:pStyle w:val="TableText"/>
              <w:ind w:left="245" w:right="9" w:hanging="157"/>
              <w:spacing w:before="2" w:line="252" w:lineRule="auto"/>
              <w:rPr/>
            </w:pPr>
            <w:r>
              <w:rPr>
                <w:spacing w:val="3"/>
              </w:rPr>
              <w:t>激素治疗［芳香化酶抑制剂（阿那曲唑，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来曲唑，依西美坦</w:t>
            </w:r>
            <w:r>
              <w:rPr>
                <w:spacing w:val="-20"/>
                <w:w w:val="71"/>
              </w:rPr>
              <w:t>）］）（</w:t>
            </w:r>
            <w:r>
              <w:rPr>
                <w:spacing w:val="1"/>
              </w:rPr>
              <w:t>2B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类）</w:t>
            </w:r>
          </w:p>
        </w:tc>
        <w:tc>
          <w:tcPr>
            <w:tcW w:w="2860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62"/>
              <w:spacing w:before="62" w:line="205" w:lineRule="auto"/>
              <w:rPr/>
            </w:pPr>
            <w:r>
              <w:rPr>
                <w:spacing w:val="6"/>
              </w:rPr>
              <w:t>紫杉醇周疗/卡铂周疗</w:t>
            </w:r>
          </w:p>
          <w:p>
            <w:pPr>
              <w:pStyle w:val="TableText"/>
              <w:ind w:left="222" w:right="25" w:hanging="158"/>
              <w:spacing w:before="42" w:line="247" w:lineRule="auto"/>
              <w:rPr/>
            </w:pPr>
            <w:r>
              <w:rPr>
                <w:spacing w:val="6"/>
              </w:rPr>
              <w:t>多烯紫杉醇/卡铂±来曲唑维持（2B</w:t>
            </w:r>
            <w:r>
              <w:rPr>
                <w:spacing w:val="3"/>
              </w:rPr>
              <w:t xml:space="preserve"> </w:t>
            </w:r>
            <w:r>
              <w:rPr>
                <w:spacing w:val="6"/>
              </w:rPr>
              <w:t>类）</w:t>
            </w:r>
            <w:r>
              <w:rPr/>
              <w:t xml:space="preserve"> </w:t>
            </w:r>
            <w:r>
              <w:rPr/>
              <w:t>或其他内分泌治疗（2B</w:t>
            </w:r>
            <w:r>
              <w:rPr>
                <w:spacing w:val="-16"/>
              </w:rPr>
              <w:t xml:space="preserve"> </w:t>
            </w:r>
            <w:r>
              <w:rPr/>
              <w:t>类）</w:t>
            </w:r>
          </w:p>
          <w:p>
            <w:pPr>
              <w:pStyle w:val="TableText"/>
              <w:ind w:left="217" w:right="82" w:hanging="155"/>
              <w:spacing w:line="248" w:lineRule="auto"/>
              <w:rPr/>
            </w:pPr>
            <w:r>
              <w:rPr>
                <w:spacing w:val="5"/>
              </w:rPr>
              <w:t>卡铂/脂质体多柔比星±来曲唑维持（2B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类）或其他内分泌治疗（2B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类）</w:t>
            </w:r>
          </w:p>
          <w:p>
            <w:pPr>
              <w:pStyle w:val="TableText"/>
              <w:ind w:left="62"/>
              <w:spacing w:line="204" w:lineRule="auto"/>
              <w:rPr/>
            </w:pPr>
            <w:r>
              <w:rPr>
                <w:spacing w:val="4"/>
              </w:rPr>
              <w:t>紫杉醇周疗/卡铂</w:t>
            </w:r>
            <w:r>
              <w:rPr>
                <w:spacing w:val="-16"/>
              </w:rPr>
              <w:t xml:space="preserve"> </w:t>
            </w:r>
            <w:r>
              <w:rPr>
                <w:spacing w:val="4"/>
              </w:rPr>
              <w:t>3</w:t>
            </w:r>
            <w:r>
              <w:rPr>
                <w:spacing w:val="-21"/>
              </w:rPr>
              <w:t xml:space="preserve"> </w:t>
            </w:r>
            <w:r>
              <w:rPr>
                <w:spacing w:val="4"/>
              </w:rPr>
              <w:t>周疗</w:t>
            </w:r>
          </w:p>
          <w:p>
            <w:pPr>
              <w:pStyle w:val="TableText"/>
              <w:ind w:left="219" w:right="82" w:hanging="155"/>
              <w:spacing w:before="45" w:line="246" w:lineRule="auto"/>
              <w:rPr/>
            </w:pPr>
            <w:r>
              <w:rPr>
                <w:spacing w:val="12"/>
              </w:rPr>
              <w:t>多烯紫杉醇/卡铂/贝伐珠单抗+贝伐珠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单抗维持（GOG-218）</w:t>
            </w:r>
          </w:p>
          <w:p>
            <w:pPr>
              <w:pStyle w:val="TableText"/>
              <w:ind w:left="220" w:right="82" w:hanging="160"/>
              <w:spacing w:before="1" w:line="217" w:lineRule="auto"/>
              <w:rPr/>
            </w:pPr>
            <w:r>
              <w:rPr/>
              <w:t>激素治疗（醋酸亮丙瑞林、他莫昔芬、氟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6"/>
              </w:rPr>
              <w:t>维司群</w:t>
            </w:r>
            <w:r>
              <w:rPr>
                <w:spacing w:val="-15"/>
                <w:w w:val="58"/>
              </w:rPr>
              <w:t>）（</w:t>
            </w:r>
            <w:r>
              <w:rPr>
                <w:spacing w:val="6"/>
              </w:rPr>
              <w:t>2B</w:t>
            </w:r>
            <w:r>
              <w:rPr>
                <w:spacing w:val="-21"/>
              </w:rPr>
              <w:t xml:space="preserve"> </w:t>
            </w:r>
            <w:r>
              <w:rPr>
                <w:spacing w:val="6"/>
              </w:rPr>
              <w:t>类）</w:t>
            </w:r>
          </w:p>
        </w:tc>
        <w:tc>
          <w:tcPr>
            <w:tcW w:w="2072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90"/>
              <w:spacing w:before="68" w:line="177" w:lineRule="auto"/>
              <w:rPr/>
            </w:pPr>
            <w:r>
              <w:rPr>
                <w:spacing w:val="8"/>
              </w:rPr>
              <w:t>无</w:t>
            </w:r>
          </w:p>
        </w:tc>
      </w:tr>
    </w:tbl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340"/>
        <w:spacing w:before="73" w:line="210" w:lineRule="auto"/>
        <w:rPr/>
      </w:pPr>
      <w:r>
        <w:rPr>
          <w:rFonts w:ascii="SimHei" w:hAnsi="SimHei" w:eastAsia="SimHei" w:cs="SimHei"/>
          <w:spacing w:val="4"/>
        </w:rPr>
        <w:t>表4</w:t>
      </w:r>
      <w:r>
        <w:rPr>
          <w:rFonts w:ascii="SimHei" w:hAnsi="SimHei" w:eastAsia="SimHei" w:cs="SimHei"/>
          <w:spacing w:val="4"/>
        </w:rPr>
        <w:t xml:space="preserve">  </w:t>
      </w:r>
      <w:r>
        <w:rPr>
          <w:spacing w:val="4"/>
        </w:rPr>
        <w:t>上皮性卵巢（包括少见病理类型卵巢癌）/输卵管/原发性腹膜癌化疗方案剂</w:t>
      </w:r>
      <w:r>
        <w:rPr>
          <w:spacing w:val="3"/>
        </w:rPr>
        <w:t>量用法</w:t>
      </w:r>
    </w:p>
    <w:p>
      <w:pPr>
        <w:spacing w:line="97" w:lineRule="exact"/>
        <w:rPr/>
      </w:pPr>
      <w:r/>
    </w:p>
    <w:tbl>
      <w:tblPr>
        <w:tblStyle w:val="TableNormal"/>
        <w:tblW w:w="935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672"/>
        <w:gridCol w:w="5682"/>
      </w:tblGrid>
      <w:tr>
        <w:trPr>
          <w:trHeight w:val="5023" w:hRule="atLeast"/>
        </w:trPr>
        <w:tc>
          <w:tcPr>
            <w:tcW w:w="367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62"/>
              <w:spacing w:before="49" w:line="230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8"/>
              </w:rPr>
              <w:t>静脉/腹腔</w:t>
            </w:r>
            <w:r>
              <w:rPr>
                <w:rFonts w:ascii="SimHei" w:hAnsi="SimHei" w:eastAsia="SimHei" w:cs="SimHei"/>
                <w:sz w:val="15"/>
                <w:szCs w:val="15"/>
                <w:spacing w:val="8"/>
              </w:rPr>
              <w:t xml:space="preserve"> </w:t>
            </w:r>
            <w:r>
              <w:rPr>
                <w:rFonts w:ascii="SimHei" w:hAnsi="SimHei" w:eastAsia="SimHei" w:cs="SimHei"/>
                <w:sz w:val="15"/>
                <w:szCs w:val="15"/>
                <w:spacing w:val="8"/>
              </w:rPr>
              <w:t>紫杉醇/顺铂</w:t>
            </w:r>
          </w:p>
          <w:p>
            <w:pPr>
              <w:pStyle w:val="TableText"/>
              <w:ind w:left="63"/>
              <w:spacing w:before="77" w:line="200" w:lineRule="auto"/>
              <w:rPr/>
            </w:pPr>
            <w:r>
              <w:rPr>
                <w:spacing w:val="-15"/>
              </w:rPr>
              <w:t>D1：紫杉醇 135mg/m</w:t>
            </w:r>
            <w:r>
              <w:rPr>
                <w:sz w:val="7"/>
                <w:szCs w:val="7"/>
                <w:spacing w:val="-4"/>
                <w:position w:val="6"/>
              </w:rPr>
              <w:t>2</w:t>
            </w:r>
            <w:r>
              <w:rPr>
                <w:spacing w:val="-4"/>
              </w:rPr>
              <w:t>持续静脉滴注（3h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或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24h）</w:t>
            </w:r>
          </w:p>
          <w:p>
            <w:pPr>
              <w:pStyle w:val="TableText"/>
              <w:ind w:left="63"/>
              <w:spacing w:before="50" w:line="200" w:lineRule="auto"/>
              <w:rPr/>
            </w:pPr>
            <w:r>
              <w:rPr>
                <w:spacing w:val="-17"/>
              </w:rPr>
              <w:t>D2：顺铂</w:t>
            </w:r>
            <w:r>
              <w:rPr>
                <w:spacing w:val="-20"/>
              </w:rPr>
              <w:t xml:space="preserve"> </w:t>
            </w:r>
            <w:r>
              <w:rPr>
                <w:spacing w:val="-17"/>
              </w:rPr>
              <w:t>75</w:t>
            </w:r>
            <w:r>
              <w:rPr>
                <w:color w:val="231F20"/>
                <w:spacing w:val="-17"/>
              </w:rPr>
              <w:t>~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spacing w:val="-17"/>
              </w:rPr>
              <w:t>100mg/m</w:t>
            </w:r>
            <w:r>
              <w:rPr>
                <w:sz w:val="7"/>
                <w:szCs w:val="7"/>
                <w:spacing w:val="10"/>
                <w:position w:val="6"/>
              </w:rPr>
              <w:t>2</w:t>
            </w:r>
            <w:r>
              <w:rPr>
                <w:spacing w:val="10"/>
              </w:rPr>
              <w:t>腹腔</w:t>
            </w:r>
          </w:p>
          <w:p>
            <w:pPr>
              <w:pStyle w:val="TableText"/>
              <w:ind w:left="62" w:right="1972"/>
              <w:spacing w:before="51" w:line="247" w:lineRule="auto"/>
              <w:rPr/>
            </w:pPr>
            <w:r>
              <w:rPr>
                <w:spacing w:val="-15"/>
              </w:rPr>
              <w:t>D8：紫杉醇</w:t>
            </w:r>
            <w:r>
              <w:rPr>
                <w:spacing w:val="-17"/>
              </w:rPr>
              <w:t xml:space="preserve"> </w:t>
            </w:r>
            <w:r>
              <w:rPr>
                <w:spacing w:val="-15"/>
              </w:rPr>
              <w:t>60mg/m</w:t>
            </w:r>
            <w:r>
              <w:rPr>
                <w:sz w:val="7"/>
                <w:szCs w:val="7"/>
                <w:spacing w:val="9"/>
                <w:position w:val="6"/>
              </w:rPr>
              <w:t>2</w:t>
            </w:r>
            <w:r>
              <w:rPr>
                <w:spacing w:val="9"/>
              </w:rPr>
              <w:t>腹腔</w:t>
            </w:r>
            <w:r>
              <w:rPr/>
              <w:t xml:space="preserve"> </w:t>
            </w:r>
            <w:r>
              <w:rPr>
                <w:spacing w:val="-7"/>
              </w:rPr>
              <w:t>每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21d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重复，共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6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疗程</w:t>
            </w:r>
          </w:p>
          <w:p>
            <w:pPr>
              <w:ind w:left="64"/>
              <w:spacing w:line="224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2"/>
              </w:rPr>
              <w:t>紫杉醇/卡铂，3周疗</w:t>
            </w:r>
          </w:p>
          <w:p>
            <w:pPr>
              <w:pStyle w:val="TableText"/>
              <w:ind w:left="219" w:right="72" w:hanging="156"/>
              <w:spacing w:before="81" w:line="245" w:lineRule="auto"/>
              <w:rPr/>
            </w:pPr>
            <w:r>
              <w:rPr>
                <w:spacing w:val="-13"/>
              </w:rPr>
              <w:t>D1：紫杉醇 175mg/m</w:t>
            </w:r>
            <w:r>
              <w:rPr>
                <w:sz w:val="7"/>
                <w:szCs w:val="7"/>
                <w:spacing w:val="2"/>
                <w:position w:val="6"/>
              </w:rPr>
              <w:t>2 </w:t>
            </w:r>
            <w:r>
              <w:rPr>
                <w:spacing w:val="2"/>
              </w:rPr>
              <w:t>静脉滴注，随后卡铂</w:t>
            </w:r>
            <w:r>
              <w:rPr>
                <w:spacing w:val="-9"/>
              </w:rPr>
              <w:t xml:space="preserve"> </w:t>
            </w:r>
            <w:r>
              <w:rPr/>
              <w:t>AUC</w:t>
            </w:r>
            <w:r>
              <w:rPr>
                <w:spacing w:val="2"/>
              </w:rPr>
              <w:t xml:space="preserve"> 5～6</w:t>
            </w:r>
            <w:r>
              <w:rPr/>
              <w:t xml:space="preserve"> </w:t>
            </w:r>
            <w:r>
              <w:rPr>
                <w:spacing w:val="9"/>
              </w:rPr>
              <w:t>静脉滴注</w:t>
            </w:r>
          </w:p>
          <w:p>
            <w:pPr>
              <w:pStyle w:val="TableText"/>
              <w:ind w:left="62"/>
              <w:spacing w:before="8" w:line="205" w:lineRule="auto"/>
              <w:rPr/>
            </w:pPr>
            <w:r>
              <w:rPr>
                <w:spacing w:val="-10"/>
              </w:rPr>
              <w:t>每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21d</w:t>
            </w:r>
            <w:r>
              <w:rPr>
                <w:spacing w:val="-21"/>
              </w:rPr>
              <w:t xml:space="preserve"> </w:t>
            </w:r>
            <w:r>
              <w:rPr>
                <w:spacing w:val="-10"/>
              </w:rPr>
              <w:t>重复，3</w:t>
            </w:r>
            <w:r>
              <w:rPr>
                <w:color w:val="231F20"/>
                <w:spacing w:val="-10"/>
              </w:rPr>
              <w:t>~</w:t>
            </w:r>
            <w:r>
              <w:rPr>
                <w:spacing w:val="-10"/>
              </w:rPr>
              <w:t>6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>疗程</w:t>
            </w:r>
          </w:p>
          <w:p>
            <w:pPr>
              <w:ind w:left="64"/>
              <w:spacing w:before="43" w:line="230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11"/>
              </w:rPr>
              <w:t>紫杉醇周疗/卡铂3周疗</w:t>
            </w:r>
          </w:p>
          <w:p>
            <w:pPr>
              <w:pStyle w:val="TableText"/>
              <w:ind w:left="63" w:right="293"/>
              <w:spacing w:before="77" w:line="247" w:lineRule="auto"/>
              <w:rPr/>
            </w:pPr>
            <w:r>
              <w:rPr>
                <w:spacing w:val="-16"/>
              </w:rPr>
              <w:t>D1：紫杉醇</w:t>
            </w:r>
            <w:r>
              <w:rPr>
                <w:spacing w:val="-11"/>
              </w:rPr>
              <w:t xml:space="preserve"> </w:t>
            </w:r>
            <w:r>
              <w:rPr>
                <w:spacing w:val="-16"/>
              </w:rPr>
              <w:t>80mg/m</w:t>
            </w:r>
            <w:r>
              <w:rPr>
                <w:sz w:val="7"/>
                <w:szCs w:val="7"/>
                <w:spacing w:val="-2"/>
                <w:position w:val="6"/>
              </w:rPr>
              <w:t>2</w:t>
            </w:r>
            <w:r>
              <w:rPr>
                <w:spacing w:val="-2"/>
              </w:rPr>
              <w:t>静脉，随后卡铂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AUC 5</w:t>
            </w:r>
            <w:r>
              <w:rPr>
                <w:color w:val="231F20"/>
                <w:spacing w:val="-2"/>
              </w:rPr>
              <w:t>~</w:t>
            </w:r>
            <w:r>
              <w:rPr>
                <w:spacing w:val="-2"/>
              </w:rPr>
              <w:t>6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静脉</w:t>
            </w:r>
            <w:r>
              <w:rPr/>
              <w:t xml:space="preserve"> </w:t>
            </w:r>
            <w:r>
              <w:rPr>
                <w:spacing w:val="-15"/>
              </w:rPr>
              <w:t>D8，D15：紫杉醇</w:t>
            </w:r>
            <w:r>
              <w:rPr>
                <w:spacing w:val="-13"/>
              </w:rPr>
              <w:t xml:space="preserve"> </w:t>
            </w:r>
            <w:r>
              <w:rPr>
                <w:spacing w:val="-15"/>
              </w:rPr>
              <w:t>80mg/m</w:t>
            </w:r>
            <w:r>
              <w:rPr>
                <w:sz w:val="7"/>
                <w:szCs w:val="7"/>
                <w:spacing w:val="10"/>
                <w:position w:val="6"/>
              </w:rPr>
              <w:t>2</w:t>
            </w:r>
            <w:r>
              <w:rPr>
                <w:spacing w:val="10"/>
              </w:rPr>
              <w:t>静脉滴注</w:t>
            </w:r>
          </w:p>
          <w:p>
            <w:pPr>
              <w:pStyle w:val="TableText"/>
              <w:ind w:left="63" w:right="2095" w:hanging="1"/>
              <w:spacing w:before="3" w:line="272" w:lineRule="auto"/>
              <w:rPr>
                <w:rFonts w:ascii="SimHei" w:hAnsi="SimHei" w:eastAsia="SimHei" w:cs="SimHei"/>
              </w:rPr>
            </w:pPr>
            <w:r>
              <w:rPr>
                <w:spacing w:val="-7"/>
              </w:rPr>
              <w:t>每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21d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重复，共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6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疗程</w:t>
            </w:r>
            <w:r>
              <w:rPr/>
              <w:t xml:space="preserve">   </w:t>
            </w:r>
            <w:r>
              <w:rPr>
                <w:rFonts w:ascii="SimHei" w:hAnsi="SimHei" w:eastAsia="SimHei" w:cs="SimHei"/>
                <w:spacing w:val="8"/>
              </w:rPr>
              <w:t>紫杉醇周疗/卡铂周疗</w:t>
            </w:r>
          </w:p>
          <w:p>
            <w:pPr>
              <w:pStyle w:val="TableText"/>
              <w:ind w:left="219" w:right="72" w:hanging="156"/>
              <w:spacing w:before="14" w:line="245" w:lineRule="auto"/>
              <w:rPr/>
            </w:pPr>
            <w:r>
              <w:rPr>
                <w:spacing w:val="-20"/>
              </w:rPr>
              <w:t>D1，8，15：紫杉醇</w:t>
            </w:r>
            <w:r>
              <w:rPr>
                <w:spacing w:val="-18"/>
              </w:rPr>
              <w:t xml:space="preserve"> </w:t>
            </w:r>
            <w:r>
              <w:rPr>
                <w:spacing w:val="-20"/>
              </w:rPr>
              <w:t>60mg/m</w:t>
            </w:r>
            <w:r>
              <w:rPr>
                <w:sz w:val="7"/>
                <w:szCs w:val="7"/>
                <w:position w:val="6"/>
              </w:rPr>
              <w:t>2</w:t>
            </w:r>
            <w:r>
              <w:rPr/>
              <w:t>静脉滴注，随后卡铂</w:t>
            </w:r>
            <w:r>
              <w:rPr>
                <w:spacing w:val="-20"/>
              </w:rPr>
              <w:t xml:space="preserve"> </w:t>
            </w:r>
            <w:r>
              <w:rPr/>
              <w:t>AUC 2 </w:t>
            </w:r>
            <w:r>
              <w:rPr>
                <w:spacing w:val="9"/>
              </w:rPr>
              <w:t>静脉滴注</w:t>
            </w:r>
          </w:p>
          <w:p>
            <w:pPr>
              <w:pStyle w:val="TableText"/>
              <w:ind w:left="62"/>
              <w:spacing w:before="8" w:line="205" w:lineRule="auto"/>
              <w:rPr/>
            </w:pPr>
            <w:r>
              <w:rPr>
                <w:spacing w:val="-9"/>
              </w:rPr>
              <w:t>每周 1</w:t>
            </w:r>
            <w:r>
              <w:rPr>
                <w:spacing w:val="-12"/>
              </w:rPr>
              <w:t xml:space="preserve"> </w:t>
            </w:r>
            <w:r>
              <w:rPr>
                <w:spacing w:val="-9"/>
              </w:rPr>
              <w:t>次，连用</w:t>
            </w:r>
            <w:r>
              <w:rPr>
                <w:spacing w:val="-7"/>
              </w:rPr>
              <w:t xml:space="preserve"> </w:t>
            </w:r>
            <w:r>
              <w:rPr>
                <w:spacing w:val="-9"/>
              </w:rPr>
              <w:t>18</w:t>
            </w:r>
            <w:r>
              <w:rPr>
                <w:spacing w:val="-21"/>
              </w:rPr>
              <w:t xml:space="preserve"> </w:t>
            </w:r>
            <w:r>
              <w:rPr>
                <w:spacing w:val="-9"/>
              </w:rPr>
              <w:t>周</w:t>
            </w:r>
          </w:p>
        </w:tc>
        <w:tc>
          <w:tcPr>
            <w:tcW w:w="568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84"/>
              <w:spacing w:before="49" w:line="230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7"/>
              </w:rPr>
              <w:t>多烯紫杉醇/卡铂</w:t>
            </w:r>
          </w:p>
          <w:p>
            <w:pPr>
              <w:pStyle w:val="TableText"/>
              <w:ind w:left="75" w:right="1050"/>
              <w:spacing w:before="78" w:line="247" w:lineRule="auto"/>
              <w:rPr/>
            </w:pPr>
            <w:r>
              <w:rPr>
                <w:spacing w:val="-12"/>
              </w:rPr>
              <w:t>D1：多烯紫杉醇</w:t>
            </w:r>
            <w:r>
              <w:rPr>
                <w:spacing w:val="-8"/>
              </w:rPr>
              <w:t xml:space="preserve"> </w:t>
            </w:r>
            <w:r>
              <w:rPr>
                <w:spacing w:val="-12"/>
              </w:rPr>
              <w:t>60</w:t>
            </w:r>
            <w:r>
              <w:rPr>
                <w:color w:val="231F20"/>
                <w:spacing w:val="-12"/>
              </w:rPr>
              <w:t>~</w:t>
            </w:r>
            <w:r>
              <w:rPr>
                <w:spacing w:val="-12"/>
              </w:rPr>
              <w:t>75mg/m</w:t>
            </w:r>
            <w:r>
              <w:rPr>
                <w:sz w:val="7"/>
                <w:szCs w:val="7"/>
                <w:spacing w:val="2"/>
                <w:position w:val="6"/>
              </w:rPr>
              <w:t>2</w:t>
            </w:r>
            <w:r>
              <w:rPr>
                <w:spacing w:val="2"/>
              </w:rPr>
              <w:t>静脉滴注，随后卡铂</w:t>
            </w:r>
            <w:r>
              <w:rPr>
                <w:spacing w:val="-21"/>
              </w:rPr>
              <w:t xml:space="preserve"> </w:t>
            </w:r>
            <w:r>
              <w:rPr/>
              <w:t>AUC</w:t>
            </w:r>
            <w:r>
              <w:rPr>
                <w:spacing w:val="2"/>
              </w:rPr>
              <w:t>5～6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静脉滴注</w:t>
            </w:r>
            <w:r>
              <w:rPr/>
              <w:t xml:space="preserve"> </w:t>
            </w:r>
            <w:r>
              <w:rPr>
                <w:spacing w:val="-10"/>
              </w:rPr>
              <w:t>每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21d</w:t>
            </w:r>
            <w:r>
              <w:rPr>
                <w:spacing w:val="-21"/>
              </w:rPr>
              <w:t xml:space="preserve"> </w:t>
            </w:r>
            <w:r>
              <w:rPr>
                <w:spacing w:val="-10"/>
              </w:rPr>
              <w:t>重复，3</w:t>
            </w:r>
            <w:r>
              <w:rPr>
                <w:color w:val="231F20"/>
                <w:spacing w:val="-10"/>
              </w:rPr>
              <w:t>~</w:t>
            </w:r>
            <w:r>
              <w:rPr>
                <w:spacing w:val="-10"/>
              </w:rPr>
              <w:t>6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>疗程</w:t>
            </w:r>
          </w:p>
          <w:p>
            <w:pPr>
              <w:pStyle w:val="TableText"/>
              <w:ind w:left="75"/>
              <w:spacing w:line="194" w:lineRule="auto"/>
              <w:rPr>
                <w:rFonts w:ascii="SimHei" w:hAnsi="SimHei" w:eastAsia="SimHei" w:cs="SimHei"/>
              </w:rPr>
            </w:pPr>
            <w:r>
              <w:rPr>
                <w:spacing w:val="8"/>
              </w:rPr>
              <w:t>卡</w:t>
            </w:r>
            <w:r>
              <w:rPr>
                <w:rFonts w:ascii="SimHei" w:hAnsi="SimHei" w:eastAsia="SimHei" w:cs="SimHei"/>
                <w:spacing w:val="8"/>
              </w:rPr>
              <w:t>铂/脂质体多柔比星</w:t>
            </w:r>
          </w:p>
          <w:p>
            <w:pPr>
              <w:pStyle w:val="TableText"/>
              <w:ind w:left="75" w:right="936"/>
              <w:spacing w:before="56" w:line="247" w:lineRule="auto"/>
              <w:rPr/>
            </w:pPr>
            <w:r>
              <w:rPr>
                <w:spacing w:val="2"/>
              </w:rPr>
              <w:t>卡铂 </w:t>
            </w:r>
            <w:r>
              <w:rPr/>
              <w:t>AUC</w:t>
            </w:r>
            <w:r>
              <w:rPr>
                <w:spacing w:val="2"/>
              </w:rPr>
              <w:t xml:space="preserve"> 5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静脉滴注+聚乙二醇化脂质体多柔比星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1"/>
              </w:rPr>
              <w:t>0</w:t>
            </w:r>
            <w:r>
              <w:rPr/>
              <w:t>mg</w:t>
            </w:r>
            <w:r>
              <w:rPr>
                <w:spacing w:val="1"/>
              </w:rPr>
              <w:t>/m</w:t>
            </w:r>
            <w:r>
              <w:rPr>
                <w:sz w:val="7"/>
                <w:szCs w:val="7"/>
                <w:spacing w:val="1"/>
                <w:position w:val="6"/>
              </w:rPr>
              <w:t>2</w:t>
            </w:r>
            <w:r>
              <w:rPr>
                <w:spacing w:val="1"/>
              </w:rPr>
              <w:t>静脉滴注</w:t>
            </w:r>
            <w:r>
              <w:rPr/>
              <w:t xml:space="preserve"> </w:t>
            </w:r>
            <w:r>
              <w:rPr>
                <w:spacing w:val="-10"/>
              </w:rPr>
              <w:t>每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28d</w:t>
            </w:r>
            <w:r>
              <w:rPr>
                <w:spacing w:val="-21"/>
              </w:rPr>
              <w:t xml:space="preserve"> </w:t>
            </w:r>
            <w:r>
              <w:rPr>
                <w:spacing w:val="-10"/>
              </w:rPr>
              <w:t>重复，3</w:t>
            </w:r>
            <w:r>
              <w:rPr>
                <w:color w:val="231F20"/>
                <w:spacing w:val="-10"/>
              </w:rPr>
              <w:t>~</w:t>
            </w:r>
            <w:r>
              <w:rPr>
                <w:spacing w:val="-10"/>
              </w:rPr>
              <w:t>6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>疗程</w:t>
            </w:r>
          </w:p>
          <w:p>
            <w:pPr>
              <w:ind w:left="77"/>
              <w:spacing w:line="230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6"/>
              </w:rPr>
              <w:t>紫杉醇/卡铂/贝伐珠单抗+贝伐珠单抗维持治疗（</w:t>
            </w:r>
            <w:r>
              <w:rPr>
                <w:rFonts w:ascii="SimHei" w:hAnsi="SimHei" w:eastAsia="SimHei" w:cs="SimHei"/>
                <w:sz w:val="15"/>
                <w:szCs w:val="15"/>
              </w:rPr>
              <w:t>ICON</w:t>
            </w:r>
            <w:r>
              <w:rPr>
                <w:rFonts w:ascii="SimHei" w:hAnsi="SimHei" w:eastAsia="SimHei" w:cs="SimHei"/>
                <w:sz w:val="15"/>
                <w:szCs w:val="15"/>
                <w:spacing w:val="6"/>
              </w:rPr>
              <w:t>-7）</w:t>
            </w:r>
          </w:p>
          <w:p>
            <w:pPr>
              <w:pStyle w:val="TableText"/>
              <w:ind w:left="232" w:right="56" w:hanging="156"/>
              <w:spacing w:before="76" w:line="245" w:lineRule="auto"/>
              <w:rPr/>
            </w:pPr>
            <w:r>
              <w:rPr>
                <w:spacing w:val="-15"/>
              </w:rPr>
              <w:t>D1：紫杉醇 175mg/m</w:t>
            </w:r>
            <w:r>
              <w:rPr>
                <w:sz w:val="7"/>
                <w:szCs w:val="7"/>
                <w:spacing w:val="-3"/>
                <w:position w:val="6"/>
              </w:rPr>
              <w:t>2</w:t>
            </w:r>
            <w:r>
              <w:rPr>
                <w:spacing w:val="-3"/>
              </w:rPr>
              <w:t>静脉滴注，随后卡铂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AUC 5</w:t>
            </w:r>
            <w:r>
              <w:rPr>
                <w:color w:val="231F20"/>
                <w:spacing w:val="-3"/>
              </w:rPr>
              <w:t>~</w:t>
            </w:r>
            <w:r>
              <w:rPr>
                <w:spacing w:val="-3"/>
              </w:rPr>
              <w:t>6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静脉滴注，贝伐珠单抗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7.5mg/kg</w:t>
            </w:r>
            <w:r>
              <w:rPr/>
              <w:t xml:space="preserve"> </w:t>
            </w:r>
            <w:r>
              <w:rPr>
                <w:spacing w:val="9"/>
              </w:rPr>
              <w:t>静脉滴注</w:t>
            </w:r>
          </w:p>
          <w:p>
            <w:pPr>
              <w:pStyle w:val="TableText"/>
              <w:ind w:left="75"/>
              <w:spacing w:before="8" w:line="205" w:lineRule="auto"/>
              <w:rPr/>
            </w:pPr>
            <w:r>
              <w:rPr>
                <w:spacing w:val="-10"/>
              </w:rPr>
              <w:t>每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21d</w:t>
            </w:r>
            <w:r>
              <w:rPr>
                <w:spacing w:val="-21"/>
              </w:rPr>
              <w:t xml:space="preserve"> </w:t>
            </w:r>
            <w:r>
              <w:rPr>
                <w:spacing w:val="-10"/>
              </w:rPr>
              <w:t>重复，5</w:t>
            </w:r>
            <w:r>
              <w:rPr>
                <w:color w:val="231F20"/>
                <w:spacing w:val="-10"/>
              </w:rPr>
              <w:t>~</w:t>
            </w:r>
            <w:r>
              <w:rPr>
                <w:spacing w:val="-10"/>
              </w:rPr>
              <w:t>6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>疗程</w:t>
            </w:r>
          </w:p>
          <w:p>
            <w:pPr>
              <w:pStyle w:val="TableText"/>
              <w:ind w:left="71"/>
              <w:spacing w:before="45" w:line="205" w:lineRule="auto"/>
              <w:rPr/>
            </w:pPr>
            <w:r>
              <w:rPr>
                <w:spacing w:val="6"/>
              </w:rPr>
              <w:t>停化疗后继续贝伐珠单抗维持治疗</w:t>
            </w:r>
            <w:r>
              <w:rPr>
                <w:spacing w:val="3"/>
              </w:rPr>
              <w:t xml:space="preserve"> </w:t>
            </w:r>
            <w:r>
              <w:rPr>
                <w:spacing w:val="6"/>
              </w:rPr>
              <w:t>12</w:t>
            </w:r>
            <w:r>
              <w:rPr>
                <w:spacing w:val="-19"/>
              </w:rPr>
              <w:t xml:space="preserve"> </w:t>
            </w:r>
            <w:r>
              <w:rPr>
                <w:spacing w:val="6"/>
              </w:rPr>
              <w:t>次</w:t>
            </w:r>
          </w:p>
          <w:p>
            <w:pPr>
              <w:pStyle w:val="TableText"/>
              <w:ind w:left="75" w:right="1554" w:firstLine="1"/>
              <w:spacing w:before="42" w:line="270" w:lineRule="auto"/>
              <w:rPr/>
            </w:pPr>
            <w:r>
              <w:rPr>
                <w:rFonts w:ascii="SimHei" w:hAnsi="SimHei" w:eastAsia="SimHei" w:cs="SimHei"/>
                <w:spacing w:val="5"/>
              </w:rPr>
              <w:t>紫杉醇/卡铂/贝伐珠单抗+贝伐珠单抗维持治疗（</w:t>
            </w:r>
            <w:r>
              <w:rPr>
                <w:rFonts w:ascii="SimHei" w:hAnsi="SimHei" w:eastAsia="SimHei" w:cs="SimHei"/>
              </w:rPr>
              <w:t>GOG</w:t>
            </w:r>
            <w:r>
              <w:rPr>
                <w:rFonts w:ascii="SimHei" w:hAnsi="SimHei" w:eastAsia="SimHei" w:cs="SimHei"/>
                <w:spacing w:val="5"/>
              </w:rPr>
              <w:t>-218）</w:t>
            </w:r>
            <w:r>
              <w:rPr>
                <w:rFonts w:ascii="SimHei" w:hAnsi="SimHei" w:eastAsia="SimHei" w:cs="SimHei"/>
                <w:spacing w:val="9"/>
              </w:rPr>
              <w:t xml:space="preserve"> </w:t>
            </w:r>
            <w:r>
              <w:rPr>
                <w:spacing w:val="-15"/>
              </w:rPr>
              <w:t>D1：紫杉醇 175mg/m</w:t>
            </w:r>
            <w:r>
              <w:rPr>
                <w:sz w:val="7"/>
                <w:szCs w:val="7"/>
                <w:spacing w:val="2"/>
                <w:position w:val="6"/>
              </w:rPr>
              <w:t>2</w:t>
            </w:r>
            <w:r>
              <w:rPr>
                <w:spacing w:val="2"/>
              </w:rPr>
              <w:t>静脉滴注，随后卡铂</w:t>
            </w:r>
            <w:r>
              <w:rPr>
                <w:spacing w:val="-16"/>
              </w:rPr>
              <w:t xml:space="preserve"> </w:t>
            </w:r>
            <w:r>
              <w:rPr/>
              <w:t>AUC</w:t>
            </w:r>
            <w:r>
              <w:rPr>
                <w:spacing w:val="2"/>
              </w:rPr>
              <w:t xml:space="preserve"> 6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静脉滴注</w:t>
            </w:r>
            <w:r>
              <w:rPr/>
              <w:t xml:space="preserve">     </w:t>
            </w:r>
            <w:r>
              <w:rPr>
                <w:spacing w:val="-8"/>
              </w:rPr>
              <w:t>每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21d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重复，6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疗程</w:t>
            </w:r>
          </w:p>
          <w:p>
            <w:pPr>
              <w:pStyle w:val="TableText"/>
              <w:ind w:left="83" w:right="130" w:hanging="12"/>
              <w:spacing w:before="1" w:line="271" w:lineRule="auto"/>
              <w:rPr>
                <w:rFonts w:ascii="SimHei" w:hAnsi="SimHei" w:eastAsia="SimHei" w:cs="SimHei"/>
              </w:rPr>
            </w:pPr>
            <w:r>
              <w:rPr>
                <w:spacing w:val="-3"/>
              </w:rPr>
              <w:t>第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疗程的第 1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天开始加用贝伐珠单抗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3"/>
              </w:rPr>
              <w:t>15m</w:t>
            </w:r>
            <w:r>
              <w:rPr>
                <w:spacing w:val="-4"/>
              </w:rPr>
              <w:t>g/kg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静脉滴注，每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21d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重复，共用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22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次</w:t>
            </w:r>
            <w:r>
              <w:rPr/>
              <w:t xml:space="preserve"> </w:t>
            </w:r>
            <w:r>
              <w:rPr>
                <w:rFonts w:ascii="SimHei" w:hAnsi="SimHei" w:eastAsia="SimHei" w:cs="SimHei"/>
                <w:spacing w:val="6"/>
              </w:rPr>
              <w:t>多烯紫杉醇/卡铂/贝伐珠单抗+贝伐珠单抗维持治疗</w:t>
            </w:r>
            <w:r>
              <w:rPr>
                <w:rFonts w:ascii="SimHei" w:hAnsi="SimHei" w:eastAsia="SimHei" w:cs="SimHei"/>
                <w:spacing w:val="5"/>
              </w:rPr>
              <w:t>（</w:t>
            </w:r>
            <w:r>
              <w:rPr>
                <w:rFonts w:ascii="SimHei" w:hAnsi="SimHei" w:eastAsia="SimHei" w:cs="SimHei"/>
              </w:rPr>
              <w:t>GOG</w:t>
            </w:r>
            <w:r>
              <w:rPr>
                <w:rFonts w:ascii="SimHei" w:hAnsi="SimHei" w:eastAsia="SimHei" w:cs="SimHei"/>
                <w:spacing w:val="5"/>
              </w:rPr>
              <w:t>-218）</w:t>
            </w:r>
          </w:p>
          <w:p>
            <w:pPr>
              <w:pStyle w:val="TableText"/>
              <w:ind w:left="75" w:right="1498"/>
              <w:spacing w:before="16" w:line="248" w:lineRule="auto"/>
              <w:rPr/>
            </w:pPr>
            <w:r>
              <w:rPr>
                <w:spacing w:val="-12"/>
              </w:rPr>
              <w:t>D1：多烯紫杉醇</w:t>
            </w:r>
            <w:r>
              <w:rPr>
                <w:spacing w:val="-10"/>
              </w:rPr>
              <w:t xml:space="preserve"> </w:t>
            </w:r>
            <w:r>
              <w:rPr>
                <w:spacing w:val="-12"/>
              </w:rPr>
              <w:t>75mg/m</w:t>
            </w:r>
            <w:r>
              <w:rPr>
                <w:sz w:val="7"/>
                <w:szCs w:val="7"/>
                <w:spacing w:val="2"/>
                <w:position w:val="6"/>
              </w:rPr>
              <w:t>2</w:t>
            </w:r>
            <w:r>
              <w:rPr>
                <w:spacing w:val="2"/>
              </w:rPr>
              <w:t>静脉滴注，随后卡铂</w:t>
            </w:r>
            <w:r>
              <w:rPr>
                <w:spacing w:val="-20"/>
              </w:rPr>
              <w:t xml:space="preserve"> </w:t>
            </w:r>
            <w:r>
              <w:rPr/>
              <w:t>AUC</w:t>
            </w:r>
            <w:r>
              <w:rPr>
                <w:spacing w:val="2"/>
              </w:rPr>
              <w:t xml:space="preserve"> 6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静脉滴注</w:t>
            </w:r>
            <w:r>
              <w:rPr/>
              <w:t xml:space="preserve"> </w:t>
            </w:r>
            <w:r>
              <w:rPr>
                <w:spacing w:val="-8"/>
              </w:rPr>
              <w:t>每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21d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重复，6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疗程</w:t>
            </w:r>
          </w:p>
          <w:p>
            <w:pPr>
              <w:pStyle w:val="TableText"/>
              <w:ind w:left="71"/>
              <w:spacing w:before="1" w:line="178" w:lineRule="auto"/>
              <w:rPr/>
            </w:pPr>
            <w:r>
              <w:rPr>
                <w:spacing w:val="-3"/>
              </w:rPr>
              <w:t>第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疗程的第 1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天开始加用贝伐珠单抗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3"/>
              </w:rPr>
              <w:t>15mg/k</w:t>
            </w:r>
            <w:r>
              <w:rPr>
                <w:spacing w:val="-4"/>
              </w:rPr>
              <w:t>g 静脉滴注，每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21d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重复，共用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22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次</w:t>
            </w:r>
          </w:p>
        </w:tc>
      </w:tr>
      <w:tr>
        <w:trPr>
          <w:trHeight w:val="569" w:hRule="atLeast"/>
        </w:trPr>
        <w:tc>
          <w:tcPr>
            <w:tcW w:w="9354" w:type="dxa"/>
            <w:vAlign w:val="top"/>
            <w:gridSpan w:val="2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63" w:right="409" w:hanging="1"/>
              <w:spacing w:before="63" w:line="231" w:lineRule="auto"/>
              <w:rPr/>
            </w:pPr>
            <w:r>
              <w:rPr>
                <w:rFonts w:ascii="SimHei" w:hAnsi="SimHei" w:eastAsia="SimHei" w:cs="SimHei"/>
                <w:spacing w:val="-5"/>
              </w:rPr>
              <w:t>老年</w:t>
            </w:r>
            <w:r>
              <w:rPr>
                <w:rFonts w:ascii="SimHei" w:hAnsi="SimHei" w:eastAsia="SimHei" w:cs="SimHei"/>
                <w:spacing w:val="-31"/>
              </w:rPr>
              <w:t>（＞</w:t>
            </w:r>
            <w:r>
              <w:rPr>
                <w:rFonts w:ascii="SimHei" w:hAnsi="SimHei" w:eastAsia="SimHei" w:cs="SimHei"/>
                <w:spacing w:val="-5"/>
              </w:rPr>
              <w:t>70岁）和（或）有其他合并症患者</w:t>
            </w:r>
            <w:r>
              <w:rPr>
                <w:rFonts w:ascii="SimHei" w:hAnsi="SimHei" w:eastAsia="SimHei" w:cs="SimHei"/>
                <w:spacing w:val="-5"/>
              </w:rPr>
              <w:t xml:space="preserve">  </w:t>
            </w:r>
            <w:r>
              <w:rPr>
                <w:spacing w:val="-5"/>
              </w:rPr>
              <w:t>紫杉醇 135/卡铂，紫杉醇 135mg/m</w:t>
            </w:r>
            <w:r>
              <w:rPr>
                <w:sz w:val="7"/>
                <w:szCs w:val="7"/>
                <w:spacing w:val="-5"/>
                <w:position w:val="6"/>
              </w:rPr>
              <w:t>2</w:t>
            </w:r>
            <w:r>
              <w:rPr>
                <w:spacing w:val="-5"/>
              </w:rPr>
              <w:t>静脉滴注+卡铂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AUC 5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静脉滴注，每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21d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重复，3</w:t>
            </w:r>
            <w:r>
              <w:rPr>
                <w:color w:val="231F20"/>
                <w:spacing w:val="-5"/>
              </w:rPr>
              <w:t>~</w:t>
            </w:r>
            <w:r>
              <w:rPr>
                <w:spacing w:val="-5"/>
              </w:rPr>
              <w:t>6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疗程</w:t>
            </w:r>
            <w:r>
              <w:rPr/>
              <w:t xml:space="preserve"> </w:t>
            </w:r>
            <w:r>
              <w:rPr>
                <w:rFonts w:ascii="SimHei" w:hAnsi="SimHei" w:eastAsia="SimHei" w:cs="SimHei"/>
                <w:spacing w:val="-8"/>
              </w:rPr>
              <w:t>紫杉醇周疗/卡铂周疗</w:t>
            </w:r>
            <w:r>
              <w:rPr>
                <w:rFonts w:ascii="SimHei" w:hAnsi="SimHei" w:eastAsia="SimHei" w:cs="SimHei"/>
                <w:spacing w:val="-8"/>
              </w:rPr>
              <w:t xml:space="preserve">  </w:t>
            </w:r>
            <w:r>
              <w:rPr>
                <w:spacing w:val="-8"/>
              </w:rPr>
              <w:t>D1，8，15：</w:t>
            </w:r>
            <w:r>
              <w:rPr>
                <w:spacing w:val="-9"/>
              </w:rPr>
              <w:t>紫杉醇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60mg/m</w:t>
            </w:r>
            <w:r>
              <w:rPr>
                <w:sz w:val="7"/>
                <w:szCs w:val="7"/>
                <w:spacing w:val="-4"/>
                <w:position w:val="6"/>
              </w:rPr>
              <w:t>2</w:t>
            </w:r>
            <w:r>
              <w:rPr>
                <w:spacing w:val="-4"/>
              </w:rPr>
              <w:t>静脉滴注，随后卡铂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AUC 2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静脉滴注，每周 1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次，连用 18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周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3"/>
          <w:pgSz w:w="12076" w:h="17008"/>
          <w:pgMar w:top="1654" w:right="1360" w:bottom="0" w:left="1360" w:header="1408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69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4440892</wp:posOffset>
            </wp:positionH>
            <wp:positionV relativeFrom="page">
              <wp:posOffset>1034494</wp:posOffset>
            </wp:positionV>
            <wp:extent cx="2298700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41"/>
        <w:spacing w:before="72" w:line="216" w:lineRule="auto"/>
        <w:rPr/>
      </w:pPr>
      <w:r>
        <w:rPr>
          <w:rFonts w:ascii="SimHei" w:hAnsi="SimHei" w:eastAsia="SimHei" w:cs="SimHei"/>
          <w:spacing w:val="3"/>
        </w:rPr>
        <w:t>表5</w:t>
      </w:r>
      <w:r>
        <w:rPr>
          <w:rFonts w:ascii="SimHei" w:hAnsi="SimHei" w:eastAsia="SimHei" w:cs="SimHei"/>
          <w:spacing w:val="3"/>
        </w:rPr>
        <w:t xml:space="preserve">  </w:t>
      </w:r>
      <w:r>
        <w:rPr>
          <w:spacing w:val="3"/>
        </w:rPr>
        <w:t>铂敏感复发上皮性卵巢（包括少见病理类型）/输卵管/原发性腹膜癌全身治疗方案（按英文字母顺序排列）</w:t>
      </w:r>
    </w:p>
    <w:p>
      <w:pPr>
        <w:spacing w:line="94" w:lineRule="exact"/>
        <w:rPr/>
      </w:pPr>
      <w:r/>
    </w:p>
    <w:tbl>
      <w:tblPr>
        <w:tblStyle w:val="TableNormal"/>
        <w:tblW w:w="935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84"/>
        <w:gridCol w:w="3344"/>
        <w:gridCol w:w="4027"/>
      </w:tblGrid>
      <w:tr>
        <w:trPr>
          <w:trHeight w:val="276" w:hRule="atLeast"/>
        </w:trPr>
        <w:tc>
          <w:tcPr>
            <w:tcW w:w="198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81"/>
              <w:spacing w:before="57" w:line="187" w:lineRule="auto"/>
              <w:rPr/>
            </w:pPr>
            <w:r>
              <w:rPr>
                <w:spacing w:val="8"/>
              </w:rPr>
              <w:t>首选方案</w:t>
            </w:r>
          </w:p>
        </w:tc>
        <w:tc>
          <w:tcPr>
            <w:tcW w:w="334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95"/>
              <w:spacing w:before="56" w:line="189" w:lineRule="auto"/>
              <w:rPr/>
            </w:pPr>
            <w:r>
              <w:rPr>
                <w:spacing w:val="9"/>
              </w:rPr>
              <w:t>其他推荐方案</w:t>
            </w:r>
          </w:p>
        </w:tc>
        <w:tc>
          <w:tcPr>
            <w:tcW w:w="402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36"/>
              <w:spacing w:before="56" w:line="187" w:lineRule="auto"/>
              <w:rPr/>
            </w:pPr>
            <w:r>
              <w:rPr>
                <w:spacing w:val="9"/>
              </w:rPr>
              <w:t>某些情况有效</w:t>
            </w:r>
          </w:p>
        </w:tc>
      </w:tr>
      <w:tr>
        <w:trPr>
          <w:trHeight w:val="4767" w:hRule="atLeast"/>
        </w:trPr>
        <w:tc>
          <w:tcPr>
            <w:tcW w:w="1984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ind w:left="63"/>
              <w:spacing w:before="51" w:line="231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8"/>
              </w:rPr>
              <w:t>化疗药物</w:t>
            </w:r>
          </w:p>
          <w:p>
            <w:pPr>
              <w:pStyle w:val="TableText"/>
              <w:ind w:left="217" w:right="55" w:hanging="155"/>
              <w:spacing w:before="78" w:line="247" w:lineRule="auto"/>
              <w:rPr/>
            </w:pPr>
            <w:r>
              <w:rPr>
                <w:spacing w:val="13"/>
              </w:rPr>
              <w:t>卡铂/吉西他滨±</w:t>
            </w:r>
            <w:r>
              <w:rPr>
                <w:spacing w:val="-12"/>
              </w:rPr>
              <w:t xml:space="preserve"> </w:t>
            </w:r>
            <w:r>
              <w:rPr>
                <w:spacing w:val="13"/>
              </w:rPr>
              <w:t>贝伐珠单</w:t>
            </w:r>
            <w:r>
              <w:rPr/>
              <w:t xml:space="preserve"> </w:t>
            </w:r>
            <w:r>
              <w:rPr>
                <w:spacing w:val="8"/>
              </w:rPr>
              <w:t>抗</w:t>
            </w:r>
          </w:p>
          <w:p>
            <w:pPr>
              <w:pStyle w:val="TableText"/>
              <w:ind w:left="218" w:right="55" w:hanging="156"/>
              <w:spacing w:before="1" w:line="247" w:lineRule="auto"/>
              <w:rPr/>
            </w:pPr>
            <w:r>
              <w:rPr>
                <w:spacing w:val="13"/>
              </w:rPr>
              <w:t>卡铂/脂质体多柔比星±</w:t>
            </w:r>
            <w:r>
              <w:rPr>
                <w:spacing w:val="-12"/>
              </w:rPr>
              <w:t xml:space="preserve"> </w:t>
            </w:r>
            <w:r>
              <w:rPr>
                <w:spacing w:val="13"/>
              </w:rPr>
              <w:t>贝</w:t>
            </w:r>
            <w:r>
              <w:rPr/>
              <w:t xml:space="preserve"> </w:t>
            </w:r>
            <w:r>
              <w:rPr>
                <w:spacing w:val="9"/>
              </w:rPr>
              <w:t>伐珠单抗</w:t>
            </w:r>
          </w:p>
          <w:p>
            <w:pPr>
              <w:pStyle w:val="TableText"/>
              <w:ind w:left="62"/>
              <w:spacing w:line="204" w:lineRule="auto"/>
              <w:rPr/>
            </w:pPr>
            <w:r>
              <w:rPr>
                <w:spacing w:val="4"/>
              </w:rPr>
              <w:t>卡铂/紫杉醇±贝伐珠单抗</w:t>
            </w:r>
          </w:p>
          <w:p>
            <w:pPr>
              <w:pStyle w:val="TableText"/>
              <w:ind w:left="62" w:right="749" w:hanging="5"/>
              <w:spacing w:before="45" w:line="272" w:lineRule="auto"/>
              <w:rPr/>
            </w:pPr>
            <w:r>
              <w:rPr>
                <w:spacing w:val="5"/>
              </w:rPr>
              <w:t>顺铂/吉西他滨</w:t>
            </w:r>
            <w:r>
              <w:rPr/>
              <w:t xml:space="preserve">     </w:t>
            </w:r>
            <w:r>
              <w:rPr>
                <w:rFonts w:ascii="SimHei" w:hAnsi="SimHei" w:eastAsia="SimHei" w:cs="SimHei"/>
                <w:spacing w:val="-4"/>
              </w:rPr>
              <w:t>靶向治疗（单药）</w:t>
            </w:r>
            <w:r>
              <w:rPr>
                <w:rFonts w:ascii="SimHei" w:hAnsi="SimHei" w:eastAsia="SimHei" w:cs="SimHei"/>
                <w:spacing w:val="3"/>
              </w:rPr>
              <w:t xml:space="preserve"> </w:t>
            </w:r>
            <w:r>
              <w:rPr>
                <w:spacing w:val="8"/>
              </w:rPr>
              <w:t>贝伐珠单抗</w:t>
            </w:r>
          </w:p>
        </w:tc>
        <w:tc>
          <w:tcPr>
            <w:tcW w:w="3344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ind w:left="64"/>
              <w:spacing w:before="51" w:line="231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8"/>
              </w:rPr>
              <w:t>化疗药物</w:t>
            </w:r>
          </w:p>
          <w:p>
            <w:pPr>
              <w:pStyle w:val="TableText"/>
              <w:ind w:left="220" w:hanging="157"/>
              <w:spacing w:before="77" w:line="247" w:lineRule="auto"/>
              <w:rPr/>
            </w:pPr>
            <w:r>
              <w:rPr>
                <w:spacing w:val="-3"/>
              </w:rPr>
              <w:t>卡铂/多烯紫杉醇、卡铂/紫杉醇（周疗）、卡培他</w:t>
            </w:r>
            <w:r>
              <w:rPr>
                <w:spacing w:val="5"/>
              </w:rPr>
              <w:t xml:space="preserve">  </w:t>
            </w:r>
            <w:r>
              <w:rPr>
                <w:spacing w:val="-5"/>
              </w:rPr>
              <w:t>滨、卡铂、顺铂、环磷酰胺、多柔比星、异环磷</w:t>
            </w:r>
            <w:r>
              <w:rPr>
                <w:spacing w:val="8"/>
              </w:rPr>
              <w:t xml:space="preserve">  </w:t>
            </w:r>
            <w:r>
              <w:rPr>
                <w:spacing w:val="-2"/>
              </w:rPr>
              <w:t>酰胺、伊立替康、美法仑、奥沙利铂、紫杉醇、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白蛋白紫杉醇、培美曲塞、长春瑞滨</w:t>
            </w:r>
          </w:p>
          <w:p>
            <w:pPr>
              <w:ind w:left="63"/>
              <w:spacing w:line="231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8"/>
              </w:rPr>
              <w:t>靶向治疗</w:t>
            </w:r>
          </w:p>
          <w:p>
            <w:pPr>
              <w:pStyle w:val="TableText"/>
              <w:ind w:left="62"/>
              <w:spacing w:before="76" w:line="212" w:lineRule="auto"/>
              <w:rPr/>
            </w:pPr>
            <w:r>
              <w:rPr>
                <w:spacing w:val="-1"/>
              </w:rPr>
              <w:t>尼拉帕利/贝伐珠单抗（2B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类）</w:t>
            </w:r>
          </w:p>
          <w:p>
            <w:pPr>
              <w:pStyle w:val="TableText"/>
              <w:ind w:left="62"/>
              <w:spacing w:before="38" w:line="218" w:lineRule="auto"/>
              <w:rPr/>
            </w:pPr>
            <w:r>
              <w:rPr>
                <w:spacing w:val="-6"/>
              </w:rPr>
              <w:t>尼拉帕利（3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类</w:t>
            </w:r>
            <w:r>
              <w:rPr>
                <w:spacing w:val="-17"/>
                <w:w w:val="63"/>
              </w:rPr>
              <w:t>）（</w:t>
            </w:r>
            <w:r>
              <w:rPr>
                <w:spacing w:val="-6"/>
              </w:rPr>
              <w:t>HRD，</w:t>
            </w:r>
            <w:r>
              <w:rPr>
                <w:color w:val="231F20"/>
                <w:spacing w:val="-6"/>
              </w:rPr>
              <w:t>≥</w:t>
            </w:r>
            <w:r>
              <w:rPr>
                <w:spacing w:val="-6"/>
              </w:rPr>
              <w:t>3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线化疗后）</w:t>
            </w:r>
          </w:p>
          <w:p>
            <w:pPr>
              <w:pStyle w:val="TableText"/>
              <w:ind w:left="70" w:right="497" w:hanging="8"/>
              <w:spacing w:before="31" w:line="247" w:lineRule="auto"/>
              <w:rPr/>
            </w:pPr>
            <w:r>
              <w:rPr>
                <w:spacing w:val="-8"/>
              </w:rPr>
              <w:t>奥拉帕利（3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类</w:t>
            </w:r>
            <w:r>
              <w:rPr>
                <w:spacing w:val="-15"/>
                <w:w w:val="58"/>
              </w:rPr>
              <w:t>）（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spacing w:val="-8"/>
              </w:rPr>
              <w:t>BRCA</w:t>
            </w:r>
            <w:r>
              <w:rPr>
                <w:spacing w:val="-8"/>
              </w:rPr>
              <w:t>m，2</w:t>
            </w:r>
            <w:r>
              <w:rPr>
                <w:color w:val="231F20"/>
                <w:spacing w:val="-8"/>
              </w:rPr>
              <w:t>~</w:t>
            </w:r>
            <w:r>
              <w:rPr>
                <w:spacing w:val="-8"/>
              </w:rPr>
              <w:t>3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线化疗后）</w:t>
            </w:r>
            <w:r>
              <w:rPr/>
              <w:t xml:space="preserve"> </w:t>
            </w:r>
            <w:r>
              <w:rPr>
                <w:spacing w:val="-5"/>
              </w:rPr>
              <w:t>帕唑帕尼（2B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类）</w:t>
            </w:r>
          </w:p>
          <w:p>
            <w:pPr>
              <w:pStyle w:val="TableText"/>
              <w:ind w:left="61" w:right="497" w:hanging="1"/>
              <w:spacing w:line="268" w:lineRule="auto"/>
              <w:rPr>
                <w:rFonts w:ascii="SimHei" w:hAnsi="SimHei" w:eastAsia="SimHei" w:cs="SimHei"/>
              </w:rPr>
            </w:pPr>
            <w:r>
              <w:rPr>
                <w:spacing w:val="-8"/>
              </w:rPr>
              <w:t>卢卡帕尼（3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类</w:t>
            </w:r>
            <w:r>
              <w:rPr>
                <w:spacing w:val="-16"/>
                <w:w w:val="59"/>
              </w:rPr>
              <w:t>）（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spacing w:val="-8"/>
              </w:rPr>
              <w:t>BRCA</w:t>
            </w:r>
            <w:r>
              <w:rPr>
                <w:spacing w:val="-8"/>
              </w:rPr>
              <w:t>m，2</w:t>
            </w:r>
            <w:r>
              <w:rPr>
                <w:color w:val="231F20"/>
                <w:spacing w:val="-8"/>
              </w:rPr>
              <w:t>~</w:t>
            </w:r>
            <w:r>
              <w:rPr>
                <w:spacing w:val="-8"/>
              </w:rPr>
              <w:t>3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线化疗后）</w:t>
            </w:r>
            <w:r>
              <w:rPr/>
              <w:t xml:space="preserve"> </w:t>
            </w:r>
            <w:r>
              <w:rPr>
                <w:rFonts w:ascii="SimHei" w:hAnsi="SimHei" w:eastAsia="SimHei" w:cs="SimHei"/>
                <w:spacing w:val="8"/>
              </w:rPr>
              <w:t>激素疗法</w:t>
            </w:r>
          </w:p>
          <w:p>
            <w:pPr>
              <w:pStyle w:val="TableText"/>
              <w:ind w:left="59"/>
              <w:spacing w:before="24" w:line="212" w:lineRule="auto"/>
              <w:rPr/>
            </w:pPr>
            <w:r>
              <w:rPr>
                <w:spacing w:val="-2"/>
              </w:rPr>
              <w:t>芳香化酶抑制剂（阿那曲唑、依西美坦、来曲唑）</w:t>
            </w:r>
          </w:p>
          <w:p>
            <w:pPr>
              <w:pStyle w:val="TableText"/>
              <w:ind w:left="60" w:right="2326" w:firstLine="2"/>
              <w:spacing w:before="41" w:line="255" w:lineRule="auto"/>
              <w:jc w:val="both"/>
              <w:rPr/>
            </w:pPr>
            <w:r>
              <w:rPr>
                <w:spacing w:val="9"/>
              </w:rPr>
              <w:t>醋酸亮丙瑞林</w:t>
            </w:r>
            <w:r>
              <w:rPr/>
              <w:t xml:space="preserve"> </w:t>
            </w:r>
            <w:r>
              <w:rPr>
                <w:spacing w:val="9"/>
              </w:rPr>
              <w:t>醋酸甲地孕酮</w:t>
            </w:r>
            <w:r>
              <w:rPr>
                <w:spacing w:val="1"/>
              </w:rPr>
              <w:t xml:space="preserve"> </w:t>
            </w:r>
            <w:r>
              <w:rPr>
                <w:spacing w:val="9"/>
              </w:rPr>
              <w:t>他莫昔芬</w:t>
            </w:r>
          </w:p>
        </w:tc>
        <w:tc>
          <w:tcPr>
            <w:tcW w:w="4027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ind w:left="63"/>
              <w:spacing w:before="51" w:line="231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8"/>
              </w:rPr>
              <w:t>黏液癌</w:t>
            </w:r>
          </w:p>
          <w:p>
            <w:pPr>
              <w:pStyle w:val="TableText"/>
              <w:ind w:left="220" w:right="56" w:hanging="156"/>
              <w:spacing w:before="76" w:line="247" w:lineRule="auto"/>
              <w:rPr/>
            </w:pPr>
            <w:r>
              <w:rPr>
                <w:spacing w:val="7"/>
              </w:rPr>
              <w:t>氟尿嘧啶/甲酰四氢叶酸/奥沙利铂±</w:t>
            </w:r>
            <w:r>
              <w:rPr>
                <w:spacing w:val="-11"/>
              </w:rPr>
              <w:t xml:space="preserve"> </w:t>
            </w:r>
            <w:r>
              <w:rPr>
                <w:spacing w:val="7"/>
              </w:rPr>
              <w:t>贝伐珠单抗（贝伐珠</w:t>
            </w:r>
            <w:r>
              <w:rPr/>
              <w:t xml:space="preserve"> </w:t>
            </w:r>
            <w:r>
              <w:rPr>
                <w:spacing w:val="2"/>
              </w:rPr>
              <w:t>单抗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2B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类）</w:t>
            </w:r>
          </w:p>
          <w:p>
            <w:pPr>
              <w:pStyle w:val="TableText"/>
              <w:ind w:left="64" w:right="361"/>
              <w:spacing w:line="247" w:lineRule="auto"/>
              <w:rPr/>
            </w:pPr>
            <w:r>
              <w:rPr>
                <w:spacing w:val="2"/>
              </w:rPr>
              <w:t>卡培他滨/奥沙利铂±贝伐珠单抗（贝伐珠单</w:t>
            </w:r>
            <w:r>
              <w:rPr>
                <w:spacing w:val="1"/>
              </w:rPr>
              <w:t>抗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2B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类）</w:t>
            </w:r>
            <w:r>
              <w:rPr/>
              <w:t xml:space="preserve"> </w:t>
            </w:r>
            <w:r>
              <w:rPr>
                <w:spacing w:val="4"/>
              </w:rPr>
              <w:t>卡铂/白蛋白紫杉醇（紫杉烷过敏）</w:t>
            </w:r>
          </w:p>
          <w:p>
            <w:pPr>
              <w:pStyle w:val="TableText"/>
              <w:ind w:left="64"/>
              <w:spacing w:line="211" w:lineRule="auto"/>
              <w:rPr/>
            </w:pPr>
            <w:r>
              <w:rPr>
                <w:spacing w:val="-5"/>
              </w:rPr>
              <w:t>卡铂/紫杉醇（年龄&gt;70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岁）</w:t>
            </w:r>
          </w:p>
          <w:p>
            <w:pPr>
              <w:pStyle w:val="TableText"/>
              <w:ind w:left="64" w:right="1627" w:hanging="4"/>
              <w:spacing w:before="38" w:line="268" w:lineRule="auto"/>
              <w:rPr>
                <w:rFonts w:ascii="SimHei" w:hAnsi="SimHei" w:eastAsia="SimHei" w:cs="SimHei"/>
              </w:rPr>
            </w:pPr>
            <w:r>
              <w:rPr>
                <w:spacing w:val="1"/>
              </w:rPr>
              <w:t>伊立替康/顺铂（用于透明细胞癌）</w:t>
            </w:r>
            <w:r>
              <w:rPr>
                <w:spacing w:val="8"/>
              </w:rPr>
              <w:t xml:space="preserve"> </w:t>
            </w:r>
            <w:r>
              <w:rPr>
                <w:rFonts w:ascii="SimHei" w:hAnsi="SimHei" w:eastAsia="SimHei" w:cs="SimHei"/>
                <w:spacing w:val="8"/>
              </w:rPr>
              <w:t>靶向治疗</w:t>
            </w:r>
          </w:p>
          <w:p>
            <w:pPr>
              <w:pStyle w:val="TableText"/>
              <w:ind w:left="62"/>
              <w:spacing w:before="24" w:line="212" w:lineRule="auto"/>
              <w:rPr/>
            </w:pPr>
            <w:r>
              <w:rPr/>
              <w:t>达拉非尼+曲美替尼（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</w:rPr>
              <w:t>BRAF</w:t>
            </w:r>
            <w:r>
              <w:rPr/>
              <w:t>V600E 阳性肿瘤）</w:t>
            </w:r>
          </w:p>
          <w:p>
            <w:pPr>
              <w:pStyle w:val="TableText"/>
              <w:ind w:left="61" w:right="602"/>
              <w:spacing w:before="39" w:line="247" w:lineRule="auto"/>
              <w:rPr/>
            </w:pPr>
            <w:r>
              <w:rPr>
                <w:spacing w:val="4"/>
              </w:rPr>
              <w:t>恩曲替尼或拉罗替尼（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</w:rPr>
              <w:t>NTRK</w:t>
            </w:r>
            <w:r>
              <w:rPr>
                <w:spacing w:val="4"/>
              </w:rPr>
              <w:t>基因融合阳性肿瘤）</w:t>
            </w:r>
            <w:r>
              <w:rPr/>
              <w:t xml:space="preserve"> </w:t>
            </w:r>
            <w:r>
              <w:rPr>
                <w:spacing w:val="4"/>
              </w:rPr>
              <w:t>塞尔帕替尼（</w:t>
            </w:r>
            <w:r>
              <w:rPr>
                <w:rFonts w:ascii="Arial" w:hAnsi="Arial" w:eastAsia="Arial" w:cs="Arial"/>
                <w:i/>
                <w:iCs/>
              </w:rPr>
              <w:t>RET</w:t>
            </w:r>
            <w:r>
              <w:rPr>
                <w:spacing w:val="4"/>
              </w:rPr>
              <w:t>基因融合阳性肿瘤）</w:t>
            </w:r>
          </w:p>
          <w:p>
            <w:pPr>
              <w:pStyle w:val="TableText"/>
              <w:ind w:left="80"/>
              <w:spacing w:line="211" w:lineRule="auto"/>
              <w:rPr/>
            </w:pPr>
            <w:r>
              <w:rPr>
                <w:spacing w:val="1"/>
              </w:rPr>
              <w:t>比美替尼（低级别浆液性癌）</w:t>
            </w:r>
          </w:p>
          <w:p>
            <w:pPr>
              <w:pStyle w:val="TableText"/>
              <w:ind w:left="63" w:right="1991" w:firstLine="13"/>
              <w:spacing w:before="39" w:line="268" w:lineRule="auto"/>
              <w:rPr>
                <w:rFonts w:ascii="SimHei" w:hAnsi="SimHei" w:eastAsia="SimHei" w:cs="SimHei"/>
              </w:rPr>
            </w:pPr>
            <w:r>
              <w:rPr/>
              <w:t>曲美替尼（低级别浆液性癌）</w:t>
            </w:r>
            <w:r>
              <w:rPr>
                <w:spacing w:val="7"/>
              </w:rPr>
              <w:t xml:space="preserve"> </w:t>
            </w:r>
            <w:r>
              <w:rPr>
                <w:rFonts w:ascii="SimHei" w:hAnsi="SimHei" w:eastAsia="SimHei" w:cs="SimHei"/>
                <w:spacing w:val="8"/>
              </w:rPr>
              <w:t>激素疗法</w:t>
            </w:r>
          </w:p>
          <w:p>
            <w:pPr>
              <w:pStyle w:val="TableText"/>
              <w:ind w:left="67" w:right="1991" w:hanging="3"/>
              <w:spacing w:before="25" w:line="268" w:lineRule="auto"/>
              <w:rPr>
                <w:rFonts w:ascii="SimHei" w:hAnsi="SimHei" w:eastAsia="SimHei" w:cs="SimHei"/>
              </w:rPr>
            </w:pPr>
            <w:r>
              <w:rPr>
                <w:spacing w:val="1"/>
              </w:rPr>
              <w:t>氟维司群（低级别浆液性癌）</w:t>
            </w:r>
            <w:r>
              <w:rPr>
                <w:spacing w:val="7"/>
              </w:rPr>
              <w:t xml:space="preserve"> </w:t>
            </w:r>
            <w:r>
              <w:rPr>
                <w:rFonts w:ascii="SimHei" w:hAnsi="SimHei" w:eastAsia="SimHei" w:cs="SimHei"/>
                <w:spacing w:val="7"/>
              </w:rPr>
              <w:t>免疫疗法</w:t>
            </w:r>
          </w:p>
          <w:p>
            <w:pPr>
              <w:pStyle w:val="TableText"/>
              <w:ind w:left="66"/>
              <w:spacing w:before="24" w:line="212" w:lineRule="auto"/>
              <w:rPr/>
            </w:pPr>
            <w:r>
              <w:rPr>
                <w:spacing w:val="-2"/>
              </w:rPr>
              <w:t>多塔利单抗（dMMR/MSH-H 的复发或者晚期肿瘤）</w:t>
            </w:r>
          </w:p>
          <w:p>
            <w:pPr>
              <w:pStyle w:val="TableText"/>
              <w:ind w:left="71"/>
              <w:spacing w:before="37" w:line="188" w:lineRule="auto"/>
              <w:rPr/>
            </w:pPr>
            <w:r>
              <w:rPr>
                <w:spacing w:val="-4"/>
              </w:rPr>
              <w:t>帕姆单抗（MSI-H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或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dMMR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或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TMB≥10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突变/百万碱基）</w:t>
            </w:r>
          </w:p>
        </w:tc>
      </w:tr>
    </w:tbl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427"/>
        <w:spacing w:before="73" w:line="216" w:lineRule="auto"/>
        <w:rPr/>
      </w:pPr>
      <w:r>
        <w:rPr>
          <w:rFonts w:ascii="SimHei" w:hAnsi="SimHei" w:eastAsia="SimHei" w:cs="SimHei"/>
          <w:spacing w:val="3"/>
        </w:rPr>
        <w:t>表6</w:t>
      </w:r>
      <w:r>
        <w:rPr>
          <w:rFonts w:ascii="SimHei" w:hAnsi="SimHei" w:eastAsia="SimHei" w:cs="SimHei"/>
          <w:spacing w:val="3"/>
        </w:rPr>
        <w:t xml:space="preserve">  </w:t>
      </w:r>
      <w:r>
        <w:rPr>
          <w:spacing w:val="3"/>
        </w:rPr>
        <w:t>铂耐药复发上皮性卵巢（包括少见病理类型）/输卵管/原发性腹膜癌全身治疗方案（按英文字母顺序排列）</w:t>
      </w:r>
    </w:p>
    <w:p>
      <w:pPr>
        <w:spacing w:line="109" w:lineRule="exact"/>
        <w:rPr/>
      </w:pPr>
      <w:r/>
    </w:p>
    <w:tbl>
      <w:tblPr>
        <w:tblStyle w:val="TableNormal"/>
        <w:tblW w:w="9326" w:type="dxa"/>
        <w:tblInd w:w="1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50"/>
        <w:gridCol w:w="3530"/>
        <w:gridCol w:w="3246"/>
      </w:tblGrid>
      <w:tr>
        <w:trPr>
          <w:trHeight w:val="276" w:hRule="atLeast"/>
        </w:trPr>
        <w:tc>
          <w:tcPr>
            <w:tcW w:w="255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59"/>
              <w:spacing w:before="57" w:line="187" w:lineRule="auto"/>
              <w:rPr/>
            </w:pPr>
            <w:r>
              <w:rPr>
                <w:spacing w:val="8"/>
              </w:rPr>
              <w:t>首选方案</w:t>
            </w:r>
          </w:p>
        </w:tc>
        <w:tc>
          <w:tcPr>
            <w:tcW w:w="353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295"/>
              <w:spacing w:before="56" w:line="189" w:lineRule="auto"/>
              <w:rPr/>
            </w:pPr>
            <w:r>
              <w:rPr>
                <w:spacing w:val="9"/>
              </w:rPr>
              <w:t>其他推荐方案</w:t>
            </w:r>
          </w:p>
        </w:tc>
        <w:tc>
          <w:tcPr>
            <w:tcW w:w="324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52"/>
              <w:spacing w:before="56" w:line="187" w:lineRule="auto"/>
              <w:rPr/>
            </w:pPr>
            <w:r>
              <w:rPr>
                <w:spacing w:val="9"/>
              </w:rPr>
              <w:t>某些情况有效</w:t>
            </w:r>
          </w:p>
        </w:tc>
      </w:tr>
      <w:tr>
        <w:trPr>
          <w:trHeight w:val="4808" w:hRule="atLeast"/>
        </w:trPr>
        <w:tc>
          <w:tcPr>
            <w:tcW w:w="2550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ind w:left="63"/>
              <w:spacing w:before="51" w:line="231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8"/>
              </w:rPr>
              <w:t>化疗药物</w:t>
            </w:r>
          </w:p>
          <w:p>
            <w:pPr>
              <w:pStyle w:val="TableText"/>
              <w:ind w:left="218" w:hanging="157"/>
              <w:spacing w:before="77" w:line="247" w:lineRule="auto"/>
              <w:rPr/>
            </w:pPr>
            <w:r>
              <w:rPr>
                <w:spacing w:val="-3"/>
              </w:rPr>
              <w:t>环磷酰胺（口服）/贝伐珠单抗、多烯</w:t>
            </w:r>
            <w:r>
              <w:rPr>
                <w:spacing w:val="7"/>
              </w:rPr>
              <w:t xml:space="preserve">  </w:t>
            </w:r>
            <w:r>
              <w:rPr>
                <w:spacing w:val="-8"/>
              </w:rPr>
              <w:t>紫杉醇、依托泊苷（口服）、吉西他</w:t>
            </w:r>
            <w:r>
              <w:rPr/>
              <w:t xml:space="preserve">  </w:t>
            </w:r>
            <w:r>
              <w:rPr>
                <w:spacing w:val="1"/>
              </w:rPr>
              <w:t>滨、脂质体多柔比星、脂质体多柔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比</w:t>
            </w:r>
            <w:r>
              <w:rPr/>
              <w:t xml:space="preserve"> </w:t>
            </w:r>
            <w:r>
              <w:rPr>
                <w:spacing w:val="-1"/>
              </w:rPr>
              <w:t>星/贝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伐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珠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单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抗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、紫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杉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醇（周</w:t>
            </w:r>
            <w:r>
              <w:rPr/>
              <w:t xml:space="preserve">  </w:t>
            </w:r>
            <w:r>
              <w:rPr>
                <w:spacing w:val="-8"/>
              </w:rPr>
              <w:t>疗）、紫杉醇（每周）/贝伐珠单抗、</w:t>
            </w:r>
            <w:r>
              <w:rPr>
                <w:spacing w:val="2"/>
              </w:rPr>
              <w:t xml:space="preserve"> </w:t>
            </w:r>
            <w:r>
              <w:rPr>
                <w:spacing w:val="2"/>
              </w:rPr>
              <w:t>拓扑替康、拓扑替康/贝伐珠单抗</w:t>
            </w:r>
          </w:p>
          <w:p>
            <w:pPr>
              <w:ind w:left="62"/>
              <w:spacing w:line="231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-3"/>
              </w:rPr>
              <w:t>靶向治疗（单药）</w:t>
            </w:r>
          </w:p>
          <w:p>
            <w:pPr>
              <w:pStyle w:val="TableText"/>
              <w:ind w:left="67"/>
              <w:spacing w:before="79" w:line="189" w:lineRule="auto"/>
              <w:rPr/>
            </w:pPr>
            <w:r>
              <w:rPr>
                <w:spacing w:val="7"/>
              </w:rPr>
              <w:t>贝伐珠单抗</w:t>
            </w:r>
          </w:p>
          <w:p>
            <w:pPr>
              <w:pStyle w:val="TableText"/>
              <w:ind w:left="218" w:right="55" w:hanging="155"/>
              <w:spacing w:before="59" w:line="253" w:lineRule="auto"/>
              <w:rPr/>
            </w:pPr>
            <w:r>
              <w:rPr>
                <w:spacing w:val="-9"/>
              </w:rPr>
              <w:t>Mirvetuximab  Soravtansine（</w:t>
            </w:r>
            <w:r>
              <w:rPr>
                <w:rFonts w:ascii="Arial" w:hAnsi="Arial" w:eastAsia="Arial" w:cs="Arial"/>
                <w:i/>
                <w:iCs/>
                <w:spacing w:val="-9"/>
              </w:rPr>
              <w:t>FR-</w:t>
            </w:r>
            <w:r>
              <w:rPr>
                <w:spacing w:val="-9"/>
              </w:rPr>
              <w:t>a  阳</w:t>
            </w:r>
            <w:r>
              <w:rPr>
                <w:spacing w:val="15"/>
              </w:rPr>
              <w:t xml:space="preserve"> </w:t>
            </w:r>
            <w:r>
              <w:rPr>
                <w:spacing w:val="6"/>
              </w:rPr>
              <w:t>性肿瘤）</w:t>
            </w:r>
          </w:p>
        </w:tc>
        <w:tc>
          <w:tcPr>
            <w:tcW w:w="3530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ind w:left="64"/>
              <w:spacing w:before="51" w:line="231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8"/>
              </w:rPr>
              <w:t>化疗药物</w:t>
            </w:r>
          </w:p>
          <w:p>
            <w:pPr>
              <w:pStyle w:val="TableText"/>
              <w:ind w:left="221" w:right="69" w:hanging="157"/>
              <w:spacing w:before="80" w:line="246" w:lineRule="auto"/>
              <w:rPr/>
            </w:pPr>
            <w:r>
              <w:rPr>
                <w:spacing w:val="-3"/>
              </w:rPr>
              <w:t>卡培他滨、环磷酰胺、多柔比星、异环磷酰胺、伊立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4"/>
              </w:rPr>
              <w:t>替康、美法仑、奥沙利铂、紫杉醇、白蛋白紫杉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醇、培美曲塞、索拉非尼/拓扑替康、长春</w:t>
            </w:r>
            <w:r>
              <w:rPr>
                <w:spacing w:val="-4"/>
              </w:rPr>
              <w:t>瑞滨</w:t>
            </w:r>
          </w:p>
          <w:p>
            <w:pPr>
              <w:pStyle w:val="TableText"/>
              <w:ind w:left="220" w:right="69" w:hanging="156"/>
              <w:spacing w:before="1" w:line="247" w:lineRule="auto"/>
              <w:rPr/>
            </w:pPr>
            <w:r>
              <w:rPr>
                <w:spacing w:val="-2"/>
              </w:rPr>
              <w:t>卡铂、卡铂/多烯紫杉醇、卡铂/紫杉醇（周疗）、卡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>铂/吉西他滨±贝伐珠单抗、卡铂+脂质体多柔比</w:t>
            </w:r>
            <w:r>
              <w:rPr>
                <w:spacing w:val="14"/>
              </w:rPr>
              <w:t xml:space="preserve"> </w:t>
            </w:r>
            <w:r>
              <w:rPr>
                <w:spacing w:val="3"/>
              </w:rPr>
              <w:t>星±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贝伐珠单抗、卡铂/紫杉醇±</w:t>
            </w:r>
            <w:r>
              <w:rPr>
                <w:spacing w:val="-26"/>
              </w:rPr>
              <w:t xml:space="preserve"> </w:t>
            </w:r>
            <w:r>
              <w:rPr>
                <w:spacing w:val="3"/>
              </w:rPr>
              <w:t>贝伐珠单抗、吉</w:t>
            </w:r>
            <w:r>
              <w:rPr/>
              <w:t xml:space="preserve"> </w:t>
            </w:r>
            <w:r>
              <w:rPr>
                <w:spacing w:val="-2"/>
              </w:rPr>
              <w:t>西他滨/顺铂、伊沙匹隆/贝伐珠单抗（2B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类）</w:t>
            </w:r>
          </w:p>
          <w:p>
            <w:pPr>
              <w:ind w:left="64"/>
              <w:spacing w:line="231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-3"/>
              </w:rPr>
              <w:t>靶向治疗（单药）</w:t>
            </w:r>
          </w:p>
          <w:p>
            <w:pPr>
              <w:pStyle w:val="TableText"/>
              <w:ind w:left="217" w:right="69" w:hanging="155"/>
              <w:spacing w:before="76" w:line="247" w:lineRule="auto"/>
              <w:rPr/>
            </w:pPr>
            <w:r>
              <w:rPr>
                <w:spacing w:val="4"/>
              </w:rPr>
              <w:t>尼拉帕利（3 类</w:t>
            </w:r>
            <w:r>
              <w:rPr>
                <w:spacing w:val="-20"/>
                <w:w w:val="75"/>
              </w:rPr>
              <w:t>）（</w:t>
            </w:r>
            <w:r>
              <w:rPr/>
              <w:t>HRD</w:t>
            </w:r>
            <w:r>
              <w:rPr>
                <w:spacing w:val="4"/>
              </w:rPr>
              <w:t>，</w:t>
            </w:r>
            <w:r>
              <w:rPr>
                <w:color w:val="231F20"/>
                <w:spacing w:val="4"/>
              </w:rPr>
              <w:t>≥</w:t>
            </w:r>
            <w:r>
              <w:rPr>
                <w:spacing w:val="4"/>
              </w:rPr>
              <w:t>3 线化疗后</w:t>
            </w:r>
            <w:r>
              <w:rPr>
                <w:spacing w:val="-22"/>
              </w:rPr>
              <w:t xml:space="preserve"> </w:t>
            </w:r>
            <w:r>
              <w:rPr>
                <w:spacing w:val="4"/>
              </w:rPr>
              <w:t>，无铂间期</w:t>
            </w:r>
            <w:r>
              <w:rPr/>
              <w:t xml:space="preserve"> </w:t>
            </w:r>
            <w:r>
              <w:rPr>
                <w:color w:val="231F20"/>
                <w:spacing w:val="-14"/>
              </w:rPr>
              <w:t>&gt;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4"/>
              </w:rPr>
              <w:t>6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4"/>
              </w:rPr>
              <w:t>m</w:t>
            </w:r>
            <w:r>
              <w:rPr>
                <w:spacing w:val="-14"/>
              </w:rPr>
              <w:t>）</w:t>
            </w:r>
          </w:p>
          <w:p>
            <w:pPr>
              <w:pStyle w:val="TableText"/>
              <w:ind w:left="62"/>
              <w:spacing w:line="211" w:lineRule="auto"/>
              <w:rPr/>
            </w:pPr>
            <w:r>
              <w:rPr>
                <w:spacing w:val="-8"/>
              </w:rPr>
              <w:t>奥拉帕利（3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类</w:t>
            </w:r>
            <w:r>
              <w:rPr>
                <w:spacing w:val="-17"/>
                <w:w w:val="64"/>
              </w:rPr>
              <w:t>）（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spacing w:val="-8"/>
              </w:rPr>
              <w:t>BRCA</w:t>
            </w:r>
            <w:r>
              <w:rPr>
                <w:spacing w:val="-8"/>
              </w:rPr>
              <w:t>m，2</w:t>
            </w:r>
            <w:r>
              <w:rPr>
                <w:color w:val="231F20"/>
                <w:spacing w:val="-8"/>
              </w:rPr>
              <w:t>~</w:t>
            </w:r>
            <w:r>
              <w:rPr>
                <w:spacing w:val="-8"/>
              </w:rPr>
              <w:t>3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线化疗后）</w:t>
            </w:r>
          </w:p>
          <w:p>
            <w:pPr>
              <w:pStyle w:val="TableText"/>
              <w:ind w:left="70"/>
              <w:spacing w:before="37" w:line="212" w:lineRule="auto"/>
              <w:rPr/>
            </w:pPr>
            <w:r>
              <w:rPr>
                <w:spacing w:val="-5"/>
              </w:rPr>
              <w:t>帕唑帕尼（2B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类）</w:t>
            </w:r>
          </w:p>
          <w:p>
            <w:pPr>
              <w:pStyle w:val="TableText"/>
              <w:ind w:left="62" w:right="682" w:hanging="1"/>
              <w:spacing w:before="39" w:line="268" w:lineRule="auto"/>
              <w:rPr>
                <w:rFonts w:ascii="SimHei" w:hAnsi="SimHei" w:eastAsia="SimHei" w:cs="SimHei"/>
              </w:rPr>
            </w:pPr>
            <w:r>
              <w:rPr>
                <w:spacing w:val="-8"/>
              </w:rPr>
              <w:t>卢卡帕尼（3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类</w:t>
            </w:r>
            <w:r>
              <w:rPr>
                <w:spacing w:val="-16"/>
                <w:w w:val="59"/>
              </w:rPr>
              <w:t>）（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spacing w:val="-8"/>
              </w:rPr>
              <w:t>BRCA</w:t>
            </w:r>
            <w:r>
              <w:rPr>
                <w:spacing w:val="-8"/>
              </w:rPr>
              <w:t>m，2</w:t>
            </w:r>
            <w:r>
              <w:rPr>
                <w:color w:val="231F20"/>
                <w:spacing w:val="-8"/>
              </w:rPr>
              <w:t>~</w:t>
            </w:r>
            <w:r>
              <w:rPr>
                <w:spacing w:val="-8"/>
              </w:rPr>
              <w:t>3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线化疗后）</w:t>
            </w:r>
            <w:r>
              <w:rPr/>
              <w:t xml:space="preserve"> </w:t>
            </w:r>
            <w:r>
              <w:rPr>
                <w:rFonts w:ascii="SimHei" w:hAnsi="SimHei" w:eastAsia="SimHei" w:cs="SimHei"/>
                <w:spacing w:val="8"/>
              </w:rPr>
              <w:t>激素疗法</w:t>
            </w:r>
          </w:p>
          <w:p>
            <w:pPr>
              <w:pStyle w:val="TableText"/>
              <w:ind w:left="222" w:right="10" w:hanging="163"/>
              <w:spacing w:before="25" w:line="244" w:lineRule="auto"/>
              <w:rPr/>
            </w:pPr>
            <w:r>
              <w:rPr/>
              <w:t>芳香化酶抑制剂（阿那曲唑、依西美坦、来曲唑）、</w:t>
            </w:r>
            <w:r>
              <w:rPr>
                <w:spacing w:val="8"/>
              </w:rPr>
              <w:t xml:space="preserve"> </w:t>
            </w:r>
            <w:r>
              <w:rPr/>
              <w:t>醋酸亮丙瑞林、醋酸甲地孕酮、他莫昔芬</w:t>
            </w:r>
          </w:p>
        </w:tc>
        <w:tc>
          <w:tcPr>
            <w:tcW w:w="3246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ind w:left="79"/>
              <w:spacing w:before="51" w:line="230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3"/>
              </w:rPr>
              <w:t>卡铂/紫杉醇（年龄＞70岁）</w:t>
            </w:r>
          </w:p>
          <w:p>
            <w:pPr>
              <w:pStyle w:val="TableText"/>
              <w:ind w:left="80" w:right="112" w:hanging="2"/>
              <w:spacing w:before="77" w:line="268" w:lineRule="auto"/>
              <w:rPr>
                <w:rFonts w:ascii="SimHei" w:hAnsi="SimHei" w:eastAsia="SimHei" w:cs="SimHei"/>
              </w:rPr>
            </w:pPr>
            <w:r>
              <w:rPr>
                <w:spacing w:val="-1"/>
              </w:rPr>
              <w:t>卡铂/紫杉醇，白蛋白紫杉醇（紫杉醇过敏者）</w:t>
            </w:r>
            <w:r>
              <w:rPr>
                <w:spacing w:val="10"/>
              </w:rPr>
              <w:t xml:space="preserve"> </w:t>
            </w:r>
            <w:r>
              <w:rPr>
                <w:rFonts w:ascii="SimHei" w:hAnsi="SimHei" w:eastAsia="SimHei" w:cs="SimHei"/>
                <w:spacing w:val="7"/>
              </w:rPr>
              <w:t>免疫治疗</w:t>
            </w:r>
          </w:p>
          <w:p>
            <w:pPr>
              <w:pStyle w:val="TableText"/>
              <w:ind w:left="235" w:right="56" w:hanging="156"/>
              <w:spacing w:before="24" w:line="247" w:lineRule="auto"/>
              <w:rPr/>
            </w:pPr>
            <w:r>
              <w:rPr>
                <w:spacing w:val="2"/>
              </w:rPr>
              <w:t>多塔利单抗（</w:t>
            </w:r>
            <w:r>
              <w:rPr/>
              <w:t>dMMR</w:t>
            </w:r>
            <w:r>
              <w:rPr>
                <w:spacing w:val="2"/>
              </w:rPr>
              <w:t>/</w:t>
            </w:r>
            <w:r>
              <w:rPr/>
              <w:t>MSH</w:t>
            </w:r>
            <w:r>
              <w:rPr>
                <w:spacing w:val="2"/>
              </w:rPr>
              <w:t>-H 的复发或者晚期</w:t>
            </w:r>
            <w:r>
              <w:rPr/>
              <w:t xml:space="preserve"> </w:t>
            </w:r>
            <w:r>
              <w:rPr>
                <w:spacing w:val="5"/>
              </w:rPr>
              <w:t>肿瘤）</w:t>
            </w:r>
          </w:p>
          <w:p>
            <w:pPr>
              <w:pStyle w:val="TableText"/>
              <w:ind w:left="236" w:right="416" w:hanging="152"/>
              <w:spacing w:line="247" w:lineRule="auto"/>
              <w:rPr/>
            </w:pPr>
            <w:r>
              <w:rPr>
                <w:spacing w:val="-6"/>
              </w:rPr>
              <w:t>帕姆单抗（MSI-H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或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dMMR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或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TMB</w:t>
            </w:r>
            <w:r>
              <w:rPr>
                <w:spacing w:val="-7"/>
              </w:rPr>
              <w:t>≥10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突</w:t>
            </w:r>
            <w:r>
              <w:rPr/>
              <w:t xml:space="preserve"> </w:t>
            </w:r>
            <w:r>
              <w:rPr>
                <w:spacing w:val="3"/>
              </w:rPr>
              <w:t>变/百万碱基）</w:t>
            </w:r>
          </w:p>
          <w:p>
            <w:pPr>
              <w:ind w:left="76"/>
              <w:spacing w:line="231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8"/>
              </w:rPr>
              <w:t>激素疗法</w:t>
            </w:r>
          </w:p>
          <w:p>
            <w:pPr>
              <w:pStyle w:val="TableText"/>
              <w:ind w:left="77" w:right="1197"/>
              <w:spacing w:before="77" w:line="268" w:lineRule="auto"/>
              <w:rPr>
                <w:rFonts w:ascii="SimHei" w:hAnsi="SimHei" w:eastAsia="SimHei" w:cs="SimHei"/>
              </w:rPr>
            </w:pPr>
            <w:r>
              <w:rPr>
                <w:spacing w:val="1"/>
              </w:rPr>
              <w:t>氟维司琼（低级别浆液性癌）</w:t>
            </w:r>
            <w:r>
              <w:rPr>
                <w:spacing w:val="7"/>
              </w:rPr>
              <w:t xml:space="preserve"> </w:t>
            </w:r>
            <w:r>
              <w:rPr>
                <w:rFonts w:ascii="SimHei" w:hAnsi="SimHei" w:eastAsia="SimHei" w:cs="SimHei"/>
                <w:spacing w:val="8"/>
              </w:rPr>
              <w:t>靶向治疗</w:t>
            </w:r>
          </w:p>
          <w:p>
            <w:pPr>
              <w:pStyle w:val="TableText"/>
              <w:ind w:left="76"/>
              <w:spacing w:before="24" w:line="212" w:lineRule="auto"/>
              <w:rPr/>
            </w:pPr>
            <w:r>
              <w:rPr/>
              <w:t>达拉非尼+曲美替尼（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</w:rPr>
              <w:t>BRAF</w:t>
            </w:r>
            <w:r>
              <w:rPr/>
              <w:t>V600E 阳性肿瘤）</w:t>
            </w:r>
          </w:p>
          <w:p>
            <w:pPr>
              <w:pStyle w:val="TableText"/>
              <w:ind w:left="233" w:right="56" w:hanging="158"/>
              <w:spacing w:before="39" w:line="247" w:lineRule="auto"/>
              <w:rPr/>
            </w:pPr>
            <w:r>
              <w:rPr>
                <w:spacing w:val="7"/>
              </w:rPr>
              <w:t>恩曲替尼或拉罗替尼（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</w:rPr>
              <w:t>NTRK</w:t>
            </w:r>
            <w:r>
              <w:rPr>
                <w:spacing w:val="7"/>
              </w:rPr>
              <w:t>基因融合阳性肿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瘤）</w:t>
            </w:r>
          </w:p>
          <w:p>
            <w:pPr>
              <w:pStyle w:val="TableText"/>
              <w:ind w:left="78"/>
              <w:spacing w:line="211" w:lineRule="auto"/>
              <w:rPr/>
            </w:pPr>
            <w:r>
              <w:rPr>
                <w:spacing w:val="-7"/>
              </w:rPr>
              <w:t>Mirvetuximab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7"/>
              </w:rPr>
              <w:t>Soravtansine/贝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伐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珠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单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抗（</w:t>
            </w:r>
            <w:r>
              <w:rPr>
                <w:rFonts w:ascii="Arial" w:hAnsi="Arial" w:eastAsia="Arial" w:cs="Arial"/>
                <w:i/>
                <w:iCs/>
                <w:spacing w:val="-8"/>
              </w:rPr>
              <w:t>FR-</w:t>
            </w:r>
            <w:r>
              <w:rPr>
                <w:spacing w:val="-8"/>
              </w:rPr>
              <w:t>a</w:t>
            </w:r>
          </w:p>
          <w:p>
            <w:pPr>
              <w:pStyle w:val="TableText"/>
              <w:ind w:left="250"/>
              <w:spacing w:before="38" w:line="212" w:lineRule="auto"/>
              <w:rPr/>
            </w:pPr>
            <w:r>
              <w:rPr>
                <w:spacing w:val="4"/>
              </w:rPr>
              <w:t>阳性肿瘤）</w:t>
            </w:r>
          </w:p>
          <w:p>
            <w:pPr>
              <w:pStyle w:val="TableText"/>
              <w:ind w:left="93" w:right="563" w:hanging="18"/>
              <w:spacing w:before="38" w:line="247" w:lineRule="auto"/>
              <w:rPr/>
            </w:pPr>
            <w:r>
              <w:rPr>
                <w:spacing w:val="2"/>
              </w:rPr>
              <w:t>塞尔帕替尼（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</w:rPr>
              <w:t>RET</w:t>
            </w:r>
            <w:r>
              <w:rPr>
                <w:spacing w:val="2"/>
              </w:rPr>
              <w:t>基因融合阳性肿瘤）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比美替尼（低级别浆液性癌）</w:t>
            </w:r>
          </w:p>
          <w:p>
            <w:pPr>
              <w:pStyle w:val="TableText"/>
              <w:ind w:left="90"/>
              <w:spacing w:before="1" w:line="211" w:lineRule="auto"/>
              <w:rPr/>
            </w:pPr>
            <w:r>
              <w:rPr>
                <w:spacing w:val="4"/>
              </w:rPr>
              <w:t>曲美替尼（低级别浆液性癌）</w:t>
            </w:r>
          </w:p>
        </w:tc>
      </w:tr>
    </w:tbl>
    <w:p>
      <w:pPr>
        <w:pStyle w:val="BodyText"/>
        <w:ind w:left="167"/>
        <w:spacing w:before="61" w:line="21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注：含铂方案不能用于铂难治患者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3371"/>
        <w:spacing w:before="74" w:line="193" w:lineRule="auto"/>
        <w:rPr/>
      </w:pPr>
      <w:r>
        <w:rPr>
          <w:rFonts w:ascii="SimHei" w:hAnsi="SimHei" w:eastAsia="SimHei" w:cs="SimHei"/>
          <w:spacing w:val="9"/>
        </w:rPr>
        <w:t>表7</w:t>
      </w:r>
      <w:r>
        <w:rPr>
          <w:rFonts w:ascii="SimHei" w:hAnsi="SimHei" w:eastAsia="SimHei" w:cs="SimHei"/>
          <w:spacing w:val="9"/>
        </w:rPr>
        <w:t xml:space="preserve">  </w:t>
      </w:r>
      <w:r>
        <w:rPr>
          <w:spacing w:val="9"/>
        </w:rPr>
        <w:t>恶性生殖细胞初始治疗方案</w:t>
      </w:r>
    </w:p>
    <w:p>
      <w:pPr>
        <w:spacing w:line="93" w:lineRule="exact"/>
        <w:rPr/>
      </w:pPr>
      <w:r/>
    </w:p>
    <w:tbl>
      <w:tblPr>
        <w:tblStyle w:val="TableNormal"/>
        <w:tblW w:w="935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816"/>
        <w:gridCol w:w="4538"/>
      </w:tblGrid>
      <w:tr>
        <w:trPr>
          <w:trHeight w:val="274" w:hRule="atLeast"/>
        </w:trPr>
        <w:tc>
          <w:tcPr>
            <w:tcW w:w="481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41"/>
              <w:spacing w:before="57" w:line="187" w:lineRule="auto"/>
              <w:rPr/>
            </w:pPr>
            <w:r>
              <w:rPr>
                <w:spacing w:val="8"/>
              </w:rPr>
              <w:t>首选方案</w:t>
            </w:r>
          </w:p>
        </w:tc>
        <w:tc>
          <w:tcPr>
            <w:tcW w:w="453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93"/>
              <w:spacing w:before="56" w:line="187" w:lineRule="auto"/>
              <w:rPr/>
            </w:pPr>
            <w:r>
              <w:rPr>
                <w:spacing w:val="9"/>
              </w:rPr>
              <w:t>某些情况有效</w:t>
            </w:r>
          </w:p>
        </w:tc>
      </w:tr>
      <w:tr>
        <w:trPr>
          <w:trHeight w:val="293" w:hRule="atLeast"/>
        </w:trPr>
        <w:tc>
          <w:tcPr>
            <w:tcW w:w="4816" w:type="dxa"/>
            <w:vAlign w:val="top"/>
            <w:tcBorders>
              <w:top w:val="single" w:color="231F20" w:sz="2" w:space="0"/>
            </w:tcBorders>
          </w:tcPr>
          <w:p>
            <w:pPr>
              <w:ind w:left="383"/>
              <w:spacing w:before="86" w:line="230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</w:rPr>
              <w:t>BEP</w:t>
            </w:r>
            <w:r>
              <w:rPr>
                <w:rFonts w:ascii="SimHei" w:hAnsi="SimHei" w:eastAsia="SimHei" w:cs="SimHei"/>
                <w:sz w:val="15"/>
                <w:szCs w:val="15"/>
                <w:spacing w:val="9"/>
              </w:rPr>
              <w:t>(博来霉素/依托泊苷/顺铂)</w:t>
            </w:r>
          </w:p>
        </w:tc>
        <w:tc>
          <w:tcPr>
            <w:tcW w:w="4538" w:type="dxa"/>
            <w:vAlign w:val="top"/>
            <w:tcBorders>
              <w:top w:val="single" w:color="231F20" w:sz="2" w:space="0"/>
            </w:tcBorders>
          </w:tcPr>
          <w:p>
            <w:pPr>
              <w:ind w:left="299"/>
              <w:spacing w:before="86" w:line="224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6"/>
              </w:rPr>
              <w:t>依托泊苷/卡铂(部分</w:t>
            </w:r>
            <w:r>
              <w:rPr>
                <w:rFonts w:ascii="SimHei" w:hAnsi="SimHei" w:eastAsia="SimHei" w:cs="SimHei"/>
                <w:sz w:val="15"/>
                <w:szCs w:val="15"/>
                <w:spacing w:val="6"/>
              </w:rPr>
              <w:t xml:space="preserve"> </w:t>
            </w:r>
            <w:r>
              <w:rPr>
                <w:rFonts w:ascii="SimHei" w:hAnsi="SimHei" w:eastAsia="SimHei" w:cs="SimHei"/>
                <w:sz w:val="15"/>
                <w:szCs w:val="15"/>
                <w:spacing w:val="6"/>
              </w:rPr>
              <w:t>ⅠB~Ⅲ期无性细胞瘤，为</w:t>
            </w:r>
            <w:r>
              <w:rPr>
                <w:rFonts w:ascii="SimHei" w:hAnsi="SimHei" w:eastAsia="SimHei" w:cs="SimHei"/>
                <w:sz w:val="15"/>
                <w:szCs w:val="15"/>
                <w:spacing w:val="5"/>
              </w:rPr>
              <w:t>减轻毒性)</w:t>
            </w:r>
          </w:p>
        </w:tc>
      </w:tr>
      <w:tr>
        <w:trPr>
          <w:trHeight w:val="269" w:hRule="atLeast"/>
        </w:trPr>
        <w:tc>
          <w:tcPr>
            <w:tcW w:w="4816" w:type="dxa"/>
            <w:vAlign w:val="top"/>
          </w:tcPr>
          <w:p>
            <w:pPr>
              <w:pStyle w:val="TableText"/>
              <w:ind w:left="379"/>
              <w:spacing w:before="60" w:line="185" w:lineRule="auto"/>
              <w:rPr/>
            </w:pPr>
            <w:r>
              <w:rPr>
                <w:spacing w:val="-5"/>
              </w:rPr>
              <w:t>博来霉素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30U/周，静脉</w:t>
            </w:r>
          </w:p>
        </w:tc>
        <w:tc>
          <w:tcPr>
            <w:tcW w:w="4538" w:type="dxa"/>
            <w:vAlign w:val="top"/>
          </w:tcPr>
          <w:p>
            <w:pPr>
              <w:pStyle w:val="TableText"/>
              <w:ind w:left="300"/>
              <w:spacing w:before="57" w:line="188" w:lineRule="auto"/>
              <w:rPr/>
            </w:pPr>
            <w:r>
              <w:rPr>
                <w:spacing w:val="-16"/>
              </w:rPr>
              <w:t>D1：卡铂</w:t>
            </w:r>
            <w:r>
              <w:rPr>
                <w:spacing w:val="-23"/>
              </w:rPr>
              <w:t xml:space="preserve"> </w:t>
            </w:r>
            <w:r>
              <w:rPr>
                <w:spacing w:val="-16"/>
              </w:rPr>
              <w:t>400 mg/m</w:t>
            </w:r>
            <w:r>
              <w:rPr>
                <w:sz w:val="7"/>
                <w:szCs w:val="7"/>
                <w:spacing w:val="8"/>
                <w:position w:val="6"/>
              </w:rPr>
              <w:t>2 </w:t>
            </w:r>
            <w:r>
              <w:rPr>
                <w:spacing w:val="8"/>
              </w:rPr>
              <w:t>静脉滴注</w:t>
            </w:r>
          </w:p>
        </w:tc>
      </w:tr>
      <w:tr>
        <w:trPr>
          <w:trHeight w:val="262" w:hRule="atLeast"/>
        </w:trPr>
        <w:tc>
          <w:tcPr>
            <w:tcW w:w="4816" w:type="dxa"/>
            <w:vAlign w:val="top"/>
          </w:tcPr>
          <w:p>
            <w:pPr>
              <w:pStyle w:val="TableText"/>
              <w:ind w:left="383"/>
              <w:spacing w:before="53" w:line="185" w:lineRule="auto"/>
              <w:rPr/>
            </w:pPr>
            <w:r>
              <w:rPr>
                <w:spacing w:val="-13"/>
              </w:rPr>
              <w:t>D1</w:t>
            </w:r>
            <w:r>
              <w:rPr>
                <w:color w:val="231F20"/>
                <w:spacing w:val="-13"/>
              </w:rPr>
              <w:t>~</w:t>
            </w:r>
            <w:r>
              <w:rPr>
                <w:spacing w:val="-13"/>
              </w:rPr>
              <w:t>5：依托泊苷 100 mg/m</w:t>
            </w:r>
            <w:r>
              <w:rPr>
                <w:sz w:val="7"/>
                <w:szCs w:val="7"/>
                <w:spacing w:val="1"/>
                <w:position w:val="6"/>
              </w:rPr>
              <w:t>2</w:t>
            </w:r>
            <w:r>
              <w:rPr>
                <w:spacing w:val="-14"/>
              </w:rPr>
              <w:t>，静脉滴注，顺铂</w:t>
            </w:r>
            <w:r>
              <w:rPr>
                <w:spacing w:val="-20"/>
              </w:rPr>
              <w:t xml:space="preserve"> </w:t>
            </w:r>
            <w:r>
              <w:rPr>
                <w:spacing w:val="-14"/>
              </w:rPr>
              <w:t>20 mg/m</w:t>
            </w:r>
            <w:r>
              <w:rPr>
                <w:sz w:val="7"/>
                <w:szCs w:val="7"/>
                <w:spacing w:val="8"/>
                <w:position w:val="6"/>
              </w:rPr>
              <w:t>2 </w:t>
            </w:r>
            <w:r>
              <w:rPr>
                <w:spacing w:val="8"/>
              </w:rPr>
              <w:t>静脉滴注</w:t>
            </w:r>
          </w:p>
        </w:tc>
        <w:tc>
          <w:tcPr>
            <w:tcW w:w="4538" w:type="dxa"/>
            <w:vAlign w:val="top"/>
          </w:tcPr>
          <w:p>
            <w:pPr>
              <w:pStyle w:val="TableText"/>
              <w:ind w:left="300"/>
              <w:spacing w:before="53" w:line="185" w:lineRule="auto"/>
              <w:rPr/>
            </w:pPr>
            <w:r>
              <w:rPr>
                <w:spacing w:val="-13"/>
              </w:rPr>
              <w:t>D1</w:t>
            </w:r>
            <w:r>
              <w:rPr>
                <w:color w:val="231F20"/>
                <w:spacing w:val="-13"/>
              </w:rPr>
              <w:t>~</w:t>
            </w:r>
            <w:r>
              <w:rPr>
                <w:spacing w:val="-13"/>
              </w:rPr>
              <w:t>3：依托泊苷 120 mg/m</w:t>
            </w:r>
            <w:r>
              <w:rPr>
                <w:sz w:val="7"/>
                <w:szCs w:val="7"/>
                <w:spacing w:val="6"/>
                <w:position w:val="6"/>
              </w:rPr>
              <w:t>2 </w:t>
            </w:r>
            <w:r>
              <w:rPr>
                <w:spacing w:val="6"/>
              </w:rPr>
              <w:t>静脉滴注</w:t>
            </w:r>
          </w:p>
        </w:tc>
      </w:tr>
      <w:tr>
        <w:trPr>
          <w:trHeight w:val="301" w:hRule="atLeast"/>
        </w:trPr>
        <w:tc>
          <w:tcPr>
            <w:tcW w:w="481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82"/>
              <w:spacing w:before="55" w:line="212" w:lineRule="auto"/>
              <w:rPr/>
            </w:pPr>
            <w:r>
              <w:rPr>
                <w:spacing w:val="-8"/>
              </w:rPr>
              <w:t>每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21d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重复，低危（2B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类证据）3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疗程，高危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4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个疗程</w:t>
            </w:r>
          </w:p>
        </w:tc>
        <w:tc>
          <w:tcPr>
            <w:tcW w:w="453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00"/>
              <w:spacing w:before="59" w:line="205" w:lineRule="auto"/>
              <w:rPr/>
            </w:pPr>
            <w:r>
              <w:rPr>
                <w:spacing w:val="-7"/>
              </w:rPr>
              <w:t>每</w:t>
            </w:r>
            <w:r>
              <w:rPr>
                <w:spacing w:val="-11"/>
              </w:rPr>
              <w:t xml:space="preserve"> </w:t>
            </w:r>
            <w:r>
              <w:rPr>
                <w:spacing w:val="-7"/>
              </w:rPr>
              <w:t>28d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重复，3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个疗程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5"/>
          <w:pgSz w:w="12076" w:h="17008"/>
          <w:pgMar w:top="1654" w:right="1360" w:bottom="0" w:left="1359" w:header="1408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76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64401</wp:posOffset>
            </wp:positionH>
            <wp:positionV relativeFrom="paragraph">
              <wp:posOffset>-16280</wp:posOffset>
            </wp:positionV>
            <wp:extent cx="2298700" cy="63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356"/>
        <w:spacing w:before="73" w:line="193" w:lineRule="auto"/>
        <w:rPr/>
      </w:pPr>
      <w:r>
        <w:rPr>
          <w:rFonts w:ascii="SimHei" w:hAnsi="SimHei" w:eastAsia="SimHei" w:cs="SimHei"/>
          <w:spacing w:val="9"/>
        </w:rPr>
        <w:t>表8</w:t>
      </w:r>
      <w:r>
        <w:rPr>
          <w:rFonts w:ascii="SimHei" w:hAnsi="SimHei" w:eastAsia="SimHei" w:cs="SimHei"/>
          <w:spacing w:val="9"/>
        </w:rPr>
        <w:t xml:space="preserve">  </w:t>
      </w:r>
      <w:r>
        <w:rPr>
          <w:spacing w:val="9"/>
        </w:rPr>
        <w:t>复发恶性生殖细胞治疗方案</w:t>
      </w:r>
    </w:p>
    <w:p>
      <w:pPr>
        <w:spacing w:line="140" w:lineRule="exact"/>
        <w:rPr/>
      </w:pPr>
      <w:r/>
    </w:p>
    <w:tbl>
      <w:tblPr>
        <w:tblStyle w:val="TableNormal"/>
        <w:tblW w:w="932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97"/>
        <w:gridCol w:w="6729"/>
      </w:tblGrid>
      <w:tr>
        <w:trPr>
          <w:trHeight w:val="274" w:hRule="atLeast"/>
        </w:trPr>
        <w:tc>
          <w:tcPr>
            <w:tcW w:w="259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01"/>
              <w:spacing w:before="57" w:line="187" w:lineRule="auto"/>
              <w:rPr/>
            </w:pPr>
            <w:r>
              <w:rPr>
                <w:spacing w:val="8"/>
              </w:rPr>
              <w:t>首选方案</w:t>
            </w:r>
          </w:p>
        </w:tc>
        <w:tc>
          <w:tcPr>
            <w:tcW w:w="672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921"/>
              <w:spacing w:before="56" w:line="189" w:lineRule="auto"/>
              <w:rPr/>
            </w:pPr>
            <w:r>
              <w:rPr>
                <w:spacing w:val="9"/>
              </w:rPr>
              <w:t>其他推荐方案</w:t>
            </w:r>
          </w:p>
        </w:tc>
      </w:tr>
      <w:tr>
        <w:trPr>
          <w:trHeight w:val="258" w:hRule="atLeast"/>
        </w:trPr>
        <w:tc>
          <w:tcPr>
            <w:tcW w:w="2597" w:type="dxa"/>
            <w:vAlign w:val="top"/>
            <w:tcBorders>
              <w:top w:val="single" w:color="231F20" w:sz="2" w:space="0"/>
            </w:tcBorders>
          </w:tcPr>
          <w:p>
            <w:pPr>
              <w:ind w:left="62"/>
              <w:spacing w:before="53" w:line="231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8"/>
              </w:rPr>
              <w:t>潜在治愈</w:t>
            </w:r>
          </w:p>
        </w:tc>
        <w:tc>
          <w:tcPr>
            <w:tcW w:w="6729" w:type="dxa"/>
            <w:vAlign w:val="top"/>
            <w:tcBorders>
              <w:top w:val="single" w:color="231F20" w:sz="2" w:space="0"/>
            </w:tcBorders>
          </w:tcPr>
          <w:p>
            <w:pPr>
              <w:ind w:left="130"/>
              <w:spacing w:before="53" w:line="231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8"/>
              </w:rPr>
              <w:t>姑息治疗</w:t>
            </w:r>
          </w:p>
        </w:tc>
      </w:tr>
      <w:tr>
        <w:trPr>
          <w:trHeight w:val="264" w:hRule="atLeast"/>
        </w:trPr>
        <w:tc>
          <w:tcPr>
            <w:tcW w:w="2597" w:type="dxa"/>
            <w:vAlign w:val="top"/>
          </w:tcPr>
          <w:p>
            <w:pPr>
              <w:pStyle w:val="TableText"/>
              <w:ind w:left="63"/>
              <w:spacing w:before="59" w:line="181" w:lineRule="auto"/>
              <w:rPr/>
            </w:pPr>
            <w:r>
              <w:rPr/>
              <w:t>大剂量化疗+造血干细胞移植（SCT）</w:t>
            </w:r>
          </w:p>
        </w:tc>
        <w:tc>
          <w:tcPr>
            <w:tcW w:w="6729" w:type="dxa"/>
            <w:vAlign w:val="top"/>
          </w:tcPr>
          <w:p>
            <w:pPr>
              <w:pStyle w:val="TableText"/>
              <w:ind w:left="124"/>
              <w:spacing w:before="59" w:line="181" w:lineRule="auto"/>
              <w:rPr/>
            </w:pPr>
            <w:r>
              <w:rPr>
                <w:spacing w:val="-3"/>
              </w:rPr>
              <w:t>顺铂/依托泊苷（既往未用）、多烯紫杉醇、多烯紫杉醇/卡铂、依托泊苷（口服）、依托泊苷/异环</w:t>
            </w:r>
          </w:p>
        </w:tc>
      </w:tr>
      <w:tr>
        <w:trPr>
          <w:trHeight w:val="802" w:hRule="atLeast"/>
        </w:trPr>
        <w:tc>
          <w:tcPr>
            <w:tcW w:w="259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8"/>
              <w:spacing w:before="60" w:line="212" w:lineRule="auto"/>
              <w:rPr/>
            </w:pPr>
            <w:r>
              <w:rPr>
                <w:spacing w:val="-1"/>
              </w:rPr>
              <w:t>TIP（紫杉醇/异环磷酰胺/顺铂）</w:t>
            </w:r>
          </w:p>
        </w:tc>
        <w:tc>
          <w:tcPr>
            <w:tcW w:w="672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87" w:right="177" w:hanging="1"/>
              <w:spacing w:before="61" w:line="227" w:lineRule="auto"/>
              <w:jc w:val="both"/>
              <w:rPr/>
            </w:pPr>
            <w:r>
              <w:rPr>
                <w:spacing w:val="-3"/>
              </w:rPr>
              <w:t>磷酰胺/顺铂（VIP）、吉西他滨/紫杉醇/奥沙利铂、吉西他滨/奥沙利铂、紫杉醇、紫杉醇/卡</w:t>
            </w:r>
            <w:r>
              <w:rPr>
                <w:spacing w:val="-4"/>
              </w:rPr>
              <w:t>铂、</w:t>
            </w:r>
            <w:r>
              <w:rPr/>
              <w:t xml:space="preserve"> </w:t>
            </w:r>
            <w:r>
              <w:rPr>
                <w:spacing w:val="3"/>
              </w:rPr>
              <w:t>紫杉醇/吉西他滨、紫杉醇/异环磷酰胺、帕姆单抗（</w:t>
            </w:r>
            <w:r>
              <w:rPr/>
              <w:t>MSI</w:t>
            </w:r>
            <w:r>
              <w:rPr>
                <w:spacing w:val="3"/>
              </w:rPr>
              <w:t>-H/</w:t>
            </w:r>
            <w:r>
              <w:rPr/>
              <w:t>dMMR</w:t>
            </w:r>
            <w:r>
              <w:rPr>
                <w:spacing w:val="14"/>
              </w:rPr>
              <w:t xml:space="preserve"> </w:t>
            </w:r>
            <w:r>
              <w:rPr>
                <w:spacing w:val="2"/>
              </w:rPr>
              <w:t>或</w:t>
            </w:r>
            <w:r>
              <w:rPr>
                <w:spacing w:val="-11"/>
              </w:rPr>
              <w:t xml:space="preserve"> </w:t>
            </w:r>
            <w:r>
              <w:rPr/>
              <w:t>TMB</w:t>
            </w:r>
            <w:r>
              <w:rPr>
                <w:spacing w:val="2"/>
              </w:rPr>
              <w:t>-H）</w:t>
            </w:r>
            <w:r>
              <w:rPr/>
              <w:t>VeIP</w:t>
            </w:r>
            <w:r>
              <w:rPr>
                <w:spacing w:val="2"/>
              </w:rPr>
              <w:t>（长春</w:t>
            </w:r>
            <w:r>
              <w:rPr/>
              <w:t xml:space="preserve">  </w:t>
            </w:r>
            <w:r>
              <w:rPr>
                <w:spacing w:val="-8"/>
              </w:rPr>
              <w:t>碱/异环磷酰胺/顺铂）、VAC（长春新碱、达</w:t>
            </w:r>
            <w:r>
              <w:rPr>
                <w:spacing w:val="-9"/>
              </w:rPr>
              <w:t>克霉素、环磷酰胺）、TIP、支持治疗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60" w:lineRule="exact"/>
        <w:rPr/>
      </w:pPr>
      <w:r/>
    </w:p>
    <w:p>
      <w:pPr>
        <w:spacing w:line="60" w:lineRule="exact"/>
        <w:sectPr>
          <w:headerReference w:type="default" r:id="rId7"/>
          <w:pgSz w:w="12076" w:h="17008"/>
          <w:pgMar w:top="1654" w:right="1296" w:bottom="0" w:left="1360" w:header="1408" w:footer="0" w:gutter="0"/>
          <w:cols w:equalWidth="0" w:num="1">
            <w:col w:w="9419" w:space="0"/>
          </w:cols>
        </w:sectPr>
        <w:rPr/>
      </w:pPr>
    </w:p>
    <w:p>
      <w:pPr>
        <w:pStyle w:val="BodyText"/>
        <w:ind w:left="765"/>
        <w:spacing w:before="38" w:line="193" w:lineRule="auto"/>
        <w:rPr/>
      </w:pPr>
      <w:r>
        <w:rPr>
          <w:rFonts w:ascii="SimHei" w:hAnsi="SimHei" w:eastAsia="SimHei" w:cs="SimHei"/>
          <w:spacing w:val="9"/>
        </w:rPr>
        <w:t>表9</w:t>
      </w:r>
      <w:r>
        <w:rPr>
          <w:rFonts w:ascii="SimHei" w:hAnsi="SimHei" w:eastAsia="SimHei" w:cs="SimHei"/>
          <w:spacing w:val="9"/>
        </w:rPr>
        <w:t xml:space="preserve">  </w:t>
      </w:r>
      <w:r>
        <w:rPr>
          <w:spacing w:val="9"/>
        </w:rPr>
        <w:t>恶性性索间质肿瘤初始化疗方案</w:t>
      </w:r>
    </w:p>
    <w:p>
      <w:pPr>
        <w:spacing w:line="82" w:lineRule="exact"/>
        <w:rPr/>
      </w:pPr>
      <w:r/>
    </w:p>
    <w:tbl>
      <w:tblPr>
        <w:tblStyle w:val="TableNormal"/>
        <w:tblW w:w="450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98"/>
        <w:gridCol w:w="1766"/>
        <w:gridCol w:w="1238"/>
      </w:tblGrid>
      <w:tr>
        <w:trPr>
          <w:trHeight w:val="269" w:hRule="atLeast"/>
        </w:trPr>
        <w:tc>
          <w:tcPr>
            <w:tcW w:w="149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89"/>
              <w:spacing w:before="57" w:line="187" w:lineRule="auto"/>
              <w:rPr/>
            </w:pPr>
            <w:r>
              <w:rPr>
                <w:spacing w:val="8"/>
              </w:rPr>
              <w:t>首选方案</w:t>
            </w:r>
          </w:p>
        </w:tc>
        <w:tc>
          <w:tcPr>
            <w:tcW w:w="176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76"/>
              <w:spacing w:before="56" w:line="189" w:lineRule="auto"/>
              <w:rPr/>
            </w:pPr>
            <w:r>
              <w:rPr>
                <w:spacing w:val="9"/>
              </w:rPr>
              <w:t>其他推荐方案</w:t>
            </w:r>
          </w:p>
        </w:tc>
        <w:tc>
          <w:tcPr>
            <w:tcW w:w="123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5"/>
              <w:spacing w:before="56" w:line="187" w:lineRule="auto"/>
              <w:rPr/>
            </w:pPr>
            <w:r>
              <w:rPr>
                <w:spacing w:val="9"/>
              </w:rPr>
              <w:t>某些情况有效</w:t>
            </w:r>
          </w:p>
        </w:tc>
      </w:tr>
      <w:tr>
        <w:trPr>
          <w:trHeight w:val="279" w:hRule="atLeast"/>
        </w:trPr>
        <w:tc>
          <w:tcPr>
            <w:tcW w:w="1498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389"/>
              <w:spacing w:before="65" w:line="190" w:lineRule="auto"/>
              <w:rPr/>
            </w:pPr>
            <w:r>
              <w:rPr>
                <w:spacing w:val="4"/>
              </w:rPr>
              <w:t>紫杉醇/卡铂</w:t>
            </w:r>
          </w:p>
        </w:tc>
        <w:tc>
          <w:tcPr>
            <w:tcW w:w="1766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280"/>
              <w:spacing w:before="63" w:line="192" w:lineRule="auto"/>
              <w:rPr/>
            </w:pPr>
            <w:r>
              <w:rPr>
                <w:spacing w:val="-2"/>
              </w:rPr>
              <w:t>依托泊苷/顺铂（EP）</w:t>
            </w:r>
          </w:p>
        </w:tc>
        <w:tc>
          <w:tcPr>
            <w:tcW w:w="1238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239"/>
              <w:spacing w:before="63" w:line="192" w:lineRule="auto"/>
              <w:rPr/>
            </w:pPr>
            <w:r>
              <w:rPr>
                <w:spacing w:val="-8"/>
              </w:rPr>
              <w:t>BEP（2B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类）</w:t>
            </w:r>
          </w:p>
        </w:tc>
      </w:tr>
    </w:tbl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720"/>
        <w:spacing w:before="74" w:line="193" w:lineRule="auto"/>
        <w:rPr/>
      </w:pPr>
      <w:r>
        <w:rPr>
          <w:rFonts w:ascii="SimHei" w:hAnsi="SimHei" w:eastAsia="SimHei" w:cs="SimHei"/>
          <w:spacing w:val="7"/>
        </w:rPr>
        <w:t>表</w:t>
      </w:r>
      <w:r>
        <w:rPr>
          <w:rFonts w:ascii="SimHei" w:hAnsi="SimHei" w:eastAsia="SimHei" w:cs="SimHei"/>
          <w:spacing w:val="-37"/>
        </w:rPr>
        <w:t xml:space="preserve"> </w:t>
      </w:r>
      <w:r>
        <w:rPr>
          <w:rFonts w:ascii="SimHei" w:hAnsi="SimHei" w:eastAsia="SimHei" w:cs="SimHei"/>
          <w:spacing w:val="7"/>
        </w:rPr>
        <w:t>10</w:t>
      </w:r>
      <w:r>
        <w:rPr>
          <w:rFonts w:ascii="SimHei" w:hAnsi="SimHei" w:eastAsia="SimHei" w:cs="SimHei"/>
          <w:spacing w:val="7"/>
        </w:rPr>
        <w:t xml:space="preserve">  </w:t>
      </w:r>
      <w:r>
        <w:rPr>
          <w:spacing w:val="7"/>
        </w:rPr>
        <w:t>复发恶性性索间质肿瘤化疗方案</w:t>
      </w:r>
    </w:p>
    <w:p>
      <w:pPr>
        <w:spacing w:line="104" w:lineRule="exact"/>
        <w:rPr/>
      </w:pPr>
      <w:r/>
    </w:p>
    <w:tbl>
      <w:tblPr>
        <w:tblStyle w:val="TableNormal"/>
        <w:tblW w:w="450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00"/>
        <w:gridCol w:w="1871"/>
        <w:gridCol w:w="1931"/>
      </w:tblGrid>
      <w:tr>
        <w:trPr>
          <w:trHeight w:val="274" w:hRule="atLeast"/>
        </w:trPr>
        <w:tc>
          <w:tcPr>
            <w:tcW w:w="70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7"/>
              <w:spacing w:before="57" w:line="187" w:lineRule="auto"/>
              <w:rPr/>
            </w:pPr>
            <w:r>
              <w:rPr>
                <w:spacing w:val="8"/>
              </w:rPr>
              <w:t>首选方案</w:t>
            </w:r>
          </w:p>
        </w:tc>
        <w:tc>
          <w:tcPr>
            <w:tcW w:w="187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53"/>
              <w:spacing w:before="56" w:line="189" w:lineRule="auto"/>
              <w:rPr/>
            </w:pPr>
            <w:r>
              <w:rPr>
                <w:spacing w:val="9"/>
              </w:rPr>
              <w:t>其他推荐方案</w:t>
            </w:r>
          </w:p>
        </w:tc>
        <w:tc>
          <w:tcPr>
            <w:tcW w:w="193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89"/>
              <w:spacing w:before="56" w:line="187" w:lineRule="auto"/>
              <w:rPr/>
            </w:pPr>
            <w:r>
              <w:rPr>
                <w:spacing w:val="9"/>
              </w:rPr>
              <w:t>某些情况有效</w:t>
            </w:r>
          </w:p>
        </w:tc>
      </w:tr>
      <w:tr>
        <w:trPr>
          <w:trHeight w:val="1635" w:hRule="atLeast"/>
        </w:trPr>
        <w:tc>
          <w:tcPr>
            <w:tcW w:w="700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222" w:right="69" w:hanging="160"/>
              <w:spacing w:before="54" w:line="249" w:lineRule="auto"/>
              <w:rPr/>
            </w:pPr>
            <w:r>
              <w:rPr>
                <w:spacing w:val="-2"/>
              </w:rPr>
              <w:t>紫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杉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醇/</w:t>
            </w:r>
            <w:r>
              <w:rPr/>
              <w:t xml:space="preserve"> </w:t>
            </w:r>
            <w:r>
              <w:rPr>
                <w:spacing w:val="6"/>
              </w:rPr>
              <w:t>卡铂</w:t>
            </w:r>
          </w:p>
        </w:tc>
        <w:tc>
          <w:tcPr>
            <w:tcW w:w="1871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206" w:hanging="158"/>
              <w:spacing w:before="53" w:line="247" w:lineRule="auto"/>
              <w:rPr/>
            </w:pPr>
            <w:r>
              <w:rPr>
                <w:spacing w:val="-9"/>
              </w:rPr>
              <w:t>EP（既往未用）、紫杉醇/异</w:t>
            </w:r>
            <w:r>
              <w:rPr/>
              <w:t xml:space="preserve">  </w:t>
            </w:r>
            <w:r>
              <w:rPr>
                <w:spacing w:val="1"/>
              </w:rPr>
              <w:t>环磷酰胺、多烯紫杉醇、 </w:t>
            </w:r>
            <w:r>
              <w:rPr>
                <w:spacing w:val="-2"/>
              </w:rPr>
              <w:t>紫杉醇、支持疗法</w:t>
            </w:r>
          </w:p>
          <w:p>
            <w:pPr>
              <w:pStyle w:val="TableText"/>
              <w:ind w:left="45"/>
              <w:spacing w:line="216" w:lineRule="auto"/>
              <w:rPr/>
            </w:pPr>
            <w:r>
              <w:rPr>
                <w:spacing w:val="1"/>
              </w:rPr>
              <w:t>靶向治疗：贝伐珠单抗</w:t>
            </w:r>
          </w:p>
        </w:tc>
        <w:tc>
          <w:tcPr>
            <w:tcW w:w="1931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222" w:hanging="160"/>
              <w:spacing w:before="55" w:line="244" w:lineRule="auto"/>
              <w:rPr/>
            </w:pPr>
            <w:r>
              <w:rPr>
                <w:spacing w:val="14"/>
              </w:rPr>
              <w:t>芳香化酶抑制剂（如阿那</w:t>
            </w:r>
            <w:r>
              <w:rPr>
                <w:spacing w:val="2"/>
              </w:rPr>
              <w:t xml:space="preserve">  </w:t>
            </w:r>
            <w:r>
              <w:rPr>
                <w:spacing w:val="8"/>
              </w:rPr>
              <w:t>曲唑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、依西美坦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、来曲</w:t>
            </w:r>
            <w:r>
              <w:rPr/>
              <w:t xml:space="preserve">  </w:t>
            </w:r>
            <w:r>
              <w:rPr>
                <w:spacing w:val="-1"/>
              </w:rPr>
              <w:t>唑）、醋酸亮丙瑞林（颗</w:t>
            </w:r>
            <w:r>
              <w:rPr>
                <w:spacing w:val="4"/>
              </w:rPr>
              <w:t xml:space="preserve">  </w:t>
            </w:r>
            <w:r>
              <w:rPr>
                <w:spacing w:val="3"/>
              </w:rPr>
              <w:t>粒细胞瘤）、他莫昔芬</w:t>
            </w:r>
            <w:r>
              <w:rPr>
                <w:spacing w:val="-21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/>
              <w:t xml:space="preserve"> </w:t>
            </w:r>
            <w:r>
              <w:rPr>
                <w:spacing w:val="-5"/>
              </w:rPr>
              <w:t>BEP（既往未用，2B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类</w:t>
            </w:r>
            <w:r>
              <w:rPr>
                <w:spacing w:val="-36"/>
                <w:w w:val="99"/>
              </w:rPr>
              <w:t>），</w:t>
            </w:r>
            <w:r>
              <w:rPr/>
              <w:t xml:space="preserve"> </w:t>
            </w:r>
            <w:r>
              <w:rPr>
                <w:spacing w:val="-9"/>
              </w:rPr>
              <w:t>VAC（2B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类）</w:t>
            </w:r>
          </w:p>
        </w:tc>
      </w:tr>
    </w:tbl>
    <w:p>
      <w:pPr>
        <w:spacing w:line="442" w:lineRule="auto"/>
        <w:rPr>
          <w:rFonts w:ascii="Arial"/>
          <w:sz w:val="21"/>
        </w:rPr>
      </w:pPr>
      <w:r/>
    </w:p>
    <w:p>
      <w:pPr>
        <w:ind w:left="4"/>
        <w:spacing w:before="56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8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各类型卵巢癌的处理原则</w:t>
      </w:r>
    </w:p>
    <w:p>
      <w:pPr>
        <w:pStyle w:val="BodyText"/>
        <w:ind w:left="10"/>
        <w:spacing w:before="80" w:line="203" w:lineRule="auto"/>
        <w:rPr/>
      </w:pPr>
      <w:r>
        <w:rPr>
          <w:color w:val="231F20"/>
          <w:spacing w:val="3"/>
        </w:rPr>
        <w:t>8.1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3"/>
        </w:rPr>
        <w:t>上皮性卵巢癌</w:t>
      </w:r>
    </w:p>
    <w:p>
      <w:pPr>
        <w:pStyle w:val="BodyText"/>
        <w:ind w:left="2" w:right="127" w:firstLine="7"/>
        <w:spacing w:before="34" w:line="233" w:lineRule="auto"/>
        <w:rPr/>
      </w:pPr>
      <w:r>
        <w:rPr>
          <w:color w:val="231F20"/>
          <w:spacing w:val="-4"/>
        </w:rPr>
        <w:t>8.1.1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-4"/>
        </w:rPr>
        <w:t>诊断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-4"/>
        </w:rPr>
        <w:t>发现盆腔可疑包块和（或）腹水、腹胀和</w:t>
      </w:r>
      <w:r>
        <w:rPr>
          <w:color w:val="231F20"/>
          <w:spacing w:val="-5"/>
        </w:rPr>
        <w:t>（或）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其他明显恶性相关症状的患者，在行腹部/盆腔体格检查后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行超声和（或）腹部/盆腔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CT、MRI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或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PET</w:t>
      </w:r>
      <w:r>
        <w:rPr>
          <w:color w:val="231F20"/>
          <w:spacing w:val="-2"/>
        </w:rPr>
        <w:t>-CT、必要的实验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室检查和肿瘤标志物测定，包括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CA125、HE4、ROM</w:t>
      </w:r>
      <w:r>
        <w:rPr>
          <w:color w:val="231F20"/>
          <w:spacing w:val="-5"/>
        </w:rPr>
        <w:t>A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指数、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CA19-9、CEA、抑制素、AFP、β-hCG 和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LD</w:t>
      </w:r>
      <w:r>
        <w:rPr>
          <w:color w:val="231F20"/>
          <w:spacing w:val="-4"/>
        </w:rPr>
        <w:t>H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。胸部影像学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检查是必需检查项目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。拟诊早期卵巢癌应避免细针穿刺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进行诊断，以防止肿瘤破裂导致肿瘤腹腔内</w:t>
      </w:r>
      <w:r>
        <w:rPr>
          <w:color w:val="231F20"/>
          <w:spacing w:val="8"/>
        </w:rPr>
        <w:t>播散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。对于晚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期巨块型不适合手术患者，细针穿刺术是获得明确病理诊  </w:t>
      </w:r>
      <w:r>
        <w:rPr>
          <w:color w:val="231F20"/>
          <w:spacing w:val="8"/>
        </w:rPr>
        <w:t>断的必要手段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。必须排除来源于胃肠道、子宫、胰腺肿瘤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和淋巴瘤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4"/>
        </w:rPr>
        <w:t>同时排除卵巢良性病变和非卵巢病变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4"/>
        </w:rPr>
        <w:t>。了解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家族史。</w:t>
      </w:r>
    </w:p>
    <w:p>
      <w:pPr>
        <w:pStyle w:val="BodyText"/>
        <w:ind w:left="2" w:right="130" w:firstLine="7"/>
        <w:spacing w:before="67" w:line="230" w:lineRule="auto"/>
        <w:rPr/>
      </w:pPr>
      <w:r>
        <w:rPr>
          <w:color w:val="231F20"/>
          <w:spacing w:val="5"/>
        </w:rPr>
        <w:t>8.1.2   初始治疗    包括规范的手术分期、减瘤术，大部分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0"/>
        </w:rPr>
        <w:t>患者术后需要化疗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0"/>
        </w:rPr>
        <w:t>。希望保留生育功能的年轻患者，ⅠA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期可行患侧附件切除+全面分期手术；ⅠB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期可行双侧</w:t>
      </w:r>
      <w:r>
        <w:rPr>
          <w:color w:val="231F20"/>
          <w:spacing w:val="5"/>
        </w:rPr>
        <w:t>附件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切除（保留子宫）+全面分期手术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。不需保留生育功能的患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者，行全子宫双附件切除+全面分期手术或减瘤术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0"/>
        </w:rPr>
        <w:t>。术后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进行胚系和体细胞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BRCA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7"/>
        </w:rPr>
        <w:t>1/2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color w:val="231F20"/>
          <w:spacing w:val="7"/>
        </w:rPr>
        <w:t>和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HRD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检测及相应的辅助治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疗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。身体状态不适合立即手术或初次减瘤术达到满意减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瘤术可能性较低者，可行新辅助化疗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。新辅</w:t>
      </w:r>
      <w:r>
        <w:rPr>
          <w:color w:val="231F20"/>
          <w:spacing w:val="8"/>
        </w:rPr>
        <w:t>助化疗须由妇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科肿瘤专科医生确定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。化疗前最好有组织学证据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4"/>
        </w:rPr>
        <w:t>。若不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能活检取得病理标本，则需取腹水或胸水细胞学找到癌细  </w:t>
      </w:r>
      <w:r>
        <w:rPr>
          <w:color w:val="231F20"/>
          <w:spacing w:val="-2"/>
        </w:rPr>
        <w:t>胞结合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CA125/CEA 的比值（&gt;25）。 也可以用腹腔镜评估。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化疗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4"/>
        </w:rPr>
        <w:t>3~4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个疗程后缓解者可行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IDS</w:t>
      </w:r>
      <w:r>
        <w:rPr>
          <w:color w:val="231F20"/>
          <w:spacing w:val="4"/>
        </w:rPr>
        <w:t>，手术后继续完成至少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3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0" w:right="64" w:hanging="3"/>
        <w:spacing w:before="39" w:line="237" w:lineRule="auto"/>
        <w:rPr/>
      </w:pPr>
      <w:r>
        <w:rPr>
          <w:color w:val="231F20"/>
          <w:spacing w:val="13"/>
        </w:rPr>
        <w:t>个疗程的化疗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3"/>
        </w:rPr>
        <w:t>。化疗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3"/>
        </w:rPr>
        <w:t>3~4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3"/>
        </w:rPr>
        <w:t>个疗程后稳定者可选择立即行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IDS，也可以继续化疗至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6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个疗程再行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IDS，术后继续化疗。</w:t>
      </w:r>
    </w:p>
    <w:p>
      <w:pPr>
        <w:pStyle w:val="BodyText"/>
        <w:ind w:left="67" w:firstLine="7"/>
        <w:spacing w:before="10" w:line="230" w:lineRule="auto"/>
        <w:rPr/>
      </w:pPr>
      <w:r>
        <w:rPr>
          <w:color w:val="231F20"/>
          <w:spacing w:val="11"/>
        </w:rPr>
        <w:t>8.1.3   手术分期不全的处理    若患者接受了不全分期手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术（指子宫、附件、大网膜未切除，分期记录不完整，有残留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0"/>
        </w:rPr>
        <w:t>病灶</w:t>
      </w:r>
      <w:r>
        <w:rPr>
          <w:color w:val="231F20"/>
          <w:spacing w:val="-27"/>
          <w:w w:val="67"/>
        </w:rPr>
        <w:t>），</w:t>
      </w:r>
      <w:r>
        <w:rPr>
          <w:color w:val="231F20"/>
          <w:spacing w:val="10"/>
        </w:rPr>
        <w:t>应由妇科肿瘤医生进行评估，了解家族史、进行基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因检测、复习影像学资料、手术记录和病理及完善相关检  </w:t>
      </w:r>
      <w:r>
        <w:rPr>
          <w:color w:val="231F20"/>
          <w:spacing w:val="1"/>
        </w:rPr>
        <w:t>查（见“诊断”）。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"/>
        </w:rPr>
        <w:t>没有残留肿瘤证据者考虑完成全面分期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手术，术后根据分期、病理类型和组织分级确定是否化疗。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6"/>
        </w:rPr>
        <w:t>疑有残留病灶且可以切除者行减瘤术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。疑有残留病灶但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无法切除者，可新辅助化疗后再行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IDS</w:t>
      </w:r>
      <w:r>
        <w:rPr>
          <w:color w:val="231F20"/>
          <w:spacing w:val="2"/>
        </w:rPr>
        <w:t>。</w:t>
      </w:r>
    </w:p>
    <w:p>
      <w:pPr>
        <w:pStyle w:val="BodyText"/>
        <w:ind w:firstLine="75"/>
        <w:spacing w:before="57" w:line="232" w:lineRule="auto"/>
        <w:rPr/>
      </w:pPr>
      <w:r>
        <w:rPr>
          <w:color w:val="231F20"/>
          <w:spacing w:val="1"/>
        </w:rPr>
        <w:t>8.1.4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1"/>
        </w:rPr>
        <w:t>术后辅助治疗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  <w:spacing w:val="1"/>
        </w:rPr>
        <w:t>除了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ⅠA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和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Ⅰ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"/>
        </w:rPr>
        <w:t>B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期黏液性癌、</w:t>
      </w:r>
      <w:r>
        <w:rPr>
          <w:color w:val="231F20"/>
        </w:rPr>
        <w:t>低级  </w:t>
      </w:r>
      <w:r>
        <w:rPr>
          <w:color w:val="231F20"/>
          <w:spacing w:val="5"/>
        </w:rPr>
        <w:t>别浆液性癌和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5"/>
        </w:rPr>
        <w:t>G1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子宫内膜样癌不需化疗，ⅠA~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ⅠC1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期透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明细胞癌、ⅠC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期黏液性癌、ⅠC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期低级别浆液性癌和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G1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子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宫内膜样癌可选择化疗或观察外，其他患者术后均需接受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9"/>
        </w:rPr>
        <w:t>化疗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。 Ⅰ期高级别浆液癌推荐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6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个疗程化疗，Ⅰ期其他组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织类型推荐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4"/>
        </w:rPr>
        <w:t>3~6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个疗程化疗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。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Ⅱ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4"/>
        </w:rPr>
        <w:t>~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4"/>
        </w:rPr>
        <w:t>Ⅳ期推荐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6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个疗程化疗。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一般状态差、有内科合并症、＞70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9"/>
        </w:rPr>
        <w:t>岁患者可以选择紫杉醇</w:t>
      </w:r>
      <w:r>
        <w:rPr>
          <w:color w:val="231F20"/>
        </w:rPr>
        <w:t xml:space="preserve">  </w:t>
      </w:r>
      <w:r>
        <w:rPr>
          <w:color w:val="231F20"/>
          <w:spacing w:val="-17"/>
          <w:w w:val="97"/>
        </w:rPr>
        <w:t>（60mg/m</w:t>
      </w:r>
      <w:r>
        <w:rPr>
          <w:sz w:val="8"/>
          <w:szCs w:val="8"/>
          <w:color w:val="231F20"/>
          <w:spacing w:val="-2"/>
          <w:position w:val="7"/>
        </w:rPr>
        <w:t>2</w:t>
      </w:r>
      <w:r>
        <w:rPr>
          <w:color w:val="231F20"/>
          <w:spacing w:val="-14"/>
          <w:w w:val="99"/>
        </w:rPr>
        <w:t>）/卡铂（AUC2）周疗方案。</w:t>
      </w:r>
    </w:p>
    <w:p>
      <w:pPr>
        <w:pStyle w:val="BodyText"/>
        <w:ind w:left="70" w:firstLine="5"/>
        <w:spacing w:before="49" w:line="231" w:lineRule="auto"/>
        <w:rPr/>
      </w:pPr>
      <w:r>
        <w:rPr>
          <w:color w:val="231F20"/>
          <w:spacing w:val="7"/>
        </w:rPr>
        <w:t>8.1.5   初始治疗后维持治疗    一线维持治疗适用于 Ⅱ ~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5"/>
        </w:rPr>
        <w:t>Ⅳ期治疗后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CR</w:t>
      </w:r>
      <w:r>
        <w:rPr>
          <w:color w:val="231F20"/>
          <w:spacing w:val="5"/>
        </w:rPr>
        <w:t>/</w:t>
      </w:r>
      <w:r>
        <w:rPr>
          <w:color w:val="231F20"/>
        </w:rPr>
        <w:t>PR</w:t>
      </w:r>
      <w:r>
        <w:rPr>
          <w:color w:val="231F20"/>
          <w:spacing w:val="5"/>
        </w:rPr>
        <w:t xml:space="preserve"> 的患者，但用于Ⅱ期患者数据有限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。需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根据化疗是否联合贝伐珠单抗和患者的基因状态而</w:t>
      </w:r>
      <w:r>
        <w:rPr>
          <w:color w:val="231F20"/>
          <w:spacing w:val="18"/>
        </w:rPr>
        <w:t>定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8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主要维持治疗药物是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PARP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7"/>
        </w:rPr>
        <w:t>抑制剂和贝伐珠单抗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7"/>
        </w:rPr>
        <w:t>。见表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11。</w:t>
      </w:r>
    </w:p>
    <w:p>
      <w:pPr>
        <w:pStyle w:val="BodyText"/>
        <w:ind w:left="67" w:right="64" w:firstLine="7"/>
        <w:spacing w:before="41" w:line="234" w:lineRule="auto"/>
        <w:rPr/>
      </w:pPr>
      <w:r>
        <w:rPr>
          <w:color w:val="231F20"/>
        </w:rPr>
        <w:t>8.1.6    随访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</w:rPr>
        <w:t>初始治疗后前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2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年每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2~4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个月、第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3~5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年每 </w:t>
      </w:r>
      <w:r>
        <w:rPr>
          <w:color w:val="231F20"/>
          <w:spacing w:val="1"/>
        </w:rPr>
        <w:t>3~6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"/>
        </w:rPr>
        <w:t>个月随访 1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次，5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年后每年随访 1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次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。随访内容包括盆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腔检查、肿瘤标志物及完善基因检测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。对于</w:t>
      </w:r>
      <w:r>
        <w:rPr>
          <w:color w:val="231F20"/>
          <w:spacing w:val="8"/>
        </w:rPr>
        <w:t>初始治疗没有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化疗的患者，不论是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CA</w:t>
      </w:r>
      <w:r>
        <w:rPr>
          <w:color w:val="231F20"/>
          <w:spacing w:val="6"/>
        </w:rPr>
        <w:t>125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升高或临床复发，</w:t>
      </w:r>
      <w:r>
        <w:rPr>
          <w:color w:val="231F20"/>
          <w:spacing w:val="5"/>
        </w:rPr>
        <w:t>均按初治患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者处理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。若初始治疗接受过化疗，目前为临床复发，按持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续性或复发性疾病处理；若仅为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CA</w:t>
      </w:r>
      <w:r>
        <w:rPr>
          <w:color w:val="231F20"/>
          <w:spacing w:val="6"/>
        </w:rPr>
        <w:t>125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升高，</w:t>
      </w:r>
      <w:r>
        <w:rPr>
          <w:color w:val="231F20"/>
          <w:spacing w:val="5"/>
        </w:rPr>
        <w:t>可选择推迟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到临床复发再治疗或立即按复发疾病治疗（2</w:t>
      </w:r>
      <w:r>
        <w:rPr>
          <w:color w:val="231F20"/>
          <w:spacing w:val="6"/>
        </w:rPr>
        <w:t>B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类）或参加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临床试验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。从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CA</w:t>
      </w:r>
      <w:r>
        <w:rPr>
          <w:color w:val="231F20"/>
          <w:spacing w:val="12"/>
        </w:rPr>
        <w:t>125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2"/>
        </w:rPr>
        <w:t>升高到出现临床复发征象的中</w:t>
      </w:r>
      <w:r>
        <w:rPr>
          <w:color w:val="231F20"/>
          <w:spacing w:val="11"/>
        </w:rPr>
        <w:t>位时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间是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7"/>
        </w:rPr>
        <w:t>2~6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个月，现有的数据显示生化复发后立即进行治疗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并无生存获益，他莫昔芬、其他激素类药物都可作为推迟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治疗期间可接受的治疗方式（2B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类）。</w:t>
      </w:r>
    </w:p>
    <w:p>
      <w:pPr>
        <w:pStyle w:val="BodyText"/>
        <w:ind w:left="70" w:right="64" w:firstLine="5"/>
        <w:spacing w:before="32" w:line="221" w:lineRule="auto"/>
        <w:rPr/>
      </w:pPr>
      <w:r>
        <w:rPr>
          <w:color w:val="231F20"/>
          <w:spacing w:val="7"/>
        </w:rPr>
        <w:t>8.1.7   持续性或复发性疾病的治疗 （1）初始治疗或维持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治疗后进展、或持续性或稳定性疾病、或完全缓解停化疗&lt;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6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个月复发：可选择参加临床试验、支持治疗或按铂耐药复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发治疗。（2）完全缓解停化疗≥6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0"/>
        </w:rPr>
        <w:t>个月复发：影像学和（或）临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床复发者，选择合适的病例考虑二次减瘤术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。术后首选以</w:t>
      </w:r>
    </w:p>
    <w:p>
      <w:pPr>
        <w:spacing w:line="221" w:lineRule="auto"/>
        <w:sectPr>
          <w:type w:val="continuous"/>
          <w:pgSz w:w="12076" w:h="17008"/>
          <w:pgMar w:top="1654" w:right="1296" w:bottom="0" w:left="1360" w:header="1408" w:footer="0" w:gutter="0"/>
          <w:cols w:equalWidth="0" w:num="2">
            <w:col w:w="4692" w:space="100"/>
            <w:col w:w="4627" w:space="0"/>
          </w:cols>
        </w:sectPr>
        <w:rPr/>
      </w:pPr>
    </w:p>
    <w:p>
      <w:pPr>
        <w:spacing w:before="67"/>
        <w:rPr/>
      </w:pPr>
      <w:r/>
    </w:p>
    <w:p>
      <w:pPr>
        <w:sectPr>
          <w:headerReference w:type="default" r:id="rId9"/>
          <w:pgSz w:w="12076" w:h="17008"/>
          <w:pgMar w:top="1654" w:right="1360" w:bottom="0" w:left="1360" w:header="1408" w:footer="0" w:gutter="0"/>
          <w:cols w:equalWidth="0" w:num="1">
            <w:col w:w="9355" w:space="0"/>
          </w:cols>
        </w:sectPr>
        <w:rPr/>
      </w:pPr>
    </w:p>
    <w:p>
      <w:pPr>
        <w:pStyle w:val="BodyText"/>
        <w:ind w:left="2" w:right="198"/>
        <w:spacing w:before="39" w:line="237" w:lineRule="auto"/>
        <w:jc w:val="both"/>
        <w:rPr/>
      </w:pPr>
      <w:r>
        <w:rPr>
          <w:color w:val="231F20"/>
          <w:spacing w:val="-2"/>
        </w:rPr>
        <w:t>铂为基础的联合化疗（1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类）、或参加临床试验、或按复发治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疗和（或）支持治疗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。生化复发的处理见上</w:t>
      </w:r>
      <w:r>
        <w:rPr>
          <w:color w:val="231F20"/>
          <w:spacing w:val="5"/>
        </w:rPr>
        <w:t>文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5"/>
        </w:rPr>
        <w:t>8.1.6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部分。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专家组认为贝伐珠单抗是复发病人的首选（特别是合并腹  </w:t>
      </w:r>
      <w:r>
        <w:rPr>
          <w:color w:val="231F20"/>
          <w:spacing w:val="17"/>
        </w:rPr>
        <w:t>水者</w:t>
      </w:r>
      <w:r>
        <w:rPr>
          <w:color w:val="231F20"/>
          <w:spacing w:val="-26"/>
          <w:w w:val="63"/>
        </w:rPr>
        <w:t>），</w:t>
      </w:r>
      <w:r>
        <w:rPr>
          <w:color w:val="231F20"/>
          <w:spacing w:val="17"/>
        </w:rPr>
        <w:t>在铂敏感或铂耐药的患者中都有效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7"/>
        </w:rPr>
        <w:t>。贝伐珠单抗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单药的反应率为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20%，不良反应有高血压、动脉血栓形成和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肠穿孔，禁用于有胃肠穿孔高风险的患者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。另外，对于复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发患者也可考虑姑息性局部放疗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。持续性或复发性疾病</w:t>
      </w:r>
    </w:p>
    <w:p>
      <w:pPr>
        <w:spacing w:line="34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"/>
        <w:spacing w:before="38"/>
        <w:jc w:val="both"/>
        <w:rPr/>
      </w:pPr>
      <w:r>
        <w:rPr>
          <w:color w:val="231F20"/>
          <w:spacing w:val="1"/>
        </w:rPr>
        <w:t>治疗后，可选择参加临床试验或维持治疗（</w:t>
      </w:r>
      <w:r>
        <w:rPr>
          <w:color w:val="231F20"/>
        </w:rPr>
        <w:t>CR</w:t>
      </w:r>
      <w:r>
        <w:rPr>
          <w:color w:val="231F20"/>
          <w:spacing w:val="1"/>
        </w:rPr>
        <w:t>/</w:t>
      </w:r>
      <w:r>
        <w:rPr>
          <w:color w:val="231F20"/>
        </w:rPr>
        <w:t>PR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"/>
        </w:rPr>
        <w:t>者）或观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察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。</w:t>
      </w:r>
      <w:r>
        <w:rPr>
          <w:color w:val="231F20"/>
          <w:spacing w:val="-4"/>
        </w:rPr>
        <w:t>对于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MSI-H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或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dMMR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或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TMB≥10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突变/百万碱基，可</w:t>
      </w:r>
      <w:r>
        <w:rPr>
          <w:color w:val="231F20"/>
          <w:spacing w:val="-2"/>
        </w:rPr>
        <w:t>以</w:t>
      </w:r>
      <w:r>
        <w:rPr>
          <w:color w:val="231F20"/>
        </w:rPr>
        <w:t xml:space="preserve"> </w:t>
      </w:r>
      <w:r>
        <w:rPr>
          <w:color w:val="231F20"/>
        </w:rPr>
        <w:t>考虑使用免疫治疗（帕姆单抗）。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BRAF</w:t>
      </w:r>
      <w:r>
        <w:rPr>
          <w:color w:val="231F20"/>
        </w:rPr>
        <w:t>V600E 阳性肿瘤可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1"/>
        </w:rPr>
        <w:t>使用达拉非尼+曲美替尼；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RET</w:t>
      </w:r>
      <w:r>
        <w:rPr>
          <w:color w:val="231F20"/>
          <w:spacing w:val="11"/>
        </w:rPr>
        <w:t>基因融合阳性肿瘤可使用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塞尔帕替尼；</w:t>
      </w:r>
      <w:r>
        <w:rPr>
          <w:rFonts w:ascii="Arial" w:hAnsi="Arial" w:eastAsia="Arial" w:cs="Arial"/>
          <w:i/>
          <w:iCs/>
          <w:color w:val="231F20"/>
          <w:spacing w:val="-4"/>
        </w:rPr>
        <w:t>FR-</w:t>
      </w:r>
      <w:r>
        <w:rPr>
          <w:color w:val="231F20"/>
          <w:spacing w:val="-4"/>
        </w:rPr>
        <w:t>α 阳性肿瘤可使用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Mirvetuximab Soravt</w:t>
      </w:r>
      <w:r>
        <w:rPr>
          <w:color w:val="231F20"/>
          <w:spacing w:val="-5"/>
        </w:rPr>
        <w:t>an-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sine+贝伐珠单抗。</w:t>
      </w:r>
    </w:p>
    <w:p>
      <w:pPr>
        <w:sectPr>
          <w:type w:val="continuous"/>
          <w:pgSz w:w="12076" w:h="17008"/>
          <w:pgMar w:top="1654" w:right="1360" w:bottom="0" w:left="1360" w:header="1408" w:footer="0" w:gutter="0"/>
          <w:cols w:equalWidth="0" w:num="2">
            <w:col w:w="4761" w:space="100"/>
            <w:col w:w="4495" w:space="0"/>
          </w:cols>
        </w:sectPr>
        <w:rPr/>
      </w:pPr>
    </w:p>
    <w:p>
      <w:pPr>
        <w:pStyle w:val="BodyText"/>
        <w:ind w:left="2873"/>
        <w:spacing w:before="166" w:line="193" w:lineRule="auto"/>
        <w:rPr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3576897</wp:posOffset>
            </wp:positionH>
            <wp:positionV relativeFrom="paragraph">
              <wp:posOffset>-1520505</wp:posOffset>
            </wp:positionV>
            <wp:extent cx="2298700" cy="63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color w:val="231F20"/>
          <w:spacing w:val="-2"/>
        </w:rPr>
        <w:t>表</w:t>
      </w:r>
      <w:r>
        <w:rPr>
          <w:rFonts w:ascii="SimHei" w:hAnsi="SimHei" w:eastAsia="SimHei" w:cs="SimHei"/>
          <w:color w:val="231F20"/>
          <w:spacing w:val="-31"/>
        </w:rPr>
        <w:t xml:space="preserve"> </w:t>
      </w:r>
      <w:r>
        <w:rPr>
          <w:rFonts w:ascii="SimHei" w:hAnsi="SimHei" w:eastAsia="SimHei" w:cs="SimHei"/>
          <w:color w:val="231F20"/>
          <w:spacing w:val="-2"/>
        </w:rPr>
        <w:t>11</w:t>
      </w:r>
      <w:r>
        <w:rPr>
          <w:rFonts w:ascii="SimHei" w:hAnsi="SimHei" w:eastAsia="SimHei" w:cs="SimHei"/>
          <w:color w:val="231F20"/>
          <w:spacing w:val="26"/>
        </w:rPr>
        <w:t xml:space="preserve">  </w:t>
      </w:r>
      <w:r>
        <w:rPr>
          <w:color w:val="231F20"/>
          <w:spacing w:val="-2"/>
        </w:rPr>
        <w:t>Ⅱ ~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Ⅳ期初治治疗后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CR/PR 的维持治疗</w:t>
      </w:r>
    </w:p>
    <w:p>
      <w:pPr>
        <w:spacing w:line="129" w:lineRule="exact"/>
        <w:rPr/>
      </w:pPr>
      <w:r/>
    </w:p>
    <w:tbl>
      <w:tblPr>
        <w:tblStyle w:val="TableNormal"/>
        <w:tblW w:w="935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97"/>
        <w:gridCol w:w="2649"/>
        <w:gridCol w:w="4608"/>
      </w:tblGrid>
      <w:tr>
        <w:trPr>
          <w:trHeight w:val="276" w:hRule="atLeast"/>
        </w:trPr>
        <w:tc>
          <w:tcPr>
            <w:tcW w:w="209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27"/>
              <w:spacing w:before="57" w:line="186" w:lineRule="auto"/>
              <w:rPr/>
            </w:pPr>
            <w:r>
              <w:rPr>
                <w:spacing w:val="9"/>
              </w:rPr>
              <w:t>初始化疗</w:t>
            </w:r>
          </w:p>
        </w:tc>
        <w:tc>
          <w:tcPr>
            <w:tcW w:w="264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40"/>
              <w:spacing w:before="57" w:line="186" w:lineRule="auto"/>
              <w:rPr/>
            </w:pPr>
            <w:r>
              <w:rPr>
                <w:rFonts w:ascii="Arial" w:hAnsi="Arial" w:eastAsia="Arial" w:cs="Arial"/>
                <w:sz w:val="16"/>
                <w:szCs w:val="16"/>
                <w:i/>
                <w:iCs/>
                <w:spacing w:val="-4"/>
              </w:rPr>
              <w:t>BRCA</w:t>
            </w:r>
            <w:r>
              <w:rPr>
                <w:spacing w:val="-4"/>
              </w:rPr>
              <w:t>状态</w:t>
            </w:r>
          </w:p>
        </w:tc>
        <w:tc>
          <w:tcPr>
            <w:tcW w:w="460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405"/>
              <w:spacing w:before="57" w:line="188" w:lineRule="auto"/>
              <w:rPr/>
            </w:pPr>
            <w:r>
              <w:rPr>
                <w:spacing w:val="9"/>
              </w:rPr>
              <w:t>可选择的药物</w:t>
            </w:r>
          </w:p>
        </w:tc>
      </w:tr>
      <w:tr>
        <w:trPr>
          <w:trHeight w:val="1594" w:hRule="atLeast"/>
        </w:trPr>
        <w:tc>
          <w:tcPr>
            <w:tcW w:w="209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80"/>
              <w:spacing w:before="53" w:line="189" w:lineRule="auto"/>
              <w:rPr/>
            </w:pPr>
            <w:r>
              <w:rPr>
                <w:spacing w:val="9"/>
              </w:rPr>
              <w:t>未用贝伐珠单抗</w:t>
            </w:r>
          </w:p>
        </w:tc>
        <w:tc>
          <w:tcPr>
            <w:tcW w:w="264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23"/>
              <w:spacing w:before="51" w:line="190" w:lineRule="auto"/>
              <w:rPr>
                <w:sz w:val="7"/>
                <w:szCs w:val="7"/>
              </w:rPr>
            </w:pPr>
            <w:r>
              <w:rPr>
                <w:rFonts w:ascii="Arial" w:hAnsi="Arial" w:eastAsia="Arial" w:cs="Arial"/>
                <w:sz w:val="16"/>
                <w:szCs w:val="16"/>
                <w:i/>
                <w:iCs/>
              </w:rPr>
              <w:t>BRCA</w:t>
            </w:r>
            <w:r>
              <w:rPr>
                <w:spacing w:val="1"/>
              </w:rPr>
              <w:t>野生型或未知</w:t>
            </w:r>
            <w:r>
              <w:rPr>
                <w:spacing w:val="-13"/>
              </w:rPr>
              <w:t xml:space="preserve"> </w:t>
            </w:r>
            <w:r>
              <w:rPr>
                <w:sz w:val="7"/>
                <w:szCs w:val="7"/>
                <w:spacing w:val="1"/>
                <w:position w:val="6"/>
              </w:rPr>
              <w:t>1）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3"/>
              <w:spacing w:before="65" w:line="184" w:lineRule="auto"/>
              <w:rPr/>
            </w:pPr>
            <w:r>
              <w:rPr>
                <w:rFonts w:ascii="Arial" w:hAnsi="Arial" w:eastAsia="Arial" w:cs="Arial"/>
                <w:sz w:val="16"/>
                <w:szCs w:val="16"/>
                <w:i/>
                <w:iCs/>
                <w:spacing w:val="-4"/>
              </w:rPr>
              <w:t>BRCA</w:t>
            </w:r>
            <w:r>
              <w:rPr>
                <w:spacing w:val="-4"/>
              </w:rPr>
              <w:t>突变</w:t>
            </w:r>
          </w:p>
        </w:tc>
        <w:tc>
          <w:tcPr>
            <w:tcW w:w="460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73"/>
              <w:spacing w:before="50" w:line="212" w:lineRule="auto"/>
              <w:rPr/>
            </w:pPr>
            <w:r>
              <w:rPr>
                <w:spacing w:val="-9"/>
              </w:rPr>
              <w:t>观察（CR）</w:t>
            </w:r>
          </w:p>
          <w:p>
            <w:pPr>
              <w:pStyle w:val="TableText"/>
              <w:ind w:left="569" w:right="1759" w:firstLine="3"/>
              <w:spacing w:before="37" w:line="243" w:lineRule="auto"/>
              <w:rPr/>
            </w:pPr>
            <w:r>
              <w:rPr>
                <w:spacing w:val="-1"/>
              </w:rPr>
              <w:t>尼拉帕利</w:t>
            </w:r>
            <w:r>
              <w:rPr>
                <w:spacing w:val="-8"/>
              </w:rPr>
              <w:t xml:space="preserve"> </w:t>
            </w:r>
            <w:r>
              <w:rPr>
                <w:sz w:val="7"/>
                <w:szCs w:val="7"/>
                <w:spacing w:val="-1"/>
                <w:position w:val="6"/>
              </w:rPr>
              <w:t>1）</w:t>
            </w:r>
            <w:r>
              <w:rPr>
                <w:spacing w:val="-1"/>
              </w:rPr>
              <w:t>或 卢卡帕利（CR/PR）</w:t>
            </w:r>
            <w:r>
              <w:rPr/>
              <w:t xml:space="preserve"> </w:t>
            </w:r>
            <w:r>
              <w:rPr>
                <w:spacing w:val="9"/>
              </w:rPr>
              <w:t>参照复发处理</w:t>
            </w:r>
          </w:p>
          <w:p>
            <w:pPr>
              <w:pStyle w:val="TableText"/>
              <w:ind w:left="571"/>
              <w:spacing w:before="16" w:line="212" w:lineRule="auto"/>
              <w:rPr/>
            </w:pPr>
            <w:r>
              <w:rPr>
                <w:spacing w:val="-8"/>
              </w:rPr>
              <w:t>奥拉帕利（1 类）或 尼拉帕利（1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类）</w:t>
            </w:r>
          </w:p>
          <w:p>
            <w:pPr>
              <w:pStyle w:val="TableText"/>
              <w:ind w:left="570"/>
              <w:spacing w:before="41" w:line="188" w:lineRule="auto"/>
              <w:rPr/>
            </w:pPr>
            <w:r>
              <w:rPr>
                <w:spacing w:val="9"/>
              </w:rPr>
              <w:t>卢卡帕利</w:t>
            </w:r>
          </w:p>
          <w:p>
            <w:pPr>
              <w:pStyle w:val="TableText"/>
              <w:ind w:left="571"/>
              <w:spacing w:before="61" w:line="186" w:lineRule="auto"/>
              <w:rPr/>
            </w:pPr>
            <w:r>
              <w:rPr>
                <w:spacing w:val="10"/>
              </w:rPr>
              <w:t>考虑观察(Ⅱ期）</w:t>
            </w:r>
          </w:p>
        </w:tc>
      </w:tr>
      <w:tr>
        <w:trPr>
          <w:trHeight w:val="1357" w:hRule="atLeast"/>
        </w:trPr>
        <w:tc>
          <w:tcPr>
            <w:tcW w:w="2097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379"/>
              <w:spacing w:before="60" w:line="189" w:lineRule="auto"/>
              <w:rPr/>
            </w:pPr>
            <w:r>
              <w:rPr>
                <w:spacing w:val="9"/>
              </w:rPr>
              <w:t>联用贝伐珠单抗</w:t>
            </w:r>
          </w:p>
        </w:tc>
        <w:tc>
          <w:tcPr>
            <w:tcW w:w="2649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623"/>
              <w:spacing w:before="59" w:line="190" w:lineRule="auto"/>
              <w:rPr>
                <w:sz w:val="7"/>
                <w:szCs w:val="7"/>
              </w:rPr>
            </w:pPr>
            <w:r>
              <w:rPr>
                <w:rFonts w:ascii="Arial" w:hAnsi="Arial" w:eastAsia="Arial" w:cs="Arial"/>
                <w:sz w:val="16"/>
                <w:szCs w:val="16"/>
                <w:i/>
                <w:iCs/>
              </w:rPr>
              <w:t>BRCA</w:t>
            </w:r>
            <w:r>
              <w:rPr>
                <w:spacing w:val="1"/>
              </w:rPr>
              <w:t>野生型或未知</w:t>
            </w:r>
            <w:r>
              <w:rPr>
                <w:spacing w:val="-13"/>
              </w:rPr>
              <w:t xml:space="preserve"> </w:t>
            </w:r>
            <w:r>
              <w:rPr>
                <w:sz w:val="7"/>
                <w:szCs w:val="7"/>
                <w:spacing w:val="1"/>
                <w:position w:val="6"/>
              </w:rPr>
              <w:t>1）</w:t>
            </w:r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3"/>
              <w:spacing w:before="64" w:line="184" w:lineRule="auto"/>
              <w:rPr/>
            </w:pPr>
            <w:r>
              <w:rPr>
                <w:rFonts w:ascii="Arial" w:hAnsi="Arial" w:eastAsia="Arial" w:cs="Arial"/>
                <w:sz w:val="16"/>
                <w:szCs w:val="16"/>
                <w:i/>
                <w:iCs/>
                <w:spacing w:val="-4"/>
              </w:rPr>
              <w:t>BRCA</w:t>
            </w:r>
            <w:r>
              <w:rPr>
                <w:spacing w:val="-4"/>
              </w:rPr>
              <w:t>突变</w:t>
            </w:r>
          </w:p>
        </w:tc>
        <w:tc>
          <w:tcPr>
            <w:tcW w:w="4608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574"/>
              <w:spacing w:before="58" w:line="216" w:lineRule="auto"/>
              <w:rPr/>
            </w:pPr>
            <w:r>
              <w:rPr/>
              <w:t>HRP</w:t>
            </w:r>
            <w:r>
              <w:rPr>
                <w:spacing w:val="-17"/>
              </w:rPr>
              <w:t xml:space="preserve"> </w:t>
            </w:r>
            <w:r>
              <w:rPr/>
              <w:t>或未知：贝伐珠单抗</w:t>
            </w:r>
          </w:p>
          <w:p>
            <w:pPr>
              <w:pStyle w:val="TableText"/>
              <w:ind w:left="977" w:right="1626" w:hanging="403"/>
              <w:spacing w:before="50" w:line="245" w:lineRule="auto"/>
              <w:rPr/>
            </w:pPr>
            <w:r>
              <w:rPr>
                <w:spacing w:val="-6"/>
              </w:rPr>
              <w:t>HRD：奥拉帕利+贝伐珠单抗（1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类）</w:t>
            </w:r>
            <w:r>
              <w:rPr/>
              <w:t xml:space="preserve"> </w:t>
            </w:r>
            <w:r>
              <w:rPr>
                <w:spacing w:val="7"/>
              </w:rPr>
              <w:t>贝伐珠单抗</w:t>
            </w:r>
          </w:p>
          <w:p>
            <w:pPr>
              <w:pStyle w:val="TableText"/>
              <w:ind w:left="571"/>
              <w:spacing w:before="13" w:line="212" w:lineRule="auto"/>
              <w:rPr/>
            </w:pPr>
            <w:r>
              <w:rPr>
                <w:spacing w:val="-1"/>
              </w:rPr>
              <w:t>奥拉帕利+贝伐珠单抗（1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类）</w:t>
            </w:r>
          </w:p>
          <w:p>
            <w:pPr>
              <w:pStyle w:val="TableText"/>
              <w:ind w:left="571"/>
              <w:spacing w:before="39" w:line="187" w:lineRule="auto"/>
              <w:rPr>
                <w:sz w:val="7"/>
                <w:szCs w:val="7"/>
              </w:rPr>
            </w:pPr>
            <w:r>
              <w:rPr>
                <w:spacing w:val="7"/>
              </w:rPr>
              <w:t>奥拉帕利</w:t>
            </w:r>
            <w:r>
              <w:rPr>
                <w:spacing w:val="-18"/>
              </w:rPr>
              <w:t xml:space="preserve"> </w:t>
            </w:r>
            <w:r>
              <w:rPr>
                <w:sz w:val="7"/>
                <w:szCs w:val="7"/>
                <w:spacing w:val="7"/>
                <w:position w:val="5"/>
              </w:rPr>
              <w:t>2）</w:t>
            </w:r>
            <w:r>
              <w:rPr>
                <w:spacing w:val="7"/>
              </w:rPr>
              <w:t>或尼拉帕利</w:t>
            </w:r>
            <w:r>
              <w:rPr>
                <w:spacing w:val="-22"/>
              </w:rPr>
              <w:t xml:space="preserve"> </w:t>
            </w:r>
            <w:r>
              <w:rPr>
                <w:sz w:val="7"/>
                <w:szCs w:val="7"/>
                <w:spacing w:val="7"/>
                <w:position w:val="5"/>
              </w:rPr>
              <w:t>2）</w:t>
            </w:r>
            <w:r>
              <w:rPr>
                <w:spacing w:val="7"/>
              </w:rPr>
              <w:t>或卢卡帕利</w:t>
            </w:r>
            <w:r>
              <w:rPr>
                <w:spacing w:val="-22"/>
              </w:rPr>
              <w:t xml:space="preserve"> </w:t>
            </w:r>
            <w:r>
              <w:rPr>
                <w:sz w:val="7"/>
                <w:szCs w:val="7"/>
                <w:spacing w:val="7"/>
                <w:position w:val="5"/>
              </w:rPr>
              <w:t>2）</w:t>
            </w:r>
          </w:p>
        </w:tc>
      </w:tr>
    </w:tbl>
    <w:p>
      <w:pPr>
        <w:pStyle w:val="BodyText"/>
        <w:ind w:left="4" w:firstLine="161"/>
        <w:spacing w:before="34" w:line="247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注：1）</w:t>
      </w:r>
      <w:r>
        <w:rPr>
          <w:rFonts w:ascii="Arial" w:hAnsi="Arial" w:eastAsia="Arial" w:cs="Arial"/>
          <w:sz w:val="16"/>
          <w:szCs w:val="16"/>
          <w:i/>
          <w:iCs/>
        </w:rPr>
        <w:t>BRCA1/2</w:t>
      </w:r>
      <w:r>
        <w:rPr>
          <w:sz w:val="15"/>
          <w:szCs w:val="15"/>
          <w:color w:val="231F20"/>
        </w:rPr>
        <w:t>wt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</w:rPr>
        <w:t>患者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HRD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</w:rPr>
        <w:t>状态可提供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</w:rPr>
        <w:t>PARP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</w:rPr>
        <w:t>抑制剂治疗获益程度</w:t>
      </w:r>
      <w:r>
        <w:rPr>
          <w:sz w:val="15"/>
          <w:szCs w:val="15"/>
          <w:color w:val="231F20"/>
          <w:spacing w:val="-1"/>
        </w:rPr>
        <w:t>的信息；2）数据有限，根据相关临床试验数据推测可能获益，可以考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虑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</w:rPr>
        <w:t>PARP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9"/>
        </w:rPr>
        <w:t>抑制剂单药维持治疗</w:t>
      </w:r>
    </w:p>
    <w:p>
      <w:pPr>
        <w:spacing w:line="117" w:lineRule="exact"/>
        <w:rPr/>
      </w:pPr>
      <w:r/>
    </w:p>
    <w:p>
      <w:pPr>
        <w:spacing w:line="117" w:lineRule="exact"/>
        <w:sectPr>
          <w:type w:val="continuous"/>
          <w:pgSz w:w="12076" w:h="17008"/>
          <w:pgMar w:top="1654" w:right="1360" w:bottom="0" w:left="1360" w:header="1408" w:footer="0" w:gutter="0"/>
          <w:cols w:equalWidth="0" w:num="1">
            <w:col w:w="9355" w:space="0"/>
          </w:cols>
        </w:sectPr>
        <w:rPr/>
      </w:pPr>
    </w:p>
    <w:p>
      <w:pPr>
        <w:pStyle w:val="BodyText"/>
        <w:ind w:left="2" w:right="130" w:firstLine="7"/>
        <w:spacing w:before="35" w:line="237" w:lineRule="auto"/>
        <w:jc w:val="both"/>
        <w:rPr/>
      </w:pPr>
      <w:r>
        <w:rPr>
          <w:color w:val="231F20"/>
          <w:spacing w:val="5"/>
        </w:rPr>
        <w:t>8.1.8   复发缓解后的维持治疗    复发治疗后缓解者，化疗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7"/>
        </w:rPr>
        <w:t>联合贝伐珠单抗者停化疗后可继续使用贝伐珠单抗进行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1"/>
        </w:rPr>
        <w:t>维持治疗，如果使用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PARP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抑制剂维持治疗，可以</w:t>
      </w:r>
      <w:r>
        <w:rPr>
          <w:color w:val="231F20"/>
          <w:spacing w:val="10"/>
        </w:rPr>
        <w:t>在使用</w:t>
      </w:r>
      <w:r>
        <w:rPr>
          <w:color w:val="231F20"/>
        </w:rPr>
        <w:t xml:space="preserve">  </w:t>
      </w:r>
      <w:r>
        <w:rPr>
          <w:color w:val="231F20"/>
        </w:rPr>
        <w:t>PARP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3"/>
        </w:rPr>
        <w:t>抑制剂前停用贝伐珠单抗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3"/>
        </w:rPr>
        <w:t>。对于铂敏感复发完成≥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二线含铂化疗、特别是有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BRCA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1"/>
        </w:rPr>
        <w:t xml:space="preserve"> </w:t>
      </w:r>
      <w:r>
        <w:rPr>
          <w:color w:val="231F20"/>
          <w:spacing w:val="2"/>
        </w:rPr>
        <w:t>突变者，以前没用过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PARP  </w:t>
      </w:r>
      <w:r>
        <w:rPr>
          <w:color w:val="231F20"/>
          <w:spacing w:val="5"/>
        </w:rPr>
        <w:t>抑制剂者可使用尼拉帕利、奥拉帕利、卢卡帕利维持治疗。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8"/>
        </w:rPr>
        <w:t>奥拉帕利无论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BRCA</w:t>
      </w:r>
      <w:r>
        <w:rPr>
          <w:color w:val="231F20"/>
          <w:spacing w:val="8"/>
        </w:rPr>
        <w:t>状态如何均可使用，首选用于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BRCA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color w:val="231F20"/>
          <w:spacing w:val="1"/>
        </w:rPr>
        <w:t>突变患者；尼拉帕利仅限于胚系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BRCA</w:t>
      </w:r>
      <w:r>
        <w:rPr>
          <w:color w:val="231F20"/>
          <w:spacing w:val="1"/>
        </w:rPr>
        <w:t>突变的患者；卢卡帕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利仅限于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BRCA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color w:val="231F20"/>
          <w:spacing w:val="8"/>
        </w:rPr>
        <w:t>突变的患者；使用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PARP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抑制剂维持时间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超过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24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个月时应谨慎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。以前用过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PARP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抑制剂或</w:t>
      </w:r>
      <w:r>
        <w:rPr>
          <w:color w:val="231F20"/>
          <w:spacing w:val="6"/>
        </w:rPr>
        <w:t>复发后用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过贝伐珠单抗者再使用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PARP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抑制剂的资料有限，这些患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者复发治疗后的维持治疗不推荐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PARP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抑制剂联合贝伐珠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单抗。</w:t>
      </w:r>
    </w:p>
    <w:p>
      <w:pPr>
        <w:pStyle w:val="BodyText"/>
        <w:ind w:left="2" w:right="194" w:firstLine="7"/>
        <w:spacing w:before="7" w:line="236" w:lineRule="auto"/>
        <w:jc w:val="both"/>
        <w:rPr/>
      </w:pPr>
      <w:r>
        <w:rPr>
          <w:color w:val="231F20"/>
          <w:spacing w:val="1"/>
        </w:rPr>
        <w:t>8.2   少见卵巢病理类型（</w:t>
      </w:r>
      <w:r>
        <w:rPr>
          <w:color w:val="231F20"/>
        </w:rPr>
        <w:t>LCOH</w:t>
      </w:r>
      <w:r>
        <w:rPr>
          <w:color w:val="231F20"/>
          <w:spacing w:val="1"/>
        </w:rPr>
        <w:t>）卵巢恶性肿瘤</w:t>
      </w:r>
      <w:r>
        <w:rPr>
          <w:color w:val="231F20"/>
        </w:rPr>
        <w:t xml:space="preserve">    少见的病 </w:t>
      </w:r>
      <w:r>
        <w:rPr>
          <w:color w:val="231F20"/>
          <w:spacing w:val="-8"/>
        </w:rPr>
        <w:t>理类型包括：癌肉瘤（MMMT）、透明细胞癌、</w:t>
      </w:r>
      <w:r>
        <w:rPr>
          <w:color w:val="231F20"/>
          <w:spacing w:val="-9"/>
        </w:rPr>
        <w:t>黏液性癌、G1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子宫内膜样癌、低级别浆液性癌、交界性上皮性</w:t>
      </w:r>
      <w:r>
        <w:rPr>
          <w:color w:val="231F20"/>
          <w:spacing w:val="2"/>
        </w:rPr>
        <w:t>肿瘤（低度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恶性潜能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LMP</w:t>
      </w:r>
      <w:r>
        <w:rPr>
          <w:color w:val="231F20"/>
          <w:spacing w:val="12"/>
        </w:rPr>
        <w:t>）、恶性性索-间质肿瘤和恶性生殖细胞肿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瘤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由于病例数少，治疗方法不成熟，开展临床试验非常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重要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。可考虑进行肿瘤分子检测，可能有助于指导治疗。</w:t>
      </w:r>
    </w:p>
    <w:p>
      <w:pPr>
        <w:pStyle w:val="BodyText"/>
        <w:ind w:left="2" w:right="194" w:firstLine="7"/>
        <w:spacing w:before="3" w:line="224" w:lineRule="auto"/>
        <w:jc w:val="both"/>
        <w:rPr/>
      </w:pPr>
      <w:r>
        <w:rPr>
          <w:color w:val="231F20"/>
          <w:spacing w:val="5"/>
        </w:rPr>
        <w:t>8.2.1   癌肉瘤    预后很差，不适合保留生</w:t>
      </w:r>
      <w:r>
        <w:rPr>
          <w:color w:val="231F20"/>
          <w:spacing w:val="4"/>
        </w:rPr>
        <w:t>育功能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。全面手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术分期后所有患者术后必须接受化疗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2"/>
        </w:rPr>
        <w:t>。首选紫杉醇/卡铂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静脉化疗，或者用其他上皮性卵巢癌化疗方</w:t>
      </w:r>
      <w:r>
        <w:rPr>
          <w:color w:val="231F20"/>
          <w:spacing w:val="8"/>
        </w:rPr>
        <w:t>案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。初始治疗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后达到 </w:t>
      </w:r>
      <w:r>
        <w:rPr>
          <w:color w:val="231F20"/>
        </w:rPr>
        <w:t>CR</w:t>
      </w:r>
      <w:r>
        <w:rPr>
          <w:color w:val="231F20"/>
          <w:spacing w:val="3"/>
        </w:rPr>
        <w:t xml:space="preserve"> 或 </w:t>
      </w:r>
      <w:r>
        <w:rPr>
          <w:color w:val="231F20"/>
        </w:rPr>
        <w:t>PR</w:t>
      </w:r>
      <w:r>
        <w:rPr>
          <w:color w:val="231F20"/>
          <w:spacing w:val="3"/>
        </w:rPr>
        <w:t xml:space="preserve"> 者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，如有</w:t>
      </w:r>
      <w:r>
        <w:rPr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BRCA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"/>
        </w:rPr>
        <w:t>1/2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7"/>
        </w:rPr>
        <w:t xml:space="preserve"> </w:t>
      </w:r>
      <w:r>
        <w:rPr>
          <w:color w:val="231F20"/>
          <w:spacing w:val="3"/>
        </w:rPr>
        <w:t>突变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，可以考虑</w:t>
      </w:r>
      <w:r>
        <w:rPr>
          <w:color w:val="231F20"/>
          <w:spacing w:val="2"/>
        </w:rPr>
        <w:t>使用</w:t>
      </w:r>
      <w:r>
        <w:rPr>
          <w:color w:val="231F20"/>
        </w:rPr>
        <w:t xml:space="preserve"> </w:t>
      </w:r>
      <w:r>
        <w:rPr>
          <w:color w:val="231F20"/>
        </w:rPr>
        <w:t>PARP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1"/>
        </w:rPr>
        <w:t>抑制剂维持治疗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1"/>
        </w:rPr>
        <w:t>。治疗后的监测和随访与上皮性卵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巢癌相同。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8" w:firstLine="6"/>
        <w:spacing w:before="37" w:line="230" w:lineRule="auto"/>
        <w:rPr/>
      </w:pPr>
      <w:r>
        <w:rPr>
          <w:color w:val="231F20"/>
          <w:spacing w:val="5"/>
        </w:rPr>
        <w:t>8.2.2   透明细胞癌    透明细胞癌被认为是高级别肿瘤，多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9"/>
        </w:rPr>
        <w:t>数透明细胞癌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WT</w:t>
      </w:r>
      <w:r>
        <w:rPr>
          <w:color w:val="231F20"/>
          <w:spacing w:val="9"/>
        </w:rPr>
        <w:t>-1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和雌激素受体阴性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9"/>
        </w:rPr>
        <w:t>。初始治疗包括全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面的手术分期加术后化疗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。 ⅠA~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ⅠC1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期术后可选择以铂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为基础的静脉化疗或观察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。 ⅠC2~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ⅠC3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期选择以铂为基础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的静脉化疗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6"/>
        </w:rPr>
        <w:t>。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6"/>
        </w:rPr>
        <w:t>Ⅱ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6"/>
        </w:rPr>
        <w:t>~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6"/>
        </w:rPr>
        <w:t>Ⅳ期全身系统性治疗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6"/>
        </w:rPr>
        <w:t>。初始治疗后达到</w:t>
      </w:r>
      <w:r>
        <w:rPr>
          <w:color w:val="231F20"/>
        </w:rPr>
        <w:t xml:space="preserve"> </w:t>
      </w:r>
      <w:r>
        <w:rPr>
          <w:color w:val="231F20"/>
        </w:rPr>
        <w:t>CR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3"/>
        </w:rPr>
        <w:t>或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PR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并合并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BRCA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"/>
        </w:rPr>
        <w:t>1/2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5"/>
        </w:rPr>
        <w:t xml:space="preserve"> </w:t>
      </w:r>
      <w:r>
        <w:rPr>
          <w:color w:val="231F20"/>
          <w:spacing w:val="3"/>
        </w:rPr>
        <w:t>突变者，可以考虑使用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PARP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抑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制剂维持治疗。</w:t>
      </w:r>
    </w:p>
    <w:p>
      <w:pPr>
        <w:pStyle w:val="BodyText"/>
        <w:ind w:left="66" w:firstLine="8"/>
        <w:spacing w:before="54" w:line="232" w:lineRule="auto"/>
        <w:rPr/>
      </w:pPr>
      <w:r>
        <w:rPr>
          <w:color w:val="231F20"/>
          <w:spacing w:val="6"/>
        </w:rPr>
        <w:t>8.2.3   黏液性癌    通常能早期诊断而且预后良好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6"/>
        </w:rPr>
        <w:t>。5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年生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存率约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80%~90%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。黏液性癌好发于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20~40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岁，肿瘤体积通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常很大，可以占满整个盆腹腔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</w:rPr>
        <w:t>PAX</w:t>
      </w:r>
      <w:r>
        <w:rPr>
          <w:color w:val="231F20"/>
          <w:spacing w:val="11"/>
        </w:rPr>
        <w:t>8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免疫组化染色对鉴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别卵巢原发或转移性黏液性癌可能有帮助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3"/>
        </w:rPr>
        <w:t>。 Ⅰ期黏液性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癌可以保留生育功能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。初始治疗包括全面手术分期和术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后治疗，术中冰冻确诊者，如无可疑或增大的淋巴</w:t>
      </w:r>
      <w:r>
        <w:rPr>
          <w:color w:val="231F20"/>
          <w:spacing w:val="2"/>
        </w:rPr>
        <w:t>结，可以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不切除淋巴结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。阑尾外观有异常需切除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。 ⅠA~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ⅠB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期术后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可观察，ⅠC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期术后可选择观察或化疗，Ⅱ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4"/>
        </w:rPr>
        <w:t>~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Ⅳ期术后需全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身系统性治疗。</w:t>
      </w:r>
    </w:p>
    <w:p>
      <w:pPr>
        <w:pStyle w:val="BodyText"/>
        <w:ind w:firstLine="75"/>
        <w:spacing w:before="58" w:line="233" w:lineRule="auto"/>
        <w:rPr/>
      </w:pPr>
      <w:r>
        <w:rPr>
          <w:color w:val="231F20"/>
          <w:spacing w:val="8"/>
        </w:rPr>
        <w:t>8.2.4   G1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8"/>
        </w:rPr>
        <w:t>卵巢子宫内膜样癌    卵巢子宫内膜</w:t>
      </w:r>
      <w:r>
        <w:rPr>
          <w:color w:val="231F20"/>
          <w:spacing w:val="7"/>
        </w:rPr>
        <w:t>样癌可能与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子宫内膜异位症有关，免疫染色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CK7、PAX8、CA125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和雌激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素受体阳性，其外观与性索间质细胞瘤十分相似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2"/>
        </w:rPr>
        <w:t>。 ⅠA~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ⅠB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期术后可观察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。 ⅠC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期可选择观察（2B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类）或化疗或激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素治疗（2B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类）。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Ⅱ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5"/>
        </w:rPr>
        <w:t>~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Ⅳ期术后可以选择化疗或激素治疗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（2</w:t>
      </w:r>
      <w:r>
        <w:rPr>
          <w:color w:val="231F20"/>
          <w:spacing w:val="-3"/>
        </w:rPr>
        <w:t>B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类）。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3"/>
        </w:rPr>
        <w:t>ⅠC~Ⅳ期选化疗患者，化疗后可观察或来曲</w:t>
      </w:r>
      <w:r>
        <w:rPr>
          <w:color w:val="231F20"/>
          <w:spacing w:val="-4"/>
        </w:rPr>
        <w:t>唑</w:t>
      </w:r>
      <w:r>
        <w:rPr>
          <w:color w:val="231F20"/>
          <w:spacing w:val="-2"/>
        </w:rPr>
        <w:t>或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其他激素维持治疗（2B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类）。</w:t>
      </w:r>
    </w:p>
    <w:p>
      <w:pPr>
        <w:pStyle w:val="BodyText"/>
        <w:ind w:left="67" w:firstLine="7"/>
        <w:spacing w:before="35" w:line="198" w:lineRule="auto"/>
        <w:rPr/>
      </w:pPr>
      <w:r>
        <w:rPr>
          <w:color w:val="231F20"/>
          <w:spacing w:val="5"/>
        </w:rPr>
        <w:t>8.2.5   低级别浆液性癌    好发于年轻患者，通常表现为晚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期疾病，但是侵袭性不强，免疫染色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WT</w:t>
      </w:r>
      <w:r>
        <w:rPr>
          <w:color w:val="231F20"/>
          <w:spacing w:val="3"/>
        </w:rPr>
        <w:t>-1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和雌激素受体阳</w:t>
      </w:r>
    </w:p>
    <w:p>
      <w:pPr>
        <w:spacing w:line="198" w:lineRule="auto"/>
        <w:sectPr>
          <w:type w:val="continuous"/>
          <w:pgSz w:w="12076" w:h="17008"/>
          <w:pgMar w:top="1654" w:right="1360" w:bottom="0" w:left="1360" w:header="1408" w:footer="0" w:gutter="0"/>
          <w:cols w:equalWidth="0" w:num="2">
            <w:col w:w="4692" w:space="100"/>
            <w:col w:w="4563" w:space="0"/>
          </w:cols>
        </w:sectPr>
        <w:rPr/>
      </w:pPr>
    </w:p>
    <w:p>
      <w:pPr>
        <w:spacing w:before="73"/>
        <w:rPr/>
      </w:pP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928396</wp:posOffset>
            </wp:positionH>
            <wp:positionV relativeFrom="page">
              <wp:posOffset>1034494</wp:posOffset>
            </wp:positionV>
            <wp:extent cx="2298700" cy="635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1"/>
          <w:pgSz w:w="12076" w:h="17008"/>
          <w:pgMar w:top="1654" w:right="1296" w:bottom="0" w:left="1295" w:header="1408" w:footer="0" w:gutter="0"/>
          <w:cols w:equalWidth="0" w:num="1">
            <w:col w:w="9485" w:space="0"/>
          </w:cols>
        </w:sectPr>
        <w:rPr/>
      </w:pPr>
    </w:p>
    <w:p>
      <w:pPr>
        <w:pStyle w:val="BodyText"/>
        <w:ind w:left="68" w:right="194"/>
        <w:spacing w:before="34" w:line="237" w:lineRule="auto"/>
        <w:jc w:val="both"/>
        <w:rPr/>
      </w:pPr>
      <w:r>
        <w:rPr>
          <w:color w:val="231F20"/>
          <w:spacing w:val="8"/>
        </w:rPr>
        <w:t>性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。因为对化疗不敏感，不适合行新辅助化疗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7"/>
        </w:rPr>
        <w:t>。初始治疗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包括全面分期手术，术后处理和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1"/>
        </w:rPr>
        <w:t>G1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1"/>
        </w:rPr>
        <w:t>卵巢子宫内膜样癌相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同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7"/>
        </w:rPr>
        <w:t>。 ⅠC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期选择化疗的患者，化疗后可观察或来曲唑或其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他激素维持治疗（2B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类）。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3"/>
        </w:rPr>
        <w:t>Ⅱ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3"/>
        </w:rPr>
        <w:t>~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Ⅳ期选择化疗的患者，化疗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结束后推荐来曲唑或其他激素维持治疗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。低级别浆液性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癌治疗后监测和继续治疗的流程，包括治疗后监测</w:t>
      </w:r>
      <w:r>
        <w:rPr>
          <w:color w:val="231F20"/>
          <w:spacing w:val="-31"/>
          <w:w w:val="67"/>
        </w:rPr>
        <w:t>：（</w:t>
      </w:r>
      <w:r>
        <w:rPr>
          <w:color w:val="231F20"/>
          <w:spacing w:val="5"/>
        </w:rPr>
        <w:t>1）首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2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年每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2~4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个月随访 1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次，第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3~5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年每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3~6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个月随访 1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次，5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年后每年随访 1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次；体格检查包括盆腔检查；既往未行分子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检测的行肿瘤分子检测；有临床指征行影像学检查；有指  </w:t>
      </w:r>
      <w:r>
        <w:rPr>
          <w:color w:val="231F20"/>
          <w:spacing w:val="6"/>
        </w:rPr>
        <w:t>征行全血细胞分析以及生化指标检测；定期复查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CA</w:t>
      </w:r>
      <w:r>
        <w:rPr>
          <w:color w:val="231F20"/>
          <w:spacing w:val="6"/>
        </w:rPr>
        <w:t>125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或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初发时升高的肿瘤标志物；之前未做遗传风险评估者补做  </w:t>
      </w:r>
      <w:r>
        <w:rPr>
          <w:color w:val="231F20"/>
          <w:spacing w:val="-1"/>
        </w:rPr>
        <w:t>遗传风险评估；长期健康护理。（2）复发后治疗：可选择参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与临床试验，或曲美替尼、比美替尼（binimetinib</w:t>
      </w:r>
      <w:r>
        <w:rPr>
          <w:color w:val="231F20"/>
          <w:spacing w:val="-17"/>
          <w:w w:val="58"/>
        </w:rPr>
        <w:t>）（</w:t>
      </w:r>
      <w:r>
        <w:rPr>
          <w:color w:val="231F20"/>
          <w:spacing w:val="-6"/>
        </w:rPr>
        <w:t>2B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类）、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激素治疗，未化疗的患者可化疗，或参照上皮癌</w:t>
      </w:r>
      <w:r>
        <w:rPr>
          <w:color w:val="231F20"/>
          <w:spacing w:val="2"/>
        </w:rPr>
        <w:t>铂敏感、铂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耐药复发推荐处理。</w:t>
      </w:r>
    </w:p>
    <w:p>
      <w:pPr>
        <w:pStyle w:val="BodyText"/>
        <w:ind w:left="67" w:right="197" w:firstLine="7"/>
        <w:spacing w:before="14" w:line="232" w:lineRule="auto"/>
        <w:rPr/>
      </w:pPr>
      <w:r>
        <w:rPr>
          <w:color w:val="231F20"/>
          <w:spacing w:val="2"/>
        </w:rPr>
        <w:t>8.2.6   交界性上皮性卵巢肿瘤（</w:t>
      </w:r>
      <w:r>
        <w:rPr>
          <w:color w:val="231F20"/>
        </w:rPr>
        <w:t>LMP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）  交界性肿瘤对化疗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不敏感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。完全切除肿瘤无浸润性种植者，术后</w:t>
      </w:r>
      <w:r>
        <w:rPr>
          <w:color w:val="231F20"/>
          <w:spacing w:val="7"/>
        </w:rPr>
        <w:t>可观察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7"/>
        </w:rPr>
        <w:t>。有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浸润性种植者，按低级别浆液癌治疗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。不全分期手术者，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后续治疗需结合有无残留病灶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7"/>
        </w:rPr>
        <w:t>。无残留病灶者可观察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7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疑有残留病灶者，再次手术切除子宫和对侧附件和残留病  </w:t>
      </w:r>
      <w:r>
        <w:rPr>
          <w:color w:val="231F20"/>
          <w:spacing w:val="9"/>
        </w:rPr>
        <w:t>灶；有生育要求者，行保留生育功能的手术和切除残留病  </w:t>
      </w:r>
      <w:r>
        <w:rPr>
          <w:color w:val="231F20"/>
          <w:spacing w:val="9"/>
        </w:rPr>
        <w:t>灶，生育后再切除子宫和对侧附件；残留病灶不能切除或  </w:t>
      </w:r>
      <w:r>
        <w:rPr>
          <w:color w:val="231F20"/>
          <w:spacing w:val="9"/>
        </w:rPr>
        <w:t>身体条件不适合手术，则直接按低级别和高级别浆液性癌  </w:t>
      </w:r>
      <w:r>
        <w:rPr>
          <w:color w:val="231F20"/>
          <w:spacing w:val="9"/>
        </w:rPr>
        <w:t>的辅助治疗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。出现临床复发时，合适者可行</w:t>
      </w:r>
      <w:r>
        <w:rPr>
          <w:color w:val="231F20"/>
          <w:spacing w:val="8"/>
        </w:rPr>
        <w:t>手术探查和减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瘤术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。术后病理无浸润性种植者仍可随访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。浸润</w:t>
      </w:r>
      <w:r>
        <w:rPr>
          <w:color w:val="231F20"/>
          <w:spacing w:val="14"/>
        </w:rPr>
        <w:t>性种植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或低级别浆液性上皮性卵巢癌按低级别上皮癌处理，高级  </w:t>
      </w:r>
      <w:r>
        <w:rPr>
          <w:color w:val="231F20"/>
          <w:spacing w:val="9"/>
        </w:rPr>
        <w:t>别浸润性种植者按上皮性卵巢癌处理。</w:t>
      </w:r>
    </w:p>
    <w:p>
      <w:pPr>
        <w:pStyle w:val="BodyText"/>
        <w:ind w:right="197" w:firstLine="75"/>
        <w:spacing w:before="61" w:line="234" w:lineRule="auto"/>
        <w:rPr/>
      </w:pPr>
      <w:r>
        <w:rPr>
          <w:color w:val="231F20"/>
          <w:spacing w:val="5"/>
        </w:rPr>
        <w:t>8.2.7   恶性性索间质瘤    卵巢恶性间质肿瘤很少见，包括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粒层细胞瘤（最常见）、粒层卵泡膜细胞瘤和支持-间质细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7"/>
        </w:rPr>
        <w:t>胞瘤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7"/>
        </w:rPr>
        <w:t>。诊断时多处于早期，预后较好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7"/>
        </w:rPr>
        <w:t>。希望保留生育功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能、肿瘤局限于卵巢者可行保留生育功能的全面分期手术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3"/>
        </w:rPr>
        <w:t>（可不切除淋巴结</w:t>
      </w:r>
      <w:r>
        <w:rPr>
          <w:color w:val="231F20"/>
          <w:spacing w:val="-27"/>
          <w:w w:val="65"/>
        </w:rPr>
        <w:t>），</w:t>
      </w:r>
      <w:r>
        <w:rPr>
          <w:color w:val="231F20"/>
          <w:spacing w:val="13"/>
        </w:rPr>
        <w:t>术后可用超声随访监测，完成生育后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考虑接受根治性手术（2B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类）。 其他所有患者建议行全面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分期手术（可不切除淋巴结）。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Ⅰ期低危患者术后可观察。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Ⅰ期高危（肿瘤破裂、ⅠC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期、分化差）或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Ⅰ期中危（有异源</w:t>
      </w:r>
      <w:r>
        <w:rPr>
          <w:color w:val="231F20"/>
        </w:rPr>
        <w:t xml:space="preserve">  </w:t>
      </w:r>
      <w:r>
        <w:rPr>
          <w:color w:val="231F20"/>
        </w:rPr>
        <w:t>成分）可选择观察或以铂为基础的化疗（均为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2B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类）。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Ⅱ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"/>
        </w:rPr>
        <w:t>~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Ⅳ期患者可选择以铂为基础的化疗，或对局限性病灶进行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放射治疗（均为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2B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类）。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化疗首选紫杉醇+卡铂方</w:t>
      </w:r>
      <w:r>
        <w:rPr>
          <w:color w:val="231F20"/>
          <w:spacing w:val="-1"/>
        </w:rPr>
        <w:t>案，或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EP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（VP-16/顺铂）、BEP（2B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类）。 粒层细胞瘤可发生晚期复发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（如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8"/>
        </w:rPr>
        <w:t>30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8"/>
        </w:rPr>
        <w:t>年后发生复发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8"/>
        </w:rPr>
        <w:t>建议延长这些患者的随访时间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8"/>
        </w:rPr>
        <w:t>。治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疗前抑制素（</w:t>
      </w:r>
      <w:r>
        <w:rPr>
          <w:color w:val="231F20"/>
        </w:rPr>
        <w:t>inhibin</w:t>
      </w:r>
      <w:r>
        <w:rPr>
          <w:color w:val="231F20"/>
          <w:spacing w:val="4"/>
        </w:rPr>
        <w:t>）升高的患者，随访时必须监测抑制素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水平（2B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"/>
        </w:rPr>
        <w:t>类）。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发生临床复发可选择参加临床试验、或考虑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再次减瘤术、或按照复发方案进行治疗，也可考虑姑息性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21"/>
        </w:rPr>
        <w:t>局部放疗。</w:t>
      </w:r>
    </w:p>
    <w:p>
      <w:pPr>
        <w:pStyle w:val="BodyText"/>
        <w:ind w:left="67" w:right="197" w:firstLine="7"/>
        <w:spacing w:before="61" w:line="211" w:lineRule="auto"/>
        <w:rPr/>
      </w:pPr>
      <w:r>
        <w:rPr>
          <w:color w:val="231F20"/>
          <w:spacing w:val="5"/>
        </w:rPr>
        <w:t>8.2.8   恶性生殖细胞肿瘤    包括无性细胞瘤、未成熟畸胎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"/>
        </w:rPr>
        <w:t>瘤、胚胎瘤和卵黄囊瘤（内胚窦瘤）。 好发于年轻</w:t>
      </w:r>
      <w:r>
        <w:rPr>
          <w:color w:val="231F20"/>
        </w:rPr>
        <w:t>女性，确  </w:t>
      </w:r>
      <w:r>
        <w:rPr>
          <w:color w:val="231F20"/>
          <w:spacing w:val="3"/>
        </w:rPr>
        <w:t>诊的中位年龄是 16~20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岁，诊断时多为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Ⅰ期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。预后较好。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"/>
        <w:spacing w:before="27" w:line="238" w:lineRule="auto"/>
        <w:jc w:val="both"/>
        <w:rPr/>
      </w:pPr>
      <w:r>
        <w:rPr>
          <w:color w:val="231F20"/>
          <w:spacing w:val="4"/>
        </w:rPr>
        <w:t>接受规范化治疗后，5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4"/>
        </w:rPr>
        <w:t>年生存率&gt;85%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。发现盆腔肿物的患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者，若年龄&lt;35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岁需要检测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AFP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。如果考虑使用博来</w:t>
      </w:r>
      <w:r>
        <w:rPr>
          <w:color w:val="231F20"/>
          <w:spacing w:val="3"/>
        </w:rPr>
        <w:t>霉素，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恶性生殖细胞肿瘤患者接受的辅助检查中应包括肺功能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9"/>
        </w:rPr>
        <w:t>检测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。有生育要求者，子宫和对侧附件正常者</w:t>
      </w:r>
      <w:r>
        <w:rPr>
          <w:color w:val="231F20"/>
          <w:spacing w:val="8"/>
        </w:rPr>
        <w:t>可行保留生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育功能的全面分期手术，术后可用超声随访</w:t>
      </w:r>
      <w:r>
        <w:rPr>
          <w:color w:val="231F20"/>
          <w:spacing w:val="9"/>
        </w:rPr>
        <w:t>监测，完成生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育后可考虑接受根治性手术（2B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类）。 </w:t>
      </w:r>
      <w:r>
        <w:rPr>
          <w:color w:val="231F20"/>
          <w:spacing w:val="4"/>
        </w:rPr>
        <w:t>无生育要求者行全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面分期手术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。儿童、青少年和年轻成人(≤25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岁）患者的手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术范围与成人不同，早期患者不需切除淋巴</w:t>
      </w:r>
      <w:r>
        <w:rPr>
          <w:color w:val="231F20"/>
          <w:spacing w:val="9"/>
        </w:rPr>
        <w:t>结、大网膜仅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需活检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。不全分期手术者，行影像学检查和肿</w:t>
      </w:r>
      <w:r>
        <w:rPr>
          <w:color w:val="231F20"/>
          <w:spacing w:val="8"/>
        </w:rPr>
        <w:t>瘤标志物检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查后分别处理</w:t>
      </w:r>
      <w:r>
        <w:rPr>
          <w:color w:val="231F20"/>
          <w:spacing w:val="-33"/>
          <w:w w:val="70"/>
        </w:rPr>
        <w:t>：（</w:t>
      </w:r>
      <w:r>
        <w:rPr>
          <w:color w:val="231F20"/>
          <w:spacing w:val="1"/>
        </w:rPr>
        <w:t>1）无性细胞瘤或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G1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未成熟畸胎瘤：影像学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和肿瘤标志物均阳性，希望保留生育者行保</w:t>
      </w:r>
      <w:r>
        <w:rPr>
          <w:color w:val="231F20"/>
          <w:spacing w:val="9"/>
        </w:rPr>
        <w:t>留生育功能的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全面分期手术，不希望保留生育者行全面分</w:t>
      </w:r>
      <w:r>
        <w:rPr>
          <w:color w:val="231F20"/>
          <w:spacing w:val="9"/>
        </w:rPr>
        <w:t>期手术；影像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学阴性、肿瘤标志物阳性，可考虑密切观察</w:t>
      </w:r>
      <w:r>
        <w:rPr>
          <w:color w:val="231F20"/>
          <w:spacing w:val="9"/>
        </w:rPr>
        <w:t>至肿瘤标志物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正常（2B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类</w:t>
      </w:r>
      <w:r>
        <w:rPr>
          <w:color w:val="231F20"/>
          <w:spacing w:val="-28"/>
          <w:w w:val="68"/>
        </w:rPr>
        <w:t>）；</w:t>
      </w:r>
      <w:r>
        <w:rPr>
          <w:color w:val="231F20"/>
          <w:spacing w:val="5"/>
        </w:rPr>
        <w:t>影像学和肿瘤标志物均阴性，考虑观察（2B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类）。（2）胚胎癌、卵黄囊瘤、G2~3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未成</w:t>
      </w:r>
      <w:r>
        <w:rPr>
          <w:color w:val="231F20"/>
          <w:spacing w:val="-12"/>
        </w:rPr>
        <w:t>熟畸胎瘤、非妊娠性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绒毛膜癌或混合组织类型癌：影像学和肿瘤标志物均阳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0"/>
        </w:rPr>
        <w:t>性，希望保留生育者行保留生育功能的全面</w:t>
      </w:r>
      <w:r>
        <w:rPr>
          <w:color w:val="231F20"/>
          <w:spacing w:val="9"/>
        </w:rPr>
        <w:t>分期手术，不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希望保留生育者行全面分期手术或减瘤术或</w:t>
      </w:r>
      <w:r>
        <w:rPr>
          <w:color w:val="231F20"/>
          <w:spacing w:val="9"/>
        </w:rPr>
        <w:t>直接化疗；影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像学阴性、肿瘤标志物阳性或阴性者，按下述辅助治疗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Ⅰ期的无性细胞瘤、Ⅰ期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G1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未成熟畸胎瘤术后可随访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。儿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童和青少年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ⅠA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期和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2"/>
        </w:rPr>
        <w:t>ⅠB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期无性细胞瘤、ⅠA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期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G1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未成熟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畸胎瘤、ⅠA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期胚胎癌和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8"/>
        </w:rPr>
        <w:t>ⅠA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期卵黄囊瘤可选择化疗或观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察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。任何期别的胚胎癌和卵黄囊瘤、Ⅱ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9"/>
        </w:rPr>
        <w:t>~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9"/>
        </w:rPr>
        <w:t>Ⅳ期</w:t>
      </w:r>
      <w:r>
        <w:rPr>
          <w:color w:val="231F20"/>
          <w:spacing w:val="8"/>
        </w:rPr>
        <w:t>的无性细胞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瘤、Ⅰ期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2"/>
        </w:rPr>
        <w:t>G2~3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级和Ⅱ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"/>
        </w:rPr>
        <w:t>~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Ⅳ期未成熟畸胎瘤、任何期别的非</w:t>
      </w:r>
      <w:r>
        <w:rPr>
          <w:color w:val="231F20"/>
        </w:rPr>
        <w:t xml:space="preserve">  </w:t>
      </w:r>
      <w:r>
        <w:rPr>
          <w:color w:val="231F20"/>
        </w:rPr>
        <w:t>妊娠性绒毛膜癌术后均需化疗</w:t>
      </w:r>
      <w:r>
        <w:rPr>
          <w:color w:val="231F20"/>
          <w:spacing w:val="-31"/>
          <w:w w:val="66"/>
        </w:rPr>
        <w:t>：（</w:t>
      </w:r>
      <w:r>
        <w:rPr>
          <w:color w:val="231F20"/>
        </w:rPr>
        <w:t>1）化疗后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CR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者</w:t>
      </w:r>
      <w:r>
        <w:rPr>
          <w:color w:val="231F20"/>
          <w:spacing w:val="-1"/>
        </w:rPr>
        <w:t>观察。（2）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影像学有残留病灶、肿瘤标志物阴性：考虑</w:t>
      </w:r>
      <w:r>
        <w:rPr>
          <w:color w:val="231F20"/>
          <w:spacing w:val="9"/>
        </w:rPr>
        <w:t>手术切除或观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察，切除组织为坏死组织可观察、为良性畸胎瘤可</w:t>
      </w:r>
      <w:r>
        <w:rPr>
          <w:color w:val="231F20"/>
          <w:spacing w:val="2"/>
        </w:rPr>
        <w:t>随访、为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恶性组织可补充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"/>
        </w:rPr>
        <w:t>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个疗程以铂为基础的化疗。（3）有明确的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残留病灶、肿瘤标志物持续阳性：</w:t>
      </w:r>
      <w:r>
        <w:rPr>
          <w:color w:val="231F20"/>
        </w:rPr>
        <w:t>TIP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5"/>
        </w:rPr>
        <w:t>方案或大剂量化疗加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造血干细胞移植，建议患者转诊到三级医疗</w:t>
      </w:r>
      <w:r>
        <w:rPr>
          <w:color w:val="231F20"/>
          <w:spacing w:val="9"/>
        </w:rPr>
        <w:t>中心接受有可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能治愈的治疗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。治疗后随访可参照上皮癌随访</w:t>
      </w:r>
      <w:r>
        <w:rPr>
          <w:color w:val="231F20"/>
          <w:spacing w:val="8"/>
        </w:rPr>
        <w:t>方式，但头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年非无性细胞瘤患者的随访间隔应缩短为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2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7"/>
        </w:rPr>
        <w:t>个月。</w:t>
      </w:r>
    </w:p>
    <w:p>
      <w:pPr>
        <w:spacing w:before="255" w:line="232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9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讨论</w:t>
      </w:r>
    </w:p>
    <w:p>
      <w:pPr>
        <w:pStyle w:val="BodyText"/>
        <w:ind w:left="360"/>
        <w:spacing w:before="78" w:line="186" w:lineRule="auto"/>
        <w:rPr/>
      </w:pPr>
      <w:r>
        <w:rPr>
          <w:color w:val="231F20"/>
          <w:spacing w:val="9"/>
        </w:rPr>
        <w:t>新版指南更新主要包括以下几个方面。</w:t>
      </w:r>
    </w:p>
    <w:p>
      <w:pPr>
        <w:pStyle w:val="BodyText"/>
        <w:ind w:firstLine="2"/>
        <w:spacing w:before="61" w:line="237" w:lineRule="auto"/>
        <w:jc w:val="both"/>
        <w:rPr/>
      </w:pPr>
      <w:r>
        <w:rPr>
          <w:color w:val="231F20"/>
          <w:spacing w:val="9"/>
        </w:rPr>
        <w:t>9.1   </w:t>
      </w:r>
      <w:r>
        <w:rPr>
          <w:color w:val="231F20"/>
        </w:rPr>
        <w:t>PARP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抑制剂应用更新    </w:t>
      </w:r>
      <w:r>
        <w:rPr>
          <w:color w:val="231F20"/>
        </w:rPr>
        <w:t>PARP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抑制剂一线维持治疗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新增推荐卢卡帕利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2"/>
        </w:rPr>
        <w:t>，主要基于 2022 年发表在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JCO</w:t>
      </w:r>
      <w:r>
        <w:rPr>
          <w:color w:val="231F20"/>
          <w:spacing w:val="12"/>
        </w:rPr>
        <w:t xml:space="preserve"> 上的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ATHENA-MONO/GOG-3020/ENGOT-ov45）研究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。该研究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结果与尼拉帕利的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PRIMA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3"/>
        </w:rPr>
        <w:t>研究结果类似，全人群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PFS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3"/>
        </w:rPr>
        <w:t>获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益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3"/>
        </w:rPr>
        <w:t>，但 HRD 患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者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获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益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大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，HRD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性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患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者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获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益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小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一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些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。</w:t>
      </w:r>
      <w:r>
        <w:rPr>
          <w:color w:val="231F20"/>
        </w:rPr>
        <w:t xml:space="preserve"> </w:t>
      </w:r>
      <w:r>
        <w:rPr>
          <w:color w:val="231F20"/>
        </w:rPr>
        <w:t>PAOLA</w:t>
      </w:r>
      <w:r>
        <w:rPr>
          <w:color w:val="231F20"/>
          <w:spacing w:val="8"/>
        </w:rPr>
        <w:t>-1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研究是一项评估奥拉帕利+贝伐珠单抗用于一线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维持治疗的研究，其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OS</w:t>
      </w:r>
      <w:r>
        <w:rPr>
          <w:color w:val="231F20"/>
          <w:spacing w:val="2"/>
        </w:rPr>
        <w:t>数据在去年欧洲肿瘤内科学会（</w:t>
      </w:r>
      <w:r>
        <w:rPr>
          <w:color w:val="231F20"/>
        </w:rPr>
        <w:t>ES</w:t>
      </w:r>
      <w:r>
        <w:rPr>
          <w:color w:val="231F20"/>
          <w:spacing w:val="2"/>
        </w:rPr>
        <w:t>-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MO）大会上披露，在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BRCA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color w:val="231F20"/>
          <w:spacing w:val="-3"/>
        </w:rPr>
        <w:t>突变和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HRD 阳性人群，奥拉帕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利+贝伐珠单抗组中位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OS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显著获益，新版指南将初始治疗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联用贝伐珠单抗的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HRD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患者使用奥拉帕利+贝伐珠单抗维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持治疗推荐等级改为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6"/>
        </w:rPr>
        <w:t>1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类推荐。</w:t>
      </w:r>
    </w:p>
    <w:p>
      <w:pPr>
        <w:pStyle w:val="BodyText"/>
        <w:ind w:left="385"/>
        <w:spacing w:line="157" w:lineRule="auto"/>
        <w:rPr/>
      </w:pP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BRCA</w:t>
      </w:r>
      <w:r>
        <w:rPr>
          <w:color w:val="231F20"/>
          <w:spacing w:val="3"/>
        </w:rPr>
        <w:t>突变人群是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PARP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抑制剂的最大收益者，强烈推</w:t>
      </w:r>
    </w:p>
    <w:p>
      <w:pPr>
        <w:spacing w:line="157" w:lineRule="auto"/>
        <w:sectPr>
          <w:type w:val="continuous"/>
          <w:pgSz w:w="12076" w:h="17008"/>
          <w:pgMar w:top="1654" w:right="1296" w:bottom="0" w:left="1295" w:header="1408" w:footer="0" w:gutter="0"/>
          <w:cols w:equalWidth="0" w:num="2">
            <w:col w:w="4824" w:space="100"/>
            <w:col w:w="4561" w:space="0"/>
          </w:cols>
        </w:sectPr>
        <w:rPr/>
      </w:pPr>
    </w:p>
    <w:p>
      <w:pPr>
        <w:spacing w:before="77"/>
        <w:rPr/>
      </w:pPr>
      <w:r/>
    </w:p>
    <w:p>
      <w:pPr>
        <w:sectPr>
          <w:headerReference w:type="default" r:id="rId13"/>
          <w:pgSz w:w="12076" w:h="17008"/>
          <w:pgMar w:top="1654" w:right="1296" w:bottom="0" w:left="1118" w:header="1408" w:footer="0" w:gutter="0"/>
          <w:cols w:equalWidth="0" w:num="1">
            <w:col w:w="9662" w:space="0"/>
          </w:cols>
        </w:sectPr>
        <w:rPr/>
      </w:pPr>
    </w:p>
    <w:p>
      <w:pPr>
        <w:pStyle w:val="BodyText"/>
        <w:ind w:left="177" w:right="138" w:firstLine="68"/>
        <w:spacing w:before="34" w:line="237" w:lineRule="auto"/>
        <w:jc w:val="both"/>
        <w:rPr/>
      </w:pPr>
      <w:r>
        <w:rPr>
          <w:color w:val="231F20"/>
          <w:spacing w:val="9"/>
        </w:rPr>
        <w:t>荐晚期卵巢癌患者将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PARP</w:t>
      </w:r>
      <w:r>
        <w:rPr>
          <w:color w:val="231F20"/>
          <w:spacing w:val="9"/>
        </w:rPr>
        <w:t xml:space="preserve"> 抑制剂用于一线维持治疗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9"/>
        </w:rPr>
        <w:t>。这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些患者中可能存在高复发风险因素，而在化疗中加入了贝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1"/>
        </w:rPr>
        <w:t>伐珠单抗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。按照去年指南的推荐，这些患者停化疗后推荐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继续使用贝伐珠单抗维持治疗，在此基础上加上奥拉帕利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3"/>
        </w:rPr>
        <w:t>进行双药维持治疗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3"/>
        </w:rPr>
        <w:t>。但是，这些患者本身就对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PARP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3"/>
        </w:rPr>
        <w:t>抑制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剂单药维持治疗获益显著（比如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SOLO</w:t>
      </w:r>
      <w:r>
        <w:rPr>
          <w:color w:val="231F20"/>
          <w:spacing w:val="8"/>
        </w:rPr>
        <w:t>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研究中，奥拉帕利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延长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PFS</w:t>
      </w:r>
      <w:r>
        <w:rPr>
          <w:color w:val="231F20"/>
          <w:spacing w:val="11"/>
        </w:rPr>
        <w:t xml:space="preserve"> 42.2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1"/>
        </w:rPr>
        <w:t>个月</w:t>
      </w:r>
      <w:r>
        <w:rPr>
          <w:color w:val="231F20"/>
          <w:spacing w:val="-25"/>
          <w:w w:val="60"/>
        </w:rPr>
        <w:t>），</w:t>
      </w:r>
      <w:r>
        <w:rPr>
          <w:color w:val="231F20"/>
          <w:spacing w:val="11"/>
        </w:rPr>
        <w:t>而单用贝伐珠单抗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PFS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1"/>
        </w:rPr>
        <w:t>获益仅数个月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（ICON7：总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群 PFS 无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差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别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，</w:t>
      </w:r>
      <w:r>
        <w:rPr>
          <w:color w:val="231F20"/>
          <w:spacing w:val="-4"/>
        </w:rPr>
        <w:t>高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危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患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者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延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长 5.5 个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月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；</w:t>
      </w:r>
      <w:r>
        <w:rPr>
          <w:color w:val="231F20"/>
        </w:rPr>
        <w:t xml:space="preserve"> </w:t>
      </w:r>
      <w:r>
        <w:rPr>
          <w:color w:val="231F20"/>
        </w:rPr>
        <w:t>GOG</w:t>
      </w:r>
      <w:r>
        <w:rPr>
          <w:color w:val="231F20"/>
          <w:spacing w:val="2"/>
        </w:rPr>
        <w:t>218：总人群 </w:t>
      </w:r>
      <w:r>
        <w:rPr>
          <w:color w:val="231F20"/>
        </w:rPr>
        <w:t>PFS</w:t>
      </w:r>
      <w:r>
        <w:rPr>
          <w:color w:val="231F20"/>
          <w:spacing w:val="2"/>
        </w:rPr>
        <w:t xml:space="preserve"> 延长了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2"/>
        </w:rPr>
        <w:t>4.1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个月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，Ⅳ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2"/>
        </w:rPr>
        <w:t>期患者 </w:t>
      </w:r>
      <w:r>
        <w:rPr>
          <w:color w:val="231F20"/>
        </w:rPr>
        <w:t>OS</w:t>
      </w:r>
      <w:r>
        <w:rPr>
          <w:color w:val="231F20"/>
          <w:spacing w:val="2"/>
        </w:rPr>
        <w:t xml:space="preserve"> 延长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10.2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9"/>
        </w:rPr>
        <w:t>个月）。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9"/>
        </w:rPr>
        <w:t>对于这些患者有没有必要双药联合</w:t>
      </w:r>
      <w:r>
        <w:rPr>
          <w:color w:val="231F20"/>
          <w:spacing w:val="8"/>
        </w:rPr>
        <w:t>维持治疗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是困惑广大妇瘤科医生的问题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。在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PAOLA</w:t>
      </w:r>
      <w:r>
        <w:rPr>
          <w:color w:val="231F20"/>
          <w:spacing w:val="7"/>
        </w:rPr>
        <w:t>-1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研究中，显示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双药联合优于单药，但是其获益是加上奥拉帕利后取得的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2"/>
        </w:rPr>
        <w:t>效果，并非贝伐珠单抗的功效，因为两组患者均使用了贝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1"/>
        </w:rPr>
        <w:t>伐珠单抗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。新版指南对这个问题给出了答案，指出虽然数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据有限，但根据相关临床试验数据推测单用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PARP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4"/>
        </w:rPr>
        <w:t>抑制剂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可能获益，对于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BRCA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8"/>
        </w:rPr>
        <w:t xml:space="preserve"> </w:t>
      </w:r>
      <w:r>
        <w:rPr>
          <w:color w:val="231F20"/>
          <w:spacing w:val="11"/>
        </w:rPr>
        <w:t>突变并在化疗中联合贝伐</w:t>
      </w:r>
      <w:r>
        <w:rPr>
          <w:color w:val="231F20"/>
          <w:spacing w:val="10"/>
        </w:rPr>
        <w:t>珠单抗的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患者，停化疗后首选奥拉帕利加贝伐珠单抗维持治疗（1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类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推荐</w:t>
      </w:r>
      <w:r>
        <w:rPr>
          <w:color w:val="231F20"/>
          <w:spacing w:val="-27"/>
          <w:w w:val="66"/>
        </w:rPr>
        <w:t>），</w:t>
      </w:r>
      <w:r>
        <w:rPr>
          <w:color w:val="231F20"/>
          <w:spacing w:val="15"/>
        </w:rPr>
        <w:t>但也可以考虑停贝伐珠单抗，使用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PARP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5"/>
        </w:rPr>
        <w:t>抑制剂单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药进行维持治疗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3"/>
        </w:rPr>
        <w:t>。至于哪些患者停药，哪些患者不停药，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指南并未提出明确的建议，这是考验医生智慧的难题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。我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们的建议是：对于Ⅳ期或Ⅲ期手术未达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R0、</w:t>
      </w:r>
      <w:r>
        <w:rPr>
          <w:color w:val="231F20"/>
        </w:rPr>
        <w:t>PR</w:t>
      </w:r>
      <w:r>
        <w:rPr>
          <w:color w:val="231F20"/>
          <w:spacing w:val="7"/>
        </w:rPr>
        <w:t>、经济条件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许可的患者，推荐继续双药维持治疗，其他患者可考虑改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PARP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抑制剂单药维持治疗。</w:t>
      </w:r>
    </w:p>
    <w:p>
      <w:pPr>
        <w:pStyle w:val="BodyText"/>
        <w:ind w:left="245" w:right="194" w:firstLine="377"/>
        <w:spacing w:before="5" w:line="236" w:lineRule="auto"/>
        <w:jc w:val="both"/>
        <w:rPr/>
      </w:pPr>
      <w:r>
        <w:rPr>
          <w:color w:val="231F20"/>
          <w:spacing w:val="17"/>
        </w:rPr>
        <w:t>贝伐珠单抗在一线维持治疗的应用指征主要是针对</w:t>
      </w:r>
      <w:r>
        <w:rPr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BRCA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3"/>
        </w:rPr>
        <w:t xml:space="preserve"> </w:t>
      </w:r>
      <w:r>
        <w:rPr>
          <w:color w:val="231F20"/>
          <w:spacing w:val="5"/>
        </w:rPr>
        <w:t>野生型患者，不论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HRD</w:t>
      </w:r>
      <w:r>
        <w:rPr>
          <w:color w:val="231F20"/>
          <w:spacing w:val="5"/>
        </w:rPr>
        <w:t xml:space="preserve"> 阳性还是阴性，在化疗联合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贝伐珠单抗的患者中，新版指南均推荐可选择贝伐珠单抗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单药维持治疗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。当然，在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HRD</w:t>
      </w:r>
      <w:r>
        <w:rPr>
          <w:color w:val="231F20"/>
          <w:spacing w:val="4"/>
        </w:rPr>
        <w:t xml:space="preserve"> 阳性患者中，首选还是奥拉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帕利加贝伐珠单抗，因为这是 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类证据。</w:t>
      </w:r>
    </w:p>
    <w:p>
      <w:pPr>
        <w:pStyle w:val="BodyText"/>
        <w:ind w:left="244" w:right="141" w:firstLine="368"/>
        <w:spacing w:line="237" w:lineRule="auto"/>
        <w:jc w:val="both"/>
        <w:rPr/>
      </w:pPr>
      <w:r>
        <w:rPr>
          <w:color w:val="231F20"/>
          <w:spacing w:val="17"/>
        </w:rPr>
        <w:t>对于既往完成二线及以上含铂化疗的铂敏感复发患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1"/>
        </w:rPr>
        <w:t>者，既往指南推荐可以不考虑基因状态应用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PARP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1"/>
        </w:rPr>
        <w:t>抑制剂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进行维持治疗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。新版指南根据近来二线维持治疗的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OS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1"/>
        </w:rPr>
        <w:t>数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据和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FDA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适应证的更新，对二线维持治疗的适应证进行了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更新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。新版指南仍然推荐对于铂敏感复发完成二线含铂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化疗、特别是有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BRCA</w:t>
      </w:r>
      <w:r>
        <w:rPr>
          <w:color w:val="231F20"/>
          <w:spacing w:val="2"/>
        </w:rPr>
        <w:t>突变者，以前没用过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PARP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抑制剂者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可使用尼拉帕利、奥拉帕利、卢卡帕利维持</w:t>
      </w:r>
      <w:r>
        <w:rPr>
          <w:color w:val="231F20"/>
          <w:spacing w:val="7"/>
        </w:rPr>
        <w:t>治疗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同时也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限定：无论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BRCA</w:t>
      </w:r>
      <w:r>
        <w:rPr>
          <w:color w:val="231F20"/>
          <w:spacing w:val="1"/>
        </w:rPr>
        <w:t>状态如何，均可使用奥拉帕利，首选用于</w:t>
      </w:r>
      <w:r>
        <w:rPr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BRCA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color w:val="231F20"/>
          <w:spacing w:val="2"/>
        </w:rPr>
        <w:t>突变患者；尼拉帕利仅限于胚系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BRCA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30"/>
        </w:rPr>
        <w:t xml:space="preserve"> </w:t>
      </w:r>
      <w:r>
        <w:rPr>
          <w:color w:val="231F20"/>
          <w:spacing w:val="2"/>
        </w:rPr>
        <w:t>突变的患者，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卢卡帕利仅限于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BRCA</w:t>
      </w:r>
      <w:r>
        <w:rPr>
          <w:color w:val="231F20"/>
          <w:spacing w:val="5"/>
        </w:rPr>
        <w:t>突变的患者。</w:t>
      </w:r>
    </w:p>
    <w:p>
      <w:pPr>
        <w:pStyle w:val="BodyText"/>
        <w:ind w:left="248" w:right="194" w:firstLine="369"/>
        <w:spacing w:before="3" w:line="236" w:lineRule="auto"/>
        <w:jc w:val="both"/>
        <w:rPr/>
      </w:pPr>
      <w:r>
        <w:rPr>
          <w:color w:val="231F20"/>
          <w:spacing w:val="9"/>
        </w:rPr>
        <w:t>随着各大药厂主动向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FDA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撤回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PARP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抑制剂用于后线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治疗的适应证，NCCN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卵巢癌指南已从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202</w:t>
      </w:r>
      <w:r>
        <w:rPr>
          <w:color w:val="231F20"/>
          <w:spacing w:val="-3"/>
        </w:rPr>
        <w:t>2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第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5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版开始，将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尼拉帕利、奥拉帕利和卢卡帕利的推荐等级</w:t>
      </w:r>
      <w:r>
        <w:rPr>
          <w:color w:val="231F20"/>
          <w:spacing w:val="5"/>
        </w:rPr>
        <w:t>由原来的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2B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类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改为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3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类，从首选方案变为其他可选择的方案。</w:t>
      </w:r>
    </w:p>
    <w:p>
      <w:pPr>
        <w:pStyle w:val="BodyText"/>
        <w:ind w:left="245" w:right="194" w:firstLine="375"/>
        <w:spacing w:before="5" w:line="236" w:lineRule="auto"/>
        <w:jc w:val="both"/>
        <w:rPr/>
      </w:pPr>
      <w:r>
        <w:rPr>
          <w:color w:val="231F20"/>
          <w:spacing w:val="5"/>
        </w:rPr>
        <w:t>总之，</w:t>
      </w:r>
      <w:r>
        <w:rPr>
          <w:color w:val="231F20"/>
        </w:rPr>
        <w:t>PARP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5"/>
        </w:rPr>
        <w:t>抑制剂已进入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OS</w:t>
      </w:r>
      <w:r>
        <w:rPr>
          <w:color w:val="231F20"/>
          <w:spacing w:val="5"/>
        </w:rPr>
        <w:t xml:space="preserve"> 时代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。</w:t>
      </w:r>
      <w:r>
        <w:rPr>
          <w:color w:val="231F20"/>
        </w:rPr>
        <w:t>PARP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抑制剂一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线维持治疗获益大于二线维持治疗，维持治疗获益又大于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后线治疗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29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BRCA</w:t>
      </w:r>
      <w:r>
        <w:rPr>
          <w:color w:val="231F20"/>
          <w:spacing w:val="7"/>
        </w:rPr>
        <w:t>突变和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HRD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患者是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PARP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抑制剂获益的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主要人群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。基因检测指导精准治疗非常重要！好药早用！</w:t>
      </w:r>
    </w:p>
    <w:p>
      <w:pPr>
        <w:pStyle w:val="BodyText"/>
        <w:ind w:left="247"/>
        <w:spacing w:before="1" w:line="203" w:lineRule="auto"/>
        <w:rPr/>
      </w:pPr>
      <w:r>
        <w:rPr>
          <w:color w:val="231F20"/>
          <w:spacing w:val="5"/>
        </w:rPr>
        <w:t>9.2   基因检测推荐更新    随着靶向药物的不断研发，</w:t>
      </w:r>
      <w:r>
        <w:rPr>
          <w:color w:val="231F20"/>
          <w:spacing w:val="4"/>
        </w:rPr>
        <w:t>近年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6" w:right="64"/>
        <w:spacing w:before="31" w:line="235" w:lineRule="auto"/>
        <w:jc w:val="both"/>
        <w:rPr/>
      </w:pPr>
      <w:r>
        <w:rPr>
          <w:color w:val="231F20"/>
          <w:spacing w:val="10"/>
        </w:rPr>
        <w:t>来也有很多新型靶向药物应用到卵巢癌中，</w:t>
      </w:r>
      <w:r>
        <w:rPr>
          <w:color w:val="231F20"/>
          <w:spacing w:val="9"/>
        </w:rPr>
        <w:t>并取得良好的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疗效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。基因检测可精准指导靶向治疗药物选择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14"/>
        </w:rPr>
        <w:t>新版指</w:t>
      </w:r>
      <w:r>
        <w:rPr>
          <w:color w:val="231F20"/>
        </w:rPr>
        <w:t xml:space="preserve"> </w:t>
      </w:r>
      <w:r>
        <w:rPr>
          <w:color w:val="231F20"/>
        </w:rPr>
        <w:t>南新增推荐行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FR-</w:t>
      </w:r>
      <w:r>
        <w:rPr>
          <w:color w:val="231F20"/>
        </w:rPr>
        <w:t>a</w:t>
      </w:r>
      <w:r>
        <w:rPr>
          <w:sz w:val="18"/>
          <w:szCs w:val="18"/>
          <w:i/>
          <w:iCs/>
          <w:color w:val="231F20"/>
        </w:rPr>
        <w:t>、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RET</w:t>
      </w:r>
      <w:r>
        <w:rPr>
          <w:sz w:val="18"/>
          <w:szCs w:val="18"/>
          <w:i/>
          <w:iCs/>
          <w:color w:val="231F20"/>
        </w:rPr>
        <w:t>、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BRAF</w:t>
      </w:r>
      <w:r>
        <w:rPr>
          <w:color w:val="231F20"/>
        </w:rPr>
        <w:t>等基因检测，</w:t>
      </w:r>
      <w:r>
        <w:rPr>
          <w:color w:val="231F20"/>
          <w:spacing w:val="-1"/>
        </w:rPr>
        <w:t>主要是基于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目前已有针对这几个基因的靶向药物应用于复发性卵巢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癌的治疗中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。对于不能获得组织标本进行检</w:t>
      </w:r>
      <w:r>
        <w:rPr>
          <w:color w:val="231F20"/>
          <w:spacing w:val="8"/>
        </w:rPr>
        <w:t>测，推荐进行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循环肿瘤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7"/>
        </w:rPr>
        <w:t>DNA（ctDNA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或液体活检）检测。</w:t>
      </w:r>
    </w:p>
    <w:p>
      <w:pPr>
        <w:pStyle w:val="BodyText"/>
        <w:ind w:firstLine="70"/>
        <w:spacing w:before="33" w:line="236" w:lineRule="auto"/>
        <w:jc w:val="both"/>
        <w:rPr/>
      </w:pPr>
      <w:r>
        <w:rPr>
          <w:color w:val="231F20"/>
          <w:spacing w:val="12"/>
        </w:rPr>
        <w:t>9.3   靶向治疗更新</w:t>
      </w:r>
      <w:r>
        <w:rPr>
          <w:color w:val="231F20"/>
          <w:spacing w:val="18"/>
        </w:rPr>
        <w:t xml:space="preserve">   </w:t>
      </w:r>
      <w:r>
        <w:rPr>
          <w:color w:val="231F20"/>
          <w:spacing w:val="12"/>
        </w:rPr>
        <w:t>对于复发卵巢癌患者开发新型靶向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治疗药物十分重要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。对于铂敏感与铂耐药复发患者，新版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指南新推荐了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3"/>
        </w:rPr>
        <w:t>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个靶向药物方案。（1）达拉非尼+曲美替尼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用于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BRAF</w:t>
      </w:r>
      <w:r>
        <w:rPr>
          <w:color w:val="231F20"/>
        </w:rPr>
        <w:t>V</w:t>
      </w:r>
      <w:r>
        <w:rPr>
          <w:color w:val="231F20"/>
          <w:spacing w:val="5"/>
        </w:rPr>
        <w:t>600E 阳性肿瘤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。</w:t>
      </w:r>
      <w:r>
        <w:rPr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BRAF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color w:val="231F20"/>
        </w:rPr>
        <w:t>V</w:t>
      </w:r>
      <w:r>
        <w:rPr>
          <w:color w:val="231F20"/>
          <w:spacing w:val="5"/>
        </w:rPr>
        <w:t>600E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突变常</w:t>
      </w:r>
      <w:r>
        <w:rPr>
          <w:color w:val="231F20"/>
          <w:spacing w:val="4"/>
        </w:rPr>
        <w:t>见于黑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色素瘤和甲状腺癌，在其他类型肿瘤中较少见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。指南推荐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的证据来源于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NCI</w:t>
      </w:r>
      <w:r>
        <w:rPr>
          <w:color w:val="231F20"/>
          <w:spacing w:val="17"/>
        </w:rPr>
        <w:t>-</w:t>
      </w:r>
      <w:r>
        <w:rPr>
          <w:color w:val="231F20"/>
        </w:rPr>
        <w:t>MATCH</w:t>
      </w:r>
      <w:r>
        <w:rPr>
          <w:color w:val="231F20"/>
          <w:spacing w:val="17"/>
        </w:rPr>
        <w:t>-</w:t>
      </w:r>
      <w:r>
        <w:rPr>
          <w:color w:val="231F20"/>
        </w:rPr>
        <w:t>EAY</w:t>
      </w:r>
      <w:r>
        <w:rPr>
          <w:color w:val="231F20"/>
          <w:spacing w:val="17"/>
        </w:rPr>
        <w:t>131-H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7"/>
        </w:rPr>
        <w:t>研究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7"/>
        </w:rPr>
        <w:t>。该研究主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要评估选择性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BRAF</w:t>
      </w:r>
      <w:r>
        <w:rPr>
          <w:color w:val="231F20"/>
          <w:spacing w:val="12"/>
        </w:rPr>
        <w:t>抑制剂达拉非尼和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MEK</w:t>
      </w:r>
      <w:r>
        <w:rPr>
          <w:color w:val="231F20"/>
          <w:spacing w:val="12"/>
        </w:rPr>
        <w:t>1/2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2"/>
        </w:rPr>
        <w:t>抑制剂曲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美替尼在携带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BRAF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color w:val="231F20"/>
        </w:rPr>
        <w:t>V</w:t>
      </w:r>
      <w:r>
        <w:rPr>
          <w:color w:val="231F20"/>
          <w:spacing w:val="7"/>
        </w:rPr>
        <w:t>600E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突变的实体瘤、淋巴瘤或多发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性骨髓瘤患者中的疗效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7"/>
        </w:rPr>
        <w:t>。该研究纳入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35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例实体瘤患者，其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中低级别浆液性卵巢癌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0"/>
        </w:rPr>
        <w:t>5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例，腹膜癌 1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0"/>
        </w:rPr>
        <w:t>例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0"/>
        </w:rPr>
        <w:t>。患者接受达拉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非尼 150mg，每日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次，曲美替尼每日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2mg，持续治疗直至疾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病进展或出现不可耐受性毒性反应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4"/>
        </w:rPr>
        <w:t>。客观缓解率（</w:t>
      </w:r>
      <w:r>
        <w:rPr>
          <w:color w:val="231F20"/>
        </w:rPr>
        <w:t>ORR</w:t>
      </w:r>
      <w:r>
        <w:rPr>
          <w:color w:val="231F20"/>
          <w:spacing w:val="14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为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38%，无效率为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5%，PFS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为 11.4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个月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。7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例患者的反应持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续时间大于 12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个月，包括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4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例反应持续时间大</w:t>
      </w:r>
      <w:r>
        <w:rPr>
          <w:color w:val="231F20"/>
          <w:spacing w:val="4"/>
        </w:rPr>
        <w:t>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24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个月的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患者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。另外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5"/>
        </w:rPr>
        <w:t>8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例患者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PFS</w:t>
      </w:r>
      <w:r>
        <w:rPr>
          <w:color w:val="231F20"/>
          <w:spacing w:val="5"/>
        </w:rPr>
        <w:t>&gt;6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个月，中位总生存期为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28.6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个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月。（2）塞尔帕替尼用于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RET</w:t>
      </w:r>
      <w:r>
        <w:rPr>
          <w:color w:val="231F20"/>
          <w:spacing w:val="4"/>
        </w:rPr>
        <w:t>基因融合阳性肿瘤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。塞尔帕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替尼是首类具有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CNS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9"/>
        </w:rPr>
        <w:t>活性的高选择性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RET</w:t>
      </w:r>
      <w:r>
        <w:rPr>
          <w:rFonts w:ascii="Arial" w:hAnsi="Arial" w:eastAsia="Arial" w:cs="Arial"/>
          <w:i/>
          <w:iCs/>
          <w:color w:val="231F20"/>
          <w:spacing w:val="-27"/>
        </w:rPr>
        <w:t xml:space="preserve"> </w:t>
      </w:r>
      <w:r>
        <w:rPr>
          <w:color w:val="231F20"/>
          <w:spacing w:val="9"/>
        </w:rPr>
        <w:t>激酶抑制剂，在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RET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color w:val="231F20"/>
          <w:spacing w:val="10"/>
        </w:rPr>
        <w:t>阳性肺癌和甲状腺癌中疗效显著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0"/>
        </w:rPr>
        <w:t>。但是其他肿瘤很少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发生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RET</w:t>
      </w:r>
      <w:r>
        <w:rPr>
          <w:color w:val="231F20"/>
          <w:spacing w:val="9"/>
        </w:rPr>
        <w:t>融合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。指南推荐的证据来源于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LIBRETTO</w:t>
      </w:r>
      <w:r>
        <w:rPr>
          <w:color w:val="231F20"/>
          <w:spacing w:val="9"/>
        </w:rPr>
        <w:t>-001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研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究，该研究是一个 1/2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4"/>
        </w:rPr>
        <w:t>期，单臂的篮子试验，主要评估塞尔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帕替尼在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RET</w:t>
      </w:r>
      <w:r>
        <w:rPr>
          <w:color w:val="231F20"/>
          <w:spacing w:val="10"/>
        </w:rPr>
        <w:t>基因融合阳性的晚期实体瘤（非肺癌或甲状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腺癌）患者中的有效性和安全性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4"/>
        </w:rPr>
        <w:t>。总共纳入了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4"/>
        </w:rPr>
        <w:t>45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4"/>
        </w:rPr>
        <w:t>例患者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（卵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巢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癌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1 例</w:t>
      </w:r>
      <w:r>
        <w:rPr>
          <w:color w:val="231F20"/>
          <w:spacing w:val="-28"/>
        </w:rPr>
        <w:t>），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41 例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可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于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分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析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，客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观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缓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解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为 43.9%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（95%</w:t>
      </w:r>
      <w:r>
        <w:rPr>
          <w:color w:val="231F20"/>
        </w:rPr>
        <w:t>CI</w:t>
      </w:r>
      <w:r>
        <w:rPr>
          <w:color w:val="231F20"/>
          <w:spacing w:val="9"/>
        </w:rPr>
        <w:t xml:space="preserve"> 28.5～60.3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9"/>
        </w:rPr>
        <w:t>主要不良反应包括高血压及肝功能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异常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。卵巢癌中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BRAF</w:t>
      </w:r>
      <w:r>
        <w:rPr>
          <w:color w:val="231F20"/>
        </w:rPr>
        <w:t>V</w:t>
      </w:r>
      <w:r>
        <w:rPr>
          <w:color w:val="231F20"/>
          <w:spacing w:val="6"/>
        </w:rPr>
        <w:t>600E 阳性和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RET</w:t>
      </w:r>
      <w:r>
        <w:rPr>
          <w:color w:val="231F20"/>
          <w:spacing w:val="6"/>
        </w:rPr>
        <w:t>基因融合阳性并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不多见，新版指南的用药推荐仅基于单臂的篮子试验，纳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2"/>
        </w:rPr>
        <w:t>入的卵巢癌病例其实很少，并不能真实反映该方案在卵巢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8"/>
        </w:rPr>
        <w:t>癌中的疗效，还有待进一步的临床试验加以验证。</w:t>
      </w:r>
    </w:p>
    <w:p>
      <w:pPr>
        <w:pStyle w:val="BodyText"/>
        <w:ind w:left="67" w:firstLine="366"/>
        <w:spacing w:before="7" w:line="236" w:lineRule="auto"/>
        <w:jc w:val="both"/>
        <w:rPr/>
      </w:pPr>
      <w:r>
        <w:rPr>
          <w:color w:val="231F20"/>
          <w:spacing w:val="9"/>
        </w:rPr>
        <w:t>针对铂耐药复发卵巢癌，新版指南在首选方案新增了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9"/>
        </w:rPr>
        <w:t>Mirvetuximab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9"/>
        </w:rPr>
        <w:t>Soravtansine（MIRV）用 于</w:t>
      </w:r>
      <w:r>
        <w:rPr>
          <w:color w:val="231F20"/>
          <w:spacing w:val="9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9"/>
        </w:rPr>
        <w:t>FR-</w:t>
      </w:r>
      <w:r>
        <w:rPr>
          <w:color w:val="231F20"/>
          <w:spacing w:val="-9"/>
        </w:rPr>
        <w:t>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9"/>
        </w:rPr>
        <w:t>阳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性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0"/>
        </w:rPr>
        <w:t>肿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0"/>
        </w:rPr>
        <w:t>瘤 。</w:t>
      </w:r>
      <w:r>
        <w:rPr>
          <w:color w:val="231F20"/>
        </w:rPr>
        <w:t xml:space="preserve"> </w:t>
      </w:r>
      <w:r>
        <w:rPr>
          <w:color w:val="231F20"/>
        </w:rPr>
        <w:t>MIRV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8"/>
        </w:rPr>
        <w:t>是一种抗体偶联药物，包含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FR</w:t>
      </w:r>
      <w:r>
        <w:rPr>
          <w:rFonts w:ascii="Arial" w:hAnsi="Arial" w:eastAsia="Arial" w:cs="Arial"/>
          <w:i/>
          <w:iCs/>
          <w:color w:val="231F20"/>
          <w:spacing w:val="8"/>
        </w:rPr>
        <w:t>-</w:t>
      </w:r>
      <w:r>
        <w:rPr>
          <w:color w:val="231F20"/>
          <w:spacing w:val="8"/>
        </w:rPr>
        <w:t>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结合抗体，</w:t>
      </w:r>
      <w:r>
        <w:rPr>
          <w:color w:val="231F20"/>
          <w:spacing w:val="7"/>
        </w:rPr>
        <w:t>可切割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连接剂和微管蛋白靶向剂丹素类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DM</w:t>
      </w:r>
      <w:r>
        <w:rPr>
          <w:color w:val="231F20"/>
          <w:spacing w:val="13"/>
        </w:rPr>
        <w:t>4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3"/>
        </w:rPr>
        <w:t>。该推荐主要源于</w:t>
      </w:r>
      <w:r>
        <w:rPr>
          <w:color w:val="231F20"/>
        </w:rPr>
        <w:t xml:space="preserve">  </w:t>
      </w:r>
      <w:r>
        <w:rPr>
          <w:color w:val="231F20"/>
        </w:rPr>
        <w:t>SORAYA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研究，入选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2022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年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ASCO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会议的壁报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。该研究主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要评估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MIRV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2"/>
        </w:rPr>
        <w:t>在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FR</w:t>
      </w:r>
      <w:r>
        <w:rPr>
          <w:rFonts w:ascii="Arial" w:hAnsi="Arial" w:eastAsia="Arial" w:cs="Arial"/>
          <w:i/>
          <w:iCs/>
          <w:color w:val="231F20"/>
          <w:spacing w:val="12"/>
        </w:rPr>
        <w:t>-</w:t>
      </w:r>
      <w:r>
        <w:rPr>
          <w:color w:val="231F20"/>
          <w:spacing w:val="12"/>
        </w:rPr>
        <w:t>a 阳性的铂耐药卵巢癌中的疗效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。入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组人群在前线治疗需使用过贝伐珠单抗，总共纳入 106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7"/>
        </w:rPr>
        <w:t>例</w:t>
      </w:r>
      <w:r>
        <w:rPr>
          <w:color w:val="231F20"/>
        </w:rPr>
        <w:t xml:space="preserve">  </w:t>
      </w:r>
      <w:r>
        <w:rPr>
          <w:color w:val="231F20"/>
        </w:rPr>
        <w:t>患者，ORR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为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32.4%，包括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5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例完全缓解，常</w:t>
      </w:r>
      <w:r>
        <w:rPr>
          <w:color w:val="231F20"/>
          <w:spacing w:val="-1"/>
        </w:rPr>
        <w:t>见的不良反应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包括视力模糊、角膜病变和恶心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9"/>
        </w:rPr>
        <w:t>。该研究显示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MIRV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9"/>
        </w:rPr>
        <w:t>对于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i/>
          <w:iCs/>
          <w:color w:val="231F20"/>
        </w:rPr>
        <w:t>FR</w:t>
      </w:r>
      <w:r>
        <w:rPr>
          <w:rFonts w:ascii="Arial" w:hAnsi="Arial" w:eastAsia="Arial" w:cs="Arial"/>
          <w:i/>
          <w:iCs/>
          <w:color w:val="231F20"/>
          <w:spacing w:val="14"/>
        </w:rPr>
        <w:t>-</w:t>
      </w:r>
      <w:r>
        <w:rPr>
          <w:color w:val="231F20"/>
          <w:spacing w:val="14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高表达的铂耐药卵巢癌具有良好的疗效及可控的不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良反应。</w:t>
      </w:r>
    </w:p>
    <w:p>
      <w:pPr>
        <w:pStyle w:val="BodyText"/>
        <w:ind w:left="68" w:right="64" w:firstLine="362"/>
        <w:spacing w:before="4"/>
        <w:rPr/>
      </w:pPr>
      <w:r>
        <w:rPr>
          <w:color w:val="231F20"/>
          <w:spacing w:val="8"/>
        </w:rPr>
        <w:t>新版指南也推荐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MIRV</w:t>
      </w:r>
      <w:r>
        <w:rPr>
          <w:color w:val="231F20"/>
          <w:spacing w:val="8"/>
        </w:rPr>
        <w:t>+贝伐珠单抗用于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FR</w:t>
      </w:r>
      <w:r>
        <w:rPr>
          <w:rFonts w:ascii="Arial" w:hAnsi="Arial" w:eastAsia="Arial" w:cs="Arial"/>
          <w:i/>
          <w:iCs/>
          <w:color w:val="231F20"/>
          <w:spacing w:val="8"/>
        </w:rPr>
        <w:t>-</w:t>
      </w:r>
      <w:r>
        <w:rPr>
          <w:color w:val="231F20"/>
          <w:spacing w:val="8"/>
        </w:rPr>
        <w:t>a 阳性肿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瘤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。该推荐来自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FORWARD Ⅱ（NCT02606305）研究，该研</w:t>
      </w:r>
    </w:p>
    <w:p>
      <w:pPr>
        <w:sectPr>
          <w:type w:val="continuous"/>
          <w:pgSz w:w="12076" w:h="17008"/>
          <w:pgMar w:top="1654" w:right="1296" w:bottom="0" w:left="1118" w:header="1408" w:footer="0" w:gutter="0"/>
          <w:cols w:equalWidth="0" w:num="2">
            <w:col w:w="4935" w:space="100"/>
            <w:col w:w="4627" w:space="0"/>
          </w:cols>
        </w:sectPr>
        <w:rPr/>
      </w:pPr>
    </w:p>
    <w:p>
      <w:pPr>
        <w:spacing w:line="248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3730962</wp:posOffset>
            </wp:positionH>
            <wp:positionV relativeFrom="paragraph">
              <wp:posOffset>-8840818</wp:posOffset>
            </wp:positionV>
            <wp:extent cx="2298700" cy="635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60" w:lineRule="exact"/>
        <w:rPr/>
      </w:pPr>
      <w:r>
        <w:rPr>
          <w:position w:val="-1"/>
        </w:rPr>
        <w:pict>
          <v:shape id="_x0000_s2" style="mso-position-vertical-relative:line;mso-position-horizontal-relative:char;width:426.35pt;height:3pt;" fillcolor="#999999" filled="true" stroked="false" coordsize="8527,60" coordorigin="0,0" path="m8094,35c8098,35,8100,37,8102,40c8104,41,8106,45,8106,47c8106,51,8104,53,8102,57c8100,60,8098,60,8094,60c8090,60,8088,60,8086,57c8084,53,8082,51,8082,47c8082,45,8084,41,8086,40c8088,37,8090,35,8094,35em8514,35c8518,35,8520,37,8522,40c8524,41,8526,45,8526,47c8526,51,8524,53,8522,57c8520,60,8518,60,8514,60c8510,60,8508,60,8506,57c8504,53,8502,51,8502,47c8502,45,8504,41,8506,40c8508,37,8510,35,8514,35em6855,35c6860,35,6861,37,6865,40c6867,41,6867,45,6867,47c6867,51,6867,53,6865,57c6861,60,6860,60,6855,60c6853,60,6850,60,6847,57c6845,53,6843,51,6843,47c6843,45,6845,41,6847,40c6850,37,6853,35,6855,35em5165,35c5170,35,5171,37,5173,40c5175,41,5177,45,5177,47c5177,51,5175,53,5173,57c5171,60,5170,60,5165,60c5161,60,5160,60,5157,57c5155,53,5153,51,5153,47c5153,45,5155,41,5157,40c5160,37,5161,35,5165,35em0,0l54,0l54,17l0,17l0,0xe"/>
        </w:pict>
      </w:r>
    </w:p>
    <w:p>
      <w:pPr>
        <w:spacing w:line="60" w:lineRule="exact"/>
        <w:sectPr>
          <w:type w:val="continuous"/>
          <w:pgSz w:w="12076" w:h="17008"/>
          <w:pgMar w:top="1654" w:right="1296" w:bottom="0" w:left="1118" w:header="1408" w:footer="0" w:gutter="0"/>
          <w:cols w:equalWidth="0" w:num="1">
            <w:col w:w="9662" w:space="0"/>
          </w:cols>
        </w:sectPr>
        <w:rPr/>
      </w:pPr>
    </w:p>
    <w:p>
      <w:pPr>
        <w:spacing w:before="67"/>
        <w:rPr/>
      </w:pPr>
      <w:r>
        <w:drawing>
          <wp:anchor distT="0" distB="0" distL="0" distR="0" simplePos="0" relativeHeight="251665408" behindDoc="0" locked="0" layoutInCell="0" allowOverlap="1">
            <wp:simplePos x="0" y="0"/>
            <wp:positionH relativeFrom="page">
              <wp:posOffset>928396</wp:posOffset>
            </wp:positionH>
            <wp:positionV relativeFrom="page">
              <wp:posOffset>1034494</wp:posOffset>
            </wp:positionV>
            <wp:extent cx="2298700" cy="635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5"/>
          <w:pgSz w:w="12076" w:h="17008"/>
          <w:pgMar w:top="1654" w:right="1296" w:bottom="0" w:left="1362" w:header="1408" w:footer="0" w:gutter="0"/>
          <w:cols w:equalWidth="0" w:num="1">
            <w:col w:w="9417" w:space="0"/>
          </w:cols>
        </w:sectPr>
        <w:rPr/>
      </w:pPr>
    </w:p>
    <w:p>
      <w:pPr>
        <w:pStyle w:val="BodyText"/>
        <w:ind w:right="141"/>
        <w:spacing w:before="43" w:line="237" w:lineRule="auto"/>
        <w:jc w:val="both"/>
        <w:rPr/>
      </w:pPr>
      <w:r>
        <w:rPr>
          <w:color w:val="231F20"/>
          <w:spacing w:val="3"/>
        </w:rPr>
        <w:t>究的第一阶段(</w:t>
      </w:r>
      <w:r>
        <w:rPr>
          <w:color w:val="231F20"/>
          <w:spacing w:val="51"/>
        </w:rPr>
        <w:t xml:space="preserve"> </w:t>
      </w:r>
      <w:r>
        <w:rPr>
          <w:color w:val="231F20"/>
          <w:spacing w:val="3"/>
        </w:rPr>
        <w:t>ⅠB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期）共纳入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66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例铂耐药的卵巢癌患者，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免疫化学法检测</w:t>
      </w:r>
      <w:r>
        <w:rPr>
          <w:color w:val="231F20"/>
          <w:spacing w:val="1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FR</w:t>
      </w:r>
      <w:r>
        <w:rPr>
          <w:rFonts w:ascii="Arial" w:hAnsi="Arial" w:eastAsia="Arial" w:cs="Arial"/>
          <w:i/>
          <w:iCs/>
          <w:color w:val="231F20"/>
          <w:spacing w:val="11"/>
        </w:rPr>
        <w:t>-</w:t>
      </w:r>
      <w:r>
        <w:rPr>
          <w:color w:val="231F20"/>
          <w:spacing w:val="11"/>
        </w:rPr>
        <w:t>a 阳性，允许先前接受贝伐珠单抗治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疗，每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3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周给予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MIRV（6mg/kg，校正</w:t>
      </w:r>
      <w:r>
        <w:rPr>
          <w:color w:val="231F20"/>
          <w:spacing w:val="-7"/>
        </w:rPr>
        <w:t>体重指数）和贝伐珠单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抗（15mg/kg</w:t>
      </w:r>
      <w:r>
        <w:rPr>
          <w:color w:val="231F20"/>
          <w:spacing w:val="-33"/>
          <w:w w:val="80"/>
        </w:rPr>
        <w:t>），</w:t>
      </w:r>
      <w:r>
        <w:rPr>
          <w:color w:val="231F20"/>
          <w:spacing w:val="-7"/>
        </w:rPr>
        <w:t>ORR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39%，包括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5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例完全缓解和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21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例部分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缓解，中位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PFS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为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6.9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个月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。在 16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例未接受过贝伐珠单抗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治疗、既往治疗≤二线及以下、</w:t>
      </w:r>
      <w:r>
        <w:rPr>
          <w:rFonts w:ascii="Arial" w:hAnsi="Arial" w:eastAsia="Arial" w:cs="Arial"/>
          <w:i/>
          <w:iCs/>
          <w:color w:val="231F20"/>
        </w:rPr>
        <w:t>FR</w:t>
      </w:r>
      <w:r>
        <w:rPr>
          <w:rFonts w:ascii="Arial" w:hAnsi="Arial" w:eastAsia="Arial" w:cs="Arial"/>
          <w:i/>
          <w:iCs/>
          <w:color w:val="231F20"/>
          <w:spacing w:val="2"/>
        </w:rPr>
        <w:t>-</w:t>
      </w:r>
      <w:r>
        <w:rPr>
          <w:color w:val="231F20"/>
          <w:spacing w:val="2"/>
        </w:rPr>
        <w:t>a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水平中的患者中尤为有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效高表达（ORR：56%，中位持续缓解时间 12 个月；PFS：9.9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个月）。 2022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年国际妇科癌症协会年会（IGCS）会议上，该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研究进行了数据更新，在总体人群中，</w:t>
      </w:r>
      <w:r>
        <w:rPr>
          <w:color w:val="231F20"/>
        </w:rPr>
        <w:t>MIRV</w:t>
      </w:r>
      <w:r>
        <w:rPr>
          <w:color w:val="231F20"/>
          <w:spacing w:val="8"/>
        </w:rPr>
        <w:t>+贝伐珠单抗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治疗的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ORR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44%，有应答者，中位持续缓解时间为 1</w:t>
      </w:r>
      <w:r>
        <w:rPr>
          <w:color w:val="231F20"/>
          <w:spacing w:val="1"/>
        </w:rPr>
        <w:t>1.8</w:t>
      </w:r>
      <w:r>
        <w:rPr>
          <w:color w:val="231F20"/>
        </w:rPr>
        <w:t xml:space="preserve">  </w:t>
      </w:r>
      <w:r>
        <w:rPr>
          <w:color w:val="231F20"/>
        </w:rPr>
        <w:t>个月，总体上，MIRV+贝伐珠单抗治疗的中位 PFS 为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8.2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个  </w:t>
      </w:r>
      <w:r>
        <w:rPr>
          <w:color w:val="231F20"/>
          <w:spacing w:val="5"/>
        </w:rPr>
        <w:t>月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。无论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FR</w:t>
      </w:r>
      <w:r>
        <w:rPr>
          <w:rFonts w:ascii="Arial" w:hAnsi="Arial" w:eastAsia="Arial" w:cs="Arial"/>
          <w:i/>
          <w:iCs/>
          <w:color w:val="231F20"/>
          <w:spacing w:val="5"/>
        </w:rPr>
        <w:t>-</w:t>
      </w:r>
      <w:r>
        <w:rPr>
          <w:color w:val="231F20"/>
          <w:spacing w:val="5"/>
        </w:rPr>
        <w:t>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表达水平如何，贝伐珠单抗初治和经治患者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中均观察到持久的抗肿瘤活性，且与无铂间</w:t>
      </w:r>
      <w:r>
        <w:rPr>
          <w:color w:val="231F20"/>
          <w:spacing w:val="7"/>
        </w:rPr>
        <w:t>期无关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Ⅲ期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随机对照试验（GLORIOSA，GOG 3078）正在招募中</w:t>
      </w:r>
      <w:r>
        <w:rPr>
          <w:color w:val="231F20"/>
          <w:spacing w:val="-9"/>
        </w:rPr>
        <w:t>，值得期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待。</w:t>
      </w:r>
    </w:p>
    <w:p>
      <w:pPr>
        <w:pStyle w:val="BodyText"/>
        <w:ind w:right="194" w:firstLine="2"/>
        <w:spacing w:before="1" w:line="237" w:lineRule="auto"/>
        <w:jc w:val="both"/>
        <w:rPr/>
      </w:pPr>
      <w:r>
        <w:rPr>
          <w:color w:val="231F20"/>
          <w:spacing w:val="5"/>
        </w:rPr>
        <w:t>9.4   其他全身治疗方案更新</w:t>
      </w:r>
      <w:r>
        <w:rPr>
          <w:color w:val="231F20"/>
          <w:spacing w:val="8"/>
        </w:rPr>
        <w:t xml:space="preserve">    </w:t>
      </w:r>
      <w:r>
        <w:rPr>
          <w:color w:val="231F20"/>
          <w:spacing w:val="5"/>
        </w:rPr>
        <w:t>Ⅱ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5"/>
        </w:rPr>
        <w:t>~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Ⅳ期上皮性卵巢癌增加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多烯紫杉醇/卡铂/贝伐珠单抗+贝伐珠单抗维持治疗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。该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方案并非直接来源于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GOG</w:t>
      </w:r>
      <w:r>
        <w:rPr>
          <w:color w:val="231F20"/>
          <w:spacing w:val="4"/>
        </w:rPr>
        <w:t>-218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研究，仅借鉴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GOG</w:t>
      </w:r>
      <w:r>
        <w:rPr>
          <w:color w:val="231F20"/>
          <w:spacing w:val="4"/>
        </w:rPr>
        <w:t>-218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研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究中贝伐珠单抗的方案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。</w:t>
      </w:r>
      <w:r>
        <w:rPr>
          <w:color w:val="231F20"/>
        </w:rPr>
        <w:t>SCOTROC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9"/>
        </w:rPr>
        <w:t>研究是比较紫杉醇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175mg/m</w:t>
      </w:r>
      <w:r>
        <w:rPr>
          <w:sz w:val="8"/>
          <w:szCs w:val="8"/>
          <w:color w:val="231F20"/>
          <w:spacing w:val="-2"/>
          <w:position w:val="7"/>
        </w:rPr>
        <w:t>2 </w:t>
      </w:r>
      <w:r>
        <w:rPr>
          <w:color w:val="231F20"/>
          <w:spacing w:val="-2"/>
        </w:rPr>
        <w:t>+卡铂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AUC5 的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3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周疗与多烯紫杉醇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75mg/m</w:t>
      </w:r>
      <w:r>
        <w:rPr>
          <w:sz w:val="8"/>
          <w:szCs w:val="8"/>
          <w:color w:val="231F20"/>
          <w:spacing w:val="-2"/>
          <w:position w:val="7"/>
        </w:rPr>
        <w:t>2</w:t>
      </w:r>
      <w:r>
        <w:rPr>
          <w:sz w:val="8"/>
          <w:szCs w:val="8"/>
          <w:color w:val="231F20"/>
          <w:spacing w:val="-7"/>
          <w:position w:val="7"/>
        </w:rPr>
        <w:t xml:space="preserve"> </w:t>
      </w:r>
      <w:r>
        <w:rPr>
          <w:color w:val="231F20"/>
          <w:spacing w:val="-2"/>
        </w:rPr>
        <w:t>+卡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铂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AUC</w:t>
      </w:r>
      <w:r>
        <w:rPr>
          <w:color w:val="231F20"/>
          <w:spacing w:val="1"/>
        </w:rPr>
        <w:t xml:space="preserve"> 5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3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周疗方案的随机对照试验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"/>
        </w:rPr>
        <w:t>。总共纳入 1077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例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ⅠC~Ⅳ期患者，随访时间为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2"/>
        </w:rPr>
        <w:t>23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个月，两组的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PFS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分别为多</w:t>
      </w:r>
      <w:r>
        <w:rPr>
          <w:color w:val="231F20"/>
        </w:rPr>
        <w:t xml:space="preserve"> </w:t>
      </w:r>
      <w:r>
        <w:rPr>
          <w:color w:val="231F20"/>
        </w:rPr>
        <w:t>烯紫杉醇+卡铂组 15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个月，紫杉醇+卡铂组</w:t>
      </w:r>
      <w:r>
        <w:rPr>
          <w:color w:val="231F20"/>
          <w:spacing w:val="-1"/>
        </w:rPr>
        <w:t xml:space="preserve"> 14.8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个月，2 年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总生存率多烯紫杉醇+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8"/>
        </w:rPr>
        <w:t>卡铂组64.2%，紫</w:t>
      </w:r>
      <w:r>
        <w:rPr>
          <w:color w:val="231F20"/>
          <w:spacing w:val="17"/>
        </w:rPr>
        <w:t>杉醇+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7"/>
        </w:rPr>
        <w:t>卡铂组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68.9%，均不具有统计学差异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。两种方案疗效相当，多烯紫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杉醇+卡铂组总体神经毒性显著降低，3~4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级中</w:t>
      </w:r>
      <w:r>
        <w:rPr>
          <w:color w:val="231F20"/>
          <w:spacing w:val="3"/>
        </w:rPr>
        <w:t>性粒细胞减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少及中性粒减少相关并发症增加，生活质量方面，两组无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明显差异。</w:t>
      </w:r>
    </w:p>
    <w:p>
      <w:pPr>
        <w:pStyle w:val="BodyText"/>
        <w:ind w:left="368"/>
        <w:spacing w:line="172" w:lineRule="exact"/>
        <w:rPr/>
      </w:pPr>
      <w:r>
        <w:rPr>
          <w:color w:val="231F20"/>
          <w:spacing w:val="17"/>
          <w:position w:val="-1"/>
        </w:rPr>
        <w:t>新版指南针对铂耐药复发化疗的另一个重要更新是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6" w:right="10" w:firstLine="3"/>
        <w:spacing w:before="42" w:line="237" w:lineRule="auto"/>
        <w:jc w:val="both"/>
        <w:rPr/>
      </w:pPr>
      <w:r>
        <w:rPr>
          <w:color w:val="231F20"/>
          <w:spacing w:val="1"/>
        </w:rPr>
        <w:t>在“其他推荐方案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”和“可能有效方案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”中新增推荐含铂化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疗方案（表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6）。 在以往的观念中，铂耐药患者再用铂化疗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疗效不佳，一般推荐非铂单药化疗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。但是，在真实世界中，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非铂药物疗效同样不佳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4"/>
        </w:rPr>
        <w:t>。新版指南更新源于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2022 </w:t>
      </w:r>
      <w:r>
        <w:rPr>
          <w:color w:val="231F20"/>
        </w:rPr>
        <w:t>ASCO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会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议报道的“铂类与非铂类化疗治疗铂类耐药</w:t>
      </w:r>
      <w:r>
        <w:rPr>
          <w:color w:val="231F20"/>
          <w:spacing w:val="9"/>
        </w:rPr>
        <w:t>卵巢癌：一项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Meta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分析”。这项荟萃分析显示，与其他</w:t>
      </w:r>
      <w:r>
        <w:rPr>
          <w:color w:val="231F20"/>
          <w:spacing w:val="-2"/>
        </w:rPr>
        <w:t>非铂单药相比，针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对“铂耐药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”患者的化疗，反应率最高的药物还</w:t>
      </w:r>
      <w:r>
        <w:rPr>
          <w:color w:val="231F20"/>
          <w:spacing w:val="8"/>
        </w:rPr>
        <w:t>是铂类药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物，提出了“铂耐药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”卵巢癌患者可能可以重新从铂类药物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治疗中获得显著益处的观点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。指南的更新让我们对铂耐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药患者的化疗方案有了更多的选择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。但需注意该推荐不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适用于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”铂难治“即停化疗后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3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个月内复发的患者。</w:t>
      </w:r>
    </w:p>
    <w:p>
      <w:pPr>
        <w:pStyle w:val="BodyText"/>
        <w:ind w:firstLine="436"/>
        <w:spacing w:before="4" w:line="236" w:lineRule="auto"/>
        <w:jc w:val="both"/>
        <w:rPr/>
      </w:pPr>
      <w:r>
        <w:rPr>
          <w:color w:val="231F20"/>
          <w:spacing w:val="13"/>
        </w:rPr>
        <w:t>在铂耐药复发治疗方案新增伊沙匹隆/贝伐珠单抗方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7"/>
        </w:rPr>
        <w:t>案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7"/>
        </w:rPr>
        <w:t>。主要证据来源于一个多中心的Ⅱ期临床研究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7"/>
        </w:rPr>
        <w:t>。该研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究总共纳入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8"/>
        </w:rPr>
        <w:t>76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8"/>
        </w:rPr>
        <w:t>例铂耐药复发卵巢癌患者，随机分组接受伊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沙匹隆 20 mg/m</w:t>
      </w:r>
      <w:r>
        <w:rPr>
          <w:sz w:val="8"/>
          <w:szCs w:val="8"/>
          <w:color w:val="231F20"/>
          <w:spacing w:val="-3"/>
          <w:position w:val="7"/>
        </w:rPr>
        <w:t>2  </w:t>
      </w:r>
      <w:r>
        <w:rPr>
          <w:color w:val="231F20"/>
          <w:spacing w:val="-8"/>
        </w:rPr>
        <w:t>治疗（第 1、8、15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天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-8"/>
        </w:rPr>
        <w:t>联合或不联合贝伐珠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单抗 10 mg/kg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治疗（第 1、15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天</w:t>
      </w:r>
      <w:r>
        <w:rPr>
          <w:color w:val="231F20"/>
          <w:spacing w:val="-27"/>
          <w:w w:val="66"/>
        </w:rPr>
        <w:t>），</w:t>
      </w:r>
      <w:r>
        <w:rPr>
          <w:color w:val="231F20"/>
          <w:spacing w:val="-5"/>
        </w:rPr>
        <w:t>每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28d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个周期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。结果显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示接受联合用药组（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4"/>
        </w:rPr>
        <w:t>n</w:t>
      </w:r>
      <w:r>
        <w:rPr>
          <w:color w:val="231F20"/>
          <w:spacing w:val="-4"/>
        </w:rPr>
        <w:t>=39）与伊沙匹隆</w:t>
      </w:r>
      <w:r>
        <w:rPr>
          <w:color w:val="231F20"/>
          <w:spacing w:val="-5"/>
        </w:rPr>
        <w:t>单药组（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5"/>
        </w:rPr>
        <w:t>n</w:t>
      </w:r>
      <w:r>
        <w:rPr>
          <w:color w:val="231F20"/>
          <w:spacing w:val="-5"/>
        </w:rPr>
        <w:t>=37）相比，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ORR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33%（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5"/>
        </w:rPr>
        <w:t>n</w:t>
      </w:r>
      <w:r>
        <w:rPr>
          <w:color w:val="231F20"/>
          <w:spacing w:val="-5"/>
        </w:rPr>
        <w:t>=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13）vs. 8%（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5"/>
        </w:rPr>
        <w:t>n</w:t>
      </w:r>
      <w:r>
        <w:rPr>
          <w:color w:val="231F20"/>
          <w:spacing w:val="-6"/>
        </w:rPr>
        <w:t>=3</w:t>
      </w:r>
      <w:r>
        <w:rPr>
          <w:color w:val="231F20"/>
          <w:spacing w:val="-24"/>
          <w:w w:val="59"/>
        </w:rPr>
        <w:t>），</w:t>
      </w:r>
      <w:r>
        <w:rPr>
          <w:color w:val="231F20"/>
          <w:spacing w:val="-6"/>
        </w:rPr>
        <w:t>贝伐珠单抗显著改善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PFS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（中位数：5.5 vs. 2.2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个月，HR=0.33，95%CI 0.19～0.55</w:t>
      </w:r>
      <w:r>
        <w:rPr>
          <w:color w:val="231F20"/>
          <w:spacing w:val="-32"/>
          <w:w w:val="78"/>
        </w:rPr>
        <w:t>），</w:t>
      </w:r>
      <w:r>
        <w:rPr>
          <w:color w:val="231F20"/>
          <w:spacing w:val="-8"/>
        </w:rPr>
        <w:t>OS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（中位数：10.0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vs.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6.0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8"/>
        </w:rPr>
        <w:t>个月，HR=0.52，95%CI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0.31～0.87）。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该研究提示伊沙匹隆+贝伐珠单抗联合治疗铂耐药复发卵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5"/>
        </w:rPr>
        <w:t>巢癌具有一定的疗效。</w:t>
      </w:r>
    </w:p>
    <w:p>
      <w:pPr>
        <w:pStyle w:val="BodyText"/>
        <w:ind w:left="68" w:right="64" w:firstLine="384"/>
        <w:spacing w:before="11" w:line="236" w:lineRule="auto"/>
        <w:jc w:val="both"/>
        <w:rPr/>
      </w:pPr>
      <w:r>
        <w:rPr>
          <w:color w:val="231F20"/>
          <w:spacing w:val="10"/>
        </w:rPr>
        <w:t>内分泌治疗对低级别浆液性癌和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G1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级卵巢子宫内膜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样癌有重要意义，有效率和化疗接近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。该类</w:t>
      </w:r>
      <w:r>
        <w:rPr>
          <w:color w:val="231F20"/>
          <w:spacing w:val="8"/>
        </w:rPr>
        <w:t>患者大多数不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能从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PARP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0"/>
        </w:rPr>
        <w:t>抑制剂维持治疗中获益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0"/>
        </w:rPr>
        <w:t>。近年来，指南推荐的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方案已逐步演变为化疗结束后接上来曲唑等内分泌药物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维持治疗，PFS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显著获益。</w:t>
      </w:r>
    </w:p>
    <w:p>
      <w:pPr>
        <w:pStyle w:val="BodyText"/>
        <w:spacing w:before="1" w:line="211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（2022-12-31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3"/>
        </w:rPr>
        <w:t>收稿）</w:t>
      </w:r>
    </w:p>
    <w:sectPr>
      <w:type w:val="continuous"/>
      <w:pgSz w:w="12076" w:h="17008"/>
      <w:pgMar w:top="1654" w:right="1296" w:bottom="0" w:left="1362" w:header="1408" w:footer="0" w:gutter="0"/>
      <w:cols w:equalWidth="0" w:num="2">
        <w:col w:w="4690" w:space="100"/>
        <w:col w:w="462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"/>
      <w:spacing w:before="35" w:line="18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60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</w:t>
    </w:r>
    <w:r>
      <w:rPr>
        <w:sz w:val="15"/>
        <w:szCs w:val="15"/>
        <w:color w:val="231F20"/>
        <w:spacing w:val="-2"/>
      </w:rPr>
      <w:t>中国实用妇科与产科杂志 2023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年 1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 1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0"/>
      <w:spacing w:before="35" w:line="187" w:lineRule="auto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</w:rPr>
      <w:t>中国实用妇科与产科杂志 2023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</w:rPr>
      <w:t>年 1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</w:rPr>
      <w:t>卷 第 1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</w:rPr>
      <w:t>期                      </w:t>
    </w:r>
    <w:r>
      <w:rPr>
        <w:sz w:val="15"/>
        <w:szCs w:val="15"/>
        <w:color w:val="231F20"/>
        <w:spacing w:val="-1"/>
      </w:rPr>
      <w:t xml:space="preserve">                            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61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7"/>
      <w:spacing w:before="35" w:line="18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62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</w:t>
    </w:r>
    <w:r>
      <w:rPr>
        <w:sz w:val="15"/>
        <w:szCs w:val="15"/>
        <w:color w:val="231F20"/>
        <w:spacing w:val="-2"/>
      </w:rPr>
      <w:t>中国实用妇科与产科杂志 2023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年 1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 1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0"/>
      <w:spacing w:before="35" w:line="187" w:lineRule="auto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</w:rPr>
      <w:t>中国实用妇科与产科杂志 2023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</w:rPr>
      <w:t>年 1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</w:rPr>
      <w:t>卷 第 1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</w:rPr>
      <w:t>期                      </w:t>
    </w:r>
    <w:r>
      <w:rPr>
        <w:sz w:val="15"/>
        <w:szCs w:val="15"/>
        <w:color w:val="231F20"/>
        <w:spacing w:val="-1"/>
      </w:rPr>
      <w:t xml:space="preserve">                            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63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"/>
      <w:spacing w:before="35" w:line="18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64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</w:t>
    </w:r>
    <w:r>
      <w:rPr>
        <w:sz w:val="15"/>
        <w:szCs w:val="15"/>
        <w:color w:val="231F20"/>
        <w:spacing w:val="-2"/>
      </w:rPr>
      <w:t>中国实用妇科与产科杂志 2023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年 1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 1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6"/>
      <w:spacing w:before="35" w:line="187" w:lineRule="auto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</w:rPr>
      <w:t>中国实用妇科与产科杂志 2023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</w:rPr>
      <w:t>年 1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</w:rPr>
      <w:t>卷 第 1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</w:rPr>
      <w:t>期                      </w:t>
    </w:r>
    <w:r>
      <w:rPr>
        <w:sz w:val="15"/>
        <w:szCs w:val="15"/>
        <w:color w:val="231F20"/>
        <w:spacing w:val="-1"/>
      </w:rPr>
      <w:t xml:space="preserve">                            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65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9"/>
      <w:spacing w:before="35" w:line="18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66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</w:t>
    </w:r>
    <w:r>
      <w:rPr>
        <w:sz w:val="15"/>
        <w:szCs w:val="15"/>
        <w:color w:val="231F20"/>
        <w:spacing w:val="-2"/>
      </w:rPr>
      <w:t>中国实用妇科与产科杂志 2023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年 1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 1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8"/>
      <w:spacing w:before="35" w:line="187" w:lineRule="auto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</w:rPr>
      <w:t>中国实用妇科与产科杂志 2023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</w:rPr>
      <w:t>年 1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</w:rPr>
      <w:t>卷 第 1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</w:rPr>
      <w:t>期                      </w:t>
    </w:r>
    <w:r>
      <w:rPr>
        <w:sz w:val="15"/>
        <w:szCs w:val="15"/>
        <w:color w:val="231F20"/>
        <w:spacing w:val="-1"/>
      </w:rPr>
      <w:t xml:space="preserve">                            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67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image" Target="media/image4.png"/><Relationship Id="rId7" Type="http://schemas.openxmlformats.org/officeDocument/2006/relationships/header" Target="header4.xml"/><Relationship Id="rId6" Type="http://schemas.openxmlformats.org/officeDocument/2006/relationships/image" Target="media/image3.png"/><Relationship Id="rId5" Type="http://schemas.openxmlformats.org/officeDocument/2006/relationships/header" Target="header3.xml"/><Relationship Id="rId4" Type="http://schemas.openxmlformats.org/officeDocument/2006/relationships/image" Target="media/image2.png"/><Relationship Id="rId3" Type="http://schemas.openxmlformats.org/officeDocument/2006/relationships/header" Target="header2.xml"/><Relationship Id="rId2" Type="http://schemas.openxmlformats.org/officeDocument/2006/relationships/image" Target="media/image1.png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image" Target="media/image8.png"/><Relationship Id="rId15" Type="http://schemas.openxmlformats.org/officeDocument/2006/relationships/header" Target="header8.xml"/><Relationship Id="rId14" Type="http://schemas.openxmlformats.org/officeDocument/2006/relationships/image" Target="media/image7.png"/><Relationship Id="rId13" Type="http://schemas.openxmlformats.org/officeDocument/2006/relationships/header" Target="header7.xml"/><Relationship Id="rId12" Type="http://schemas.openxmlformats.org/officeDocument/2006/relationships/image" Target="media/image6.png"/><Relationship Id="rId11" Type="http://schemas.openxmlformats.org/officeDocument/2006/relationships/header" Target="header6.xml"/><Relationship Id="rId10" Type="http://schemas.openxmlformats.org/officeDocument/2006/relationships/image" Target="media/image5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2023-02-06T10:41:04Z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2025-10-28T22:21:41</vt:filetime>
  </property>
</Properties>
</file>