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4"/>
        <w:spacing w:before="35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68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 1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 1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6" w:line="18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7"/>
          <w:w w:val="150"/>
        </w:rPr>
        <w:t>指南解读</w:t>
      </w:r>
    </w:p>
    <w:p>
      <w:pPr>
        <w:pStyle w:val="BodyText"/>
        <w:ind w:left="4"/>
        <w:spacing w:before="49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0"/>
        </w:rPr>
        <w:t>19538/j.fk2023010117</w:t>
      </w:r>
    </w:p>
    <w:p>
      <w:pPr>
        <w:pStyle w:val="BodyText"/>
        <w:ind w:left="408"/>
        <w:spacing w:before="348" w:line="180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7"/>
        </w:rPr>
        <w:t>《2023 NCCN</w:t>
      </w:r>
      <w:r>
        <w:rPr>
          <w:sz w:val="41"/>
          <w:szCs w:val="41"/>
          <w:color w:val="231F20"/>
          <w:spacing w:val="-57"/>
        </w:rPr>
        <w:t xml:space="preserve"> </w:t>
      </w:r>
      <w:r>
        <w:rPr>
          <w:sz w:val="41"/>
          <w:szCs w:val="41"/>
          <w:color w:val="231F20"/>
          <w:spacing w:val="-7"/>
        </w:rPr>
        <w:t>妊娠滋养细胞肿瘤临床实践指南</w:t>
      </w:r>
    </w:p>
    <w:p>
      <w:pPr>
        <w:pStyle w:val="BodyText"/>
        <w:ind w:left="3203"/>
        <w:spacing w:before="2" w:line="204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37"/>
          <w:w w:val="93"/>
        </w:rPr>
        <w:t>（第</w:t>
      </w:r>
      <w:r>
        <w:rPr>
          <w:sz w:val="41"/>
          <w:szCs w:val="41"/>
          <w:color w:val="231F20"/>
          <w:spacing w:val="-3"/>
        </w:rPr>
        <w:t xml:space="preserve"> </w:t>
      </w:r>
      <w:r>
        <w:rPr>
          <w:sz w:val="41"/>
          <w:szCs w:val="41"/>
          <w:color w:val="231F20"/>
          <w:spacing w:val="-37"/>
          <w:w w:val="93"/>
        </w:rPr>
        <w:t>1</w:t>
      </w:r>
      <w:r>
        <w:rPr>
          <w:sz w:val="41"/>
          <w:szCs w:val="41"/>
          <w:color w:val="231F20"/>
          <w:spacing w:val="-54"/>
        </w:rPr>
        <w:t xml:space="preserve"> </w:t>
      </w:r>
      <w:r>
        <w:rPr>
          <w:sz w:val="41"/>
          <w:szCs w:val="41"/>
          <w:color w:val="231F20"/>
          <w:spacing w:val="-37"/>
          <w:w w:val="93"/>
        </w:rPr>
        <w:t>版）》解读</w:t>
      </w:r>
    </w:p>
    <w:p>
      <w:pPr>
        <w:pStyle w:val="BodyText"/>
        <w:ind w:left="3114"/>
        <w:spacing w:before="219" w:line="204" w:lineRule="auto"/>
        <w:rPr>
          <w:sz w:val="10"/>
          <w:szCs w:val="10"/>
        </w:rPr>
      </w:pPr>
      <w:r>
        <w:rPr>
          <w:sz w:val="20"/>
          <w:szCs w:val="20"/>
          <w:color w:val="231F20"/>
          <w:spacing w:val="-9"/>
        </w:rPr>
        <w:t>王丽娟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10"/>
          <w:szCs w:val="10"/>
          <w:color w:val="231F20"/>
          <w:spacing w:val="-9"/>
          <w:position w:val="8"/>
        </w:rPr>
        <w:t>1</w:t>
      </w:r>
      <w:r>
        <w:rPr>
          <w:sz w:val="20"/>
          <w:szCs w:val="20"/>
          <w:color w:val="231F20"/>
          <w:spacing w:val="-9"/>
        </w:rPr>
        <w:t>，王东雁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10"/>
          <w:szCs w:val="10"/>
          <w:color w:val="231F20"/>
          <w:spacing w:val="-9"/>
          <w:position w:val="8"/>
        </w:rPr>
        <w:t>1</w:t>
      </w:r>
      <w:r>
        <w:rPr>
          <w:sz w:val="20"/>
          <w:szCs w:val="20"/>
          <w:color w:val="231F20"/>
          <w:spacing w:val="-15"/>
        </w:rPr>
        <w:t>，林海雪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10"/>
          <w:szCs w:val="10"/>
          <w:color w:val="231F20"/>
          <w:spacing w:val="-15"/>
          <w:position w:val="8"/>
        </w:rPr>
        <w:t>2</w:t>
      </w:r>
      <w:r>
        <w:rPr>
          <w:sz w:val="20"/>
          <w:szCs w:val="20"/>
          <w:color w:val="231F20"/>
          <w:spacing w:val="-15"/>
        </w:rPr>
        <w:t>，林仲秋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10"/>
          <w:szCs w:val="10"/>
          <w:color w:val="231F20"/>
          <w:spacing w:val="-15"/>
          <w:position w:val="8"/>
        </w:rPr>
        <w:t>1</w:t>
      </w:r>
    </w:p>
    <w:p>
      <w:pPr>
        <w:pStyle w:val="BodyText"/>
        <w:ind w:left="371"/>
        <w:spacing w:before="313" w:line="206" w:lineRule="auto"/>
        <w:rPr/>
      </w:pPr>
      <w:r>
        <w:rPr>
          <w:rFonts w:ascii="SimHei" w:hAnsi="SimHei" w:eastAsia="SimHei" w:cs="SimHei"/>
          <w:color w:val="231F20"/>
          <w:spacing w:val="-1"/>
        </w:rPr>
        <w:t>关键词：</w:t>
      </w:r>
      <w:r>
        <w:rPr>
          <w:color w:val="231F20"/>
          <w:spacing w:val="-1"/>
        </w:rPr>
        <w:t>葡萄胎；葡萄胎后妊娠滋养细胞肿瘤；绒毛膜癌；中间型滋养细胞肿瘤</w:t>
      </w:r>
    </w:p>
    <w:p>
      <w:pPr>
        <w:pStyle w:val="BodyText"/>
        <w:ind w:left="361" w:right="361" w:firstLine="2"/>
        <w:spacing w:before="39" w:line="237" w:lineRule="auto"/>
        <w:rPr/>
      </w:pPr>
      <w:r>
        <w:rPr>
          <w:color w:val="231F20"/>
          <w:spacing w:val="-11"/>
        </w:rPr>
        <w:t>Keywords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：hydatidiform   mole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；post-  molar   gestational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1"/>
        </w:rPr>
        <w:t>tropho</w:t>
      </w:r>
      <w:r>
        <w:rPr>
          <w:color w:val="231F20"/>
          <w:spacing w:val="-12"/>
        </w:rPr>
        <w:t>blastic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2"/>
        </w:rPr>
        <w:t>neoplasia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2"/>
        </w:rPr>
        <w:t>choriocarcinoma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；intermediate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trophoblastic tumor</w:t>
      </w:r>
    </w:p>
    <w:p>
      <w:pPr>
        <w:pStyle w:val="BodyText"/>
        <w:ind w:left="378"/>
        <w:spacing w:before="1" w:line="209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R737.3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spacing w:before="23"/>
        <w:rPr/>
      </w:pPr>
      <w:r/>
    </w:p>
    <w:p>
      <w:pPr>
        <w:sectPr>
          <w:pgSz w:w="11679" w:h="16555"/>
          <w:pgMar w:top="1210" w:right="1162" w:bottom="0" w:left="1164" w:header="0" w:footer="0" w:gutter="0"/>
          <w:cols w:equalWidth="0" w:num="1">
            <w:col w:w="9353" w:space="0"/>
          </w:cols>
        </w:sectPr>
        <w:rPr/>
      </w:pPr>
    </w:p>
    <w:p>
      <w:pPr>
        <w:pStyle w:val="BodyText"/>
        <w:ind w:right="194" w:firstLine="374"/>
        <w:spacing w:before="40" w:line="237" w:lineRule="auto"/>
        <w:jc w:val="both"/>
        <w:rPr/>
      </w:pPr>
      <w:r>
        <w:rPr>
          <w:color w:val="231F20"/>
          <w:spacing w:val="-3"/>
        </w:rPr>
        <w:t>2022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年 12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月20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日，美国国立综合癌症网络（national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comprehensive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5"/>
        </w:rPr>
        <w:t>cancer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5"/>
        </w:rPr>
        <w:t>network，NCCN）公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布 了《2023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5"/>
        </w:rPr>
        <w:t>NCCN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妊娠滋养细胞肿瘤临床实践指南（第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版）》。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2022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第1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版指南相比，流程图有改变，但讨论部分未进行更新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对新版指南进行简要介绍及讨论。</w:t>
      </w:r>
    </w:p>
    <w:p>
      <w:pPr>
        <w:ind w:left="14"/>
        <w:spacing w:before="289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2023年指南主要更新</w:t>
      </w:r>
    </w:p>
    <w:p>
      <w:pPr>
        <w:pStyle w:val="BodyText"/>
        <w:ind w:left="2" w:right="141" w:firstLine="15"/>
        <w:spacing w:before="80" w:line="232" w:lineRule="auto"/>
        <w:rPr/>
      </w:pPr>
      <w:r>
        <w:rPr>
          <w:color w:val="231F20"/>
        </w:rPr>
        <w:t>1.1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葡萄胎部分更新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（1）在标题处去除</w:t>
      </w:r>
      <w:r>
        <w:rPr>
          <w:color w:val="231F20"/>
          <w:spacing w:val="-1"/>
        </w:rPr>
        <w:t>了“非侵蚀性”，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只保留“葡萄胎”。（2）监测：对于初始治疗后连续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次</w:t>
      </w:r>
      <w:r>
        <w:rPr>
          <w:color w:val="231F20"/>
          <w:spacing w:val="-8"/>
        </w:rPr>
        <w:t>人绒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毛膜促性腺激素（human chorionic go</w:t>
      </w:r>
      <w:r>
        <w:rPr>
          <w:color w:val="231F20"/>
          <w:spacing w:val="-13"/>
        </w:rPr>
        <w:t>nadotrophin，hCG）阴性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者，考虑每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个月检测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次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hCG，共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个月。（</w:t>
      </w:r>
      <w:r>
        <w:rPr>
          <w:color w:val="231F20"/>
          <w:spacing w:val="-9"/>
        </w:rPr>
        <w:t>3）脚注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修改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为：“必要时考虑加用氨甲环酸。”</w:t>
      </w:r>
    </w:p>
    <w:p>
      <w:pPr>
        <w:pStyle w:val="BodyText"/>
        <w:ind w:right="194" w:firstLine="17"/>
        <w:spacing w:before="27" w:line="225" w:lineRule="auto"/>
        <w:rPr/>
      </w:pPr>
      <w:r>
        <w:rPr>
          <w:color w:val="231F20"/>
          <w:spacing w:val="-1"/>
        </w:rPr>
        <w:t>1.2    葡萄胎后妊娠滋养细胞肿瘤（post-molar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ge</w:t>
      </w:r>
      <w:r>
        <w:rPr>
          <w:color w:val="231F20"/>
          <w:spacing w:val="-2"/>
        </w:rPr>
        <w:t>stational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trophoblastic neoplasia，p</w:t>
      </w:r>
      <w:r>
        <w:rPr>
          <w:color w:val="231F20"/>
          <w:spacing w:val="-10"/>
        </w:rPr>
        <w:t>ost-molar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GTN）部分更新    经评估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无子宫外转移且世界卫生组织（</w:t>
      </w:r>
      <w:r>
        <w:rPr>
          <w:color w:val="231F20"/>
        </w:rPr>
        <w:t>WHO</w:t>
      </w:r>
      <w:r>
        <w:rPr>
          <w:color w:val="231F20"/>
          <w:spacing w:val="1"/>
        </w:rPr>
        <w:t>）预后评分≤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分者考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虑再次刮宫。</w:t>
      </w:r>
    </w:p>
    <w:p>
      <w:pPr>
        <w:pStyle w:val="BodyText"/>
        <w:ind w:right="127" w:firstLine="17"/>
        <w:spacing w:before="57" w:line="233" w:lineRule="auto"/>
        <w:rPr/>
      </w:pPr>
      <w:r>
        <w:rPr>
          <w:color w:val="231F20"/>
          <w:spacing w:val="2"/>
        </w:rPr>
        <w:t>1.3   妊娠滋养细胞肿瘤部分更新  （1）低危型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更改为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联合方案者，hCG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正常后巩固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2~3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个疗程，去除</w:t>
      </w:r>
      <w:r>
        <w:rPr>
          <w:color w:val="231F20"/>
          <w:spacing w:val="-6"/>
        </w:rPr>
        <w:t>了“首选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疗程”。（2）高危型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7"/>
        </w:rPr>
        <w:t>GTN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或Ⅳ期患者，化疗后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hCG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未下降至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正常，包括以下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种情况：hCG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呈低水平平台、缓解后复发、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以及对</w:t>
      </w:r>
      <w:r>
        <w:rPr>
          <w:color w:val="231F20"/>
        </w:rPr>
        <w:t xml:space="preserve"> EMA</w:t>
      </w:r>
      <w:r>
        <w:rPr>
          <w:color w:val="231F20"/>
          <w:spacing w:val="6"/>
        </w:rPr>
        <w:t>/</w:t>
      </w:r>
      <w:r>
        <w:rPr>
          <w:color w:val="231F20"/>
        </w:rPr>
        <w:t>CO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方案反应不好；后续治疗的选择包括：①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EMA/EP；②EP/EMA；或③对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EP/E</w:t>
      </w:r>
      <w:r>
        <w:rPr>
          <w:color w:val="231F20"/>
          <w:spacing w:val="-3"/>
        </w:rPr>
        <w:t>MA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不耐受患者，可选用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含博来霉素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、异环磷酰胺或紫杉醇的以铂类为基础的方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案，以及可能的情况下同时考虑切除化疗耐药病灶。（3）胎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瘤（placental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sit</w:t>
      </w:r>
      <w:r>
        <w:rPr>
          <w:color w:val="231F20"/>
          <w:spacing w:val="-10"/>
        </w:rPr>
        <w:t>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trophoblastic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tumor，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PSTT）/上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瘤（epithelioid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trophoblastic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tu-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mor，ETT</w:t>
      </w:r>
      <w:r>
        <w:rPr>
          <w:color w:val="231F20"/>
          <w:spacing w:val="-30"/>
          <w:w w:val="64"/>
        </w:rPr>
        <w:t>）：</w:t>
      </w:r>
      <w:r>
        <w:rPr>
          <w:color w:val="231F20"/>
          <w:spacing w:val="-1"/>
        </w:rPr>
        <w:t>随访监测部分将“PET-CT”更改为“FDG-PET-</w:t>
      </w:r>
      <w:r>
        <w:rPr>
          <w:color w:val="231F20"/>
        </w:rPr>
        <w:t xml:space="preserve">  </w:t>
      </w:r>
      <w:r>
        <w:rPr>
          <w:color w:val="231F20"/>
        </w:rPr>
        <w:t>CT</w:t>
      </w:r>
      <w:r>
        <w:rPr>
          <w:color w:val="231F20"/>
          <w:spacing w:val="3"/>
        </w:rPr>
        <w:t>”。</w:t>
      </w:r>
    </w:p>
    <w:p>
      <w:pPr>
        <w:pStyle w:val="BodyText"/>
        <w:ind w:left="3" w:right="194" w:firstLine="14"/>
        <w:spacing w:before="58" w:line="214" w:lineRule="auto"/>
        <w:rPr/>
      </w:pPr>
      <w:r>
        <w:rPr>
          <w:color w:val="231F20"/>
          <w:spacing w:val="-2"/>
        </w:rPr>
        <w:t>1.4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2"/>
        </w:rPr>
        <w:t>GTN 的系统治疗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2"/>
        </w:rPr>
        <w:t>（1）高危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GTN 的初始治疗推荐方案</w:t>
      </w:r>
      <w:r>
        <w:rPr>
          <w:color w:val="231F20"/>
        </w:rPr>
        <w:t xml:space="preserve"> </w:t>
      </w:r>
      <w:r>
        <w:rPr>
          <w:u w:val="single" w:color="auto"/>
          <w:color w:val="231F20"/>
        </w:rPr>
        <w:t>EMA</w:t>
      </w:r>
      <w:r>
        <w:rPr>
          <w:u w:val="single" w:color="auto"/>
          <w:color w:val="231F20"/>
          <w:spacing w:val="1"/>
        </w:rPr>
        <w:t>/</w:t>
      </w:r>
      <w:r>
        <w:rPr>
          <w:u w:val="single" w:color="auto"/>
          <w:color w:val="231F20"/>
        </w:rPr>
        <w:t>EP</w:t>
      </w:r>
      <w:r>
        <w:rPr>
          <w:u w:val="single" w:color="auto"/>
          <w:color w:val="231F20"/>
          <w:spacing w:val="1"/>
        </w:rPr>
        <w:t xml:space="preserve"> 和</w:t>
      </w:r>
      <w:r>
        <w:rPr>
          <w:u w:val="single" w:color="auto"/>
          <w:color w:val="231F20"/>
          <w:spacing w:val="7"/>
        </w:rPr>
        <w:t xml:space="preserve"> </w:t>
      </w:r>
      <w:r>
        <w:rPr>
          <w:u w:val="single" w:color="auto"/>
          <w:color w:val="231F20"/>
        </w:rPr>
        <w:t>EP</w:t>
      </w:r>
      <w:r>
        <w:rPr>
          <w:u w:val="single" w:color="auto"/>
          <w:color w:val="231F20"/>
          <w:spacing w:val="1"/>
        </w:rPr>
        <w:t>/</w:t>
      </w:r>
      <w:r>
        <w:rPr>
          <w:u w:val="single" w:color="auto"/>
          <w:color w:val="231F20"/>
        </w:rPr>
        <w:t>EMA</w:t>
      </w:r>
      <w:r>
        <w:rPr>
          <w:u w:val="single" w:color="auto"/>
          <w:color w:val="231F20"/>
          <w:spacing w:val="1"/>
        </w:rPr>
        <w:t xml:space="preserve"> 中的</w:t>
      </w:r>
      <w:r>
        <w:rPr>
          <w:color w:val="231F20"/>
          <w:spacing w:val="1"/>
        </w:rPr>
        <w:t>顺铂剂量从60～75</w:t>
      </w:r>
      <w:r>
        <w:rPr>
          <w:color w:val="231F20"/>
        </w:rPr>
        <w:t>mg</w:t>
      </w:r>
      <w:r>
        <w:rPr>
          <w:color w:val="231F20"/>
          <w:spacing w:val="1"/>
        </w:rPr>
        <w:t>/m</w:t>
      </w:r>
      <w:r>
        <w:rPr>
          <w:sz w:val="8"/>
          <w:szCs w:val="8"/>
          <w:color w:val="231F20"/>
          <w:spacing w:val="1"/>
          <w:position w:val="7"/>
        </w:rPr>
        <w:t>2 </w:t>
      </w:r>
      <w:r>
        <w:rPr>
          <w:color w:val="231F20"/>
          <w:spacing w:val="1"/>
        </w:rPr>
        <w:t>更改为</w:t>
      </w:r>
    </w:p>
    <w:p>
      <w:pPr>
        <w:pStyle w:val="BodyText"/>
        <w:ind w:left="2" w:right="211" w:firstLine="329"/>
        <w:spacing w:before="140" w:line="25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作者单位：1. 中山大学孙逸仙纪念医院妇产科，</w:t>
      </w:r>
      <w:r>
        <w:rPr>
          <w:sz w:val="15"/>
          <w:szCs w:val="15"/>
          <w:color w:val="231F20"/>
          <w:spacing w:val="11"/>
        </w:rPr>
        <w:t>广东 广州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510120；2.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4"/>
        </w:rPr>
        <w:t>海南医学院第二附属医院妇科，海南 海口570311</w:t>
      </w:r>
    </w:p>
    <w:p>
      <w:pPr>
        <w:pStyle w:val="BodyText"/>
        <w:ind w:left="318"/>
        <w:spacing w:before="1" w:line="17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通讯作者：林仲秋，电子信箱：lin-zh</w:t>
      </w:r>
      <w:r>
        <w:rPr>
          <w:sz w:val="15"/>
          <w:szCs w:val="15"/>
          <w:color w:val="231F20"/>
          <w:spacing w:val="-10"/>
        </w:rPr>
        <w:t>ongqiu@163.com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firstLine="1"/>
        <w:spacing w:before="40" w:line="238" w:lineRule="auto"/>
        <w:rPr/>
      </w:pPr>
      <w:r>
        <w:rPr>
          <w:color w:val="231F20"/>
          <w:spacing w:val="-18"/>
          <w:w w:val="96"/>
        </w:rPr>
        <w:t>75mg/m</w:t>
      </w:r>
      <w:r>
        <w:rPr>
          <w:sz w:val="8"/>
          <w:szCs w:val="8"/>
          <w:color w:val="231F20"/>
          <w:spacing w:val="-1"/>
          <w:position w:val="7"/>
        </w:rPr>
        <w:t>2</w:t>
      </w:r>
      <w:r>
        <w:rPr>
          <w:color w:val="231F20"/>
          <w:spacing w:val="-2"/>
        </w:rPr>
        <w:t>。（2）高危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GTN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免疫治疗部分将帕姆单抗和纳武单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抗作为首选的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6"/>
        </w:rPr>
        <w:t>-1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抑制剂。</w:t>
      </w:r>
    </w:p>
    <w:p>
      <w:pPr>
        <w:pStyle w:val="BodyText"/>
        <w:ind w:left="68" w:firstLine="16"/>
        <w:spacing w:before="2"/>
        <w:jc w:val="both"/>
        <w:rPr/>
      </w:pPr>
      <w:r>
        <w:rPr>
          <w:color w:val="231F20"/>
          <w:spacing w:val="12"/>
        </w:rPr>
        <w:t>1.5   妇科疾病幸存者指导原则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12"/>
        </w:rPr>
        <w:t>增加了关于后续妊娠的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内容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。推荐：在孕早期行超声检查确认宫内妊娠；胎盘行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病理学评估；产后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周检测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hCG，以证实降至正常水平。</w:t>
      </w:r>
    </w:p>
    <w:p>
      <w:pPr>
        <w:ind w:left="70"/>
        <w:spacing w:before="273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指南的主要内容</w:t>
      </w:r>
    </w:p>
    <w:p>
      <w:pPr>
        <w:pStyle w:val="BodyText"/>
        <w:ind w:firstLine="70"/>
        <w:spacing w:before="75" w:line="237" w:lineRule="auto"/>
        <w:jc w:val="both"/>
        <w:rPr/>
      </w:pPr>
      <w:r>
        <w:rPr>
          <w:color w:val="231F20"/>
          <w:spacing w:val="5"/>
        </w:rPr>
        <w:t>2.1   葡萄胎的初始治疗    对于葡萄胎患者，首先需要</w:t>
      </w:r>
      <w:r>
        <w:rPr>
          <w:color w:val="231F20"/>
          <w:spacing w:val="4"/>
        </w:rPr>
        <w:t>进行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全面的病史采集及体格检查，推荐的辅助检查包括盆腔超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声、胸部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X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线检查（如果胸部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X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线提示转移，则行胸部/腹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部/盆腔</w:t>
      </w:r>
      <w:r>
        <w:rPr>
          <w:color w:val="231F20"/>
        </w:rPr>
        <w:t xml:space="preserve"> CT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和脑部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检查，并且在初次清宫后即按照妊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娠滋养细胞肿瘤处理）、hCG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定量检测、全血细胞分</w:t>
      </w:r>
      <w:r>
        <w:rPr>
          <w:color w:val="231F20"/>
          <w:spacing w:val="-3"/>
        </w:rPr>
        <w:t>析、肝肾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功能、甲状腺功能、血生化检查及血型筛查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。如果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升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高而影像学未发现疾病证据，考虑可能存在黄体生成素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（luteinizing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hormone，LH）交叉反应、垂体分泌的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hCG 或幻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影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</w:rPr>
        <w:t>。此时需要与实验室检测人员沟通，采用连续稀释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法或比较血清和尿液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11"/>
        </w:rPr>
        <w:t>，以鉴别幻影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。如果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Rh</w:t>
      </w:r>
      <w:r>
        <w:rPr>
          <w:color w:val="231F20"/>
          <w:spacing w:val="11"/>
        </w:rPr>
        <w:t xml:space="preserve"> 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性，需要给予抗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免疫球蛋白。</w:t>
      </w:r>
    </w:p>
    <w:p>
      <w:pPr>
        <w:pStyle w:val="BodyText"/>
        <w:ind w:left="66" w:firstLine="372"/>
        <w:spacing w:before="3" w:line="237" w:lineRule="auto"/>
        <w:jc w:val="both"/>
        <w:rPr/>
      </w:pPr>
      <w:r>
        <w:rPr>
          <w:color w:val="231F20"/>
          <w:spacing w:val="12"/>
        </w:rPr>
        <w:t>治疗前可根据患者有无生育需求选择</w:t>
      </w:r>
      <w:r>
        <w:rPr>
          <w:color w:val="231F20"/>
          <w:spacing w:val="-36"/>
          <w:w w:val="76"/>
        </w:rPr>
        <w:t>：（</w:t>
      </w:r>
      <w:r>
        <w:rPr>
          <w:color w:val="231F20"/>
          <w:spacing w:val="12"/>
        </w:rPr>
        <w:t>1）负压吸宫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和刮宫术，最好在超声监测下进行，以减少</w:t>
      </w:r>
      <w:r>
        <w:rPr>
          <w:color w:val="231F20"/>
          <w:spacing w:val="9"/>
        </w:rPr>
        <w:t>子宫穿孔的机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会。（2）全子宫双侧输卵管切除术。</w:t>
      </w:r>
    </w:p>
    <w:p>
      <w:pPr>
        <w:pStyle w:val="BodyText"/>
        <w:ind w:left="67" w:firstLine="3"/>
        <w:spacing w:before="8" w:line="232" w:lineRule="auto"/>
        <w:jc w:val="both"/>
        <w:rPr/>
      </w:pPr>
      <w:r>
        <w:rPr>
          <w:color w:val="231F20"/>
          <w:spacing w:val="6"/>
        </w:rPr>
        <w:t>2.1.1   负压吸宫和刮宫术    先吸</w:t>
      </w:r>
      <w:r>
        <w:rPr>
          <w:color w:val="231F20"/>
          <w:spacing w:val="5"/>
        </w:rPr>
        <w:t>宫，然后用最大号刮匙刮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。吸宫开始后可使用促子宫收缩药物，必</w:t>
      </w:r>
      <w:r>
        <w:rPr>
          <w:color w:val="231F20"/>
          <w:spacing w:val="8"/>
        </w:rPr>
        <w:t>要时加用氨甲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环酸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。尽管有证据表明，清宫术时行预防性</w:t>
      </w:r>
      <w:r>
        <w:rPr>
          <w:color w:val="231F20"/>
          <w:spacing w:val="8"/>
        </w:rPr>
        <w:t>化疗可将葡萄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胎后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4"/>
        </w:rPr>
        <w:t xml:space="preserve"> 的发生率降低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3%～8%，但目前对于预防性化疗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仍有争议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。有证据表明，对于有恶变高危因</w:t>
      </w:r>
      <w:r>
        <w:rPr>
          <w:color w:val="231F20"/>
          <w:spacing w:val="8"/>
        </w:rPr>
        <w:t>素的完全性葡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萄胎患者，预防性化疗可降低其进展为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5"/>
        </w:rPr>
        <w:t xml:space="preserve"> 的</w:t>
      </w:r>
      <w:r>
        <w:rPr>
          <w:color w:val="231F20"/>
          <w:spacing w:val="4"/>
        </w:rPr>
        <w:t>概率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。指南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指出，有发生葡萄胎后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高危因素且无法进行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随诊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或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随诊结果不可靠的患者，可考虑在清宫时给予甲氨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蝶呤</w:t>
      </w:r>
      <w:r>
        <w:rPr>
          <w:color w:val="231F20"/>
          <w:spacing w:val="-14"/>
        </w:rPr>
        <w:t>（methotrexate，MTX）或放线菌素 D（dactinomycin，Ac</w:t>
      </w:r>
      <w:r>
        <w:rPr>
          <w:color w:val="231F20"/>
          <w:spacing w:val="-15"/>
        </w:rPr>
        <w:t>t</w:t>
      </w:r>
      <w:r>
        <w:rPr>
          <w:color w:val="231F20"/>
          <w:spacing w:val="-1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D）预防性化疗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。发生葡萄胎后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6"/>
        </w:rPr>
        <w:t xml:space="preserve"> 的高危因素包括</w:t>
      </w:r>
      <w:r>
        <w:rPr>
          <w:color w:val="231F20"/>
          <w:spacing w:val="5"/>
        </w:rPr>
        <w:t>：年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＞40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岁，hCG＞ 100 000 U/L，子宫异常增大，黄素化囊肿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直径＞6 cm。</w:t>
      </w:r>
    </w:p>
    <w:p>
      <w:pPr>
        <w:spacing w:line="232" w:lineRule="auto"/>
        <w:sectPr>
          <w:type w:val="continuous"/>
          <w:pgSz w:w="11679" w:h="16555"/>
          <w:pgMar w:top="1210" w:right="1162" w:bottom="0" w:left="1164" w:header="0" w:footer="0" w:gutter="0"/>
          <w:cols w:equalWidth="0" w:num="2">
            <w:col w:w="4690" w:space="100"/>
            <w:col w:w="4563" w:space="0"/>
          </w:cols>
        </w:sectPr>
        <w:rPr/>
      </w:pPr>
    </w:p>
    <w:p>
      <w:pPr>
        <w:pStyle w:val="BodyText"/>
        <w:ind w:left="186"/>
        <w:spacing w:before="37" w:line="205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4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年 1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卷 第 1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1"/>
        </w:rPr>
        <w:t>期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82" w:right="194" w:hanging="12"/>
        <w:spacing w:before="73" w:line="237" w:lineRule="auto"/>
        <w:rPr/>
      </w:pPr>
      <w:r>
        <w:rPr>
          <w:color w:val="231F20"/>
          <w:spacing w:val="11"/>
        </w:rPr>
        <w:t>2.1.2   全子宫双侧输卵管切除术    对于无保留生育要求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的葡萄胎患者，可考虑行全子宫双侧输卵管切除术。</w:t>
      </w:r>
    </w:p>
    <w:p>
      <w:pPr>
        <w:pStyle w:val="BodyText"/>
        <w:ind w:left="69" w:right="194" w:firstLine="366"/>
        <w:spacing w:before="3" w:line="236" w:lineRule="auto"/>
        <w:jc w:val="both"/>
        <w:rPr/>
      </w:pPr>
      <w:r>
        <w:rPr>
          <w:color w:val="231F20"/>
          <w:spacing w:val="17"/>
        </w:rPr>
        <w:t>对于获得的组织需要进行组织病理学检查和基因分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型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。一方面有助于证实良性、非侵蚀性葡萄胎的诊断；另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一方面可以分流出进展为葡萄胎后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5"/>
        </w:rPr>
        <w:t xml:space="preserve"> 的低危患者（即部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分性葡萄胎患者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10"/>
        </w:rPr>
        <w:t>使其避免接受不必要的预防性化疗。</w:t>
      </w:r>
    </w:p>
    <w:p>
      <w:pPr>
        <w:pStyle w:val="BodyText"/>
        <w:ind w:left="68" w:right="194" w:firstLine="2"/>
        <w:spacing w:before="6" w:line="232" w:lineRule="auto"/>
        <w:rPr/>
      </w:pPr>
      <w:r>
        <w:rPr>
          <w:color w:val="231F20"/>
          <w:spacing w:val="13"/>
        </w:rPr>
        <w:t>2.1.3</w:t>
      </w:r>
      <w:r>
        <w:rPr>
          <w:color w:val="231F20"/>
        </w:rPr>
        <w:t xml:space="preserve">    </w:t>
      </w:r>
      <w:r>
        <w:rPr>
          <w:color w:val="231F20"/>
          <w:spacing w:val="13"/>
        </w:rPr>
        <w:t>随访   经清宫或全子宫切除</w:t>
      </w:r>
      <w:r>
        <w:rPr>
          <w:color w:val="231F20"/>
          <w:spacing w:val="12"/>
        </w:rPr>
        <w:t>诊断为完全性或部分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性葡萄胎后需要进行正规的随访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。初始治疗后 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个月进行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病史采集和体格检查；治疗后每 1～2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周行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检测直</w:t>
      </w:r>
      <w:r>
        <w:rPr>
          <w:color w:val="231F20"/>
          <w:spacing w:val="2"/>
        </w:rPr>
        <w:t>到正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常，然后继续检测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至连续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次正常后，考虑每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个月1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次，共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个月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。在监测过程中，如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水平处于平</w:t>
      </w:r>
      <w:r>
        <w:rPr>
          <w:color w:val="231F20"/>
          <w:spacing w:val="5"/>
        </w:rPr>
        <w:t>台或上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升，则按葡萄胎后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2"/>
        </w:rPr>
        <w:t>处理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。规律的随访能够早期发现</w:t>
      </w:r>
      <w:r>
        <w:rPr>
          <w:color w:val="231F20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8"/>
        </w:rPr>
        <w:t>，从而减少多药联合化疗的应用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。葡萄胎患者治疗后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建议全身激素避孕（首选口服避孕药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8"/>
        </w:rPr>
        <w:t>与宫内节育器（</w:t>
      </w:r>
      <w:r>
        <w:rPr>
          <w:color w:val="231F20"/>
        </w:rPr>
        <w:t>in</w:t>
      </w:r>
      <w:r>
        <w:rPr>
          <w:color w:val="231F20"/>
          <w:spacing w:val="8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trauterine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devices，IUDs）相比</w:t>
      </w:r>
      <w:r>
        <w:rPr>
          <w:color w:val="231F20"/>
          <w:spacing w:val="-6"/>
        </w:rPr>
        <w:t>，其可以抑制内源性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LH 和卵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泡刺激素（follicle-stimulating</w:t>
      </w:r>
      <w:r>
        <w:rPr>
          <w:color w:val="231F20"/>
          <w:spacing w:val="-8"/>
        </w:rPr>
        <w:t xml:space="preserve"> hormone，FSH</w:t>
      </w:r>
      <w:r>
        <w:rPr>
          <w:color w:val="231F20"/>
          <w:spacing w:val="-24"/>
          <w:w w:val="58"/>
        </w:rPr>
        <w:t>），</w:t>
      </w:r>
      <w:r>
        <w:rPr>
          <w:color w:val="231F20"/>
          <w:spacing w:val="-8"/>
        </w:rPr>
        <w:t>而这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种激素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可能干扰低水平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的检测。</w:t>
      </w:r>
    </w:p>
    <w:p>
      <w:pPr>
        <w:pStyle w:val="BodyText"/>
        <w:ind w:left="70" w:right="194"/>
        <w:spacing w:before="59" w:line="227" w:lineRule="auto"/>
        <w:rPr/>
      </w:pPr>
      <w:r>
        <w:rPr>
          <w:color w:val="231F20"/>
          <w:spacing w:val="8"/>
        </w:rPr>
        <w:t>2.1.4   葡萄胎后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8"/>
        </w:rPr>
        <w:t xml:space="preserve"> 的诊断    具有下述条件之一即</w:t>
      </w:r>
      <w:r>
        <w:rPr>
          <w:color w:val="231F20"/>
          <w:spacing w:val="7"/>
        </w:rPr>
        <w:t>可诊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断葡萄胎后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31"/>
          <w:w w:val="67"/>
        </w:rPr>
        <w:t>：（</w:t>
      </w:r>
      <w:r>
        <w:rPr>
          <w:color w:val="231F20"/>
          <w:spacing w:val="3"/>
        </w:rPr>
        <w:t>1）</w:t>
      </w:r>
      <w:r>
        <w:rPr>
          <w:color w:val="231F20"/>
        </w:rPr>
        <w:t>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水平至少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周连续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次测定呈平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台( ±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10%）。（2）hCG 水平至少 2 周连续 3 次测定上升(≥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10%）。（3）组织病理学诊断为绒毛膜</w:t>
      </w:r>
      <w:r>
        <w:rPr>
          <w:color w:val="231F20"/>
          <w:spacing w:val="-12"/>
        </w:rPr>
        <w:t>癌、PSTT/ETT。（4）出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现转移病灶。</w:t>
      </w:r>
    </w:p>
    <w:p>
      <w:pPr>
        <w:pStyle w:val="BodyText"/>
        <w:ind w:right="141" w:firstLine="70"/>
        <w:spacing w:before="59" w:line="232" w:lineRule="auto"/>
        <w:rPr/>
      </w:pPr>
      <w:r>
        <w:rPr>
          <w:color w:val="231F20"/>
          <w:spacing w:val="8"/>
        </w:rPr>
        <w:t>2.1.5   葡萄胎后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8"/>
        </w:rPr>
        <w:t xml:space="preserve"> 的初始治疗    治疗方法需依据</w:t>
      </w:r>
      <w:r>
        <w:rPr>
          <w:color w:val="231F20"/>
          <w:spacing w:val="7"/>
        </w:rPr>
        <w:t>临床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特征、诊断手段以及病灶部位而定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。依据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变化诊断的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葡萄胎后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19"/>
        </w:rPr>
        <w:t>，在治疗前需要进行病史采集和体</w:t>
      </w:r>
      <w:r>
        <w:rPr>
          <w:color w:val="231F20"/>
          <w:spacing w:val="18"/>
        </w:rPr>
        <w:t>格检查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（包括盆腔检查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3"/>
        </w:rPr>
        <w:t>以及盆腔多普勒超声和胸部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X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线检查或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胸部/腹部/盆腔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"/>
        </w:rPr>
        <w:t>，确定国际妇产科联盟（</w:t>
      </w:r>
      <w:r>
        <w:rPr>
          <w:color w:val="231F20"/>
        </w:rPr>
        <w:t>FIGO</w:t>
      </w:r>
      <w:r>
        <w:rPr>
          <w:color w:val="231F20"/>
          <w:spacing w:val="1"/>
        </w:rPr>
        <w:t>）分期及预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后评分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。盆腔多普勒超声用于排除妊娠，测量子宫大小，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确定子宫内肿瘤的体积和血供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。若胸部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X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线检查正常，则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不需要进行其他影像检查即可开始治疗；若胸部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X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线检查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提示转移，则需要进行胸部/腹部/盆腔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3"/>
        </w:rPr>
        <w:t xml:space="preserve"> 和</w:t>
      </w:r>
      <w:r>
        <w:rPr>
          <w:color w:val="231F20"/>
          <w:spacing w:val="12"/>
        </w:rPr>
        <w:t>脑部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检</w:t>
      </w:r>
      <w:r>
        <w:rPr>
          <w:color w:val="231F20"/>
        </w:rPr>
        <w:t xml:space="preserve">  </w:t>
      </w:r>
      <w:r>
        <w:rPr>
          <w:color w:val="231F20"/>
          <w:spacing w:val="37"/>
        </w:rPr>
        <w:t>查。</w:t>
      </w:r>
    </w:p>
    <w:p>
      <w:pPr>
        <w:pStyle w:val="BodyText"/>
        <w:ind w:left="68" w:right="141" w:firstLine="368"/>
        <w:spacing w:before="64" w:line="236" w:lineRule="auto"/>
        <w:jc w:val="both"/>
        <w:rPr/>
      </w:pPr>
      <w:r>
        <w:rPr>
          <w:color w:val="231F20"/>
          <w:spacing w:val="16"/>
        </w:rPr>
        <w:t>初始治疗方法根据是否存在子宫外转移而定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。若无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子宫外转移，有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种治疗选择</w:t>
      </w:r>
      <w:r>
        <w:rPr>
          <w:color w:val="231F20"/>
          <w:spacing w:val="-32"/>
          <w:w w:val="69"/>
        </w:rPr>
        <w:t>：（</w:t>
      </w:r>
      <w:r>
        <w:rPr>
          <w:color w:val="231F20"/>
          <w:spacing w:val="-1"/>
        </w:rPr>
        <w:t>1）WHO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预后评分≤4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分者，</w:t>
      </w:r>
      <w:r>
        <w:rPr>
          <w:color w:val="231F20"/>
        </w:rPr>
        <w:t xml:space="preserve"> </w:t>
      </w:r>
      <w:r>
        <w:rPr>
          <w:color w:val="231F20"/>
          <w:spacing w:val="-13"/>
          <w:w w:val="98"/>
        </w:rPr>
        <w:t>考虑再次刮宫。（2）单药化疗（MTX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3"/>
          <w:w w:val="98"/>
        </w:rPr>
        <w:t>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  <w:w w:val="98"/>
        </w:rPr>
        <w:t>Act-D）。（3）全子宫双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侧输卵管切除术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。治疗后每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周检测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次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2"/>
        </w:rPr>
        <w:t>，直至连</w:t>
      </w:r>
      <w:r>
        <w:rPr>
          <w:color w:val="231F20"/>
          <w:spacing w:val="1"/>
        </w:rPr>
        <w:t>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次正常，然后改为每个月检测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次，连续监</w:t>
      </w:r>
      <w:r>
        <w:rPr>
          <w:color w:val="231F20"/>
          <w:spacing w:val="1"/>
        </w:rPr>
        <w:t>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个月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。若监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测过程中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7"/>
        </w:rPr>
        <w:t xml:space="preserve"> 持续高水平（平台或上升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7"/>
        </w:rPr>
        <w:t>则需要根据患者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对初始治疗的反应及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升高水平选择化疗方案（见下文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2.3.1.1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部分）。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若存在子宫外转移，则根据预后评分及FIGO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分期分为低危型和高危型，再给予相应方案化疗。</w:t>
      </w:r>
    </w:p>
    <w:p>
      <w:pPr>
        <w:pStyle w:val="BodyText"/>
        <w:ind w:left="69" w:right="194" w:firstLine="360"/>
        <w:spacing w:before="7" w:line="235" w:lineRule="auto"/>
        <w:rPr/>
      </w:pPr>
      <w:r>
        <w:rPr>
          <w:color w:val="231F20"/>
          <w:spacing w:val="-2"/>
        </w:rPr>
        <w:t>依据组织病理学诊断的绒癌、PSTT/ETT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3"/>
        </w:rPr>
        <w:t>（或）出现转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移性病灶的 GTN，直接按照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GTN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处理。</w:t>
      </w:r>
    </w:p>
    <w:p>
      <w:pPr>
        <w:pStyle w:val="BodyText"/>
        <w:ind w:right="194" w:firstLine="70"/>
        <w:spacing w:before="8" w:line="222" w:lineRule="auto"/>
        <w:rPr/>
      </w:pPr>
      <w:r>
        <w:rPr>
          <w:color w:val="231F20"/>
          <w:spacing w:val="11"/>
        </w:rPr>
        <w:t>2.2</w:t>
      </w:r>
      <w:r>
        <w:rPr>
          <w:color w:val="231F20"/>
          <w:spacing w:val="21"/>
        </w:rPr>
        <w:t xml:space="preserve">   </w:t>
      </w:r>
      <w:r>
        <w:rPr>
          <w:color w:val="231F20"/>
        </w:rPr>
        <w:t>GTN</w:t>
      </w:r>
      <w:r>
        <w:rPr>
          <w:color w:val="231F20"/>
          <w:spacing w:val="11"/>
        </w:rPr>
        <w:t xml:space="preserve"> 的分期和预后评分系统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1"/>
        </w:rPr>
        <w:t>采用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分期系统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（见表 1）和预后评分系统（见表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2"/>
        </w:rPr>
        <w:t>2）。</w:t>
      </w:r>
    </w:p>
    <w:p>
      <w:pPr>
        <w:pStyle w:val="BodyText"/>
        <w:ind w:left="68" w:right="194" w:firstLine="1"/>
        <w:spacing w:before="35" w:line="209" w:lineRule="auto"/>
        <w:rPr/>
      </w:pPr>
      <w:r>
        <w:rPr>
          <w:color w:val="231F20"/>
          <w:spacing w:val="10"/>
        </w:rPr>
        <w:t>2.3   妊娠滋养细胞肿瘤的初始治疗    治疗前需要进行下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2"/>
        </w:rPr>
        <w:t>列检查</w:t>
      </w:r>
      <w:r>
        <w:rPr>
          <w:color w:val="231F20"/>
          <w:spacing w:val="-37"/>
          <w:w w:val="79"/>
        </w:rPr>
        <w:t>：（</w:t>
      </w:r>
      <w:r>
        <w:rPr>
          <w:color w:val="231F20"/>
          <w:spacing w:val="12"/>
        </w:rPr>
        <w:t>1）病史采集和全面体格检查，为避免出血的风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66"/>
        <w:spacing w:before="33" w:line="22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>·</w:t>
      </w:r>
      <w:r>
        <w:rPr>
          <w:sz w:val="15"/>
          <w:szCs w:val="15"/>
          <w:color w:val="231F20"/>
          <w:spacing w:val="-22"/>
        </w:rPr>
        <w:t>69 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>·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firstLine="79"/>
        <w:spacing w:before="73" w:line="237" w:lineRule="auto"/>
        <w:jc w:val="both"/>
        <w:rPr/>
      </w:pPr>
      <w:r>
        <w:rPr>
          <w:color w:val="231F20"/>
          <w:spacing w:val="5"/>
        </w:rPr>
        <w:t>险，不要对下生殖道可见病灶进行活检。（2）全血细胞分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析、肝肾功能、甲状腺功能和生化检查。（3）影像学检查：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2"/>
        </w:rPr>
        <w:t>胸、腹和盆腔增强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2"/>
        </w:rPr>
        <w:t>（如果有增强的禁忌证，可考虑进行其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他的影像学检查如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13"/>
        </w:rPr>
        <w:t>以及盆腔超声或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3"/>
        </w:rPr>
        <w:t>。若有肺转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移，则应考虑同时存在脑转移的可能性，故行脑部增强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MRI  </w:t>
      </w:r>
      <w:r>
        <w:rPr>
          <w:color w:val="231F20"/>
          <w:spacing w:val="-11"/>
        </w:rPr>
        <w:t>（首选）或增强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1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检查。（4）hCG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测定：若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升高但影像学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检查未发现疾病证据，考虑可能存在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交叉反应或幻影</w:t>
      </w:r>
      <w:r>
        <w:rPr>
          <w:color w:val="231F20"/>
        </w:rPr>
        <w:t xml:space="preserve">  </w:t>
      </w:r>
      <w:r>
        <w:rPr>
          <w:color w:val="231F20"/>
        </w:rPr>
        <w:t>hCG</w:t>
      </w:r>
      <w:r>
        <w:rPr>
          <w:color w:val="231F20"/>
          <w:spacing w:val="8"/>
        </w:rPr>
        <w:t>（指由于人体内存在能与动物抗体结合的嗜异性抗</w:t>
      </w:r>
      <w:r>
        <w:rPr>
          <w:color w:val="231F20"/>
          <w:spacing w:val="7"/>
        </w:rPr>
        <w:t>体，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从而造成的假性低水平升高的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13"/>
        </w:rPr>
        <w:t>此时需要与实验室检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测人员沟通，采用连续稀释法或比较血清和尿液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4"/>
        </w:rPr>
        <w:t>，以鉴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别幻影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。若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升高但高糖基化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正常，则可能提</w:t>
      </w:r>
      <w:r>
        <w:rPr>
          <w:color w:val="231F20"/>
        </w:rPr>
        <w:t xml:space="preserve">  </w:t>
      </w:r>
      <w:r>
        <w:rPr>
          <w:color w:val="231F20"/>
        </w:rPr>
        <w:t>示为静止期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GTN，不需要进一步治疗。（5）确定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分期  </w:t>
      </w:r>
      <w:r>
        <w:rPr>
          <w:color w:val="231F20"/>
        </w:rPr>
        <w:t>和预后评分。（6）组织病理学评价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。NCCN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工作</w:t>
      </w:r>
      <w:r>
        <w:rPr>
          <w:color w:val="231F20"/>
          <w:spacing w:val="-1"/>
        </w:rPr>
        <w:t>组推荐将组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织病理学评价作为初始评估的一个部分，原因在于不同</w:t>
      </w:r>
      <w:r>
        <w:rPr>
          <w:color w:val="231F20"/>
        </w:rPr>
        <w:t xml:space="preserve">  </w:t>
      </w:r>
      <w:r>
        <w:rPr>
          <w:color w:val="231F20"/>
        </w:rPr>
        <w:t>GTN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亚型的推荐治疗存在很大差异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。因此，为避免对患者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进行不必要的治疗并使其达到最佳预后，必须进行精准诊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7"/>
        </w:rPr>
        <w:t>断。</w:t>
      </w:r>
    </w:p>
    <w:p>
      <w:pPr>
        <w:pStyle w:val="BodyText"/>
        <w:ind w:left="872"/>
        <w:spacing w:before="171" w:line="193" w:lineRule="auto"/>
        <w:rPr/>
      </w:pPr>
      <w:r>
        <w:rPr>
          <w:rFonts w:ascii="SimHei" w:hAnsi="SimHei" w:eastAsia="SimHei" w:cs="SimHei"/>
          <w:color w:val="231F20"/>
          <w:spacing w:val="6"/>
        </w:rPr>
        <w:t>表</w:t>
      </w:r>
      <w:r>
        <w:rPr>
          <w:rFonts w:ascii="SimHei" w:hAnsi="SimHei" w:eastAsia="SimHei" w:cs="SimHei"/>
          <w:color w:val="231F20"/>
          <w:spacing w:val="-46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妊娠滋养细胞肿瘤的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分期</w:t>
      </w:r>
    </w:p>
    <w:p>
      <w:pPr>
        <w:spacing w:line="66" w:lineRule="exact"/>
        <w:rPr/>
      </w:pPr>
      <w:r/>
    </w:p>
    <w:tbl>
      <w:tblPr>
        <w:tblStyle w:val="TableNormal"/>
        <w:tblW w:w="4502" w:type="dxa"/>
        <w:tblInd w:w="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4"/>
        <w:gridCol w:w="3948"/>
      </w:tblGrid>
      <w:tr>
        <w:trPr>
          <w:trHeight w:val="274" w:hRule="atLeast"/>
        </w:trPr>
        <w:tc>
          <w:tcPr>
            <w:tcW w:w="55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8"/>
              <w:spacing w:before="56" w:line="187" w:lineRule="auto"/>
              <w:rPr/>
            </w:pPr>
            <w:r>
              <w:rPr>
                <w:color w:val="231F20"/>
                <w:spacing w:val="9"/>
              </w:rPr>
              <w:t>期别</w:t>
            </w:r>
          </w:p>
        </w:tc>
        <w:tc>
          <w:tcPr>
            <w:tcW w:w="39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98"/>
              <w:spacing w:before="58" w:line="186" w:lineRule="auto"/>
              <w:rPr/>
            </w:pPr>
            <w:r>
              <w:rPr>
                <w:color w:val="231F20"/>
                <w:spacing w:val="7"/>
              </w:rPr>
              <w:t>描述</w:t>
            </w:r>
          </w:p>
        </w:tc>
      </w:tr>
      <w:tr>
        <w:trPr>
          <w:trHeight w:val="275" w:hRule="atLeast"/>
        </w:trPr>
        <w:tc>
          <w:tcPr>
            <w:tcW w:w="5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2"/>
              <w:spacing w:before="60" w:line="191" w:lineRule="auto"/>
              <w:rPr/>
            </w:pPr>
            <w:r>
              <w:rPr>
                <w:color w:val="231F20"/>
                <w:spacing w:val="-19"/>
              </w:rPr>
              <w:t>Ⅰ期</w:t>
            </w:r>
          </w:p>
        </w:tc>
        <w:tc>
          <w:tcPr>
            <w:tcW w:w="39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1"/>
              <w:spacing w:before="62" w:line="186" w:lineRule="auto"/>
              <w:rPr/>
            </w:pPr>
            <w:r>
              <w:rPr>
                <w:color w:val="231F20"/>
                <w:spacing w:val="9"/>
              </w:rPr>
              <w:t>肿瘤局限于子宫</w:t>
            </w:r>
          </w:p>
        </w:tc>
      </w:tr>
      <w:tr>
        <w:trPr>
          <w:trHeight w:val="560" w:hRule="atLeast"/>
        </w:trPr>
        <w:tc>
          <w:tcPr>
            <w:tcW w:w="554" w:type="dxa"/>
            <w:vAlign w:val="top"/>
          </w:tcPr>
          <w:p>
            <w:pPr>
              <w:pStyle w:val="TableText"/>
              <w:ind w:left="134"/>
              <w:spacing w:before="72" w:line="186" w:lineRule="auto"/>
              <w:rPr/>
            </w:pPr>
            <w:r>
              <w:rPr>
                <w:color w:val="231F20"/>
                <w:spacing w:val="-10"/>
              </w:rPr>
              <w:t>Ⅱ期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323" w:right="141" w:hanging="172"/>
              <w:spacing w:before="67" w:line="225" w:lineRule="auto"/>
              <w:rPr/>
            </w:pPr>
            <w:r>
              <w:rPr>
                <w:color w:val="231F20"/>
                <w:spacing w:val="2"/>
              </w:rPr>
              <w:t>肿瘤直接扩散或转移到其他生殖结构（卵巢、输卵管、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阴道、阔韧带）</w:t>
            </w:r>
          </w:p>
        </w:tc>
      </w:tr>
      <w:tr>
        <w:trPr>
          <w:trHeight w:val="281" w:hRule="atLeast"/>
        </w:trPr>
        <w:tc>
          <w:tcPr>
            <w:tcW w:w="554" w:type="dxa"/>
            <w:vAlign w:val="top"/>
          </w:tcPr>
          <w:p>
            <w:pPr>
              <w:pStyle w:val="TableText"/>
              <w:ind w:left="121"/>
              <w:spacing w:before="77" w:line="180" w:lineRule="auto"/>
              <w:rPr/>
            </w:pPr>
            <w:r>
              <w:rPr>
                <w:color w:val="231F20"/>
                <w:spacing w:val="-3"/>
              </w:rPr>
              <w:t>Ⅲ期</w:t>
            </w:r>
          </w:p>
        </w:tc>
        <w:tc>
          <w:tcPr>
            <w:tcW w:w="3948" w:type="dxa"/>
            <w:vAlign w:val="top"/>
          </w:tcPr>
          <w:p>
            <w:pPr>
              <w:pStyle w:val="TableText"/>
              <w:ind w:left="149"/>
              <w:spacing w:before="77" w:line="180" w:lineRule="auto"/>
              <w:rPr/>
            </w:pPr>
            <w:r>
              <w:rPr>
                <w:color w:val="231F20"/>
                <w:spacing w:val="9"/>
              </w:rPr>
              <w:t>肺转移</w:t>
            </w:r>
          </w:p>
        </w:tc>
      </w:tr>
      <w:tr>
        <w:trPr>
          <w:trHeight w:val="292" w:hRule="atLeast"/>
        </w:trPr>
        <w:tc>
          <w:tcPr>
            <w:tcW w:w="5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3"/>
              <w:spacing w:before="79" w:line="186" w:lineRule="auto"/>
              <w:rPr/>
            </w:pPr>
            <w:r>
              <w:rPr>
                <w:color w:val="231F20"/>
                <w:spacing w:val="1"/>
              </w:rPr>
              <w:t>Ⅳ期</w:t>
            </w:r>
          </w:p>
        </w:tc>
        <w:tc>
          <w:tcPr>
            <w:tcW w:w="39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9"/>
              <w:spacing w:before="78" w:line="188" w:lineRule="auto"/>
              <w:rPr/>
            </w:pPr>
            <w:r>
              <w:rPr>
                <w:color w:val="231F20"/>
                <w:spacing w:val="9"/>
              </w:rPr>
              <w:t>所有其他部位的远处转移</w:t>
            </w:r>
          </w:p>
        </w:tc>
      </w:tr>
    </w:tbl>
    <w:p>
      <w:pPr>
        <w:pStyle w:val="BodyText"/>
        <w:ind w:left="729"/>
        <w:spacing w:before="215" w:line="193" w:lineRule="auto"/>
        <w:rPr/>
      </w:pP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妊娠滋养细胞肿瘤的预后评分系统</w:t>
      </w:r>
    </w:p>
    <w:p>
      <w:pPr>
        <w:spacing w:line="73" w:lineRule="exact"/>
        <w:rPr/>
      </w:pPr>
      <w:r/>
    </w:p>
    <w:tbl>
      <w:tblPr>
        <w:tblStyle w:val="TableNormal"/>
        <w:tblW w:w="4495" w:type="dxa"/>
        <w:tblInd w:w="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2"/>
        <w:gridCol w:w="541"/>
        <w:gridCol w:w="783"/>
        <w:gridCol w:w="681"/>
        <w:gridCol w:w="75"/>
        <w:gridCol w:w="493"/>
      </w:tblGrid>
      <w:tr>
        <w:trPr>
          <w:trHeight w:val="276" w:hRule="atLeast"/>
        </w:trPr>
        <w:tc>
          <w:tcPr>
            <w:tcW w:w="192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354"/>
              <w:spacing w:before="198" w:line="188" w:lineRule="auto"/>
              <w:rPr/>
            </w:pPr>
            <w:r>
              <w:rPr>
                <w:color w:val="231F20"/>
                <w:spacing w:val="8"/>
              </w:rPr>
              <w:t>预后因素</w:t>
            </w:r>
          </w:p>
        </w:tc>
        <w:tc>
          <w:tcPr>
            <w:tcW w:w="54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4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9"/>
              <w:spacing w:before="53" w:line="198" w:lineRule="auto"/>
              <w:rPr/>
            </w:pPr>
            <w:r>
              <w:rPr>
                <w:color w:val="231F20"/>
                <w:spacing w:val="-4"/>
              </w:rPr>
              <w:t>危险评分（分）</w:t>
            </w:r>
          </w:p>
        </w:tc>
        <w:tc>
          <w:tcPr>
            <w:tcW w:w="56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" w:hRule="atLeast"/>
        </w:trPr>
        <w:tc>
          <w:tcPr>
            <w:tcW w:w="192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32"/>
              <w:spacing w:before="58" w:line="194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464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63"/>
              <w:spacing w:before="58" w:line="194" w:lineRule="auto"/>
              <w:rPr/>
            </w:pPr>
            <w:r>
              <w:rPr>
                <w:color w:val="231F20"/>
                <w:spacing w:val="-13"/>
              </w:rPr>
              <w:t>1</w:t>
            </w:r>
            <w:r>
              <w:rPr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13"/>
              </w:rPr>
              <w:t>2</w:t>
            </w:r>
          </w:p>
        </w:tc>
        <w:tc>
          <w:tcPr>
            <w:tcW w:w="568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89"/>
              <w:spacing w:before="58" w:line="194" w:lineRule="auto"/>
              <w:rPr/>
            </w:pPr>
            <w:r>
              <w:rPr>
                <w:color w:val="231F20"/>
              </w:rPr>
              <w:t>4</w:t>
            </w:r>
          </w:p>
        </w:tc>
      </w:tr>
      <w:tr>
        <w:trPr>
          <w:trHeight w:val="2803" w:hRule="atLeast"/>
        </w:trPr>
        <w:tc>
          <w:tcPr>
            <w:tcW w:w="2463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"/>
              <w:spacing w:before="56" w:line="212" w:lineRule="auto"/>
              <w:rPr/>
            </w:pPr>
            <w:r>
              <w:rPr>
                <w:color w:val="231F20"/>
                <w:spacing w:val="-9"/>
              </w:rPr>
              <w:t>年龄（岁</w:t>
            </w:r>
            <w:r>
              <w:rPr>
                <w:color w:val="231F20"/>
                <w:spacing w:val="-4"/>
              </w:rPr>
              <w:t>）</w:t>
            </w:r>
            <w:r>
              <w:rPr>
                <w:color w:val="231F20"/>
              </w:rPr>
              <w:t xml:space="preserve">                              </w:t>
            </w:r>
            <w:r>
              <w:rPr>
                <w:color w:val="231F20"/>
                <w:spacing w:val="-4"/>
              </w:rPr>
              <w:t>＜</w:t>
            </w:r>
            <w:r>
              <w:rPr>
                <w:color w:val="231F20"/>
                <w:spacing w:val="-9"/>
              </w:rPr>
              <w:t>40</w:t>
            </w:r>
          </w:p>
          <w:p>
            <w:pPr>
              <w:pStyle w:val="TableText"/>
              <w:ind w:left="2"/>
              <w:spacing w:before="59" w:line="188" w:lineRule="auto"/>
              <w:rPr/>
            </w:pPr>
            <w:r>
              <w:rPr>
                <w:color w:val="231F20"/>
                <w:spacing w:val="4"/>
              </w:rPr>
              <w:t>前次妊娠                         </w:t>
            </w:r>
            <w:r>
              <w:rPr>
                <w:color w:val="231F20"/>
                <w:spacing w:val="3"/>
              </w:rPr>
              <w:t xml:space="preserve">   葡萄胎</w:t>
            </w:r>
          </w:p>
          <w:p>
            <w:pPr>
              <w:pStyle w:val="TableText"/>
              <w:ind w:left="3" w:right="91" w:hanging="2"/>
              <w:spacing w:before="77" w:line="264" w:lineRule="auto"/>
              <w:jc w:val="both"/>
              <w:rPr/>
            </w:pPr>
            <w:r>
              <w:rPr>
                <w:color w:val="231F20"/>
                <w:spacing w:val="2"/>
              </w:rPr>
              <w:t>距前次妊娠的时间间隔（月</w:t>
            </w:r>
            <w:r>
              <w:rPr>
                <w:color w:val="231F20"/>
                <w:spacing w:val="-3"/>
              </w:rPr>
              <w:t>）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3"/>
              </w:rPr>
              <w:t>＜</w:t>
            </w:r>
            <w:r>
              <w:rPr>
                <w:color w:val="231F20"/>
                <w:spacing w:val="2"/>
              </w:rPr>
              <w:t>4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治疗前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hCG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水平（U/L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</w:rPr>
              <w:t>）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</w:rPr>
              <w:t>＜</w:t>
            </w:r>
            <w:r>
              <w:rPr>
                <w:color w:val="231F20"/>
                <w:spacing w:val="-7"/>
              </w:rPr>
              <w:t>10</w:t>
            </w:r>
            <w:r>
              <w:rPr>
                <w:sz w:val="7"/>
                <w:szCs w:val="7"/>
                <w:color w:val="231F20"/>
                <w:spacing w:val="-2"/>
                <w:position w:val="6"/>
              </w:rPr>
              <w:t>3</w:t>
            </w:r>
            <w:r>
              <w:rPr>
                <w:sz w:val="7"/>
                <w:szCs w:val="7"/>
                <w:color w:val="231F20"/>
                <w:spacing w:val="8"/>
                <w:w w:val="102"/>
                <w:position w:val="6"/>
              </w:rPr>
              <w:t xml:space="preserve"> </w:t>
            </w:r>
            <w:r>
              <w:rPr>
                <w:color w:val="231F20"/>
                <w:spacing w:val="1"/>
              </w:rPr>
              <w:t>最大肿瘤径线，包括子宫         ＜3</w:t>
            </w:r>
          </w:p>
          <w:p>
            <w:pPr>
              <w:pStyle w:val="TableText"/>
              <w:ind w:left="163"/>
              <w:spacing w:line="211" w:lineRule="auto"/>
              <w:rPr/>
            </w:pPr>
            <w:r>
              <w:rPr>
                <w:color w:val="231F20"/>
                <w:spacing w:val="-14"/>
              </w:rPr>
              <w:t>病灶（cm）</w:t>
            </w:r>
          </w:p>
          <w:p>
            <w:pPr>
              <w:pStyle w:val="TableText"/>
              <w:ind w:left="3"/>
              <w:spacing w:before="62" w:line="187" w:lineRule="auto"/>
              <w:rPr/>
            </w:pPr>
            <w:r>
              <w:rPr>
                <w:color w:val="231F20"/>
                <w:spacing w:val="4"/>
              </w:rPr>
              <w:t>转移部位                            </w:t>
            </w:r>
            <w:r>
              <w:rPr>
                <w:color w:val="231F20"/>
                <w:spacing w:val="3"/>
              </w:rPr>
              <w:t xml:space="preserve">   肺</w:t>
            </w:r>
          </w:p>
          <w:p>
            <w:pPr>
              <w:pStyle w:val="TableText"/>
              <w:ind w:left="3"/>
              <w:spacing w:before="79" w:line="212" w:lineRule="auto"/>
              <w:rPr/>
            </w:pPr>
            <w:r>
              <w:rPr>
                <w:color w:val="231F20"/>
              </w:rPr>
              <w:t>转移病灶数目（个）                  0</w:t>
            </w:r>
          </w:p>
          <w:p>
            <w:pPr>
              <w:pStyle w:val="TableText"/>
              <w:ind w:left="7"/>
              <w:spacing w:before="64" w:line="186" w:lineRule="auto"/>
              <w:rPr/>
            </w:pPr>
            <w:r>
              <w:rPr>
                <w:color w:val="231F20"/>
                <w:spacing w:val="9"/>
              </w:rPr>
              <w:t>既往化疗失败史</w:t>
            </w:r>
            <w:r>
              <w:rPr>
                <w:color w:val="231F20"/>
              </w:rPr>
              <w:t xml:space="preserve">                       </w:t>
            </w:r>
            <w:r>
              <w:rPr>
                <w:color w:val="231F20"/>
                <w:spacing w:val="9"/>
              </w:rPr>
              <w:t>-</w:t>
            </w:r>
          </w:p>
        </w:tc>
        <w:tc>
          <w:tcPr>
            <w:tcW w:w="78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54"/>
              <w:spacing w:before="60" w:line="222" w:lineRule="auto"/>
              <w:rPr/>
            </w:pPr>
            <w:r>
              <w:rPr>
                <w:color w:val="231F20"/>
                <w:spacing w:val="-13"/>
              </w:rPr>
              <w:t>≥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3"/>
              </w:rPr>
              <w:t>40</w:t>
            </w:r>
          </w:p>
          <w:p>
            <w:pPr>
              <w:pStyle w:val="TableText"/>
              <w:ind w:left="232"/>
              <w:spacing w:before="45" w:line="188" w:lineRule="auto"/>
              <w:rPr/>
            </w:pPr>
            <w:r>
              <w:rPr>
                <w:color w:val="231F20"/>
                <w:spacing w:val="6"/>
              </w:rPr>
              <w:t>流产</w:t>
            </w:r>
          </w:p>
          <w:p>
            <w:pPr>
              <w:pStyle w:val="TableText"/>
              <w:ind w:left="227"/>
              <w:spacing w:before="81" w:line="222" w:lineRule="auto"/>
              <w:rPr/>
            </w:pPr>
            <w:r>
              <w:rPr>
                <w:color w:val="231F20"/>
                <w:spacing w:val="1"/>
              </w:rPr>
              <w:t>4～6</w:t>
            </w:r>
          </w:p>
          <w:p>
            <w:pPr>
              <w:pStyle w:val="TableText"/>
              <w:ind w:left="43"/>
              <w:spacing w:before="44" w:line="223" w:lineRule="auto"/>
              <w:rPr>
                <w:sz w:val="7"/>
                <w:szCs w:val="7"/>
              </w:rPr>
            </w:pPr>
            <w:r>
              <w:rPr>
                <w:color w:val="231F20"/>
                <w:spacing w:val="-17"/>
              </w:rPr>
              <w:t>10</w:t>
            </w:r>
            <w:r>
              <w:rPr>
                <w:sz w:val="7"/>
                <w:szCs w:val="7"/>
                <w:color w:val="231F20"/>
                <w:spacing w:val="-2"/>
                <w:position w:val="6"/>
              </w:rPr>
              <w:t>3</w:t>
            </w:r>
            <w:r>
              <w:rPr>
                <w:color w:val="231F20"/>
              </w:rPr>
              <w:t>～＜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7"/>
              </w:rPr>
              <w:t>10</w:t>
            </w:r>
            <w:r>
              <w:rPr>
                <w:sz w:val="7"/>
                <w:szCs w:val="7"/>
                <w:color w:val="231F20"/>
                <w:position w:val="6"/>
              </w:rPr>
              <w:t>4</w:t>
            </w:r>
          </w:p>
          <w:p>
            <w:pPr>
              <w:pStyle w:val="TableText"/>
              <w:ind w:left="232"/>
              <w:spacing w:before="54" w:line="222" w:lineRule="auto"/>
              <w:rPr/>
            </w:pPr>
            <w:r>
              <w:rPr>
                <w:color w:val="231F20"/>
              </w:rPr>
              <w:t>3～5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65" w:line="187" w:lineRule="auto"/>
              <w:rPr/>
            </w:pPr>
            <w:r>
              <w:rPr>
                <w:color w:val="231F20"/>
                <w:spacing w:val="-8"/>
                <w:w w:val="95"/>
              </w:rPr>
              <w:t>脾、肾</w:t>
            </w:r>
          </w:p>
          <w:p>
            <w:pPr>
              <w:pStyle w:val="TableText"/>
              <w:ind w:left="243"/>
              <w:spacing w:before="82" w:line="224" w:lineRule="auto"/>
              <w:rPr/>
            </w:pPr>
            <w:r>
              <w:rPr>
                <w:color w:val="231F20"/>
                <w:spacing w:val="-5"/>
              </w:rPr>
              <w:t>1～4</w:t>
            </w:r>
          </w:p>
          <w:p>
            <w:pPr>
              <w:pStyle w:val="TableText"/>
              <w:ind w:left="348"/>
              <w:spacing w:before="128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  <w:tc>
          <w:tcPr>
            <w:tcW w:w="756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2"/>
              <w:spacing w:before="143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  <w:p>
            <w:pPr>
              <w:pStyle w:val="TableText"/>
              <w:ind w:left="145"/>
              <w:spacing w:before="83" w:line="187" w:lineRule="auto"/>
              <w:rPr/>
            </w:pPr>
            <w:r>
              <w:rPr>
                <w:color w:val="231F20"/>
                <w:spacing w:val="7"/>
              </w:rPr>
              <w:t>足月产</w:t>
            </w:r>
          </w:p>
          <w:p>
            <w:pPr>
              <w:pStyle w:val="TableText"/>
              <w:ind w:left="182"/>
              <w:spacing w:before="82" w:line="224" w:lineRule="auto"/>
              <w:rPr/>
            </w:pPr>
            <w:r>
              <w:rPr>
                <w:color w:val="231F20"/>
                <w:spacing w:val="-7"/>
              </w:rPr>
              <w:t>7～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12</w:t>
            </w:r>
          </w:p>
          <w:p>
            <w:pPr>
              <w:pStyle w:val="TableText"/>
              <w:ind w:left="37"/>
              <w:spacing w:before="42" w:line="223" w:lineRule="auto"/>
              <w:rPr>
                <w:sz w:val="7"/>
                <w:szCs w:val="7"/>
              </w:rPr>
            </w:pPr>
            <w:r>
              <w:rPr>
                <w:color w:val="231F20"/>
                <w:spacing w:val="-17"/>
              </w:rPr>
              <w:t>10</w:t>
            </w:r>
            <w:r>
              <w:rPr>
                <w:sz w:val="7"/>
                <w:szCs w:val="7"/>
                <w:color w:val="231F20"/>
                <w:spacing w:val="-2"/>
                <w:position w:val="6"/>
              </w:rPr>
              <w:t>4</w:t>
            </w:r>
            <w:r>
              <w:rPr>
                <w:color w:val="231F20"/>
              </w:rPr>
              <w:t>～＜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7"/>
              </w:rPr>
              <w:t>10</w:t>
            </w:r>
            <w:r>
              <w:rPr>
                <w:sz w:val="7"/>
                <w:szCs w:val="7"/>
                <w:color w:val="231F20"/>
                <w:position w:val="6"/>
              </w:rPr>
              <w:t>5</w:t>
            </w:r>
          </w:p>
          <w:p>
            <w:pPr>
              <w:pStyle w:val="TableText"/>
              <w:ind w:left="279"/>
              <w:spacing w:before="54" w:line="222" w:lineRule="auto"/>
              <w:rPr/>
            </w:pPr>
            <w:r>
              <w:rPr>
                <w:color w:val="231F20"/>
                <w:spacing w:val="4"/>
              </w:rPr>
              <w:t>&gt;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4"/>
              </w:rPr>
              <w:t>5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64" w:line="186" w:lineRule="auto"/>
              <w:rPr/>
            </w:pPr>
            <w:r>
              <w:rPr>
                <w:color w:val="231F20"/>
                <w:spacing w:val="1"/>
              </w:rPr>
              <w:t>胃肠道</w:t>
            </w:r>
          </w:p>
          <w:p>
            <w:pPr>
              <w:pStyle w:val="TableText"/>
              <w:ind w:left="224"/>
              <w:spacing w:before="83" w:line="222" w:lineRule="auto"/>
              <w:rPr/>
            </w:pPr>
            <w:r>
              <w:rPr>
                <w:color w:val="231F20"/>
                <w:spacing w:val="2"/>
              </w:rPr>
              <w:t>5～8</w:t>
            </w:r>
          </w:p>
          <w:p>
            <w:pPr>
              <w:pStyle w:val="TableText"/>
              <w:ind w:left="222"/>
              <w:spacing w:before="48" w:line="189" w:lineRule="auto"/>
              <w:rPr/>
            </w:pPr>
            <w:r>
              <w:rPr>
                <w:color w:val="231F20"/>
                <w:spacing w:val="8"/>
              </w:rPr>
              <w:t>单药</w:t>
            </w:r>
          </w:p>
        </w:tc>
        <w:tc>
          <w:tcPr>
            <w:tcW w:w="49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15"/>
              <w:spacing w:before="143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  <w:p>
            <w:pPr>
              <w:pStyle w:val="TableText"/>
              <w:ind w:left="215"/>
              <w:spacing w:before="165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  <w:p>
            <w:pPr>
              <w:pStyle w:val="TableText"/>
              <w:ind w:left="112"/>
              <w:spacing w:before="82" w:line="224" w:lineRule="auto"/>
              <w:rPr/>
            </w:pPr>
            <w:r>
              <w:rPr>
                <w:color w:val="231F20"/>
                <w:spacing w:val="-3"/>
              </w:rPr>
              <w:t>&gt;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3"/>
              </w:rPr>
              <w:t>12</w:t>
            </w:r>
          </w:p>
          <w:p>
            <w:pPr>
              <w:pStyle w:val="TableText"/>
              <w:ind w:left="101"/>
              <w:spacing w:before="42" w:line="223" w:lineRule="auto"/>
              <w:rPr>
                <w:sz w:val="7"/>
                <w:szCs w:val="7"/>
              </w:rPr>
            </w:pPr>
            <w:r>
              <w:rPr>
                <w:color w:val="231F20"/>
                <w:spacing w:val="-21"/>
              </w:rPr>
              <w:t>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1"/>
              </w:rPr>
              <w:t>10</w:t>
            </w:r>
            <w:r>
              <w:rPr>
                <w:sz w:val="7"/>
                <w:szCs w:val="7"/>
                <w:color w:val="231F20"/>
                <w:position w:val="6"/>
              </w:rPr>
              <w:t>5</w:t>
            </w:r>
          </w:p>
          <w:p>
            <w:pPr>
              <w:pStyle w:val="TableText"/>
              <w:ind w:left="215"/>
              <w:spacing w:before="13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65" w:line="182" w:lineRule="auto"/>
              <w:rPr/>
            </w:pPr>
            <w:r>
              <w:rPr>
                <w:color w:val="231F20"/>
                <w:spacing w:val="-7"/>
                <w:w w:val="92"/>
              </w:rPr>
              <w:t>脑、肝</w:t>
            </w:r>
          </w:p>
          <w:p>
            <w:pPr>
              <w:pStyle w:val="TableText"/>
              <w:ind w:left="152"/>
              <w:spacing w:before="84" w:line="223" w:lineRule="auto"/>
              <w:rPr/>
            </w:pPr>
            <w:r>
              <w:rPr>
                <w:color w:val="231F20"/>
                <w:spacing w:val="4"/>
              </w:rPr>
              <w:t>&gt;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4"/>
              </w:rPr>
              <w:t>8</w:t>
            </w:r>
          </w:p>
          <w:p>
            <w:pPr>
              <w:pStyle w:val="TableText"/>
              <w:spacing w:before="42" w:line="187" w:lineRule="auto"/>
              <w:jc w:val="right"/>
              <w:rPr/>
            </w:pPr>
            <w:r>
              <w:rPr>
                <w:color w:val="231F20"/>
                <w:spacing w:val="8"/>
              </w:rPr>
              <w:t>两药及</w:t>
            </w:r>
          </w:p>
          <w:p>
            <w:pPr>
              <w:pStyle w:val="TableText"/>
              <w:ind w:right="20"/>
              <w:spacing w:before="86" w:line="169" w:lineRule="auto"/>
              <w:jc w:val="right"/>
              <w:rPr/>
            </w:pPr>
            <w:r>
              <w:rPr>
                <w:color w:val="231F20"/>
                <w:spacing w:val="1"/>
              </w:rPr>
              <w:t>以上</w:t>
            </w:r>
          </w:p>
        </w:tc>
      </w:tr>
      <w:tr>
        <w:trPr>
          <w:trHeight w:val="286" w:hRule="atLeast"/>
        </w:trPr>
        <w:tc>
          <w:tcPr>
            <w:tcW w:w="4495" w:type="dxa"/>
            <w:vAlign w:val="top"/>
            <w:gridSpan w:val="6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48"/>
              <w:spacing w:before="74" w:line="187" w:lineRule="auto"/>
              <w:rPr/>
            </w:pPr>
            <w:r>
              <w:rPr>
                <w:color w:val="231F20"/>
                <w:spacing w:val="5"/>
              </w:rPr>
              <w:t>总分</w:t>
            </w:r>
          </w:p>
        </w:tc>
      </w:tr>
    </w:tbl>
    <w:p>
      <w:pPr>
        <w:pStyle w:val="BodyText"/>
        <w:ind w:left="61" w:right="53" w:firstLine="163"/>
        <w:spacing w:before="62" w:line="25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注：每个预后因素的评分相加得出的总分为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FIGO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6"/>
        </w:rPr>
        <w:t>预</w:t>
      </w:r>
      <w:r>
        <w:rPr>
          <w:sz w:val="15"/>
          <w:szCs w:val="15"/>
          <w:color w:val="231F20"/>
          <w:spacing w:val="5"/>
        </w:rPr>
        <w:t>后得分</w:t>
      </w:r>
      <w:r>
        <w:rPr>
          <w:sz w:val="15"/>
          <w:szCs w:val="15"/>
          <w:color w:val="231F20"/>
          <w:spacing w:val="-28"/>
        </w:rPr>
        <w:t>，＜</w:t>
      </w:r>
      <w:r>
        <w:rPr>
          <w:sz w:val="15"/>
          <w:szCs w:val="15"/>
          <w:color w:val="231F20"/>
          <w:spacing w:val="5"/>
        </w:rPr>
        <w:t>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分为低危，≥7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7"/>
        </w:rPr>
        <w:t>分为高危；原始资料来源为施普林格国际出版社出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版于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2017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年的第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版《AJCC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癌症分期手</w:t>
      </w:r>
      <w:r>
        <w:rPr>
          <w:sz w:val="15"/>
          <w:szCs w:val="15"/>
          <w:color w:val="231F20"/>
          <w:spacing w:val="-2"/>
        </w:rPr>
        <w:t>册》</w:t>
      </w:r>
    </w:p>
    <w:p>
      <w:pPr>
        <w:pStyle w:val="BodyText"/>
        <w:ind w:left="68" w:right="53" w:firstLine="362"/>
        <w:spacing w:before="207" w:line="220" w:lineRule="auto"/>
        <w:jc w:val="both"/>
        <w:rPr/>
      </w:pPr>
      <w:r>
        <w:rPr>
          <w:color w:val="231F20"/>
          <w:spacing w:val="2"/>
        </w:rPr>
        <w:t>根据上述检查可将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大致分为以下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种情况</w:t>
      </w:r>
      <w:r>
        <w:rPr>
          <w:color w:val="231F20"/>
          <w:spacing w:val="-33"/>
          <w:w w:val="71"/>
        </w:rPr>
        <w:t>：（</w:t>
      </w:r>
      <w:r>
        <w:rPr>
          <w:color w:val="231F20"/>
          <w:spacing w:val="2"/>
        </w:rPr>
        <w:t>1）低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危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GTN，即预后评分＜7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分者。（2）高危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GTN，即预后评分≥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</w:rPr>
        <w:t>7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分或Ⅳ期者。（3）中间型滋养细胞肿瘤（intermediate tropho-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blastic tumors，ITTs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3"/>
        </w:rPr>
        <w:t>即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PS</w:t>
      </w:r>
      <w:r>
        <w:rPr>
          <w:color w:val="231F20"/>
          <w:spacing w:val="-4"/>
        </w:rPr>
        <w:t>TT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ETT，它们不适合应用预后</w:t>
      </w:r>
    </w:p>
    <w:p>
      <w:pPr>
        <w:spacing w:line="220" w:lineRule="auto"/>
        <w:sectPr>
          <w:pgSz w:w="11679" w:h="16555"/>
          <w:pgMar w:top="1210" w:right="1108" w:bottom="0" w:left="1096" w:header="0" w:footer="0" w:gutter="0"/>
          <w:cols w:equalWidth="0" w:num="2">
            <w:col w:w="4758" w:space="100"/>
            <w:col w:w="4617" w:space="0"/>
          </w:cols>
        </w:sectPr>
        <w:rPr/>
      </w:pPr>
    </w:p>
    <w:p>
      <w:pPr>
        <w:spacing w:before="67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4314892</wp:posOffset>
            </wp:positionH>
            <wp:positionV relativeFrom="page">
              <wp:posOffset>908499</wp:posOffset>
            </wp:positionV>
            <wp:extent cx="22987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"/>
          <w:pgSz w:w="11679" w:h="16555"/>
          <w:pgMar w:top="1456" w:right="1095" w:bottom="0" w:left="1096" w:header="1210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left="67"/>
        <w:spacing w:before="47" w:line="186" w:lineRule="auto"/>
        <w:rPr/>
      </w:pPr>
      <w:r>
        <w:rPr>
          <w:color w:val="231F20"/>
          <w:spacing w:val="7"/>
        </w:rPr>
        <w:t>评分系统。</w:t>
      </w:r>
    </w:p>
    <w:p>
      <w:pPr>
        <w:pStyle w:val="BodyText"/>
        <w:ind w:left="68" w:right="194" w:firstLine="2"/>
        <w:spacing w:before="59" w:line="237" w:lineRule="auto"/>
        <w:rPr/>
      </w:pPr>
      <w:r>
        <w:rPr>
          <w:color w:val="231F20"/>
          <w:spacing w:val="2"/>
        </w:rPr>
        <w:t>2.3.1   低危</w:t>
      </w:r>
      <w:r>
        <w:rPr>
          <w:color w:val="231F20"/>
        </w:rPr>
        <w:t xml:space="preserve"> GTN</w:t>
      </w:r>
      <w:r>
        <w:rPr>
          <w:color w:val="231F20"/>
          <w:spacing w:val="2"/>
        </w:rPr>
        <w:t xml:space="preserve"> 的治疗    用单药方案化疗，可选择的药物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包括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MTX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Act-D。</w:t>
      </w:r>
    </w:p>
    <w:p>
      <w:pPr>
        <w:pStyle w:val="BodyText"/>
        <w:ind w:left="68" w:right="130" w:firstLine="1"/>
        <w:spacing w:before="1" w:line="236" w:lineRule="auto"/>
        <w:jc w:val="both"/>
        <w:rPr/>
      </w:pPr>
      <w:r>
        <w:rPr>
          <w:color w:val="231F20"/>
          <w:spacing w:val="2"/>
        </w:rPr>
        <w:t>2.3.1.1   治疗中监测    在</w:t>
      </w:r>
      <w:r>
        <w:rPr>
          <w:color w:val="231F20"/>
          <w:spacing w:val="1"/>
        </w:rPr>
        <w:t>开始每疗程治疗前监测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1"/>
        </w:rPr>
        <w:t>，每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周 1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次，根据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水平变化指导后续处理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。在治疗及监测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过程中可能出现以下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种情况</w:t>
      </w:r>
      <w:r>
        <w:rPr>
          <w:color w:val="231F20"/>
          <w:spacing w:val="-33"/>
          <w:w w:val="71"/>
        </w:rPr>
        <w:t>：（</w:t>
      </w:r>
      <w:r>
        <w:rPr>
          <w:color w:val="231F20"/>
          <w:spacing w:val="10"/>
        </w:rPr>
        <w:t>1）化疗后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下降至正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常，然后继续化疗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2~3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个疗程（首选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个疗程</w:t>
      </w:r>
      <w:r>
        <w:rPr>
          <w:color w:val="231F20"/>
          <w:spacing w:val="-28"/>
          <w:w w:val="69"/>
        </w:rPr>
        <w:t>），</w:t>
      </w:r>
      <w:r>
        <w:rPr>
          <w:color w:val="231F20"/>
          <w:spacing w:val="3"/>
        </w:rPr>
        <w:t>停止化疗。</w:t>
      </w:r>
    </w:p>
    <w:p>
      <w:pPr>
        <w:pStyle w:val="BodyText"/>
        <w:ind w:right="141"/>
        <w:spacing w:before="2" w:line="237" w:lineRule="auto"/>
        <w:jc w:val="both"/>
        <w:rPr/>
      </w:pPr>
      <w:r>
        <w:rPr>
          <w:color w:val="231F20"/>
          <w:spacing w:val="-1"/>
        </w:rPr>
        <w:t>（2）对初始化疗反应好，但随后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hCG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下降呈平台（经过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疗程化疗后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</w:rPr>
        <w:t>hCG</w:t>
      </w:r>
      <w:r>
        <w:rPr>
          <w:color w:val="231F20"/>
          <w:spacing w:val="16"/>
        </w:rPr>
        <w:t xml:space="preserve"> 水平下降＜10%）或下降后再次上升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（</w:t>
      </w:r>
      <w:r>
        <w:rPr>
          <w:color w:val="231F20"/>
        </w:rPr>
        <w:t>hCG</w:t>
      </w:r>
      <w:r>
        <w:rPr>
          <w:color w:val="231F20"/>
          <w:spacing w:val="6"/>
        </w:rPr>
        <w:t>＜1000U/L</w:t>
      </w:r>
      <w:r>
        <w:rPr>
          <w:color w:val="231F20"/>
          <w:spacing w:val="-24"/>
          <w:w w:val="58"/>
        </w:rPr>
        <w:t>），</w:t>
      </w:r>
      <w:r>
        <w:rPr>
          <w:color w:val="231F20"/>
          <w:spacing w:val="6"/>
        </w:rPr>
        <w:t>则可更改为初始治疗时</w:t>
      </w:r>
      <w:r>
        <w:rPr>
          <w:color w:val="231F20"/>
          <w:spacing w:val="5"/>
        </w:rPr>
        <w:t>没有使用过的另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一种单药方案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。如果之前用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可更改为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Act</w:t>
      </w:r>
      <w:r>
        <w:rPr>
          <w:color w:val="231F20"/>
          <w:spacing w:val="8"/>
        </w:rPr>
        <w:t>-D，之前用</w:t>
      </w:r>
      <w:r>
        <w:rPr>
          <w:color w:val="231F20"/>
        </w:rPr>
        <w:t xml:space="preserve">  </w:t>
      </w:r>
      <w:r>
        <w:rPr>
          <w:color w:val="231F20"/>
        </w:rPr>
        <w:t>Act</w:t>
      </w:r>
      <w:r>
        <w:rPr>
          <w:color w:val="231F20"/>
          <w:spacing w:val="18"/>
        </w:rPr>
        <w:t>-D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8"/>
        </w:rPr>
        <w:t>可更改为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8"/>
        </w:rPr>
        <w:t>。若病灶局限于子宫且无生育要求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时，可考虑同时行全子宫双侧输卵管切除术，即使存在卵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巢黄素化囊肿，手术时也可以原位保留双侧卵巢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。更改治</w:t>
      </w:r>
      <w:r>
        <w:rPr>
          <w:color w:val="231F20"/>
        </w:rPr>
        <w:t xml:space="preserve">  </w:t>
      </w:r>
      <w:r>
        <w:rPr>
          <w:color w:val="231F20"/>
        </w:rPr>
        <w:t>疗方案后，如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下降至正常，继续化疗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2～3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个疗程（首选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个疗程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6"/>
        </w:rPr>
        <w:t>停止化疗；如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水平呈平台（经过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个疗程化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疗后，hCG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水平变化＜10%）或上升（经过 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个疗程化疗后，</w:t>
      </w:r>
      <w:r>
        <w:rPr>
          <w:color w:val="231F20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水平上升＞10%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12"/>
        </w:rPr>
        <w:t>则需再次评价转移情况并改为依托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泊苷、MTX、Act-D、环磷酰胺和长春新碱（EMA/CO）联合化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0"/>
        </w:rPr>
        <w:t>疗。（3）对初始化疗反应好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，但随后 </w:t>
      </w:r>
      <w:r>
        <w:rPr>
          <w:color w:val="231F20"/>
        </w:rPr>
        <w:t>hCG</w:t>
      </w:r>
      <w:r>
        <w:rPr>
          <w:color w:val="231F20"/>
          <w:spacing w:val="10"/>
        </w:rPr>
        <w:t xml:space="preserve"> 水平快速上升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（hCG≥ 1000U/L）或对初始化</w:t>
      </w:r>
      <w:r>
        <w:rPr>
          <w:color w:val="231F20"/>
          <w:spacing w:val="-2"/>
        </w:rPr>
        <w:t>疗反应不好（经过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个疗程化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疗后，</w:t>
      </w:r>
      <w:r>
        <w:rPr>
          <w:color w:val="231F20"/>
        </w:rPr>
        <w:t>hCG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水平呈平台，变化＜10%；或者经过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个疗程化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</w:rPr>
        <w:t>hCG</w:t>
      </w:r>
      <w:r>
        <w:rPr>
          <w:color w:val="231F20"/>
          <w:spacing w:val="4"/>
        </w:rPr>
        <w:t xml:space="preserve"> 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升＞10%</w:t>
      </w:r>
      <w:r>
        <w:rPr>
          <w:color w:val="231F20"/>
          <w:spacing w:val="-36"/>
        </w:rPr>
        <w:t>），</w:t>
      </w:r>
      <w:r>
        <w:rPr>
          <w:color w:val="231F20"/>
          <w:spacing w:val="4"/>
        </w:rPr>
        <w:t>则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为</w:t>
      </w:r>
      <w:r>
        <w:rPr>
          <w:color w:val="231F20"/>
        </w:rPr>
        <w:t xml:space="preserve">  </w:t>
      </w:r>
      <w:r>
        <w:rPr>
          <w:color w:val="231F20"/>
        </w:rPr>
        <w:t>EMA</w:t>
      </w:r>
      <w:r>
        <w:rPr>
          <w:color w:val="231F20"/>
          <w:spacing w:val="4"/>
        </w:rPr>
        <w:t>/</w:t>
      </w:r>
      <w:r>
        <w:rPr>
          <w:color w:val="231F20"/>
        </w:rPr>
        <w:t>CO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联合化疗，并再次评价转移情况，并考虑</w:t>
      </w:r>
      <w:r>
        <w:rPr>
          <w:color w:val="231F20"/>
          <w:spacing w:val="3"/>
        </w:rPr>
        <w:t>行全子宫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双侧输卵管切除术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。更改为联合化疗方案后，如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下降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至正常，继续化疗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2~3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个疗程，停止化疗；如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水平呈平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台（经过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个疗程化疗后，hCG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水平变化＜10%</w:t>
      </w:r>
      <w:r>
        <w:rPr>
          <w:color w:val="231F20"/>
          <w:spacing w:val="-3"/>
        </w:rPr>
        <w:t>）或上升（经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过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个疗程化疗后，</w:t>
      </w:r>
      <w:r>
        <w:rPr>
          <w:color w:val="231F20"/>
        </w:rPr>
        <w:t>hCG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水平上升＞10%</w:t>
      </w:r>
      <w:r>
        <w:rPr>
          <w:color w:val="231F20"/>
          <w:spacing w:val="-28"/>
          <w:w w:val="69"/>
        </w:rPr>
        <w:t>），</w:t>
      </w:r>
      <w:r>
        <w:rPr>
          <w:color w:val="231F20"/>
          <w:spacing w:val="10"/>
        </w:rPr>
        <w:t>则需改用铂类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为基础的化疗方案，并且在可能的情况下，考虑手术切除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耐药病灶，尤其是子宫切除术和肺叶切除术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。第（2）和第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（3）两种情况的治疗考虑咨询妊娠滋养细胞疾病管理中心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3"/>
        </w:rPr>
        <w:t>的专家。</w:t>
      </w:r>
    </w:p>
    <w:p>
      <w:pPr>
        <w:pStyle w:val="BodyText"/>
        <w:ind w:left="68" w:right="194" w:firstLine="2"/>
        <w:spacing w:before="4" w:line="236" w:lineRule="auto"/>
        <w:jc w:val="both"/>
        <w:rPr/>
      </w:pPr>
      <w:r>
        <w:rPr>
          <w:color w:val="231F20"/>
        </w:rPr>
        <w:t>2.3.1.2</w:t>
      </w:r>
      <w:r>
        <w:rPr>
          <w:color w:val="231F20"/>
          <w:spacing w:val="17"/>
        </w:rPr>
        <w:t xml:space="preserve">   </w:t>
      </w:r>
      <w:r>
        <w:rPr>
          <w:color w:val="231F20"/>
        </w:rPr>
        <w:t>随访及避孕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每个月监测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hCG，持续 12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个月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。对 </w:t>
      </w:r>
      <w:r>
        <w:rPr>
          <w:color w:val="231F20"/>
          <w:spacing w:val="5"/>
        </w:rPr>
        <w:t>于葡萄胎后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和绒毛膜癌患者，</w:t>
      </w:r>
      <w:r>
        <w:rPr>
          <w:color w:val="231F20"/>
        </w:rPr>
        <w:t>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是一个可靠的肿瘤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标志物，因此在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正常后的随访过程中不推荐行影像学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检查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。患者需采取避孕措施，首选口服避孕药。</w:t>
      </w:r>
    </w:p>
    <w:p>
      <w:pPr>
        <w:pStyle w:val="BodyText"/>
        <w:ind w:left="70" w:right="194"/>
        <w:spacing w:before="2" w:line="235" w:lineRule="auto"/>
        <w:rPr/>
      </w:pPr>
      <w:r>
        <w:rPr>
          <w:color w:val="231F20"/>
          <w:spacing w:val="-1"/>
        </w:rPr>
        <w:t>2.3.2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1"/>
        </w:rPr>
        <w:t>高危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GTN 的治疗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1"/>
        </w:rPr>
        <w:t>采用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EMA/C</w:t>
      </w:r>
      <w:r>
        <w:rPr>
          <w:color w:val="231F20"/>
          <w:spacing w:val="-2"/>
        </w:rPr>
        <w:t>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方案化疗，考虑咨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询妊娠滋养细胞疾病管理中心的专家。</w:t>
      </w:r>
    </w:p>
    <w:p>
      <w:pPr>
        <w:pStyle w:val="BodyText"/>
        <w:ind w:left="69" w:right="194" w:firstLine="361"/>
        <w:spacing w:line="237" w:lineRule="auto"/>
        <w:jc w:val="both"/>
        <w:rPr/>
      </w:pPr>
      <w:r>
        <w:rPr>
          <w:color w:val="231F20"/>
          <w:spacing w:val="1"/>
        </w:rPr>
        <w:t>有脑转移者，可考虑</w:t>
      </w:r>
      <w:r>
        <w:rPr>
          <w:color w:val="231F20"/>
          <w:spacing w:val="-32"/>
          <w:w w:val="68"/>
        </w:rPr>
        <w:t>：（</w:t>
      </w:r>
      <w:r>
        <w:rPr>
          <w:color w:val="231F20"/>
          <w:spacing w:val="1"/>
        </w:rPr>
        <w:t>1）增加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和甲酰四氢叶酸的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剂量。（2）考虑头颅放疗，头颅立体定向放疗±鞘内注射MTX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或者全脑放疗（总量30 Gy，分割为15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次，每次2.0 Gy）。</w:t>
      </w:r>
    </w:p>
    <w:p>
      <w:pPr>
        <w:pStyle w:val="BodyText"/>
        <w:ind w:left="68" w:right="127" w:firstLine="364"/>
        <w:spacing w:before="3" w:line="237" w:lineRule="auto"/>
        <w:jc w:val="both"/>
        <w:rPr/>
      </w:pPr>
      <w:r>
        <w:rPr>
          <w:color w:val="231F20"/>
          <w:spacing w:val="2"/>
        </w:rPr>
        <w:t>广泛转移且预后评分＞12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分，有肺出血、腹腔内出血、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颅内出血的高危患者，可考虑先给予低剂量依托泊苷和顺  </w:t>
      </w:r>
      <w:r>
        <w:rPr>
          <w:color w:val="231F20"/>
          <w:spacing w:val="-4"/>
        </w:rPr>
        <w:t>铂（EP）方案诱导化疗，1～3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个疗程后，再予以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EMA/CO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方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案化疗。</w:t>
      </w:r>
    </w:p>
    <w:p>
      <w:pPr>
        <w:pStyle w:val="BodyText"/>
        <w:ind w:left="69" w:right="194" w:firstLine="368"/>
        <w:spacing w:line="202" w:lineRule="auto"/>
        <w:rPr/>
      </w:pPr>
      <w:r>
        <w:rPr>
          <w:color w:val="231F20"/>
        </w:rPr>
        <w:t>治疗期间，每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周检测 1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次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hCG，可能出现以下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种情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况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-8"/>
        </w:rPr>
        <w:t>1）hCG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下降至正常。（2）EMA/CO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化疗反应好，但随后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2" w:firstLine="14"/>
        <w:spacing w:before="39" w:line="237" w:lineRule="auto"/>
        <w:jc w:val="both"/>
        <w:rPr/>
      </w:pPr>
      <w:r>
        <w:rPr>
          <w:color w:val="231F20"/>
          <w:spacing w:val="-13"/>
        </w:rPr>
        <w:t>出现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hCG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持续低水平平台。（3）缓解后复</w:t>
      </w:r>
      <w:r>
        <w:rPr>
          <w:color w:val="231F20"/>
          <w:spacing w:val="-14"/>
        </w:rPr>
        <w:t>发。（4）对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EMA/CO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方案反应不好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种情况，后续治疗的选择</w:t>
      </w:r>
      <w:r>
        <w:rPr>
          <w:color w:val="231F20"/>
          <w:spacing w:val="4"/>
        </w:rPr>
        <w:t>包括</w:t>
      </w:r>
      <w:r>
        <w:rPr>
          <w:color w:val="231F20"/>
          <w:spacing w:val="-32"/>
          <w:w w:val="68"/>
        </w:rPr>
        <w:t>：（</w:t>
      </w:r>
      <w:r>
        <w:rPr>
          <w:color w:val="231F20"/>
          <w:spacing w:val="4"/>
        </w:rPr>
        <w:t>1）依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托泊苷、MTX、Act-D、依托泊苷和</w:t>
      </w:r>
      <w:r>
        <w:rPr>
          <w:color w:val="231F20"/>
          <w:spacing w:val="-13"/>
        </w:rPr>
        <w:t>顺铂方案（EMA/EP）。（2）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依托泊苷、顺铂、依托泊苷、MTX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Act-D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方案（EP/EMA</w:t>
      </w:r>
      <w:r>
        <w:rPr>
          <w:color w:val="231F20"/>
          <w:spacing w:val="-9"/>
        </w:rPr>
        <w:t>）。</w:t>
      </w:r>
    </w:p>
    <w:p>
      <w:pPr>
        <w:pStyle w:val="BodyText"/>
        <w:ind w:left="66" w:right="67" w:hanging="67"/>
        <w:spacing w:before="2" w:line="237" w:lineRule="auto"/>
        <w:jc w:val="both"/>
        <w:rPr/>
      </w:pPr>
      <w:r>
        <w:rPr>
          <w:color w:val="231F20"/>
        </w:rPr>
        <w:t>（3）对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EP/EMA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不耐受患者，可选用含博来霉素、异环磷酰 </w:t>
      </w:r>
      <w:r>
        <w:rPr>
          <w:color w:val="231F20"/>
          <w:spacing w:val="9"/>
        </w:rPr>
        <w:t>胺或紫杉醇的以铂类为基础的方案，可能的情况下同时考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虑切除化疗耐药病灶。</w:t>
      </w:r>
    </w:p>
    <w:p>
      <w:pPr>
        <w:pStyle w:val="BodyText"/>
        <w:ind w:left="70" w:right="13" w:firstLine="366"/>
        <w:spacing w:line="237" w:lineRule="auto"/>
        <w:rPr/>
      </w:pPr>
      <w:r>
        <w:rPr>
          <w:color w:val="231F20"/>
          <w:spacing w:val="4"/>
        </w:rPr>
        <w:t>经以上治疗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降至正常后，继续化疗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2～3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个疗程，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然后监测，内容同上文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2.3.1.2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部分。</w:t>
      </w:r>
    </w:p>
    <w:p>
      <w:pPr>
        <w:pStyle w:val="BodyText"/>
        <w:ind w:left="67" w:right="67" w:firstLine="3"/>
        <w:spacing w:before="4" w:line="236" w:lineRule="auto"/>
        <w:jc w:val="both"/>
        <w:rPr/>
      </w:pPr>
      <w:r>
        <w:rPr>
          <w:color w:val="231F20"/>
          <w:spacing w:val="12"/>
        </w:rPr>
        <w:t>2.3.3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12"/>
        </w:rPr>
        <w:t>中间型滋养细胞肿瘤的治疗   需要根据有无转移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性病灶而定，考虑咨询妊娠滋养细胞疾病管理中心的专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。无转移性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ITTs</w:t>
      </w:r>
      <w:r>
        <w:rPr>
          <w:color w:val="231F20"/>
          <w:spacing w:val="4"/>
        </w:rPr>
        <w:t xml:space="preserve"> 的生存率约为 100%，而转移性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ITTs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50%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～60%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。对于具有距离末次已知妊娠的时间间隔≥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48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个月不良预后因素的患者，以铂为基础化疗方案的应用增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加，提高了其总生存率。</w:t>
      </w:r>
    </w:p>
    <w:p>
      <w:pPr>
        <w:pStyle w:val="BodyText"/>
        <w:ind w:left="68" w:right="67" w:firstLine="2"/>
        <w:spacing w:before="10" w:line="231" w:lineRule="auto"/>
        <w:rPr/>
      </w:pPr>
      <w:r>
        <w:rPr>
          <w:color w:val="231F20"/>
          <w:spacing w:val="5"/>
        </w:rPr>
        <w:t>2.3.3.1   无转移性中间型滋养细</w:t>
      </w:r>
      <w:r>
        <w:rPr>
          <w:color w:val="231F20"/>
          <w:spacing w:val="4"/>
        </w:rPr>
        <w:t>胞肿瘤(  Ⅰ期）  推荐行全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子宫双侧输卵管切除术±盆腔淋巴结活检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</w:rPr>
        <w:t>Lan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等的回顾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性研究表明，临床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Ⅰ期的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PSTT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或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ETT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发生盆腔淋巴结转移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的概率为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5%～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15%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。因此，在进行全子</w:t>
      </w:r>
      <w:r>
        <w:rPr>
          <w:color w:val="231F20"/>
          <w:spacing w:val="2"/>
        </w:rPr>
        <w:t>宫双侧输卵管切除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术时，可考虑行盆腔淋巴结活检，尤其对于病灶</w:t>
      </w:r>
      <w:r>
        <w:rPr>
          <w:color w:val="231F20"/>
          <w:spacing w:val="2"/>
        </w:rPr>
        <w:t>较大、浸润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深度较深者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。术后具有 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个或多个不良预后因素者考虑系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统治疗，不良预后因素为距前次妊娠的时间间隔≥2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年、深</w:t>
      </w:r>
      <w:r>
        <w:rPr>
          <w:color w:val="231F20"/>
        </w:rPr>
        <w:t xml:space="preserve"> </w:t>
      </w:r>
      <w:r>
        <w:rPr>
          <w:color w:val="231F20"/>
        </w:rPr>
        <w:t>部浸润、有坏死、有丝分裂指数＞5/10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个高倍视</w:t>
      </w:r>
      <w:r>
        <w:rPr>
          <w:color w:val="231F20"/>
          <w:spacing w:val="-1"/>
        </w:rPr>
        <w:t>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。如无不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良预后因素，术后直接观察。</w:t>
      </w:r>
    </w:p>
    <w:p>
      <w:pPr>
        <w:pStyle w:val="BodyText"/>
        <w:ind w:left="68" w:right="67" w:firstLine="2"/>
        <w:spacing w:before="57" w:line="233" w:lineRule="auto"/>
        <w:rPr/>
      </w:pPr>
      <w:r>
        <w:rPr>
          <w:color w:val="231F20"/>
          <w:spacing w:val="6"/>
        </w:rPr>
        <w:t>2.3.3.2   转移性中间型滋养细胞肿瘤    推荐行全子宫双侧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输卵管切除术，如有可能，切除转移性病灶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同时给予以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铂类为基础的方案，如</w:t>
      </w:r>
      <w:r>
        <w:rPr>
          <w:color w:val="231F20"/>
          <w:spacing w:val="-38"/>
          <w:w w:val="80"/>
        </w:rPr>
        <w:t>：（</w:t>
      </w:r>
      <w:r>
        <w:rPr>
          <w:color w:val="231F20"/>
          <w:spacing w:val="-11"/>
        </w:rPr>
        <w:t>1）EMA/EP。（2）EP/EMA。（3）紫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杉醇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、顺铂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、紫杉醇和依托泊苷方案（TP/TE）。（4）其他方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案，如博来霉素、依托泊苷和顺铂方案（BEP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-2"/>
        </w:rPr>
        <w:t>依托泊苷、异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环磷酰胺和顺铂方案（</w:t>
      </w:r>
      <w:r>
        <w:rPr>
          <w:color w:val="231F20"/>
        </w:rPr>
        <w:t>VIP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7"/>
        </w:rPr>
        <w:t>或异环磷酰胺、卡铂和依托泊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苷方案（ICE）。</w:t>
      </w:r>
    </w:p>
    <w:p>
      <w:pPr>
        <w:pStyle w:val="BodyText"/>
        <w:ind w:left="68" w:right="67" w:firstLine="363"/>
        <w:spacing w:before="35" w:line="237" w:lineRule="auto"/>
        <w:jc w:val="both"/>
        <w:rPr/>
      </w:pPr>
      <w:r>
        <w:rPr>
          <w:color w:val="231F20"/>
          <w:spacing w:val="1"/>
        </w:rPr>
        <w:t>尽管与葡萄胎后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相比，</w:t>
      </w:r>
      <w:r>
        <w:rPr>
          <w:color w:val="231F20"/>
        </w:rPr>
        <w:t>hCG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不能作为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ITTs</w:t>
      </w:r>
      <w:r>
        <w:rPr>
          <w:color w:val="231F20"/>
          <w:spacing w:val="1"/>
        </w:rPr>
        <w:t xml:space="preserve"> 的一个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可靠的标志物，但是治疗后也应该像其他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一样监测</w:t>
      </w:r>
      <w:r>
        <w:rPr>
          <w:color w:val="231F20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水平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>NCCN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工作组推荐使用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FDG</w:t>
      </w:r>
      <w:r>
        <w:rPr>
          <w:color w:val="231F20"/>
          <w:spacing w:val="7"/>
        </w:rPr>
        <w:t>-</w:t>
      </w:r>
      <w:r>
        <w:rPr>
          <w:color w:val="231F20"/>
        </w:rPr>
        <w:t>PET</w:t>
      </w:r>
      <w:r>
        <w:rPr>
          <w:color w:val="231F20"/>
          <w:spacing w:val="7"/>
        </w:rPr>
        <w:t>-</w:t>
      </w:r>
      <w:r>
        <w:rPr>
          <w:color w:val="231F20"/>
        </w:rPr>
        <w:t>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进行随访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监测，检查时间为化疗结束时、以及其后每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6～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12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个月检查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次，共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2～3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。随访期间，无转移性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ITTs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出现疾病复发或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进展予以化疗，可选择初始治疗时可选择的化疗方案；转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移性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ITTs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出现疾病复发或进展，予以化疗或给予最好的支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持治疗（参见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NCCN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姑息治疗指南）。</w:t>
      </w:r>
    </w:p>
    <w:p>
      <w:pPr>
        <w:pStyle w:val="BodyText"/>
        <w:ind w:left="70"/>
        <w:spacing w:before="1" w:line="203" w:lineRule="auto"/>
        <w:rPr/>
      </w:pPr>
      <w:r>
        <w:rPr>
          <w:color w:val="231F20"/>
          <w:spacing w:val="-5"/>
        </w:rPr>
        <w:t>2.4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5"/>
        </w:rPr>
        <w:t>GTN 的化疗</w:t>
      </w:r>
    </w:p>
    <w:p>
      <w:pPr>
        <w:pStyle w:val="BodyText"/>
        <w:ind w:left="70"/>
        <w:spacing w:before="40" w:line="204" w:lineRule="auto"/>
        <w:rPr/>
      </w:pPr>
      <w:r>
        <w:rPr>
          <w:color w:val="231F20"/>
          <w:spacing w:val="-1"/>
        </w:rPr>
        <w:t>2.4.1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1"/>
        </w:rPr>
        <w:t>低危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GTN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的化疗方案</w:t>
      </w:r>
    </w:p>
    <w:p>
      <w:pPr>
        <w:pStyle w:val="BodyText"/>
        <w:ind w:left="72" w:right="2" w:hanging="2"/>
        <w:spacing w:before="37" w:line="237" w:lineRule="auto"/>
        <w:jc w:val="both"/>
        <w:rPr/>
      </w:pPr>
      <w:r>
        <w:rPr>
          <w:color w:val="231F20"/>
          <w:spacing w:val="6"/>
        </w:rPr>
        <w:t>2.4.1.1</w:t>
      </w:r>
      <w:r>
        <w:rPr>
          <w:color w:val="231F20"/>
          <w:spacing w:val="1"/>
        </w:rPr>
        <w:t xml:space="preserve">    </w:t>
      </w:r>
      <w:r>
        <w:rPr>
          <w:color w:val="231F20"/>
        </w:rPr>
        <w:t>MTX</w:t>
      </w:r>
      <w:r>
        <w:rPr>
          <w:color w:val="231F20"/>
          <w:spacing w:val="6"/>
        </w:rPr>
        <w:t xml:space="preserve"> 单药方案（首选方案）</w:t>
      </w:r>
      <w:r>
        <w:rPr>
          <w:color w:val="231F20"/>
          <w:spacing w:val="26"/>
        </w:rPr>
        <w:t xml:space="preserve">  </w:t>
      </w:r>
      <w:r>
        <w:rPr>
          <w:color w:val="231F20"/>
        </w:rPr>
        <w:t>MTX</w:t>
      </w:r>
      <w:r>
        <w:rPr>
          <w:color w:val="231F20"/>
          <w:spacing w:val="6"/>
        </w:rPr>
        <w:t xml:space="preserve"> 方案有</w:t>
      </w:r>
      <w:r>
        <w:rPr>
          <w:color w:val="231F20"/>
          <w:spacing w:val="-39"/>
          <w:w w:val="83"/>
        </w:rPr>
        <w:t>：（</w:t>
      </w:r>
      <w:r>
        <w:rPr>
          <w:color w:val="231F20"/>
          <w:spacing w:val="6"/>
        </w:rPr>
        <w:t>1）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MTX 0.4 mg/（kg·d</w:t>
      </w:r>
      <w:r>
        <w:rPr>
          <w:color w:val="231F20"/>
          <w:spacing w:val="-19"/>
          <w:w w:val="56"/>
        </w:rPr>
        <w:t>）（</w:t>
      </w:r>
      <w:r>
        <w:rPr>
          <w:color w:val="231F20"/>
          <w:spacing w:val="-9"/>
        </w:rPr>
        <w:t>最大量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25 mg/d</w:t>
      </w:r>
      <w:r>
        <w:rPr>
          <w:color w:val="231F20"/>
          <w:spacing w:val="-19"/>
          <w:w w:val="56"/>
        </w:rPr>
        <w:t>），</w:t>
      </w:r>
      <w:r>
        <w:rPr>
          <w:color w:val="231F20"/>
          <w:spacing w:val="-9"/>
        </w:rPr>
        <w:t>静</w:t>
      </w:r>
      <w:r>
        <w:rPr>
          <w:color w:val="231F20"/>
          <w:spacing w:val="-10"/>
        </w:rPr>
        <w:t>脉滴注（首选）或肌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肉注射，每日 1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次，第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5"/>
        </w:rPr>
        <w:t>1～5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5"/>
        </w:rPr>
        <w:t>天，每 14d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重复（1 级证据）。（2）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MTX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3"/>
        </w:rPr>
        <w:t>1mg/（kg·d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13"/>
        </w:rPr>
        <w:t>肌肉注射，第 1、3、5、7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天，甲酰四氢</w:t>
      </w:r>
      <w:r>
        <w:rPr>
          <w:color w:val="231F20"/>
          <w:spacing w:val="-14"/>
        </w:rPr>
        <w:t>叶酸</w:t>
      </w:r>
    </w:p>
    <w:p>
      <w:pPr>
        <w:pStyle w:val="BodyText"/>
        <w:ind w:left="67" w:firstLine="17"/>
        <w:spacing w:before="1" w:line="203" w:lineRule="auto"/>
        <w:rPr/>
      </w:pPr>
      <w:r>
        <w:rPr>
          <w:color w:val="231F20"/>
          <w:spacing w:val="-11"/>
        </w:rPr>
        <w:t>15 mg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口服（首选）或肌肉注射，每次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MTX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用药后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30h，第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2、</w:t>
      </w:r>
      <w:r>
        <w:rPr>
          <w:color w:val="231F20"/>
        </w:rPr>
        <w:t xml:space="preserve"> </w:t>
      </w:r>
      <w:r>
        <w:rPr>
          <w:color w:val="231F20"/>
          <w:spacing w:val="-16"/>
          <w:w w:val="95"/>
        </w:rPr>
        <w:t>4、6、8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6"/>
          <w:w w:val="95"/>
        </w:rPr>
        <w:t>天，每 14d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  <w:w w:val="95"/>
        </w:rPr>
        <w:t>重复（1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  <w:w w:val="95"/>
        </w:rPr>
        <w:t>级证据）。</w:t>
      </w:r>
    </w:p>
    <w:p>
      <w:pPr>
        <w:spacing w:line="203" w:lineRule="auto"/>
        <w:sectPr>
          <w:type w:val="continuous"/>
          <w:pgSz w:w="11679" w:h="16555"/>
          <w:pgMar w:top="1456" w:right="1095" w:bottom="0" w:left="1096" w:header="1210" w:footer="0" w:gutter="0"/>
          <w:cols w:equalWidth="0" w:num="2">
            <w:col w:w="4758" w:space="100"/>
            <w:col w:w="4630" w:space="0"/>
          </w:cols>
        </w:sectPr>
        <w:rPr/>
      </w:pPr>
    </w:p>
    <w:p>
      <w:pPr>
        <w:spacing w:before="67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802396</wp:posOffset>
            </wp:positionH>
            <wp:positionV relativeFrom="page">
              <wp:posOffset>908499</wp:posOffset>
            </wp:positionV>
            <wp:extent cx="22987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"/>
          <w:pgSz w:w="11679" w:h="16555"/>
          <w:pgMar w:top="1456" w:right="1097" w:bottom="0" w:left="1096" w:header="1210" w:footer="0" w:gutter="0"/>
          <w:cols w:equalWidth="0" w:num="1">
            <w:col w:w="9485" w:space="0"/>
          </w:cols>
        </w:sectPr>
        <w:rPr/>
      </w:pPr>
    </w:p>
    <w:p>
      <w:pPr>
        <w:pStyle w:val="BodyText"/>
        <w:ind w:left="68" w:right="262" w:firstLine="362"/>
        <w:spacing w:before="41" w:line="237" w:lineRule="auto"/>
        <w:jc w:val="both"/>
        <w:rPr/>
      </w:pPr>
      <w:r>
        <w:rPr>
          <w:color w:val="231F20"/>
        </w:rPr>
        <w:t>在应用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化疗时，需要注意下列事项</w:t>
      </w:r>
      <w:r>
        <w:rPr>
          <w:color w:val="231F20"/>
          <w:spacing w:val="-31"/>
          <w:w w:val="66"/>
        </w:rPr>
        <w:t>：（</w:t>
      </w:r>
      <w:r>
        <w:rPr>
          <w:color w:val="231F20"/>
        </w:rPr>
        <w:t>1）多日MTX </w:t>
      </w:r>
      <w:r>
        <w:rPr>
          <w:color w:val="231F20"/>
          <w:spacing w:val="9"/>
        </w:rPr>
        <w:t>化疗方案是低危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一线化疗的标准方案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。对于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毒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性反应大或者有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应用禁忌证的患者，最常选用的二线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方案是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Act-D 5d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方案。（2）不推荐使用单次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MTX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方案，如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MTX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30~50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mg/m</w:t>
      </w:r>
      <w:r>
        <w:rPr>
          <w:sz w:val="8"/>
          <w:szCs w:val="8"/>
          <w:color w:val="231F20"/>
          <w:spacing w:val="-4"/>
          <w:position w:val="7"/>
        </w:rPr>
        <w:t>2 </w:t>
      </w:r>
      <w:r>
        <w:rPr>
          <w:color w:val="231F20"/>
          <w:spacing w:val="-4"/>
        </w:rPr>
        <w:t>肌肉注射，每周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次；或者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MTX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输注（例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如 300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5"/>
        </w:rPr>
        <w:t>mg/m</w:t>
      </w:r>
      <w:r>
        <w:rPr>
          <w:sz w:val="8"/>
          <w:szCs w:val="8"/>
          <w:color w:val="231F20"/>
          <w:spacing w:val="9"/>
          <w:position w:val="7"/>
        </w:rPr>
        <w:t>2</w:t>
      </w:r>
      <w:r>
        <w:rPr>
          <w:color w:val="231F20"/>
          <w:spacing w:val="9"/>
        </w:rPr>
        <w:t>，连续输注超过 12h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并联合使用甲酰四氢叶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酸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9"/>
        </w:rPr>
        <w:t>因为这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种方案的疗效较差。</w:t>
      </w:r>
    </w:p>
    <w:p>
      <w:pPr>
        <w:pStyle w:val="BodyText"/>
        <w:ind w:left="70"/>
        <w:spacing w:line="210" w:lineRule="auto"/>
        <w:rPr/>
      </w:pPr>
      <w:r>
        <w:rPr>
          <w:color w:val="231F20"/>
          <w:spacing w:val="2"/>
        </w:rPr>
        <w:t>2.4.1.2   </w:t>
      </w:r>
      <w:r>
        <w:rPr>
          <w:color w:val="231F20"/>
        </w:rPr>
        <w:t>Act</w:t>
      </w:r>
      <w:r>
        <w:rPr>
          <w:color w:val="231F20"/>
          <w:spacing w:val="2"/>
        </w:rPr>
        <w:t>-D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单药化疗方案（首选方案）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Act</w:t>
      </w:r>
      <w:r>
        <w:rPr>
          <w:color w:val="231F20"/>
          <w:spacing w:val="2"/>
        </w:rPr>
        <w:t>-D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方案有：</w:t>
      </w:r>
    </w:p>
    <w:p>
      <w:pPr>
        <w:pStyle w:val="BodyText"/>
        <w:ind w:left="70" w:right="208" w:hanging="71"/>
        <w:spacing w:before="32" w:line="238" w:lineRule="auto"/>
        <w:jc w:val="both"/>
        <w:rPr/>
      </w:pPr>
      <w:r>
        <w:rPr>
          <w:color w:val="231F20"/>
          <w:spacing w:val="-6"/>
        </w:rPr>
        <w:t>（1）Act-D 0.5 mg 固定剂量静脉滴注，第 </w:t>
      </w:r>
      <w:r>
        <w:rPr>
          <w:color w:val="231F20"/>
          <w:spacing w:val="-7"/>
        </w:rPr>
        <w:t>1～5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天，每 14d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重</w:t>
      </w:r>
      <w:r>
        <w:rPr>
          <w:color w:val="231F20"/>
        </w:rPr>
        <w:t xml:space="preserve">  </w:t>
      </w:r>
      <w:r>
        <w:rPr>
          <w:color w:val="231F20"/>
          <w:spacing w:val="-18"/>
          <w:w w:val="97"/>
        </w:rPr>
        <w:t>复（首选，1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  <w:w w:val="97"/>
        </w:rPr>
        <w:t>级证据）。（2）Act-D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8"/>
          <w:w w:val="97"/>
        </w:rPr>
        <w:t>1.25 mg/m</w:t>
      </w:r>
      <w:r>
        <w:rPr>
          <w:sz w:val="8"/>
          <w:szCs w:val="8"/>
          <w:color w:val="231F20"/>
          <w:spacing w:val="-7"/>
          <w:position w:val="7"/>
        </w:rPr>
        <w:t>2</w:t>
      </w:r>
      <w:r>
        <w:rPr>
          <w:color w:val="231F20"/>
          <w:spacing w:val="-7"/>
        </w:rPr>
        <w:t>（最大剂量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2"/>
          <w:w w:val="97"/>
        </w:rPr>
        <w:t>2</w:t>
      </w:r>
      <w:r>
        <w:rPr>
          <w:color w:val="231F20"/>
        </w:rPr>
        <w:t xml:space="preserve"> </w:t>
      </w:r>
      <w:r>
        <w:rPr>
          <w:color w:val="231F20"/>
          <w:spacing w:val="-22"/>
          <w:w w:val="97"/>
        </w:rPr>
        <w:t>mg</w:t>
      </w:r>
      <w:r>
        <w:rPr>
          <w:color w:val="231F20"/>
          <w:spacing w:val="-37"/>
          <w:w w:val="91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脉冲推注，1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6"/>
        </w:rPr>
        <w:t>次，每 14d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重复（1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6"/>
        </w:rPr>
        <w:t>级证据）。</w:t>
      </w:r>
    </w:p>
    <w:p>
      <w:pPr>
        <w:pStyle w:val="BodyText"/>
        <w:ind w:left="70" w:right="262" w:firstLine="366"/>
        <w:spacing w:before="2" w:line="236" w:lineRule="auto"/>
        <w:jc w:val="both"/>
        <w:rPr/>
      </w:pPr>
      <w:r>
        <w:rPr>
          <w:color w:val="231F20"/>
          <w:spacing w:val="7"/>
        </w:rPr>
        <w:t>在应用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Act</w:t>
      </w:r>
      <w:r>
        <w:rPr>
          <w:color w:val="231F20"/>
          <w:spacing w:val="7"/>
        </w:rPr>
        <w:t>-D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化疗时，需要注意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Act</w:t>
      </w:r>
      <w:r>
        <w:rPr>
          <w:color w:val="231F20"/>
          <w:spacing w:val="7"/>
        </w:rPr>
        <w:t>-D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静脉推注的脉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冲给药方案不能用作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MTX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4"/>
        </w:rPr>
        <w:t>耐药的二线化疗或者诊断为绒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癌患者的初始治疗方案。</w:t>
      </w:r>
    </w:p>
    <w:p>
      <w:pPr>
        <w:pStyle w:val="BodyText"/>
        <w:ind w:left="70"/>
        <w:spacing w:before="1" w:line="203" w:lineRule="auto"/>
        <w:rPr/>
      </w:pPr>
      <w:r>
        <w:rPr>
          <w:color w:val="231F20"/>
          <w:spacing w:val="-1"/>
        </w:rPr>
        <w:t>2.4.2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1"/>
        </w:rPr>
        <w:t>高危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GTN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的化疗方案</w:t>
      </w:r>
    </w:p>
    <w:p>
      <w:pPr>
        <w:pStyle w:val="BodyText"/>
        <w:ind w:left="67" w:right="208" w:firstLine="3"/>
        <w:spacing w:before="37" w:line="237" w:lineRule="auto"/>
        <w:jc w:val="both"/>
        <w:rPr/>
      </w:pPr>
      <w:r>
        <w:rPr>
          <w:color w:val="231F20"/>
          <w:spacing w:val="-4"/>
        </w:rPr>
        <w:t>2.4.2.1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4"/>
        </w:rPr>
        <w:t>EMA/CO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方案（首选方案）  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周重复，</w:t>
      </w:r>
      <w:r>
        <w:rPr>
          <w:color w:val="231F20"/>
          <w:spacing w:val="-5"/>
        </w:rPr>
        <w:t>直至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hCG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正常，继续巩固化疗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6～8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。具体方案如下：依托泊苷</w:t>
      </w:r>
      <w:r>
        <w:rPr>
          <w:color w:val="231F20"/>
        </w:rPr>
        <w:t xml:space="preserve">  </w:t>
      </w:r>
      <w:r>
        <w:rPr>
          <w:color w:val="231F20"/>
          <w:spacing w:val="-18"/>
          <w:w w:val="97"/>
        </w:rPr>
        <w:t>100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8"/>
          <w:w w:val="97"/>
        </w:rPr>
        <w:t>mg/m</w:t>
      </w:r>
      <w:r>
        <w:rPr>
          <w:sz w:val="8"/>
          <w:szCs w:val="8"/>
          <w:color w:val="231F20"/>
          <w:spacing w:val="-5"/>
          <w:position w:val="7"/>
        </w:rPr>
        <w:t>2</w:t>
      </w:r>
      <w:r>
        <w:rPr>
          <w:sz w:val="8"/>
          <w:szCs w:val="8"/>
          <w:color w:val="231F20"/>
          <w:spacing w:val="-6"/>
          <w:position w:val="7"/>
        </w:rPr>
        <w:t xml:space="preserve"> </w:t>
      </w:r>
      <w:r>
        <w:rPr>
          <w:color w:val="231F20"/>
          <w:spacing w:val="-5"/>
        </w:rPr>
        <w:t>静脉滴注，第 1～2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天；Act-D 0.5 mg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静脉推注，第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1～2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6"/>
        </w:rPr>
        <w:t>天；MTX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300 mg/m</w:t>
      </w:r>
      <w:r>
        <w:rPr>
          <w:sz w:val="8"/>
          <w:szCs w:val="8"/>
          <w:color w:val="231F20"/>
          <w:spacing w:val="-4"/>
          <w:position w:val="7"/>
        </w:rPr>
        <w:t>2 </w:t>
      </w:r>
      <w:r>
        <w:rPr>
          <w:color w:val="231F20"/>
          <w:spacing w:val="-4"/>
        </w:rPr>
        <w:t>静脉滴注（超过 12h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-4"/>
        </w:rPr>
        <w:t>第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天；甲酰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四氢叶酸 15mg 口服（首选）或肌肉注射每12h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次，共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次，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MTX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开始给药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24h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后开始；环磷酰胺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60</w:t>
      </w:r>
      <w:r>
        <w:rPr>
          <w:color w:val="231F20"/>
          <w:spacing w:val="-3"/>
        </w:rPr>
        <w:t>0 mg/m</w:t>
      </w:r>
      <w:r>
        <w:rPr>
          <w:sz w:val="8"/>
          <w:szCs w:val="8"/>
          <w:color w:val="231F20"/>
          <w:spacing w:val="-3"/>
          <w:position w:val="7"/>
        </w:rPr>
        <w:t>2 </w:t>
      </w:r>
      <w:r>
        <w:rPr>
          <w:color w:val="231F20"/>
          <w:spacing w:val="-3"/>
        </w:rPr>
        <w:t>静脉滴注，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第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天，长春新碱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0.8 mg/m</w:t>
      </w:r>
      <w:r>
        <w:rPr>
          <w:sz w:val="8"/>
          <w:szCs w:val="8"/>
          <w:color w:val="231F20"/>
          <w:spacing w:val="-5"/>
          <w:position w:val="7"/>
        </w:rPr>
        <w:t>2</w:t>
      </w:r>
      <w:r>
        <w:rPr>
          <w:color w:val="231F20"/>
          <w:spacing w:val="-5"/>
        </w:rPr>
        <w:t>（最大剂量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2 mg）缓慢静脉推注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( &gt;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5~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10 min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-6"/>
        </w:rPr>
        <w:t>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天。</w:t>
      </w:r>
    </w:p>
    <w:p>
      <w:pPr>
        <w:pStyle w:val="BodyText"/>
        <w:ind w:left="70" w:right="262" w:firstLine="403"/>
        <w:spacing w:before="5" w:line="236" w:lineRule="auto"/>
        <w:jc w:val="both"/>
        <w:rPr/>
      </w:pPr>
      <w:r>
        <w:rPr>
          <w:color w:val="231F20"/>
          <w:spacing w:val="-2"/>
        </w:rPr>
        <w:t>对于有广泛转移（预后评分＞12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分者）患者，由于其发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生肺出血、腹腔内出血或颅内出血的风险较高，可考虑在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给予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EMA</w:t>
      </w:r>
      <w:r>
        <w:rPr>
          <w:color w:val="231F20"/>
          <w:spacing w:val="3"/>
        </w:rPr>
        <w:t>/</w:t>
      </w:r>
      <w:r>
        <w:rPr>
          <w:color w:val="231F20"/>
        </w:rPr>
        <w:t>CO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方案化疗前，先给予低剂量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方案诱导化疗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1～3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个疗程。</w:t>
      </w:r>
    </w:p>
    <w:p>
      <w:pPr>
        <w:pStyle w:val="BodyText"/>
        <w:ind w:left="70" w:right="262" w:firstLine="367"/>
        <w:spacing w:before="2" w:line="234" w:lineRule="auto"/>
        <w:jc w:val="both"/>
        <w:rPr/>
      </w:pPr>
      <w:r>
        <w:rPr>
          <w:color w:val="231F20"/>
          <w:spacing w:val="9"/>
        </w:rPr>
        <w:t>为二级预防粒细胞缺乏性发热或者预防治疗延迟，可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在每疗程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9"/>
        </w:rPr>
        <w:t>EMA/CO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方案的第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4～6（7）天和第10～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12（13）天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给予非格司亭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5μg/kg，每周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3～4d。</w:t>
      </w:r>
    </w:p>
    <w:p>
      <w:pPr>
        <w:pStyle w:val="BodyText"/>
        <w:ind w:left="70" w:right="262" w:firstLine="361"/>
        <w:spacing w:before="12" w:line="236" w:lineRule="auto"/>
        <w:jc w:val="both"/>
        <w:rPr/>
      </w:pPr>
      <w:r>
        <w:rPr>
          <w:color w:val="231F20"/>
          <w:spacing w:val="-5"/>
        </w:rPr>
        <w:t>对于脑转移者，MTX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输注剂量增加为 100</w:t>
      </w:r>
      <w:r>
        <w:rPr>
          <w:color w:val="231F20"/>
          <w:spacing w:val="-6"/>
        </w:rPr>
        <w:t>0mg/m</w:t>
      </w:r>
      <w:r>
        <w:rPr>
          <w:sz w:val="8"/>
          <w:szCs w:val="8"/>
          <w:color w:val="231F20"/>
          <w:spacing w:val="-6"/>
          <w:position w:val="7"/>
        </w:rPr>
        <w:t>2</w:t>
      </w:r>
      <w:r>
        <w:rPr>
          <w:color w:val="231F20"/>
          <w:spacing w:val="-6"/>
        </w:rPr>
        <w:t>，输注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时长从 12h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3"/>
        </w:rPr>
        <w:t>延长至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24h，在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MTX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输注开始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32h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后给予甲酰四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氢叶酸口服，剂量为 15mg，每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6h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次，共 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次。</w:t>
      </w:r>
    </w:p>
    <w:p>
      <w:pPr>
        <w:pStyle w:val="BodyText"/>
        <w:ind w:left="70"/>
        <w:spacing w:line="210" w:lineRule="auto"/>
        <w:rPr/>
      </w:pPr>
      <w:r>
        <w:rPr>
          <w:color w:val="231F20"/>
          <w:spacing w:val="5"/>
        </w:rPr>
        <w:t>2.4.2.2</w:t>
      </w:r>
      <w:r>
        <w:rPr>
          <w:color w:val="231F20"/>
        </w:rPr>
        <w:t xml:space="preserve">    EMA</w:t>
      </w:r>
      <w:r>
        <w:rPr>
          <w:color w:val="231F20"/>
          <w:spacing w:val="5"/>
        </w:rPr>
        <w:t>/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5"/>
        </w:rPr>
        <w:t xml:space="preserve"> 方案和 </w:t>
      </w:r>
      <w:r>
        <w:rPr>
          <w:color w:val="231F20"/>
        </w:rPr>
        <w:t>EP</w:t>
      </w:r>
      <w:r>
        <w:rPr>
          <w:color w:val="231F20"/>
          <w:spacing w:val="5"/>
        </w:rPr>
        <w:t>/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EMA</w:t>
      </w:r>
      <w:r>
        <w:rPr>
          <w:color w:val="231F20"/>
          <w:spacing w:val="5"/>
        </w:rPr>
        <w:t xml:space="preserve"> 方案（可考虑的方案）</w:t>
      </w:r>
    </w:p>
    <w:p>
      <w:pPr>
        <w:pStyle w:val="BodyText"/>
        <w:ind w:left="68" w:right="262" w:firstLine="186"/>
        <w:spacing w:before="36" w:line="235" w:lineRule="auto"/>
        <w:jc w:val="both"/>
        <w:rPr/>
      </w:pPr>
      <w:r>
        <w:rPr>
          <w:color w:val="231F20"/>
          <w:spacing w:val="8"/>
        </w:rPr>
        <w:t>有以下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种情况者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EMA</w:t>
      </w:r>
      <w:r>
        <w:rPr>
          <w:color w:val="231F20"/>
          <w:spacing w:val="8"/>
        </w:rPr>
        <w:t>/</w:t>
      </w:r>
      <w:r>
        <w:rPr>
          <w:color w:val="231F20"/>
        </w:rPr>
        <w:t>EP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方案和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EP</w:t>
      </w:r>
      <w:r>
        <w:rPr>
          <w:color w:val="231F20"/>
          <w:spacing w:val="8"/>
        </w:rPr>
        <w:t>/</w:t>
      </w:r>
      <w:r>
        <w:rPr>
          <w:color w:val="231F20"/>
        </w:rPr>
        <w:t>EMA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方案是可以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考虑的最恰当的化疗方案</w:t>
      </w:r>
      <w:r>
        <w:rPr>
          <w:color w:val="231F20"/>
          <w:spacing w:val="-34"/>
          <w:w w:val="73"/>
        </w:rPr>
        <w:t>：（</w:t>
      </w:r>
      <w:r>
        <w:rPr>
          <w:color w:val="231F20"/>
          <w:spacing w:val="2"/>
        </w:rPr>
        <w:t>1）对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EMA</w:t>
      </w:r>
      <w:r>
        <w:rPr>
          <w:color w:val="231F20"/>
          <w:spacing w:val="2"/>
        </w:rPr>
        <w:t>/</w:t>
      </w:r>
      <w:r>
        <w:rPr>
          <w:color w:val="231F20"/>
        </w:rPr>
        <w:t>CO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方案有反应，但</w:t>
      </w:r>
      <w:r>
        <w:rPr>
          <w:color w:val="231F20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呈低水平平台或升高。（2）对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EMA/CO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方案完全反应 </w:t>
      </w:r>
      <w:r>
        <w:rPr>
          <w:color w:val="231F20"/>
          <w:spacing w:val="-5"/>
        </w:rPr>
        <w:t>后，hCG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再次升高者。</w:t>
      </w:r>
    </w:p>
    <w:p>
      <w:pPr>
        <w:pStyle w:val="BodyText"/>
        <w:ind w:left="68" w:right="208" w:firstLine="364"/>
        <w:spacing w:before="2" w:line="229" w:lineRule="auto"/>
        <w:jc w:val="both"/>
        <w:rPr/>
      </w:pPr>
      <w:r>
        <w:rPr>
          <w:color w:val="231F20"/>
          <w:spacing w:val="-2"/>
        </w:rPr>
        <w:t>EMA/EP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方案：每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周重复，EMA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EP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每周交替使用，</w:t>
      </w:r>
      <w:r>
        <w:rPr>
          <w:color w:val="231F20"/>
        </w:rPr>
        <w:t xml:space="preserve"> </w:t>
      </w:r>
      <w:r>
        <w:rPr>
          <w:color w:val="231F20"/>
        </w:rPr>
        <w:t>达到血清学缓解后再巩固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6～8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周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。依托泊苷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100 mg/m</w:t>
      </w:r>
      <w:r>
        <w:rPr>
          <w:sz w:val="8"/>
          <w:szCs w:val="8"/>
          <w:color w:val="231F20"/>
          <w:position w:val="7"/>
        </w:rPr>
        <w:t>2</w:t>
      </w:r>
      <w:r>
        <w:rPr>
          <w:sz w:val="8"/>
          <w:szCs w:val="8"/>
          <w:color w:val="231F20"/>
          <w:spacing w:val="-7"/>
          <w:position w:val="7"/>
        </w:rPr>
        <w:t xml:space="preserve"> </w:t>
      </w:r>
      <w:r>
        <w:rPr>
          <w:color w:val="231F20"/>
        </w:rPr>
        <w:t>静  </w:t>
      </w:r>
      <w:r>
        <w:rPr>
          <w:color w:val="231F20"/>
          <w:spacing w:val="-12"/>
        </w:rPr>
        <w:t>脉滴注，第 1 天；MTX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300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2"/>
        </w:rPr>
        <w:t>mg/m</w:t>
      </w:r>
      <w:r>
        <w:rPr>
          <w:sz w:val="8"/>
          <w:szCs w:val="8"/>
          <w:color w:val="231F20"/>
          <w:spacing w:val="-4"/>
          <w:position w:val="7"/>
        </w:rPr>
        <w:t>2 </w:t>
      </w:r>
      <w:r>
        <w:rPr>
          <w:color w:val="231F20"/>
          <w:spacing w:val="-4"/>
        </w:rPr>
        <w:t>静脉滴注，超过 12h，第 1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天；甲酰四氢叶酸 15 mg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口服（首选）或肌</w:t>
      </w:r>
      <w:r>
        <w:rPr>
          <w:color w:val="231F20"/>
          <w:spacing w:val="-8"/>
        </w:rPr>
        <w:t>肉注射，每 12h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次，共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次，MTX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开始给药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24h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后开始；Act</w:t>
      </w:r>
      <w:r>
        <w:rPr>
          <w:color w:val="231F20"/>
          <w:spacing w:val="-8"/>
        </w:rPr>
        <w:t>-D 0.5 mg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静脉推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注，第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天；依托泊苷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4"/>
        </w:rPr>
        <w:t>100～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150 mg/m</w:t>
      </w:r>
      <w:r>
        <w:rPr>
          <w:sz w:val="8"/>
          <w:szCs w:val="8"/>
          <w:color w:val="231F20"/>
          <w:spacing w:val="-3"/>
          <w:position w:val="7"/>
        </w:rPr>
        <w:t>2</w:t>
      </w:r>
      <w:r>
        <w:rPr>
          <w:sz w:val="8"/>
          <w:szCs w:val="8"/>
          <w:color w:val="231F20"/>
          <w:spacing w:val="-4"/>
          <w:position w:val="7"/>
        </w:rPr>
        <w:t xml:space="preserve"> </w:t>
      </w:r>
      <w:r>
        <w:rPr>
          <w:color w:val="231F20"/>
          <w:spacing w:val="-3"/>
        </w:rPr>
        <w:t>静脉滴注，第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8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9"/>
        </w:rPr>
        <w:t>天，顺</w:t>
      </w:r>
      <w:r>
        <w:rPr>
          <w:color w:val="231F20"/>
        </w:rPr>
        <w:t xml:space="preserve">  </w:t>
      </w:r>
      <w:r>
        <w:rPr>
          <w:color w:val="231F20"/>
          <w:spacing w:val="-17"/>
        </w:rPr>
        <w:t>铂 75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mg/m</w:t>
      </w:r>
      <w:r>
        <w:rPr>
          <w:sz w:val="8"/>
          <w:szCs w:val="8"/>
          <w:color w:val="231F20"/>
          <w:spacing w:val="-3"/>
          <w:position w:val="7"/>
        </w:rPr>
        <w:t>2</w:t>
      </w:r>
      <w:r>
        <w:rPr>
          <w:sz w:val="8"/>
          <w:szCs w:val="8"/>
          <w:color w:val="231F20"/>
          <w:spacing w:val="-7"/>
          <w:position w:val="7"/>
        </w:rPr>
        <w:t xml:space="preserve"> </w:t>
      </w:r>
      <w:r>
        <w:rPr>
          <w:color w:val="231F20"/>
          <w:spacing w:val="-3"/>
        </w:rPr>
        <w:t>静脉滴注，第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8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。非格司亭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5μg/kg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皮下注射，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每个周期的第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9～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14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天使用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。根据机构规定的体重限制，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非格司亭剂量取整至最接近药品规格。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0" w:firstLine="357"/>
        <w:spacing w:before="43" w:line="237" w:lineRule="auto"/>
        <w:jc w:val="both"/>
        <w:rPr/>
      </w:pPr>
      <w:r>
        <w:rPr>
          <w:color w:val="231F20"/>
          <w:spacing w:val="-6"/>
        </w:rPr>
        <w:t>EP/EMA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方案：每2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周重复，EP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和EMA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每周</w:t>
      </w:r>
      <w:r>
        <w:rPr>
          <w:color w:val="231F20"/>
          <w:spacing w:val="-7"/>
        </w:rPr>
        <w:t>交替使用，达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到血清学缓解后再巩固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6～8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。依托泊苷 100～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150</w:t>
      </w:r>
      <w:r>
        <w:rPr>
          <w:color w:val="231F20"/>
          <w:spacing w:val="-3"/>
        </w:rPr>
        <w:t>mg/m</w:t>
      </w:r>
      <w:r>
        <w:rPr>
          <w:sz w:val="8"/>
          <w:szCs w:val="8"/>
          <w:color w:val="231F20"/>
          <w:spacing w:val="-3"/>
          <w:position w:val="7"/>
        </w:rPr>
        <w:t>2</w:t>
      </w:r>
      <w:r>
        <w:rPr>
          <w:sz w:val="8"/>
          <w:szCs w:val="8"/>
          <w:color w:val="231F20"/>
          <w:position w:val="7"/>
        </w:rPr>
        <w:t xml:space="preserve">    </w:t>
      </w:r>
      <w:r>
        <w:rPr>
          <w:color w:val="231F20"/>
          <w:spacing w:val="-12"/>
        </w:rPr>
        <w:t>静脉滴注，第 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2"/>
        </w:rPr>
        <w:t>天；顺铂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75 mg/m</w:t>
      </w:r>
      <w:r>
        <w:rPr>
          <w:sz w:val="8"/>
          <w:szCs w:val="8"/>
          <w:color w:val="231F20"/>
          <w:spacing w:val="-5"/>
          <w:position w:val="7"/>
        </w:rPr>
        <w:t>2 </w:t>
      </w:r>
      <w:r>
        <w:rPr>
          <w:color w:val="231F20"/>
          <w:spacing w:val="-5"/>
        </w:rPr>
        <w:t>静脉滴注，第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天；依托泊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苷 100mg/m</w:t>
      </w:r>
      <w:r>
        <w:rPr>
          <w:sz w:val="8"/>
          <w:szCs w:val="8"/>
          <w:color w:val="231F20"/>
          <w:spacing w:val="-6"/>
          <w:position w:val="7"/>
        </w:rPr>
        <w:t>2</w:t>
      </w:r>
      <w:r>
        <w:rPr>
          <w:sz w:val="8"/>
          <w:szCs w:val="8"/>
          <w:color w:val="231F20"/>
          <w:spacing w:val="-4"/>
          <w:position w:val="7"/>
        </w:rPr>
        <w:t xml:space="preserve"> </w:t>
      </w:r>
      <w:r>
        <w:rPr>
          <w:color w:val="231F20"/>
          <w:spacing w:val="-6"/>
        </w:rPr>
        <w:t>静脉滴注，第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8</w:t>
      </w:r>
      <w:r>
        <w:rPr>
          <w:color w:val="231F20"/>
          <w:spacing w:val="-19"/>
        </w:rPr>
        <w:t xml:space="preserve"> 天；MTX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9"/>
        </w:rPr>
        <w:t>300 mg/m</w:t>
      </w:r>
      <w:r>
        <w:rPr>
          <w:sz w:val="8"/>
          <w:szCs w:val="8"/>
          <w:color w:val="231F20"/>
          <w:spacing w:val="-3"/>
          <w:position w:val="7"/>
        </w:rPr>
        <w:t>2</w:t>
      </w:r>
      <w:r>
        <w:rPr>
          <w:sz w:val="8"/>
          <w:szCs w:val="8"/>
          <w:color w:val="231F20"/>
          <w:spacing w:val="-8"/>
          <w:position w:val="7"/>
        </w:rPr>
        <w:t xml:space="preserve"> </w:t>
      </w:r>
      <w:r>
        <w:rPr>
          <w:color w:val="231F20"/>
          <w:spacing w:val="-3"/>
        </w:rPr>
        <w:t>静脉滴注，超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过 12h，第 8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天；甲酰四氢叶酸 15 mg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口服（首选）或肌肉注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射，每 12h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次，共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次，MTX 开始给药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24h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后开始；Act-D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0.5 mg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静脉推注，第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8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天，同时非格司亭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5μg/kg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皮下注射，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每个周期的第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3～6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天和第10～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13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天使用。</w:t>
      </w:r>
    </w:p>
    <w:p>
      <w:pPr>
        <w:pStyle w:val="BodyText"/>
        <w:ind w:left="1" w:right="65" w:firstLine="365"/>
        <w:spacing w:line="236" w:lineRule="auto"/>
        <w:rPr/>
      </w:pPr>
      <w:r>
        <w:rPr>
          <w:color w:val="231F20"/>
          <w:spacing w:val="5"/>
        </w:rPr>
        <w:t>对于脑转移者，</w:t>
      </w:r>
      <w:r>
        <w:rPr>
          <w:color w:val="231F20"/>
        </w:rPr>
        <w:t>MTX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剂量增加及注意事项同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EMA</w:t>
      </w:r>
      <w:r>
        <w:rPr>
          <w:color w:val="231F20"/>
          <w:spacing w:val="5"/>
        </w:rPr>
        <w:t>/</w:t>
      </w:r>
      <w:r>
        <w:rPr>
          <w:color w:val="231F20"/>
        </w:rPr>
        <w:t>CO </w:t>
      </w:r>
      <w:r>
        <w:rPr>
          <w:color w:val="231F20"/>
          <w:spacing w:val="5"/>
        </w:rPr>
        <w:t>方案。</w:t>
      </w:r>
    </w:p>
    <w:p>
      <w:pPr>
        <w:pStyle w:val="BodyText"/>
        <w:ind w:firstLine="2"/>
        <w:spacing w:line="237" w:lineRule="auto"/>
        <w:jc w:val="both"/>
        <w:rPr/>
      </w:pPr>
      <w:r>
        <w:rPr>
          <w:color w:val="231F20"/>
          <w:spacing w:val="-3"/>
        </w:rPr>
        <w:t>2.4.2.3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-3"/>
        </w:rPr>
        <w:t>EP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诱导化疗方案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3"/>
        </w:rPr>
        <w:t>每周重复，依托泊苷 100mg/m</w:t>
      </w:r>
      <w:r>
        <w:rPr>
          <w:sz w:val="8"/>
          <w:szCs w:val="8"/>
          <w:color w:val="231F20"/>
          <w:spacing w:val="-3"/>
          <w:position w:val="7"/>
        </w:rPr>
        <w:t>2</w:t>
      </w:r>
      <w:r>
        <w:rPr>
          <w:sz w:val="8"/>
          <w:szCs w:val="8"/>
          <w:color w:val="231F20"/>
          <w:position w:val="7"/>
        </w:rPr>
        <w:t xml:space="preserve">    </w:t>
      </w:r>
      <w:r>
        <w:rPr>
          <w:color w:val="231F20"/>
          <w:spacing w:val="-10"/>
        </w:rPr>
        <w:t>静脉滴注，第 1～2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0"/>
        </w:rPr>
        <w:t>天；顺铂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20mg/m</w:t>
      </w:r>
      <w:r>
        <w:rPr>
          <w:sz w:val="8"/>
          <w:szCs w:val="8"/>
          <w:color w:val="231F20"/>
          <w:spacing w:val="-2"/>
          <w:position w:val="7"/>
        </w:rPr>
        <w:t>2 </w:t>
      </w:r>
      <w:r>
        <w:rPr>
          <w:color w:val="231F20"/>
          <w:spacing w:val="-2"/>
        </w:rPr>
        <w:t>静脉滴注，第 1～2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天。</w:t>
      </w:r>
      <w:r>
        <w:rPr>
          <w:color w:val="231F20"/>
        </w:rPr>
        <w:t xml:space="preserve"> </w:t>
      </w:r>
      <w:r>
        <w:rPr>
          <w:color w:val="231F20"/>
        </w:rPr>
        <w:t>对于有广泛转移（预后评分＞12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分）的患者，由于其发生肺  </w:t>
      </w:r>
      <w:r>
        <w:rPr>
          <w:color w:val="231F20"/>
          <w:spacing w:val="22"/>
        </w:rPr>
        <w:t>出血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2"/>
        </w:rPr>
        <w:t>、腹腔内出血或颅内出血的风险较高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2"/>
        </w:rPr>
        <w:t>，可考虑在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EMA/CO、EMA/EP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EP/EMA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前使用，共 1～3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个疗</w:t>
      </w:r>
      <w:r>
        <w:rPr>
          <w:color w:val="231F20"/>
          <w:spacing w:val="-8"/>
        </w:rPr>
        <w:t>程。</w:t>
      </w:r>
    </w:p>
    <w:p>
      <w:pPr>
        <w:pStyle w:val="BodyText"/>
        <w:ind w:left="1" w:right="64" w:firstLine="1"/>
        <w:spacing w:before="3" w:line="236" w:lineRule="auto"/>
        <w:jc w:val="both"/>
        <w:rPr/>
      </w:pPr>
      <w:r>
        <w:rPr>
          <w:color w:val="231F20"/>
        </w:rPr>
        <w:t>2.4.3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</w:rPr>
        <w:t>MTX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耐药性高危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GTN 的治疗</w:t>
      </w:r>
      <w:r>
        <w:rPr>
          <w:color w:val="231F20"/>
          <w:spacing w:val="-1"/>
        </w:rPr>
        <w:t xml:space="preserve">   下文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2.4.3.1～2.4.3.4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部分为首选方案，2.4.3.5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部分为其他推荐方</w:t>
      </w:r>
      <w:r>
        <w:rPr>
          <w:color w:val="231F20"/>
          <w:spacing w:val="3"/>
        </w:rPr>
        <w:t>案，2.4.3.6 ~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2.4.3.9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部分为某些情况下有用的方案。</w:t>
      </w:r>
    </w:p>
    <w:p>
      <w:pPr>
        <w:pStyle w:val="BodyText"/>
        <w:ind w:left="1" w:right="64" w:firstLine="1"/>
        <w:spacing w:before="1" w:line="237" w:lineRule="auto"/>
        <w:jc w:val="both"/>
        <w:rPr/>
      </w:pPr>
      <w:r>
        <w:rPr>
          <w:color w:val="231F20"/>
          <w:spacing w:val="1"/>
        </w:rPr>
        <w:t>2.4.3.1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</w:rPr>
        <w:t>TP</w:t>
      </w:r>
      <w:r>
        <w:rPr>
          <w:color w:val="231F20"/>
          <w:spacing w:val="1"/>
        </w:rPr>
        <w:t>/</w:t>
      </w:r>
      <w:r>
        <w:rPr>
          <w:color w:val="231F20"/>
        </w:rPr>
        <w:t>TE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方案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1"/>
        </w:rPr>
        <w:t>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周重复，</w:t>
      </w:r>
      <w:r>
        <w:rPr>
          <w:color w:val="231F20"/>
        </w:rPr>
        <w:t>TP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周交替使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。 第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天，紫杉醇 135mg/m</w:t>
      </w:r>
      <w:r>
        <w:rPr>
          <w:sz w:val="8"/>
          <w:szCs w:val="8"/>
          <w:color w:val="231F20"/>
          <w:position w:val="7"/>
        </w:rPr>
        <w:t>2</w:t>
      </w:r>
      <w:r>
        <w:rPr>
          <w:sz w:val="8"/>
          <w:szCs w:val="8"/>
          <w:color w:val="231F20"/>
          <w:spacing w:val="-7"/>
          <w:position w:val="7"/>
        </w:rPr>
        <w:t xml:space="preserve"> </w:t>
      </w:r>
      <w:r>
        <w:rPr>
          <w:color w:val="231F20"/>
        </w:rPr>
        <w:t>静脉滴注，顺铂 </w:t>
      </w:r>
      <w:r>
        <w:rPr>
          <w:color w:val="231F20"/>
          <w:spacing w:val="-16"/>
        </w:rPr>
        <w:t>60～75mg/m</w:t>
      </w:r>
      <w:r>
        <w:rPr>
          <w:sz w:val="8"/>
          <w:szCs w:val="8"/>
          <w:color w:val="231F20"/>
          <w:spacing w:val="-1"/>
          <w:position w:val="7"/>
        </w:rPr>
        <w:t>2</w:t>
      </w:r>
      <w:r>
        <w:rPr>
          <w:sz w:val="8"/>
          <w:szCs w:val="8"/>
          <w:color w:val="231F20"/>
          <w:position w:val="7"/>
        </w:rPr>
        <w:t xml:space="preserve"> </w:t>
      </w:r>
      <w:r>
        <w:rPr>
          <w:color w:val="231F20"/>
          <w:spacing w:val="-10"/>
        </w:rPr>
        <w:t>静脉滴注；第 15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0"/>
        </w:rPr>
        <w:t>天，紫杉醇 135 mg/m</w:t>
      </w:r>
      <w:r>
        <w:rPr>
          <w:sz w:val="8"/>
          <w:szCs w:val="8"/>
          <w:color w:val="231F20"/>
          <w:spacing w:val="5"/>
          <w:position w:val="7"/>
        </w:rPr>
        <w:t>2 </w:t>
      </w:r>
      <w:r>
        <w:rPr>
          <w:color w:val="231F20"/>
          <w:spacing w:val="5"/>
        </w:rPr>
        <w:t>静脉滴注，依托泊苷</w:t>
      </w:r>
      <w:r>
        <w:rPr>
          <w:color w:val="231F20"/>
        </w:rPr>
        <w:t xml:space="preserve"> </w:t>
      </w:r>
      <w:r>
        <w:rPr>
          <w:color w:val="231F20"/>
          <w:spacing w:val="-19"/>
          <w:w w:val="98"/>
        </w:rPr>
        <w:t>150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9"/>
          <w:w w:val="98"/>
        </w:rPr>
        <w:t>mg/m</w:t>
      </w:r>
      <w:r>
        <w:rPr>
          <w:sz w:val="8"/>
          <w:szCs w:val="8"/>
          <w:color w:val="231F20"/>
          <w:spacing w:val="7"/>
          <w:position w:val="7"/>
        </w:rPr>
        <w:t>2 </w:t>
      </w:r>
      <w:r>
        <w:rPr>
          <w:color w:val="231F20"/>
          <w:spacing w:val="7"/>
        </w:rPr>
        <w:t>静脉滴注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。在第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天和第 16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天使用聚乙二醇非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格司亭 6mg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皮下注射。</w:t>
      </w:r>
    </w:p>
    <w:p>
      <w:pPr>
        <w:pStyle w:val="BodyText"/>
        <w:ind w:left="1" w:firstLine="1"/>
        <w:spacing w:before="3" w:line="233" w:lineRule="auto"/>
        <w:rPr/>
      </w:pPr>
      <w:r>
        <w:rPr>
          <w:color w:val="231F20"/>
          <w:spacing w:val="3"/>
        </w:rPr>
        <w:t>2.4.3.2</w:t>
      </w:r>
      <w:r>
        <w:rPr>
          <w:color w:val="231F20"/>
          <w:spacing w:val="16"/>
        </w:rPr>
        <w:t xml:space="preserve">   </w:t>
      </w:r>
      <w:r>
        <w:rPr>
          <w:color w:val="231F20"/>
        </w:rPr>
        <w:t>BEP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方案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3"/>
        </w:rPr>
        <w:t>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周重复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。博来霉素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2"/>
        </w:rPr>
        <w:t>0U，静脉滴</w:t>
      </w:r>
      <w:r>
        <w:rPr>
          <w:color w:val="231F20"/>
        </w:rPr>
        <w:t xml:space="preserve">  </w:t>
      </w:r>
      <w:r>
        <w:rPr>
          <w:color w:val="231F20"/>
          <w:spacing w:val="-17"/>
          <w:w w:val="98"/>
        </w:rPr>
        <w:t>注，第 1、8、15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7"/>
          <w:w w:val="98"/>
        </w:rPr>
        <w:t>天或者第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  <w:w w:val="98"/>
        </w:rPr>
        <w:t>2、9、1</w:t>
      </w:r>
      <w:r>
        <w:rPr>
          <w:color w:val="231F20"/>
          <w:spacing w:val="-18"/>
          <w:w w:val="98"/>
        </w:rPr>
        <w:t>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8"/>
          <w:w w:val="98"/>
        </w:rPr>
        <w:t>天，依托泊苷 100 mg/（m</w:t>
      </w:r>
      <w:r>
        <w:rPr>
          <w:sz w:val="8"/>
          <w:szCs w:val="8"/>
          <w:color w:val="231F20"/>
          <w:spacing w:val="-5"/>
          <w:position w:val="7"/>
        </w:rPr>
        <w:t>2</w:t>
      </w:r>
      <w:r>
        <w:rPr>
          <w:sz w:val="8"/>
          <w:szCs w:val="8"/>
          <w:color w:val="231F20"/>
          <w:spacing w:val="9"/>
          <w:w w:val="102"/>
          <w:position w:val="7"/>
        </w:rPr>
        <w:t xml:space="preserve"> </w:t>
      </w:r>
      <w:r>
        <w:rPr>
          <w:color w:val="231F20"/>
          <w:spacing w:val="-5"/>
        </w:rPr>
        <w:t>·d）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静脉滴注，第 1～5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5"/>
        </w:rPr>
        <w:t>天，顺铂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5"/>
        </w:rPr>
        <w:t>20 mg/（m</w:t>
      </w:r>
      <w:r>
        <w:rPr>
          <w:sz w:val="8"/>
          <w:szCs w:val="8"/>
          <w:color w:val="231F20"/>
          <w:spacing w:val="6"/>
          <w:position w:val="7"/>
        </w:rPr>
        <w:t>2</w:t>
      </w:r>
      <w:r>
        <w:rPr>
          <w:sz w:val="8"/>
          <w:szCs w:val="8"/>
          <w:color w:val="231F20"/>
          <w:spacing w:val="10"/>
          <w:w w:val="102"/>
          <w:position w:val="7"/>
        </w:rPr>
        <w:t xml:space="preserve"> </w:t>
      </w:r>
      <w:r>
        <w:rPr>
          <w:color w:val="231F20"/>
          <w:spacing w:val="-10"/>
        </w:rPr>
        <w:t>·d）静脉滴注，第 1～5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天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。聚乙二醇非格司亭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6mg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皮下注射，第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天，或非格司亭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5μg/</w:t>
      </w:r>
      <w:r>
        <w:rPr>
          <w:color w:val="231F20"/>
        </w:rPr>
        <w:t>kg</w:t>
      </w:r>
      <w:r>
        <w:rPr>
          <w:color w:val="231F20"/>
          <w:spacing w:val="1"/>
        </w:rPr>
        <w:t xml:space="preserve"> 皮下注射，第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6～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14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。在治疗前进行基线肺功能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检查（pulmonary function tests，PFTs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-7"/>
        </w:rPr>
        <w:t>一般是行肺活量和一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散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功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能（diffusing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1"/>
        </w:rPr>
        <w:t>capacity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1"/>
        </w:rPr>
        <w:t>carbon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monox</w:t>
      </w:r>
      <w:r>
        <w:rPr>
          <w:color w:val="231F20"/>
          <w:spacing w:val="-12"/>
        </w:rPr>
        <w:t>ide，</w:t>
      </w:r>
      <w:r>
        <w:rPr>
          <w:color w:val="231F20"/>
        </w:rPr>
        <w:t xml:space="preserve"> </w:t>
      </w:r>
      <w:r>
        <w:rPr>
          <w:color w:val="231F20"/>
        </w:rPr>
        <w:t>DLCO）测定，并根据临床情况在每个周期治疗前复测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PFT。</w:t>
      </w:r>
    </w:p>
    <w:p>
      <w:pPr>
        <w:pStyle w:val="BodyText"/>
        <w:ind w:right="10" w:firstLine="3"/>
        <w:spacing w:before="34" w:line="230" w:lineRule="auto"/>
        <w:rPr/>
      </w:pPr>
      <w:r>
        <w:rPr>
          <w:color w:val="231F20"/>
          <w:spacing w:val="-6"/>
        </w:rPr>
        <w:t>2.4.3.3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6"/>
        </w:rPr>
        <w:t>VIP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方案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6"/>
        </w:rPr>
        <w:t>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周重复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。依托泊苷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75mg/（m</w:t>
      </w:r>
      <w:r>
        <w:rPr>
          <w:sz w:val="8"/>
          <w:szCs w:val="8"/>
          <w:color w:val="231F20"/>
          <w:spacing w:val="-6"/>
          <w:position w:val="7"/>
        </w:rPr>
        <w:t>2</w:t>
      </w:r>
      <w:r>
        <w:rPr>
          <w:sz w:val="8"/>
          <w:szCs w:val="8"/>
          <w:color w:val="231F20"/>
          <w:spacing w:val="10"/>
          <w:position w:val="7"/>
        </w:rPr>
        <w:t xml:space="preserve"> </w:t>
      </w:r>
      <w:r>
        <w:rPr>
          <w:color w:val="231F20"/>
          <w:spacing w:val="-13"/>
        </w:rPr>
        <w:t>·d）静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脉滴注，第 1～5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天；异环磷酰胺 1200 mg/（m</w:t>
      </w:r>
      <w:r>
        <w:rPr>
          <w:sz w:val="8"/>
          <w:szCs w:val="8"/>
          <w:color w:val="231F20"/>
          <w:spacing w:val="-5"/>
          <w:position w:val="7"/>
        </w:rPr>
        <w:t>2</w:t>
      </w:r>
      <w:r>
        <w:rPr>
          <w:sz w:val="8"/>
          <w:szCs w:val="8"/>
          <w:color w:val="231F20"/>
          <w:spacing w:val="12"/>
          <w:position w:val="7"/>
        </w:rPr>
        <w:t xml:space="preserve"> </w:t>
      </w:r>
      <w:r>
        <w:rPr>
          <w:color w:val="231F20"/>
          <w:spacing w:val="-5"/>
        </w:rPr>
        <w:t>·d）静脉滴注，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第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1～5 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；在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天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使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前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15</w:t>
      </w:r>
      <w:r>
        <w:rPr>
          <w:color w:val="231F20"/>
          <w:spacing w:val="-3"/>
        </w:rPr>
        <w:t>min 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司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钠</w:t>
      </w:r>
      <w:r>
        <w:rPr>
          <w:color w:val="231F20"/>
        </w:rPr>
        <w:t xml:space="preserve">  </w:t>
      </w:r>
      <w:r>
        <w:rPr>
          <w:color w:val="231F20"/>
          <w:spacing w:val="-19"/>
          <w:w w:val="92"/>
        </w:rPr>
        <w:t>120mg/（m</w:t>
      </w:r>
      <w:r>
        <w:rPr>
          <w:sz w:val="8"/>
          <w:szCs w:val="8"/>
          <w:color w:val="231F20"/>
          <w:spacing w:val="5"/>
          <w:position w:val="7"/>
        </w:rPr>
        <w:t>2</w:t>
      </w:r>
      <w:r>
        <w:rPr>
          <w:sz w:val="8"/>
          <w:szCs w:val="8"/>
          <w:color w:val="231F20"/>
          <w:spacing w:val="19"/>
          <w:position w:val="7"/>
        </w:rPr>
        <w:t xml:space="preserve"> </w:t>
      </w:r>
      <w:r>
        <w:rPr>
          <w:color w:val="231F20"/>
          <w:spacing w:val="5"/>
        </w:rPr>
        <w:t>·d）单次静脉推注，待每天异环磷酰胺用药结束</w:t>
      </w:r>
      <w:r>
        <w:rPr>
          <w:color w:val="231F20"/>
        </w:rPr>
        <w:t xml:space="preserve">  </w:t>
      </w:r>
      <w:r>
        <w:rPr>
          <w:color w:val="231F20"/>
          <w:spacing w:val="-17"/>
          <w:w w:val="99"/>
        </w:rPr>
        <w:t>后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  <w:w w:val="99"/>
        </w:rPr>
        <w:t>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7"/>
          <w:w w:val="99"/>
        </w:rPr>
        <w:t>予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7"/>
          <w:w w:val="99"/>
        </w:rPr>
        <w:t>1200mg/（m</w:t>
      </w:r>
      <w:r>
        <w:rPr>
          <w:sz w:val="8"/>
          <w:szCs w:val="8"/>
          <w:color w:val="231F20"/>
          <w:spacing w:val="10"/>
          <w:position w:val="7"/>
        </w:rPr>
        <w:t>2</w:t>
      </w:r>
      <w:r>
        <w:rPr>
          <w:sz w:val="8"/>
          <w:szCs w:val="8"/>
          <w:color w:val="231F20"/>
          <w:spacing w:val="2"/>
          <w:position w:val="7"/>
        </w:rPr>
        <w:t xml:space="preserve">  </w:t>
      </w:r>
      <w:r>
        <w:rPr>
          <w:color w:val="231F20"/>
          <w:spacing w:val="10"/>
        </w:rPr>
        <w:t>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d）静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滴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，维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过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12h；顺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铂</w:t>
      </w:r>
      <w:r>
        <w:rPr>
          <w:color w:val="231F20"/>
        </w:rPr>
        <w:t xml:space="preserve">  </w:t>
      </w:r>
      <w:r>
        <w:rPr>
          <w:color w:val="231F20"/>
          <w:spacing w:val="-16"/>
          <w:w w:val="86"/>
        </w:rPr>
        <w:t>20mg/（m</w:t>
      </w:r>
      <w:r>
        <w:rPr>
          <w:sz w:val="8"/>
          <w:szCs w:val="8"/>
          <w:color w:val="231F20"/>
          <w:spacing w:val="-6"/>
          <w:position w:val="7"/>
        </w:rPr>
        <w:t>2</w:t>
      </w:r>
      <w:r>
        <w:rPr>
          <w:sz w:val="8"/>
          <w:szCs w:val="8"/>
          <w:color w:val="231F20"/>
          <w:spacing w:val="9"/>
          <w:w w:val="103"/>
          <w:position w:val="7"/>
        </w:rPr>
        <w:t xml:space="preserve"> </w:t>
      </w:r>
      <w:r>
        <w:rPr>
          <w:color w:val="231F20"/>
          <w:spacing w:val="-6"/>
        </w:rPr>
        <w:t>·d）静脉滴注，第1～5天。聚乙二醇非</w:t>
      </w:r>
      <w:r>
        <w:rPr>
          <w:color w:val="231F20"/>
          <w:spacing w:val="-7"/>
        </w:rPr>
        <w:t>格司亭6mg皮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下注射，第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天，或非格司亭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5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μg/kg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皮下注射，第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6～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14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天。</w:t>
      </w:r>
    </w:p>
    <w:p>
      <w:pPr>
        <w:pStyle w:val="BodyText"/>
        <w:ind w:firstLine="3"/>
        <w:spacing w:before="58" w:line="233" w:lineRule="auto"/>
        <w:rPr/>
      </w:pPr>
      <w:r>
        <w:rPr>
          <w:color w:val="231F20"/>
          <w:spacing w:val="-4"/>
        </w:rPr>
        <w:t>2.4.3.4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-4"/>
        </w:rPr>
        <w:t>ICE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方案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4"/>
        </w:rPr>
        <w:t>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周重复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。异环磷酰胺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1.2 g/（m</w:t>
      </w:r>
      <w:r>
        <w:rPr>
          <w:sz w:val="8"/>
          <w:szCs w:val="8"/>
          <w:color w:val="231F20"/>
          <w:spacing w:val="-4"/>
          <w:position w:val="7"/>
        </w:rPr>
        <w:t>2</w:t>
      </w:r>
      <w:r>
        <w:rPr>
          <w:sz w:val="8"/>
          <w:szCs w:val="8"/>
          <w:color w:val="231F20"/>
          <w:spacing w:val="10"/>
          <w:w w:val="104"/>
          <w:position w:val="7"/>
        </w:rPr>
        <w:t xml:space="preserve"> </w:t>
      </w:r>
      <w:r>
        <w:rPr>
          <w:color w:val="231F20"/>
          <w:spacing w:val="-4"/>
        </w:rPr>
        <w:t>·d）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静脉滴注，第 1～3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天；在每天使用异环磷酰胺前 15</w:t>
      </w:r>
      <w:r>
        <w:rPr>
          <w:color w:val="231F20"/>
        </w:rPr>
        <w:t>min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予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美司钠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3"/>
        </w:rPr>
        <w:t>120 mg/m</w:t>
      </w:r>
      <w:r>
        <w:rPr>
          <w:sz w:val="8"/>
          <w:szCs w:val="8"/>
          <w:color w:val="231F20"/>
          <w:spacing w:val="5"/>
          <w:position w:val="7"/>
        </w:rPr>
        <w:t>2</w:t>
      </w:r>
      <w:r>
        <w:rPr>
          <w:color w:val="231F20"/>
          <w:spacing w:val="5"/>
        </w:rPr>
        <w:t>单次静脉推注，待每天异环磷酰胺用药结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束后再予 1200 mg/m</w:t>
      </w:r>
      <w:r>
        <w:rPr>
          <w:sz w:val="8"/>
          <w:szCs w:val="8"/>
          <w:color w:val="231F20"/>
          <w:spacing w:val="-2"/>
          <w:position w:val="7"/>
        </w:rPr>
        <w:t>2</w:t>
      </w:r>
      <w:r>
        <w:rPr>
          <w:sz w:val="8"/>
          <w:szCs w:val="8"/>
          <w:color w:val="231F20"/>
          <w:spacing w:val="5"/>
          <w:position w:val="7"/>
        </w:rPr>
        <w:t xml:space="preserve"> </w:t>
      </w:r>
      <w:r>
        <w:rPr>
          <w:color w:val="231F20"/>
          <w:spacing w:val="-2"/>
        </w:rPr>
        <w:t>静脉滴注，维持超过 12h；卡铂按照曲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线下面积（area under curve，AUC）4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计算用药剂量，静脉滴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注，第 1 天；依托泊苷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75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6"/>
        </w:rPr>
        <w:t>mg/（m</w:t>
      </w:r>
      <w:r>
        <w:rPr>
          <w:sz w:val="8"/>
          <w:szCs w:val="8"/>
          <w:color w:val="231F20"/>
          <w:spacing w:val="-5"/>
          <w:position w:val="7"/>
        </w:rPr>
        <w:t>2</w:t>
      </w:r>
      <w:r>
        <w:rPr>
          <w:sz w:val="8"/>
          <w:szCs w:val="8"/>
          <w:color w:val="231F20"/>
          <w:spacing w:val="16"/>
          <w:position w:val="7"/>
        </w:rPr>
        <w:t xml:space="preserve"> </w:t>
      </w:r>
      <w:r>
        <w:rPr>
          <w:color w:val="231F20"/>
          <w:spacing w:val="-5"/>
        </w:rPr>
        <w:t>·d）静脉滴注，第 1～3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天。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聚乙二醇非格司亭6mg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皮下注射，第4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天，或非格司亭300 μg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皮下注射，第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6～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14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天。</w:t>
      </w:r>
    </w:p>
    <w:p>
      <w:pPr>
        <w:pStyle w:val="BodyText"/>
        <w:ind w:left="3"/>
        <w:spacing w:before="41" w:line="159" w:lineRule="auto"/>
        <w:rPr/>
      </w:pPr>
      <w:r>
        <w:rPr>
          <w:color w:val="231F20"/>
          <w:spacing w:val="-2"/>
        </w:rPr>
        <w:t>2.4.3.5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2"/>
        </w:rPr>
        <w:t>TIP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方案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-2"/>
        </w:rPr>
        <w:t>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周重复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。紫杉醇 250 mg/m</w:t>
      </w:r>
      <w:r>
        <w:rPr>
          <w:sz w:val="8"/>
          <w:szCs w:val="8"/>
          <w:color w:val="231F20"/>
          <w:spacing w:val="-2"/>
          <w:position w:val="7"/>
        </w:rPr>
        <w:t>2</w:t>
      </w:r>
      <w:r>
        <w:rPr>
          <w:sz w:val="8"/>
          <w:szCs w:val="8"/>
          <w:color w:val="231F20"/>
          <w:spacing w:val="-4"/>
          <w:position w:val="7"/>
        </w:rPr>
        <w:t xml:space="preserve"> </w:t>
      </w:r>
      <w:r>
        <w:rPr>
          <w:color w:val="231F20"/>
          <w:spacing w:val="-2"/>
        </w:rPr>
        <w:t>静脉滴</w:t>
      </w:r>
    </w:p>
    <w:p>
      <w:pPr>
        <w:spacing w:line="159" w:lineRule="auto"/>
        <w:sectPr>
          <w:type w:val="continuous"/>
          <w:pgSz w:w="11679" w:h="16555"/>
          <w:pgMar w:top="1456" w:right="1097" w:bottom="0" w:left="1096" w:header="1210" w:footer="0" w:gutter="0"/>
          <w:cols w:equalWidth="0" w:num="2">
            <w:col w:w="4825" w:space="100"/>
            <w:col w:w="4560" w:space="0"/>
          </w:cols>
        </w:sectPr>
        <w:rPr/>
      </w:pPr>
    </w:p>
    <w:p>
      <w:pPr>
        <w:spacing w:before="67"/>
        <w:rPr/>
      </w:pPr>
      <w:r/>
    </w:p>
    <w:p>
      <w:pPr>
        <w:sectPr>
          <w:headerReference w:type="default" r:id="rId5"/>
          <w:pgSz w:w="11679" w:h="16555"/>
          <w:pgMar w:top="1456" w:right="1095" w:bottom="0" w:left="1162" w:header="1210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2" w:right="194" w:firstLine="4"/>
        <w:spacing w:before="41" w:line="237" w:lineRule="auto"/>
        <w:jc w:val="both"/>
        <w:rPr/>
      </w:pPr>
      <w:r>
        <w:rPr>
          <w:color w:val="231F20"/>
          <w:spacing w:val="-15"/>
        </w:rPr>
        <w:t>注，第 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5"/>
        </w:rPr>
        <w:t>天；异环磷酰胺 1500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5"/>
        </w:rPr>
        <w:t>mg/（m</w:t>
      </w:r>
      <w:r>
        <w:rPr>
          <w:sz w:val="8"/>
          <w:szCs w:val="8"/>
          <w:color w:val="231F20"/>
          <w:spacing w:val="-6"/>
          <w:position w:val="7"/>
        </w:rPr>
        <w:t>2</w:t>
      </w:r>
      <w:r>
        <w:rPr>
          <w:sz w:val="8"/>
          <w:szCs w:val="8"/>
          <w:color w:val="231F20"/>
          <w:spacing w:val="15"/>
          <w:position w:val="7"/>
        </w:rPr>
        <w:t xml:space="preserve"> </w:t>
      </w:r>
      <w:r>
        <w:rPr>
          <w:color w:val="231F20"/>
          <w:spacing w:val="-6"/>
        </w:rPr>
        <w:t>·d）静脉滴注，第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2～5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天；美司钠 300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mg/m</w:t>
      </w:r>
      <w:r>
        <w:rPr>
          <w:sz w:val="8"/>
          <w:szCs w:val="8"/>
          <w:color w:val="231F20"/>
          <w:spacing w:val="14"/>
          <w:position w:val="7"/>
        </w:rPr>
        <w:t>2 </w:t>
      </w:r>
      <w:r>
        <w:rPr>
          <w:color w:val="231F20"/>
          <w:spacing w:val="14"/>
        </w:rPr>
        <w:t>静脉推注，每天使用异环磷酰胺前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15min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及开始使用异环磷酰胺后的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4h、8h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分别给药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次；顺</w:t>
      </w:r>
      <w:r>
        <w:rPr>
          <w:color w:val="231F20"/>
        </w:rPr>
        <w:t xml:space="preserve"> </w:t>
      </w:r>
      <w:r>
        <w:rPr>
          <w:color w:val="231F20"/>
          <w:spacing w:val="-16"/>
          <w:w w:val="91"/>
        </w:rPr>
        <w:t>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  <w:w w:val="91"/>
        </w:rPr>
        <w:t>25</w:t>
      </w:r>
      <w:r>
        <w:rPr>
          <w:color w:val="231F20"/>
        </w:rPr>
        <w:t xml:space="preserve"> </w:t>
      </w:r>
      <w:r>
        <w:rPr>
          <w:color w:val="231F20"/>
          <w:spacing w:val="-16"/>
          <w:w w:val="91"/>
        </w:rPr>
        <w:t>mg/（m</w:t>
      </w:r>
      <w:r>
        <w:rPr>
          <w:sz w:val="8"/>
          <w:szCs w:val="8"/>
          <w:color w:val="231F20"/>
          <w:spacing w:val="5"/>
          <w:position w:val="7"/>
        </w:rPr>
        <w:t>2</w:t>
      </w:r>
      <w:r>
        <w:rPr>
          <w:sz w:val="8"/>
          <w:szCs w:val="8"/>
          <w:color w:val="231F20"/>
          <w:spacing w:val="7"/>
          <w:w w:val="103"/>
          <w:position w:val="7"/>
        </w:rPr>
        <w:t xml:space="preserve"> </w:t>
      </w:r>
      <w:r>
        <w:rPr>
          <w:color w:val="231F20"/>
          <w:spacing w:val="-9"/>
        </w:rPr>
        <w:t>·d）静脉滴注，第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2～5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天。</w:t>
      </w:r>
    </w:p>
    <w:p>
      <w:pPr>
        <w:pStyle w:val="BodyText"/>
        <w:ind w:left="2" w:right="138" w:firstLine="2"/>
        <w:spacing w:before="3" w:line="227" w:lineRule="auto"/>
        <w:rPr/>
      </w:pPr>
      <w:r>
        <w:rPr>
          <w:color w:val="231F20"/>
          <w:spacing w:val="-3"/>
        </w:rPr>
        <w:t>2.4.3.6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3"/>
        </w:rPr>
        <w:t>PD-1/PD-L1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抑制剂［例如：帕姆单抗（首选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3"/>
        </w:rPr>
        <w:t>纳武</w:t>
      </w:r>
      <w:r>
        <w:rPr>
          <w:color w:val="231F20"/>
        </w:rPr>
        <w:t xml:space="preserve">  </w:t>
      </w:r>
      <w:r>
        <w:rPr>
          <w:color w:val="231F20"/>
        </w:rPr>
        <w:t>单抗（首选</w:t>
      </w:r>
      <w:r>
        <w:rPr>
          <w:color w:val="231F20"/>
          <w:spacing w:val="-26"/>
          <w:w w:val="64"/>
        </w:rPr>
        <w:t>），</w:t>
      </w:r>
      <w:r>
        <w:rPr>
          <w:color w:val="231F20"/>
        </w:rPr>
        <w:t>阿瓦鲁单抗］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</w:rPr>
        <w:t>帕姆单抗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200mg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静脉滴注，每  </w:t>
      </w:r>
      <w:r>
        <w:rPr>
          <w:color w:val="231F20"/>
          <w:spacing w:val="-8"/>
        </w:rPr>
        <w:t>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周1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次，或者400mg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静脉滴注，每6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周1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次；纳</w:t>
      </w:r>
      <w:r>
        <w:rPr>
          <w:color w:val="231F20"/>
          <w:spacing w:val="-9"/>
        </w:rPr>
        <w:t>武单抗240 mg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静脉滴注，每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周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次，或者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480 mg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静脉滴注，每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周1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次；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阿瓦鲁单抗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800mg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静脉滴注，每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周 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次。</w:t>
      </w:r>
    </w:p>
    <w:p>
      <w:pPr>
        <w:pStyle w:val="BodyText"/>
        <w:ind w:left="2" w:right="194" w:firstLine="3"/>
        <w:spacing w:before="60" w:line="220" w:lineRule="auto"/>
        <w:rPr/>
      </w:pPr>
      <w:r>
        <w:rPr>
          <w:color w:val="231F20"/>
          <w:spacing w:val="6"/>
        </w:rPr>
        <w:t>2.4.3.7   卡培他滨为基础的方案    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周</w:t>
      </w:r>
      <w:r>
        <w:rPr>
          <w:color w:val="231F20"/>
          <w:spacing w:val="5"/>
        </w:rPr>
        <w:t>重复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。卡培他滨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1250mg/m</w:t>
      </w:r>
      <w:r>
        <w:rPr>
          <w:sz w:val="8"/>
          <w:szCs w:val="8"/>
          <w:color w:val="231F20"/>
          <w:spacing w:val="-1"/>
          <w:position w:val="7"/>
        </w:rPr>
        <w:t>2  </w:t>
      </w:r>
      <w:r>
        <w:rPr>
          <w:color w:val="231F20"/>
          <w:spacing w:val="-10"/>
        </w:rPr>
        <w:t>口服，每天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次，共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周，间隔 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周，然后开始下一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疗程。</w:t>
      </w:r>
    </w:p>
    <w:p>
      <w:pPr>
        <w:pStyle w:val="BodyText"/>
        <w:ind w:left="3" w:right="130" w:firstLine="1"/>
        <w:spacing w:before="61" w:line="226" w:lineRule="auto"/>
        <w:rPr/>
      </w:pPr>
      <w:r>
        <w:rPr>
          <w:color w:val="231F20"/>
          <w:spacing w:val="4"/>
        </w:rPr>
        <w:t>2.4.3.8    吉西他滨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±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顺铂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4"/>
        </w:rPr>
        <w:t>每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4 周重复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。吉西他滨 600~</w:t>
      </w:r>
      <w:r>
        <w:rPr>
          <w:color w:val="231F20"/>
        </w:rPr>
        <w:t xml:space="preserve">  </w:t>
      </w:r>
      <w:r>
        <w:rPr>
          <w:color w:val="231F20"/>
          <w:spacing w:val="-16"/>
          <w:w w:val="89"/>
        </w:rPr>
        <w:t>800mg/（m</w:t>
      </w:r>
      <w:r>
        <w:rPr>
          <w:sz w:val="8"/>
          <w:szCs w:val="8"/>
          <w:color w:val="231F20"/>
          <w:spacing w:val="1"/>
          <w:position w:val="7"/>
        </w:rPr>
        <w:t>2</w:t>
      </w:r>
      <w:r>
        <w:rPr>
          <w:color w:val="231F20"/>
          <w:spacing w:val="-17"/>
          <w:w w:val="98"/>
        </w:rPr>
        <w:t>·d）静脉滴注，第1、8、15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  <w:w w:val="98"/>
        </w:rPr>
        <w:t>天；顺铂</w:t>
      </w:r>
      <w:r>
        <w:rPr>
          <w:color w:val="231F20"/>
          <w:spacing w:val="-18"/>
          <w:w w:val="98"/>
        </w:rPr>
        <w:t>25~30mg/（m</w:t>
      </w:r>
      <w:r>
        <w:rPr>
          <w:sz w:val="8"/>
          <w:szCs w:val="8"/>
          <w:color w:val="231F20"/>
          <w:spacing w:val="2"/>
          <w:position w:val="7"/>
        </w:rPr>
        <w:t>2</w:t>
      </w:r>
      <w:r>
        <w:rPr>
          <w:color w:val="231F20"/>
          <w:spacing w:val="2"/>
        </w:rPr>
        <w:t>·d）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静脉滴注，第 1、8、15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8"/>
        </w:rPr>
        <w:t>天。</w:t>
      </w:r>
    </w:p>
    <w:p>
      <w:pPr>
        <w:pStyle w:val="BodyText"/>
        <w:ind w:left="5"/>
        <w:spacing w:before="40" w:line="203" w:lineRule="auto"/>
        <w:rPr/>
      </w:pPr>
      <w:r>
        <w:rPr>
          <w:color w:val="231F20"/>
          <w:spacing w:val="4"/>
        </w:rPr>
        <w:t>2.4.3.9   其他    大剂量化疗联合外周血干细胞移植。</w:t>
      </w:r>
    </w:p>
    <w:p>
      <w:pPr>
        <w:pStyle w:val="BodyText"/>
        <w:ind w:left="5"/>
        <w:spacing w:before="39" w:line="210" w:lineRule="auto"/>
        <w:rPr/>
      </w:pPr>
      <w:r>
        <w:rPr>
          <w:color w:val="231F20"/>
          <w:spacing w:val="-3"/>
        </w:rPr>
        <w:t>2.4.4    中间型滋养细胞肿瘤（PSTT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ETT）的化疗</w:t>
      </w:r>
    </w:p>
    <w:p>
      <w:pPr>
        <w:pStyle w:val="BodyText"/>
        <w:ind w:left="5"/>
        <w:spacing w:before="35" w:line="204" w:lineRule="auto"/>
        <w:rPr/>
      </w:pPr>
      <w:r>
        <w:rPr>
          <w:color w:val="231F20"/>
          <w:spacing w:val="-4"/>
        </w:rPr>
        <w:t>2.4.4.1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4"/>
        </w:rPr>
        <w:t>首选方案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4"/>
        </w:rPr>
        <w:t>EMA/EP、EP/EMA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TP/TE。</w:t>
      </w:r>
    </w:p>
    <w:p>
      <w:pPr>
        <w:pStyle w:val="BodyText"/>
        <w:ind w:left="5"/>
        <w:spacing w:before="40" w:line="204" w:lineRule="auto"/>
        <w:rPr/>
      </w:pPr>
      <w:r>
        <w:rPr>
          <w:color w:val="231F20"/>
          <w:spacing w:val="-4"/>
        </w:rPr>
        <w:t>2.4.4.2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4"/>
        </w:rPr>
        <w:t>其他推荐方案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4"/>
        </w:rPr>
        <w:t>BEP、VIP、ICE。</w:t>
      </w:r>
    </w:p>
    <w:p>
      <w:pPr>
        <w:pStyle w:val="BodyText"/>
        <w:ind w:left="5"/>
        <w:spacing w:before="41" w:line="203" w:lineRule="auto"/>
        <w:rPr/>
      </w:pPr>
      <w:r>
        <w:rPr>
          <w:color w:val="231F20"/>
          <w:spacing w:val="2"/>
        </w:rPr>
        <w:t>2.4.4.3   某些情况下有用的方案    </w:t>
      </w:r>
      <w:r>
        <w:rPr>
          <w:color w:val="231F20"/>
        </w:rPr>
        <w:t>PD</w:t>
      </w:r>
      <w:r>
        <w:rPr>
          <w:color w:val="231F20"/>
          <w:spacing w:val="2"/>
        </w:rPr>
        <w:t>-1/</w:t>
      </w:r>
      <w:r>
        <w:rPr>
          <w:color w:val="231F20"/>
        </w:rPr>
        <w:t>PD</w:t>
      </w:r>
      <w:r>
        <w:rPr>
          <w:color w:val="231F20"/>
          <w:spacing w:val="2"/>
        </w:rPr>
        <w:t>-L1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抑制剂，卡</w:t>
      </w:r>
    </w:p>
    <w:p>
      <w:pPr>
        <w:spacing w:line="4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7" w:firstLine="2"/>
        <w:spacing w:before="43" w:line="237" w:lineRule="auto"/>
        <w:rPr/>
      </w:pPr>
      <w:r>
        <w:rPr>
          <w:color w:val="231F20"/>
          <w:spacing w:val="4"/>
        </w:rPr>
        <w:t>培他滨为基础的方案，吉西他滨±顺铂，大剂量化疗联合外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周血干细胞移植。</w:t>
      </w:r>
    </w:p>
    <w:p>
      <w:pPr>
        <w:pStyle w:val="BodyText"/>
        <w:ind w:left="70"/>
        <w:spacing w:line="203" w:lineRule="auto"/>
        <w:rPr/>
      </w:pPr>
      <w:r>
        <w:rPr>
          <w:color w:val="231F20"/>
          <w:spacing w:val="3"/>
        </w:rPr>
        <w:t>2.5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3"/>
        </w:rPr>
        <w:t>病理诊断原则</w:t>
      </w:r>
    </w:p>
    <w:p>
      <w:pPr>
        <w:pStyle w:val="BodyText"/>
        <w:ind w:left="70"/>
        <w:spacing w:before="40" w:line="204" w:lineRule="auto"/>
        <w:rPr/>
      </w:pPr>
      <w:r>
        <w:rPr>
          <w:color w:val="231F20"/>
          <w:spacing w:val="2"/>
        </w:rPr>
        <w:t>2.5.1   手术操作    扩宫和刮宫术，全子宫切除术。</w:t>
      </w:r>
    </w:p>
    <w:p>
      <w:pPr>
        <w:pStyle w:val="BodyText"/>
        <w:ind w:left="68" w:right="67" w:firstLine="2"/>
        <w:spacing w:before="41" w:line="227" w:lineRule="auto"/>
        <w:rPr/>
      </w:pPr>
      <w:r>
        <w:rPr>
          <w:color w:val="231F20"/>
          <w:spacing w:val="5"/>
        </w:rPr>
        <w:t>2.5.2    良性、非侵袭性葡萄胎的病理诊断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5"/>
        </w:rPr>
        <w:t>见表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。病理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仅报告组织学类型，如出现子宫肌层或脉管侵犯（即侵蚀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性葡萄胎</w:t>
      </w:r>
      <w:r>
        <w:rPr>
          <w:color w:val="231F20"/>
          <w:spacing w:val="-24"/>
          <w:w w:val="58"/>
        </w:rPr>
        <w:t>），</w:t>
      </w:r>
      <w:r>
        <w:rPr>
          <w:color w:val="231F20"/>
          <w:spacing w:val="8"/>
        </w:rPr>
        <w:t>需要用恶性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的病理评估标准。</w:t>
      </w:r>
    </w:p>
    <w:p>
      <w:pPr>
        <w:pStyle w:val="BodyText"/>
        <w:ind w:left="68" w:right="2" w:firstLine="1"/>
        <w:spacing w:before="31" w:line="224" w:lineRule="auto"/>
        <w:rPr/>
      </w:pPr>
      <w:r>
        <w:rPr>
          <w:color w:val="231F20"/>
          <w:spacing w:val="-3"/>
        </w:rPr>
        <w:t>2.5.3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3"/>
        </w:rPr>
        <w:t>恶性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GTN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病理评估包括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3"/>
        </w:rPr>
        <w:t>（1）</w:t>
      </w:r>
      <w:r>
        <w:rPr>
          <w:color w:val="231F20"/>
          <w:spacing w:val="-4"/>
        </w:rPr>
        <w:t>肿瘤位置（包括：子宫</w:t>
      </w:r>
      <w:r>
        <w:rPr>
          <w:color w:val="231F20"/>
        </w:rPr>
        <w:t xml:space="preserve">  </w:t>
      </w:r>
      <w:r>
        <w:rPr>
          <w:color w:val="231F20"/>
          <w:spacing w:val="-12"/>
          <w:w w:val="98"/>
        </w:rPr>
        <w:t>体、子宫颈、其他、不能确定）。（2）肿瘤大小（以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2"/>
          <w:w w:val="98"/>
        </w:rPr>
        <w:t>cm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  <w:w w:val="98"/>
        </w:rPr>
        <w:t>表示）。</w:t>
      </w:r>
    </w:p>
    <w:p>
      <w:pPr>
        <w:pStyle w:val="BodyText"/>
        <w:ind w:left="66" w:right="13" w:hanging="67"/>
        <w:spacing w:before="32" w:line="237" w:lineRule="auto"/>
        <w:jc w:val="both"/>
        <w:rPr/>
      </w:pPr>
      <w:r>
        <w:rPr>
          <w:color w:val="231F20"/>
          <w:spacing w:val="-5"/>
        </w:rPr>
        <w:t>（3）组织学类型：①葡萄胎，侵蚀性葡萄胎；②绒毛膜癌；③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胎盘部位滋养细胞肿瘤；④上皮样滋养细胞肿瘤；⑤不能  </w:t>
      </w:r>
      <w:r>
        <w:rPr>
          <w:color w:val="231F20"/>
          <w:spacing w:val="-4"/>
        </w:rPr>
        <w:t>明确类型的恶性滋养细胞肿瘤。（4）累及的组织/器官（列出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肿瘤累及的所有器官以便于评估）。（5）标本边缘状态（可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评估的部位，边缘如为阴性，报告则可能需要包括最近的  </w:t>
      </w:r>
      <w:r>
        <w:rPr>
          <w:color w:val="231F20"/>
          <w:spacing w:val="5"/>
        </w:rPr>
        <w:t>切缘以及病灶与最近切缘的距离）。（6）淋巴脉管间隙浸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润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良性的滋养细胞肿瘤/病变（包括：胎盘部位过度反应， </w:t>
      </w:r>
      <w:r>
        <w:rPr>
          <w:color w:val="231F20"/>
          <w:spacing w:val="9"/>
        </w:rPr>
        <w:t>胎盘部位结节）属于良性，不适用于以上病理报告评估原  </w:t>
      </w:r>
      <w:r>
        <w:rPr>
          <w:color w:val="231F20"/>
          <w:spacing w:val="5"/>
        </w:rPr>
        <w:t>则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。表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列出了用于鉴别诊断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的免疫组化标志物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表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4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。对于良性和恶性滋养细胞增生，</w:t>
      </w:r>
      <w:r>
        <w:rPr>
          <w:color w:val="231F20"/>
        </w:rPr>
        <w:t>GATA</w:t>
      </w:r>
      <w:r>
        <w:rPr>
          <w:color w:val="231F20"/>
          <w:spacing w:val="4"/>
        </w:rPr>
        <w:t>-3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都是一个敏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感的指标，因此可能可以用来鉴别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和非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肿瘤。</w:t>
      </w:r>
    </w:p>
    <w:p>
      <w:pPr>
        <w:spacing w:line="237" w:lineRule="auto"/>
        <w:sectPr>
          <w:type w:val="continuous"/>
          <w:pgSz w:w="11679" w:h="16555"/>
          <w:pgMar w:top="1456" w:right="1095" w:bottom="0" w:left="1162" w:header="1210" w:footer="0" w:gutter="0"/>
          <w:cols w:equalWidth="0" w:num="2">
            <w:col w:w="4692" w:space="100"/>
            <w:col w:w="4630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3576897</wp:posOffset>
            </wp:positionH>
            <wp:positionV relativeFrom="paragraph">
              <wp:posOffset>-3898640</wp:posOffset>
            </wp:positionV>
            <wp:extent cx="22987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325"/>
        <w:spacing w:before="73" w:line="193" w:lineRule="auto"/>
        <w:rPr/>
      </w:pPr>
      <w:r>
        <w:rPr>
          <w:rFonts w:ascii="SimHei" w:hAnsi="SimHei" w:eastAsia="SimHei" w:cs="SimHei"/>
          <w:color w:val="231F20"/>
          <w:spacing w:val="2"/>
        </w:rPr>
        <w:t>表3</w:t>
      </w:r>
      <w:r>
        <w:rPr>
          <w:rFonts w:ascii="SimHei" w:hAnsi="SimHei" w:eastAsia="SimHei" w:cs="SimHei"/>
          <w:color w:val="231F20"/>
          <w:spacing w:val="23"/>
        </w:rPr>
        <w:t xml:space="preserve">  </w:t>
      </w:r>
      <w:r>
        <w:rPr>
          <w:color w:val="231F20"/>
          <w:spacing w:val="2"/>
        </w:rPr>
        <w:t>良性、非侵袭性葡萄胎的诊断</w:t>
      </w:r>
    </w:p>
    <w:p>
      <w:pPr>
        <w:spacing w:line="83" w:lineRule="exact"/>
        <w:rPr/>
      </w:pPr>
      <w:r/>
    </w:p>
    <w:tbl>
      <w:tblPr>
        <w:tblStyle w:val="TableNormal"/>
        <w:tblW w:w="93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7"/>
        <w:gridCol w:w="1264"/>
        <w:gridCol w:w="1196"/>
        <w:gridCol w:w="1072"/>
        <w:gridCol w:w="999"/>
        <w:gridCol w:w="1551"/>
        <w:gridCol w:w="1129"/>
        <w:gridCol w:w="1126"/>
      </w:tblGrid>
      <w:tr>
        <w:trPr>
          <w:trHeight w:val="275" w:hRule="atLeast"/>
        </w:trPr>
        <w:tc>
          <w:tcPr>
            <w:tcW w:w="10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2"/>
              <w:spacing w:before="57" w:line="187" w:lineRule="auto"/>
              <w:rPr/>
            </w:pPr>
            <w:r>
              <w:rPr>
                <w:color w:val="231F20"/>
                <w:spacing w:val="9"/>
              </w:rPr>
              <w:t>疾病类型</w:t>
            </w:r>
          </w:p>
        </w:tc>
        <w:tc>
          <w:tcPr>
            <w:tcW w:w="12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73"/>
              <w:spacing w:before="55" w:line="190" w:lineRule="auto"/>
              <w:rPr/>
            </w:pPr>
            <w:r>
              <w:rPr>
                <w:color w:val="231F20"/>
                <w:spacing w:val="6"/>
              </w:rPr>
              <w:t>大体</w:t>
            </w:r>
          </w:p>
        </w:tc>
        <w:tc>
          <w:tcPr>
            <w:tcW w:w="11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8"/>
              <w:spacing w:before="56" w:line="190" w:lineRule="auto"/>
              <w:rPr/>
            </w:pPr>
            <w:r>
              <w:rPr>
                <w:color w:val="231F20"/>
                <w:spacing w:val="8"/>
              </w:rPr>
              <w:t>绒毛</w:t>
            </w:r>
          </w:p>
        </w:tc>
        <w:tc>
          <w:tcPr>
            <w:tcW w:w="2071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"/>
              <w:spacing w:before="57" w:line="187" w:lineRule="auto"/>
              <w:rPr/>
            </w:pPr>
            <w:r>
              <w:rPr>
                <w:color w:val="231F20"/>
                <w:spacing w:val="8"/>
              </w:rPr>
              <w:t>滋养细胞增生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细胞不典型性</w:t>
            </w:r>
          </w:p>
        </w:tc>
        <w:tc>
          <w:tcPr>
            <w:tcW w:w="15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56"/>
              <w:spacing w:before="57" w:line="187" w:lineRule="auto"/>
              <w:rPr/>
            </w:pPr>
            <w:r>
              <w:rPr>
                <w:color w:val="231F20"/>
                <w:spacing w:val="9"/>
              </w:rPr>
              <w:t>绒毛间质</w:t>
            </w:r>
          </w:p>
        </w:tc>
        <w:tc>
          <w:tcPr>
            <w:tcW w:w="112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6"/>
              <w:spacing w:before="56" w:line="189" w:lineRule="auto"/>
              <w:rPr/>
            </w:pPr>
            <w:r>
              <w:rPr>
                <w:color w:val="231F20"/>
              </w:rPr>
              <w:t>p57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免疫组化</w:t>
            </w:r>
          </w:p>
        </w:tc>
        <w:tc>
          <w:tcPr>
            <w:tcW w:w="112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4"/>
              <w:spacing w:before="61" w:line="180" w:lineRule="auto"/>
              <w:rPr/>
            </w:pPr>
            <w:r>
              <w:rPr>
                <w:color w:val="231F20"/>
                <w:spacing w:val="-1"/>
              </w:rPr>
              <w:t>DNA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基因型</w:t>
            </w:r>
          </w:p>
        </w:tc>
      </w:tr>
      <w:tr>
        <w:trPr>
          <w:trHeight w:val="1119" w:hRule="atLeast"/>
        </w:trPr>
        <w:tc>
          <w:tcPr>
            <w:tcW w:w="10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54" w:line="188" w:lineRule="auto"/>
              <w:rPr/>
            </w:pPr>
            <w:r>
              <w:rPr>
                <w:color w:val="231F20"/>
                <w:spacing w:val="9"/>
              </w:rPr>
              <w:t>完全性葡萄胎</w:t>
            </w:r>
          </w:p>
        </w:tc>
        <w:tc>
          <w:tcPr>
            <w:tcW w:w="12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"/>
              <w:spacing w:before="55" w:line="189" w:lineRule="auto"/>
              <w:rPr/>
            </w:pPr>
            <w:r>
              <w:rPr>
                <w:color w:val="231F20"/>
                <w:spacing w:val="-3"/>
              </w:rPr>
              <w:t>弥漫绒毛水肿，缺</w:t>
            </w:r>
          </w:p>
          <w:p>
            <w:pPr>
              <w:pStyle w:val="TableText"/>
              <w:ind w:left="196"/>
              <w:spacing w:before="64" w:line="186" w:lineRule="auto"/>
              <w:rPr/>
            </w:pPr>
            <w:r>
              <w:rPr>
                <w:color w:val="231F20"/>
                <w:spacing w:val="9"/>
              </w:rPr>
              <w:t>乏胎儿组织</w:t>
            </w:r>
          </w:p>
        </w:tc>
        <w:tc>
          <w:tcPr>
            <w:tcW w:w="11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"/>
              <w:spacing w:before="67" w:line="188" w:lineRule="auto"/>
              <w:rPr/>
            </w:pPr>
            <w:r>
              <w:rPr>
                <w:color w:val="231F20"/>
                <w:spacing w:val="-6"/>
                <w:w w:val="99"/>
              </w:rPr>
              <w:t>分散、增大</w:t>
            </w:r>
          </w:p>
        </w:tc>
        <w:tc>
          <w:tcPr>
            <w:tcW w:w="10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8" w:right="125" w:hanging="146"/>
              <w:spacing w:before="87" w:line="257" w:lineRule="auto"/>
              <w:rPr/>
            </w:pPr>
            <w:r>
              <w:rPr>
                <w:color w:val="231F20"/>
                <w:spacing w:val="-10"/>
              </w:rPr>
              <w:t>明显，通常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呈圆形</w:t>
            </w:r>
          </w:p>
        </w:tc>
        <w:tc>
          <w:tcPr>
            <w:tcW w:w="9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3"/>
              <w:spacing w:before="68" w:line="185" w:lineRule="auto"/>
              <w:rPr/>
            </w:pPr>
            <w:r>
              <w:rPr>
                <w:color w:val="231F20"/>
                <w:spacing w:val="8"/>
              </w:rPr>
              <w:t>可能明显</w:t>
            </w:r>
          </w:p>
        </w:tc>
        <w:tc>
          <w:tcPr>
            <w:tcW w:w="15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8" w:right="74" w:hanging="156"/>
              <w:spacing w:before="88" w:line="238" w:lineRule="auto"/>
              <w:rPr/>
            </w:pPr>
            <w:r>
              <w:rPr>
                <w:color w:val="231F20"/>
                <w:spacing w:val="9"/>
              </w:rPr>
              <w:t>高度水肿伴水池结构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形成和滋养细胞包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9"/>
              </w:rPr>
              <w:t>涵体；血管缺如；有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9"/>
              </w:rPr>
              <w:t>核红细胞缺如</w:t>
            </w:r>
          </w:p>
        </w:tc>
        <w:tc>
          <w:tcPr>
            <w:tcW w:w="11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5" w:right="96" w:hanging="155"/>
              <w:spacing w:before="88" w:line="238" w:lineRule="auto"/>
              <w:rPr/>
            </w:pPr>
            <w:r>
              <w:rPr>
                <w:color w:val="231F20"/>
                <w:spacing w:val="8"/>
              </w:rPr>
              <w:t>细胞滋养层和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9"/>
              </w:rPr>
              <w:t>绒毛间质细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胞的细胞核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均不着色</w:t>
            </w:r>
          </w:p>
        </w:tc>
        <w:tc>
          <w:tcPr>
            <w:tcW w:w="11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1"/>
              <w:spacing w:before="85" w:line="190" w:lineRule="auto"/>
              <w:rPr/>
            </w:pPr>
            <w:r>
              <w:rPr>
                <w:color w:val="231F20"/>
                <w:spacing w:val="9"/>
              </w:rPr>
              <w:t>二倍体雄性</w:t>
            </w:r>
          </w:p>
          <w:p>
            <w:pPr>
              <w:pStyle w:val="TableText"/>
              <w:ind w:left="240"/>
              <w:spacing w:before="67" w:line="180" w:lineRule="auto"/>
              <w:rPr/>
            </w:pPr>
            <w:r>
              <w:rPr>
                <w:color w:val="231F20"/>
                <w:spacing w:val="9"/>
              </w:rPr>
              <w:t>基因组</w:t>
            </w:r>
          </w:p>
        </w:tc>
      </w:tr>
      <w:tr>
        <w:trPr>
          <w:trHeight w:val="1139" w:hRule="atLeast"/>
        </w:trPr>
        <w:tc>
          <w:tcPr>
            <w:tcW w:w="10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"/>
              <w:spacing w:before="102" w:line="189" w:lineRule="auto"/>
              <w:rPr/>
            </w:pPr>
            <w:r>
              <w:rPr>
                <w:color w:val="231F20"/>
                <w:spacing w:val="9"/>
              </w:rPr>
              <w:t>部分性葡萄胎</w:t>
            </w:r>
          </w:p>
        </w:tc>
        <w:tc>
          <w:tcPr>
            <w:tcW w:w="12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4" w:right="145" w:hanging="159"/>
              <w:spacing w:before="102" w:line="253" w:lineRule="auto"/>
              <w:rPr/>
            </w:pPr>
            <w:r>
              <w:rPr>
                <w:color w:val="231F20"/>
                <w:spacing w:val="4"/>
              </w:rPr>
              <w:t>局限绒毛水肿， </w:t>
            </w:r>
            <w:r>
              <w:rPr>
                <w:color w:val="231F20"/>
                <w:spacing w:val="9"/>
              </w:rPr>
              <w:t>可能存在胎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8"/>
              </w:rPr>
              <w:t>儿组织</w:t>
            </w:r>
          </w:p>
        </w:tc>
        <w:tc>
          <w:tcPr>
            <w:tcW w:w="11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103" w:line="189" w:lineRule="auto"/>
              <w:jc w:val="right"/>
              <w:rPr/>
            </w:pPr>
            <w:r>
              <w:rPr>
                <w:color w:val="231F20"/>
                <w:spacing w:val="-7"/>
              </w:rPr>
              <w:t>既有增大的绒毛，</w:t>
            </w:r>
          </w:p>
          <w:p>
            <w:pPr>
              <w:pStyle w:val="TableText"/>
              <w:ind w:left="210"/>
              <w:spacing w:before="64" w:line="185" w:lineRule="auto"/>
              <w:rPr/>
            </w:pPr>
            <w:r>
              <w:rPr>
                <w:color w:val="231F20"/>
                <w:spacing w:val="-5"/>
              </w:rPr>
              <w:t>又有小的、纤</w:t>
            </w:r>
          </w:p>
          <w:p>
            <w:pPr>
              <w:pStyle w:val="TableText"/>
              <w:ind w:left="207"/>
              <w:spacing w:before="63" w:line="189" w:lineRule="auto"/>
              <w:rPr/>
            </w:pPr>
            <w:r>
              <w:rPr>
                <w:color w:val="231F20"/>
                <w:spacing w:val="9"/>
              </w:rPr>
              <w:t>维化的绒毛</w:t>
            </w:r>
          </w:p>
        </w:tc>
        <w:tc>
          <w:tcPr>
            <w:tcW w:w="2071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245"/>
              <w:spacing w:before="104" w:line="185" w:lineRule="auto"/>
              <w:rPr/>
            </w:pPr>
            <w:r>
              <w:rPr>
                <w:color w:val="231F20"/>
              </w:rPr>
              <w:t>中度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</w:rPr>
              <w:t>中度</w:t>
            </w:r>
          </w:p>
        </w:tc>
        <w:tc>
          <w:tcPr>
            <w:tcW w:w="15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9" w:right="81" w:hanging="158"/>
              <w:spacing w:before="103" w:line="239" w:lineRule="auto"/>
              <w:rPr/>
            </w:pPr>
            <w:r>
              <w:rPr>
                <w:color w:val="231F20"/>
                <w:spacing w:val="-8"/>
              </w:rPr>
              <w:t>可能有水池结构；滋养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8"/>
              </w:rPr>
              <w:t>细胞假性包涵体；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血管存在；有核红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细胞存在</w:t>
            </w:r>
          </w:p>
        </w:tc>
        <w:tc>
          <w:tcPr>
            <w:tcW w:w="11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5" w:right="96" w:hanging="155"/>
              <w:spacing w:before="103" w:line="239" w:lineRule="auto"/>
              <w:rPr/>
            </w:pPr>
            <w:r>
              <w:rPr>
                <w:color w:val="231F20"/>
                <w:spacing w:val="8"/>
              </w:rPr>
              <w:t>细胞滋养层和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9"/>
              </w:rPr>
              <w:t>绒毛间质细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胞的细胞核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均染色</w:t>
            </w:r>
          </w:p>
        </w:tc>
        <w:tc>
          <w:tcPr>
            <w:tcW w:w="11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101" w:line="190" w:lineRule="auto"/>
              <w:jc w:val="right"/>
              <w:rPr/>
            </w:pPr>
            <w:r>
              <w:rPr>
                <w:color w:val="231F20"/>
                <w:spacing w:val="10"/>
              </w:rPr>
              <w:t>三倍体雄性-单</w:t>
            </w:r>
          </w:p>
          <w:p>
            <w:pPr>
              <w:pStyle w:val="TableText"/>
              <w:ind w:left="241"/>
              <w:spacing w:before="65" w:line="185" w:lineRule="auto"/>
              <w:rPr/>
            </w:pPr>
            <w:r>
              <w:rPr>
                <w:color w:val="231F20"/>
                <w:spacing w:val="9"/>
              </w:rPr>
              <w:t>雌性基因组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68" w:lineRule="exact"/>
        <w:rPr/>
      </w:pPr>
      <w:r/>
    </w:p>
    <w:p>
      <w:pPr>
        <w:spacing w:line="168" w:lineRule="exact"/>
        <w:sectPr>
          <w:type w:val="continuous"/>
          <w:pgSz w:w="11679" w:h="16555"/>
          <w:pgMar w:top="1456" w:right="1095" w:bottom="0" w:left="1162" w:header="1210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left="753"/>
        <w:spacing w:before="41" w:line="193" w:lineRule="auto"/>
        <w:rPr/>
      </w:pPr>
      <w:r>
        <w:rPr>
          <w:rFonts w:ascii="SimHei" w:hAnsi="SimHei" w:eastAsia="SimHei" w:cs="SimHei"/>
          <w:color w:val="231F20"/>
          <w:spacing w:val="6"/>
        </w:rPr>
        <w:t>表4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  <w:spacing w:val="6"/>
        </w:rPr>
        <w:t>鉴别诊断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的免疫组化标志物</w:t>
      </w:r>
    </w:p>
    <w:p>
      <w:pPr>
        <w:spacing w:line="85" w:lineRule="exact"/>
        <w:rPr/>
      </w:pPr>
      <w:r/>
    </w:p>
    <w:tbl>
      <w:tblPr>
        <w:tblStyle w:val="TableNormal"/>
        <w:tblW w:w="450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4"/>
        <w:gridCol w:w="743"/>
        <w:gridCol w:w="359"/>
        <w:gridCol w:w="569"/>
        <w:gridCol w:w="338"/>
        <w:gridCol w:w="648"/>
        <w:gridCol w:w="1134"/>
      </w:tblGrid>
      <w:tr>
        <w:trPr>
          <w:trHeight w:val="540" w:hRule="atLeast"/>
        </w:trPr>
        <w:tc>
          <w:tcPr>
            <w:tcW w:w="7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0"/>
              <w:spacing w:before="52" w:line="187" w:lineRule="auto"/>
              <w:rPr/>
            </w:pPr>
            <w:r>
              <w:rPr>
                <w:color w:val="231F20"/>
                <w:spacing w:val="8"/>
              </w:rPr>
              <w:t>肿瘤</w:t>
            </w:r>
          </w:p>
          <w:p>
            <w:pPr>
              <w:pStyle w:val="TableText"/>
              <w:ind w:left="58"/>
              <w:spacing w:before="78" w:line="185" w:lineRule="auto"/>
              <w:rPr/>
            </w:pPr>
            <w:r>
              <w:rPr>
                <w:color w:val="231F20"/>
                <w:spacing w:val="9"/>
              </w:rPr>
              <w:t>类型</w:t>
            </w:r>
          </w:p>
        </w:tc>
        <w:tc>
          <w:tcPr>
            <w:tcW w:w="74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2"/>
              <w:spacing w:before="79" w:line="171" w:lineRule="auto"/>
              <w:rPr/>
            </w:pPr>
            <w:r>
              <w:rPr>
                <w:color w:val="231F20"/>
                <w:spacing w:val="-5"/>
              </w:rPr>
              <w:t>Mel-CAM</w:t>
            </w:r>
          </w:p>
          <w:p>
            <w:pPr>
              <w:pStyle w:val="TableText"/>
              <w:spacing w:before="56" w:line="196" w:lineRule="auto"/>
              <w:jc w:val="right"/>
              <w:rPr/>
            </w:pPr>
            <w:r>
              <w:rPr>
                <w:color w:val="231F20"/>
                <w:spacing w:val="-9"/>
              </w:rPr>
              <w:t>（CD146）</w:t>
            </w:r>
          </w:p>
        </w:tc>
        <w:tc>
          <w:tcPr>
            <w:tcW w:w="3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"/>
              <w:spacing w:before="212" w:line="170" w:lineRule="auto"/>
              <w:rPr/>
            </w:pPr>
            <w:r>
              <w:rPr>
                <w:color w:val="231F20"/>
                <w:spacing w:val="-3"/>
              </w:rPr>
              <w:t>hPL</w:t>
            </w:r>
          </w:p>
        </w:tc>
        <w:tc>
          <w:tcPr>
            <w:tcW w:w="56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7"/>
              <w:spacing w:before="190" w:line="189" w:lineRule="auto"/>
              <w:rPr/>
            </w:pPr>
            <w:r>
              <w:rPr>
                <w:color w:val="231F20"/>
                <w:spacing w:val="1"/>
              </w:rPr>
              <w:t>β-</w:t>
            </w:r>
            <w:r>
              <w:rPr>
                <w:color w:val="231F20"/>
              </w:rPr>
              <w:t>hCG</w:t>
            </w:r>
          </w:p>
        </w:tc>
        <w:tc>
          <w:tcPr>
            <w:tcW w:w="3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7"/>
              <w:spacing w:before="191" w:line="189" w:lineRule="auto"/>
              <w:rPr/>
            </w:pPr>
            <w:r>
              <w:rPr>
                <w:color w:val="231F20"/>
                <w:spacing w:val="-10"/>
              </w:rPr>
              <w:t>p63</w:t>
            </w:r>
          </w:p>
        </w:tc>
        <w:tc>
          <w:tcPr>
            <w:tcW w:w="6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"/>
              <w:spacing w:before="190" w:line="189" w:lineRule="auto"/>
              <w:rPr/>
            </w:pPr>
            <w:r>
              <w:rPr>
                <w:color w:val="231F20"/>
                <w:spacing w:val="-2"/>
              </w:rPr>
              <w:t>Cyclin E</w:t>
            </w:r>
          </w:p>
        </w:tc>
        <w:tc>
          <w:tcPr>
            <w:tcW w:w="11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8"/>
              <w:spacing w:before="191" w:line="222" w:lineRule="auto"/>
              <w:rPr/>
            </w:pPr>
            <w:r>
              <w:rPr>
                <w:color w:val="231F20"/>
              </w:rPr>
              <w:t>Ki</w:t>
            </w:r>
            <w:r>
              <w:rPr>
                <w:color w:val="231F20"/>
                <w:spacing w:val="8"/>
              </w:rPr>
              <w:t>-67</w:t>
            </w:r>
          </w:p>
        </w:tc>
      </w:tr>
      <w:tr>
        <w:trPr>
          <w:trHeight w:val="844" w:hRule="atLeast"/>
        </w:trPr>
        <w:tc>
          <w:tcPr>
            <w:tcW w:w="71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2" w:right="339"/>
              <w:spacing w:before="88" w:line="253" w:lineRule="auto"/>
              <w:rPr/>
            </w:pPr>
            <w:r>
              <w:rPr>
                <w:color w:val="231F20"/>
                <w:spacing w:val="-2"/>
              </w:rPr>
              <w:t>PSTT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ETT</w:t>
            </w:r>
          </w:p>
          <w:p>
            <w:pPr>
              <w:pStyle w:val="TableText"/>
              <w:ind w:left="32"/>
              <w:spacing w:line="187" w:lineRule="auto"/>
              <w:rPr/>
            </w:pPr>
            <w:r>
              <w:rPr>
                <w:color w:val="231F20"/>
                <w:spacing w:val="9"/>
              </w:rPr>
              <w:t>绒毛膜癌</w:t>
            </w:r>
          </w:p>
        </w:tc>
        <w:tc>
          <w:tcPr>
            <w:tcW w:w="743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36"/>
              <w:spacing w:before="64" w:line="233" w:lineRule="auto"/>
              <w:rPr/>
            </w:pPr>
            <w:r>
              <w:rPr>
                <w:color w:val="231F20"/>
              </w:rPr>
              <w:t>+</w:t>
            </w:r>
          </w:p>
          <w:p>
            <w:pPr>
              <w:pStyle w:val="TableText"/>
              <w:ind w:left="336"/>
              <w:spacing w:before="11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  <w:p>
            <w:pPr>
              <w:pStyle w:val="TableText"/>
              <w:ind w:left="270"/>
              <w:spacing w:before="81" w:line="190" w:lineRule="auto"/>
              <w:rPr/>
            </w:pPr>
            <w:r>
              <w:rPr>
                <w:color w:val="231F20"/>
                <w:spacing w:val="-10"/>
              </w:rPr>
              <w:t>+/-</w:t>
            </w:r>
          </w:p>
        </w:tc>
        <w:tc>
          <w:tcPr>
            <w:tcW w:w="35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37"/>
              <w:spacing w:before="64" w:line="233" w:lineRule="auto"/>
              <w:rPr/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-140487</wp:posOffset>
                  </wp:positionH>
                  <wp:positionV relativeFrom="topMargin">
                    <wp:posOffset>273103</wp:posOffset>
                  </wp:positionV>
                  <wp:extent cx="51408" cy="640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08" cy="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</w:rPr>
              <w:t>+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64" w:line="190" w:lineRule="auto"/>
              <w:rPr/>
            </w:pPr>
            <w:r>
              <w:rPr>
                <w:color w:val="231F20"/>
              </w:rPr>
              <w:t>+</w:t>
            </w:r>
          </w:p>
        </w:tc>
        <w:tc>
          <w:tcPr>
            <w:tcW w:w="56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42"/>
              <w:spacing w:before="146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  <w:p>
            <w:pPr>
              <w:pStyle w:val="TableText"/>
              <w:ind w:left="242"/>
              <w:spacing w:before="165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  <w:p>
            <w:pPr>
              <w:pStyle w:val="TableText"/>
              <w:ind w:left="242"/>
              <w:spacing w:before="81" w:line="190" w:lineRule="auto"/>
              <w:rPr/>
            </w:pPr>
            <w:r>
              <w:rPr>
                <w:color w:val="231F20"/>
              </w:rPr>
              <w:t>+</w:t>
            </w:r>
          </w:p>
        </w:tc>
        <w:tc>
          <w:tcPr>
            <w:tcW w:w="33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rightMargin">
                    <wp:posOffset>-127826</wp:posOffset>
                  </wp:positionH>
                  <wp:positionV relativeFrom="topMargin">
                    <wp:posOffset>93103</wp:posOffset>
                  </wp:positionV>
                  <wp:extent cx="51408" cy="6400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08" cy="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-127826</wp:posOffset>
                  </wp:positionH>
                  <wp:positionV relativeFrom="topMargin">
                    <wp:posOffset>453104</wp:posOffset>
                  </wp:positionV>
                  <wp:extent cx="51408" cy="6400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08" cy="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36"/>
              <w:spacing w:before="64" w:line="233" w:lineRule="auto"/>
              <w:rPr/>
            </w:pPr>
            <w:r>
              <w:rPr>
                <w:color w:val="231F20"/>
              </w:rPr>
              <w:t>+</w:t>
            </w:r>
          </w:p>
        </w:tc>
        <w:tc>
          <w:tcPr>
            <w:tcW w:w="64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"/>
              <w:spacing w:before="64" w:line="222" w:lineRule="auto"/>
              <w:rPr/>
            </w:pPr>
            <w:r>
              <w:rPr>
                <w:color w:val="231F20"/>
                <w:spacing w:val="-3"/>
              </w:rPr>
              <w:t>&gt;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50%</w:t>
            </w:r>
          </w:p>
        </w:tc>
        <w:tc>
          <w:tcPr>
            <w:tcW w:w="113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55"/>
              <w:spacing w:before="64" w:line="222" w:lineRule="auto"/>
              <w:rPr/>
            </w:pPr>
            <w:r>
              <w:rPr>
                <w:color w:val="231F20"/>
                <w:spacing w:val="-7"/>
              </w:rPr>
              <w:t>&gt;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7"/>
              </w:rPr>
              <w:t>10%</w:t>
            </w:r>
          </w:p>
          <w:p>
            <w:pPr>
              <w:pStyle w:val="TableText"/>
              <w:ind w:left="355"/>
              <w:spacing w:before="45" w:line="222" w:lineRule="auto"/>
              <w:rPr/>
            </w:pPr>
            <w:r>
              <w:rPr>
                <w:color w:val="231F20"/>
                <w:spacing w:val="-7"/>
              </w:rPr>
              <w:t>&gt;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7"/>
              </w:rPr>
              <w:t>10%</w:t>
            </w:r>
          </w:p>
          <w:p>
            <w:pPr>
              <w:pStyle w:val="TableText"/>
              <w:ind w:left="61"/>
              <w:spacing w:before="44" w:line="190" w:lineRule="auto"/>
              <w:rPr/>
            </w:pPr>
            <w:r>
              <w:rPr>
                <w:color w:val="231F20"/>
                <w:spacing w:val="-7"/>
              </w:rPr>
              <w:t>高，通常＞90%</w:t>
            </w:r>
          </w:p>
        </w:tc>
      </w:tr>
    </w:tbl>
    <w:p>
      <w:pPr>
        <w:pStyle w:val="BodyText"/>
        <w:ind w:left="2" w:right="254" w:firstLine="164"/>
        <w:spacing w:before="48" w:line="24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注：Mel-CAM：melanoma cell adhesion molecule，黑色素瘤细胞黏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附分子；hPL：human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placental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lactogen</w:t>
      </w:r>
      <w:r>
        <w:rPr>
          <w:sz w:val="15"/>
          <w:szCs w:val="15"/>
          <w:color w:val="231F20"/>
          <w:spacing w:val="-10"/>
        </w:rPr>
        <w:t>，人胎盘生乳素；β-hCG：be-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ta-human chorionic gonadotrophin，β-人绒毛膜促性腺激素</w:t>
      </w:r>
    </w:p>
    <w:p>
      <w:pPr>
        <w:pStyle w:val="BodyText"/>
        <w:ind w:left="5"/>
        <w:spacing w:before="307" w:line="204" w:lineRule="auto"/>
        <w:rPr/>
      </w:pPr>
      <w:r>
        <w:rPr>
          <w:color w:val="231F20"/>
          <w:spacing w:val="6"/>
        </w:rPr>
        <w:t>2.6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6"/>
        </w:rPr>
        <w:t>妇科疾病幸存者指导原则</w:t>
      </w:r>
    </w:p>
    <w:p>
      <w:pPr>
        <w:pStyle w:val="BodyText"/>
        <w:ind w:left="1" w:right="262" w:firstLine="3"/>
        <w:spacing w:before="42" w:line="216" w:lineRule="auto"/>
        <w:jc w:val="both"/>
        <w:rPr/>
      </w:pPr>
      <w:r>
        <w:rPr>
          <w:color w:val="231F20"/>
          <w:spacing w:val="11"/>
        </w:rPr>
        <w:t>2.6.1   生理影响    妇科恶性肿瘤典型的治疗方法通常包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括手术、化疗、激素治疗、放疗和（或）免疫治疗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。这些治疗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会引起急性、短期和长期毒性反应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。手术治疗</w:t>
      </w:r>
      <w:r>
        <w:rPr>
          <w:color w:val="231F20"/>
          <w:spacing w:val="8"/>
        </w:rPr>
        <w:t>范围可以很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广泛，从而导致粘连形成，进而可能会引起</w:t>
      </w:r>
      <w:r>
        <w:rPr>
          <w:color w:val="231F20"/>
          <w:spacing w:val="9"/>
        </w:rPr>
        <w:t>疼痛和小肠梗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8"/>
        <w:spacing w:before="43" w:line="237" w:lineRule="auto"/>
        <w:jc w:val="both"/>
        <w:rPr/>
      </w:pPr>
      <w:r>
        <w:rPr>
          <w:color w:val="231F20"/>
          <w:spacing w:val="3"/>
        </w:rPr>
        <w:t>阻，出现泌尿系或胃肠道并发症（如失禁、腹泻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3"/>
        </w:rPr>
        <w:t>盆底功能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障碍［表现为一系列对泌尿系、肠道和（或）性功能的影响］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1"/>
        </w:rPr>
        <w:t>和淋巴水肿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。尽管常用的化疗方案可能会导致神经毒性、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心脏毒性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、继发血液系统肿瘤和认知功能障碍的风险增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加，但具体化疗方案的不良反应有所不同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。长期缺乏雌激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素可能会出现类似更年期症状，如潮热、阴道干燥和骨质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丢失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。放疗可能会导致长期并发症（如纤维化，外阴阴道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萎缩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并使其易罹患继发性皮下组织癌和（或）邻近照射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野下方的器官恶变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。免疫治疗是一种新兴疗</w:t>
      </w:r>
      <w:r>
        <w:rPr>
          <w:color w:val="231F20"/>
          <w:spacing w:val="15"/>
        </w:rPr>
        <w:t>法，迄今为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止，这些疗法的长期影响尚不明确。</w:t>
      </w:r>
    </w:p>
    <w:p>
      <w:pPr>
        <w:pStyle w:val="BodyText"/>
        <w:ind w:right="67" w:firstLine="2"/>
        <w:spacing w:before="3" w:line="229" w:lineRule="auto"/>
        <w:rPr/>
      </w:pPr>
      <w:r>
        <w:rPr>
          <w:color w:val="231F20"/>
          <w:spacing w:val="11"/>
        </w:rPr>
        <w:t>2.6.2   社会心理影响    恶性肿瘤对患者的社会心理影响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本质上可能是心理影响（如抑郁、焦虑、对复发</w:t>
      </w:r>
      <w:r>
        <w:rPr>
          <w:color w:val="231F20"/>
          <w:spacing w:val="2"/>
        </w:rPr>
        <w:t>的恐惧、身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体形象改变）、财务影响（如重返工作岗位的问</w:t>
      </w:r>
      <w:r>
        <w:rPr>
          <w:color w:val="231F20"/>
          <w:spacing w:val="2"/>
        </w:rPr>
        <w:t>题、保险问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题）和（或）人际交往的影响（如人际关系、性及亲</w:t>
      </w:r>
      <w:r>
        <w:rPr>
          <w:color w:val="231F20"/>
          <w:spacing w:val="-12"/>
        </w:rPr>
        <w:t>密感）。</w:t>
      </w:r>
    </w:p>
    <w:p>
      <w:pPr>
        <w:pStyle w:val="BodyText"/>
        <w:ind w:left="2"/>
        <w:spacing w:before="35" w:line="159" w:lineRule="auto"/>
        <w:rPr/>
      </w:pPr>
      <w:r>
        <w:rPr>
          <w:color w:val="231F20"/>
          <w:spacing w:val="13"/>
        </w:rPr>
        <w:t>2.6.3</w:t>
      </w:r>
      <w:r>
        <w:rPr>
          <w:color w:val="231F20"/>
        </w:rPr>
        <w:t xml:space="preserve">    </w:t>
      </w:r>
      <w:r>
        <w:rPr>
          <w:color w:val="231F20"/>
          <w:spacing w:val="13"/>
        </w:rPr>
        <w:t>临床指导方法   所有妇科恶</w:t>
      </w:r>
      <w:r>
        <w:rPr>
          <w:color w:val="231F20"/>
          <w:spacing w:val="12"/>
        </w:rPr>
        <w:t>性肿瘤幸存者应定期</w:t>
      </w:r>
    </w:p>
    <w:p>
      <w:pPr>
        <w:spacing w:line="159" w:lineRule="auto"/>
        <w:sectPr>
          <w:type w:val="continuous"/>
          <w:pgSz w:w="11679" w:h="16555"/>
          <w:pgMar w:top="1456" w:right="1095" w:bottom="0" w:left="1162" w:header="1210" w:footer="0" w:gutter="0"/>
          <w:cols w:equalWidth="0" w:num="2">
            <w:col w:w="4761" w:space="100"/>
            <w:col w:w="4562" w:space="0"/>
          </w:cols>
        </w:sectPr>
        <w:rPr/>
      </w:pPr>
    </w:p>
    <w:p>
      <w:pPr>
        <w:spacing w:before="67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802396</wp:posOffset>
            </wp:positionH>
            <wp:positionV relativeFrom="page">
              <wp:posOffset>908499</wp:posOffset>
            </wp:positionV>
            <wp:extent cx="229870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0"/>
          <w:pgSz w:w="11679" w:h="16555"/>
          <w:pgMar w:top="1456" w:right="1097" w:bottom="0" w:left="1096" w:header="1210" w:footer="0" w:gutter="0"/>
          <w:cols w:equalWidth="0" w:num="1">
            <w:col w:w="9484" w:space="0"/>
          </w:cols>
        </w:sectPr>
        <w:rPr/>
      </w:pPr>
    </w:p>
    <w:p>
      <w:pPr>
        <w:pStyle w:val="BodyText"/>
        <w:ind w:right="141" w:firstLine="69"/>
        <w:spacing w:before="44" w:line="237" w:lineRule="auto"/>
        <w:jc w:val="both"/>
        <w:rPr/>
      </w:pPr>
      <w:r>
        <w:rPr>
          <w:color w:val="231F20"/>
          <w:spacing w:val="9"/>
        </w:rPr>
        <w:t>接受常规医疗检查，重点针对管理慢性疾病，监测心血管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危险因素，提供接种疫苗的建议以及鼓励采取健康的生活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3"/>
        </w:rPr>
        <w:t>方式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。为了评估妇科恶性肿瘤治疗的迟发性和长期影响，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临床医生应详细记录患者的病史，进行全面的体格检查以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及必要的影像学和（或）实验室检查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。所有患者（不论是否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性活跃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21"/>
        </w:rPr>
        <w:t>都应询问其泌尿生殖道症状，包括外阴</w:t>
      </w:r>
      <w:r>
        <w:rPr>
          <w:color w:val="231F20"/>
          <w:spacing w:val="20"/>
        </w:rPr>
        <w:t>阴道干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燥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。建议患者转诊至相应的专科就诊咨询（例如理疗、盆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底治疗、性治疗、心理治疗）。 由于大多数妇科恶性肿瘤治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疗方法会导致性功能障碍、早绝经和不孕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因此，需要特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别注意由此造成的医疗和社会心理影响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9"/>
        </w:rPr>
        <w:t>。建议在</w:t>
      </w:r>
      <w:r>
        <w:rPr>
          <w:color w:val="231F20"/>
          <w:spacing w:val="18"/>
        </w:rPr>
        <w:t>放疗后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使用阴道扩张器和保湿剂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。对于绝经前患者，应考虑应用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激素替代治疗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9"/>
        </w:rPr>
        <w:t>。与所有参与肿瘤幸存者医疗的临</w:t>
      </w:r>
      <w:r>
        <w:rPr>
          <w:color w:val="231F20"/>
          <w:spacing w:val="18"/>
        </w:rPr>
        <w:t>床医生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（包括初级临床医生）的沟通和协调至关重要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。推荐为恶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性肿瘤幸存者提供其治疗总结和随访建议。</w:t>
      </w:r>
    </w:p>
    <w:p>
      <w:pPr>
        <w:pStyle w:val="BodyText"/>
        <w:ind w:left="68" w:right="194" w:firstLine="2"/>
        <w:spacing w:before="2" w:line="237" w:lineRule="auto"/>
        <w:jc w:val="both"/>
        <w:rPr/>
      </w:pPr>
      <w:r>
        <w:rPr>
          <w:color w:val="231F20"/>
          <w:spacing w:val="11"/>
        </w:rPr>
        <w:t>2.6.4   后续妊娠    推荐在孕早期行超声检查确认宫内妊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娠；胎盘行病理学评估；产后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周检测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hCG 以证实降至正常 </w:t>
      </w:r>
      <w:r>
        <w:rPr>
          <w:color w:val="231F20"/>
          <w:spacing w:val="5"/>
        </w:rPr>
        <w:t>水平。</w:t>
      </w:r>
    </w:p>
    <w:p>
      <w:pPr>
        <w:ind w:left="72"/>
        <w:spacing w:before="282" w:line="232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讨论</w:t>
      </w:r>
    </w:p>
    <w:p>
      <w:pPr>
        <w:pStyle w:val="BodyText"/>
        <w:ind w:left="68" w:right="130" w:firstLine="4"/>
        <w:spacing w:before="76" w:line="233" w:lineRule="auto"/>
        <w:rPr/>
      </w:pPr>
      <w:r>
        <w:rPr>
          <w:color w:val="231F20"/>
          <w:spacing w:val="3"/>
        </w:rPr>
        <w:t>3.1   葡萄胎标题处的变化    根据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2020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2"/>
        </w:rPr>
        <w:t xml:space="preserve"> 10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月国际癌症研</w:t>
      </w:r>
      <w:r>
        <w:rPr>
          <w:color w:val="231F20"/>
        </w:rPr>
        <w:t xml:space="preserve">  </w:t>
      </w:r>
      <w:r>
        <w:rPr>
          <w:color w:val="231F20"/>
        </w:rPr>
        <w:t>究机构发布的第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版《WHO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女性生殖器官肿瘤分类》中</w:t>
      </w:r>
      <w:r>
        <w:rPr>
          <w:sz w:val="8"/>
          <w:szCs w:val="8"/>
          <w:color w:val="231F20"/>
          <w:position w:val="7"/>
        </w:rPr>
        <w:t>［1</w:t>
      </w:r>
      <w:r>
        <w:rPr>
          <w:sz w:val="8"/>
          <w:szCs w:val="8"/>
          <w:color w:val="231F20"/>
          <w:spacing w:val="15"/>
          <w:position w:val="7"/>
        </w:rPr>
        <w:t>］</w:t>
      </w:r>
      <w:r>
        <w:rPr>
          <w:color w:val="231F20"/>
          <w:spacing w:val="-47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葡萄胎包括完全性葡萄胎、部分性葡萄胎、侵蚀性和转移  </w:t>
      </w:r>
      <w:r>
        <w:rPr>
          <w:color w:val="231F20"/>
          <w:spacing w:val="16"/>
        </w:rPr>
        <w:t>性葡萄胎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。完全性及部分性葡萄胎需要依靠病理组织学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和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DNA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基因分型达到精准诊断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。侵蚀性葡萄胎是指侵犯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子宫肌层或子宫血管的葡萄胎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。转移性葡萄胎可表现为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子宫外部位见葡萄胎绒毛，最常见的部位是阴道壁/骨盆。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后二者的特征性表现为在葡萄胎治疗后，血清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水平先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下降，然后持续升高，伴阴道流血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。因此，侵蚀性或</w:t>
      </w:r>
      <w:r>
        <w:rPr>
          <w:color w:val="231F20"/>
          <w:spacing w:val="1"/>
        </w:rPr>
        <w:t>转移性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葡萄胎的诊断多数情况下较葡萄胎的诊断滞后，在前期阶  </w:t>
      </w:r>
      <w:r>
        <w:rPr>
          <w:color w:val="231F20"/>
          <w:spacing w:val="16"/>
        </w:rPr>
        <w:t>段处理及监测与非侵蚀性葡萄胎相同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。新版指南中标题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中去除“非侵蚀性”，只保留“葡萄胎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”更加贴近临床实践。</w:t>
      </w:r>
    </w:p>
    <w:p>
      <w:pPr>
        <w:pStyle w:val="BodyText"/>
        <w:ind w:left="67" w:right="130" w:firstLine="5"/>
        <w:spacing w:before="60" w:line="232" w:lineRule="auto"/>
        <w:rPr/>
      </w:pPr>
      <w:r>
        <w:rPr>
          <w:color w:val="231F20"/>
          <w:spacing w:val="12"/>
        </w:rPr>
        <w:t>3.2   葡萄胎清宫后的随访    关于葡萄胎清宫后的随访，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NCCN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指南和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指南存在差异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。2022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版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NCCN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指南中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明确指出“治疗后每 1～2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周行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检测直到正常，然后继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续检测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hCG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至连续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次正常后，每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个月1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次，共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个月”。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新版指南增加了“考虑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”二字，也就是说可能有变动的余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地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。FIGO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指南从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版开始依据英国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Charing Cros</w:t>
      </w:r>
      <w:r>
        <w:rPr>
          <w:color w:val="231F20"/>
          <w:spacing w:val="-2"/>
        </w:rPr>
        <w:t>s 医院</w:t>
      </w:r>
      <w:r>
        <w:rPr>
          <w:color w:val="231F20"/>
        </w:rPr>
        <w:t xml:space="preserve">  </w:t>
      </w:r>
      <w:r>
        <w:rPr>
          <w:color w:val="231F20"/>
          <w:spacing w:val="-13"/>
          <w:w w:val="97"/>
        </w:rPr>
        <w:t>Coyle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3"/>
          <w:w w:val="97"/>
        </w:rPr>
        <w:t>等</w:t>
      </w:r>
      <w:r>
        <w:rPr>
          <w:sz w:val="8"/>
          <w:szCs w:val="8"/>
          <w:color w:val="231F20"/>
          <w:spacing w:val="-13"/>
          <w:w w:val="97"/>
          <w:position w:val="7"/>
        </w:rPr>
        <w:t>［2］</w:t>
      </w:r>
      <w:r>
        <w:rPr>
          <w:color w:val="231F20"/>
          <w:spacing w:val="3"/>
        </w:rPr>
        <w:t>对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20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144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例葡萄胎患者进行的回顾性分析，发现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清宫后血 </w:t>
      </w:r>
      <w:r>
        <w:rPr>
          <w:color w:val="231F20"/>
        </w:rPr>
        <w:t>hCG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自然转阴者，完全性葡萄胎（</w:t>
      </w:r>
      <w:r>
        <w:rPr>
          <w:color w:val="231F20"/>
        </w:rPr>
        <w:t>CHM</w:t>
      </w:r>
      <w:r>
        <w:rPr>
          <w:color w:val="231F20"/>
          <w:spacing w:val="2"/>
        </w:rPr>
        <w:t>）进展为</w:t>
      </w:r>
      <w:r>
        <w:rPr>
          <w:color w:val="231F20"/>
        </w:rPr>
        <w:t xml:space="preserve">  </w:t>
      </w:r>
      <w:r>
        <w:rPr>
          <w:color w:val="231F20"/>
        </w:rPr>
        <w:t>GTN 的概率为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0.25%，其中＞56 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自然转阴者进展为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GTN  </w:t>
      </w:r>
      <w:r>
        <w:rPr>
          <w:color w:val="231F20"/>
          <w:spacing w:val="-3"/>
        </w:rPr>
        <w:t>的概率是≤56 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转阴者的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3.8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倍；而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PHM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进</w:t>
      </w:r>
      <w:r>
        <w:rPr>
          <w:color w:val="231F20"/>
          <w:spacing w:val="-4"/>
        </w:rPr>
        <w:t>展为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GTN 的概率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0.03%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。根据这项研究，将英国葡萄</w:t>
      </w:r>
      <w:r>
        <w:rPr>
          <w:color w:val="231F20"/>
          <w:spacing w:val="7"/>
        </w:rPr>
        <w:t>胎患者自然转阴者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的随访计划修订为部分性葡萄胎（</w:t>
      </w:r>
      <w:r>
        <w:rPr>
          <w:color w:val="231F20"/>
        </w:rPr>
        <w:t>PHM</w:t>
      </w:r>
      <w:r>
        <w:rPr>
          <w:color w:val="231F20"/>
          <w:spacing w:val="3"/>
        </w:rPr>
        <w:t>）患者在血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自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然转阴后 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个月再进行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次尿液检测即可，而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CHM</w:t>
      </w:r>
      <w:r>
        <w:rPr>
          <w:color w:val="231F20"/>
          <w:spacing w:val="2"/>
        </w:rPr>
        <w:t xml:space="preserve"> 的随访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为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hCG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正常后每个月测定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次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hCG，连续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个月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。2021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版</w:t>
      </w:r>
      <w:r>
        <w:rPr>
          <w:color w:val="231F20"/>
        </w:rPr>
        <w:t xml:space="preserve">  </w:t>
      </w:r>
      <w:r>
        <w:rPr>
          <w:color w:val="231F20"/>
        </w:rPr>
        <w:t>FIGO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7"/>
        </w:rPr>
        <w:t>指南依然用此随访方法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因此，如能精准诊断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CHM  </w:t>
      </w:r>
      <w:r>
        <w:rPr>
          <w:color w:val="231F20"/>
          <w:spacing w:val="-2"/>
        </w:rPr>
        <w:t>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PHM，建议依据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FIGO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指南进行随访。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firstLine="6"/>
        <w:spacing w:before="40" w:line="237" w:lineRule="auto"/>
        <w:jc w:val="both"/>
        <w:rPr/>
      </w:pPr>
      <w:r>
        <w:rPr>
          <w:color w:val="231F20"/>
          <w:spacing w:val="6"/>
        </w:rPr>
        <w:t>3.3   葡萄胎后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选择再次扩宫和刮宫者的标</w:t>
      </w:r>
      <w:r>
        <w:rPr>
          <w:color w:val="231F20"/>
          <w:spacing w:val="5"/>
        </w:rPr>
        <w:t>准    2022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版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NCCN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指南中通过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变化诊断葡萄胎后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患者，经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评估后如无子宫外转移，再次扩宫和刮宫是治疗选择之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。新版指南中将再次扩宫和刮宫的对象限制在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后评分≤4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分者，也就是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指南中提出的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5～6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分的较高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危险评分者不建议选用此种方法，可选择的</w:t>
      </w:r>
      <w:r>
        <w:rPr>
          <w:color w:val="231F20"/>
          <w:spacing w:val="9"/>
        </w:rPr>
        <w:t>治疗方法为直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接单药化疗或全子宫双侧输卵管切除术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NCCN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指南</w:t>
      </w:r>
      <w:r>
        <w:rPr>
          <w:color w:val="231F20"/>
          <w:spacing w:val="8"/>
        </w:rPr>
        <w:t>做此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推荐的初衷可能是提高治疗的成功率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。2016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年，</w:t>
      </w:r>
      <w:r>
        <w:rPr>
          <w:color w:val="231F20"/>
        </w:rPr>
        <w:t>GOG</w:t>
      </w:r>
      <w:r>
        <w:rPr>
          <w:color w:val="231F20"/>
          <w:spacing w:val="1"/>
        </w:rPr>
        <w:t xml:space="preserve"> 的一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项多中心、前瞻性Ⅱ期临床试验</w:t>
      </w:r>
      <w:r>
        <w:rPr>
          <w:sz w:val="8"/>
          <w:szCs w:val="8"/>
          <w:color w:val="231F20"/>
          <w:spacing w:val="7"/>
          <w:position w:val="7"/>
        </w:rPr>
        <w:t>［3］</w:t>
      </w:r>
      <w:r>
        <w:rPr>
          <w:color w:val="231F20"/>
          <w:spacing w:val="7"/>
        </w:rPr>
        <w:t>评价二次刮宫对低危无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转移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5"/>
        </w:rPr>
        <w:t xml:space="preserve"> 的有效性和安全性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。根据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预后评分（</w:t>
      </w:r>
      <w:r>
        <w:rPr>
          <w:color w:val="231F20"/>
          <w:spacing w:val="4"/>
        </w:rPr>
        <w:t>低危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者为评分 0～6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分）进行分组，纳入的指标包括年龄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、</w:t>
      </w:r>
      <w:r>
        <w:rPr>
          <w:color w:val="231F20"/>
        </w:rPr>
        <w:t>hCG  </w:t>
      </w:r>
      <w:r>
        <w:rPr>
          <w:color w:val="231F20"/>
          <w:spacing w:val="4"/>
        </w:rPr>
        <w:t>值、盆腔超声所见、胸部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X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线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。最终有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60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例新诊断的低危</w:t>
      </w:r>
      <w:r>
        <w:rPr>
          <w:color w:val="231F20"/>
        </w:rPr>
        <w:t xml:space="preserve">  </w:t>
      </w:r>
      <w:r>
        <w:rPr>
          <w:color w:val="231F20"/>
        </w:rPr>
        <w:t>无转移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患者可进行评估，其中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例患者为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预后评  </w:t>
      </w:r>
      <w:r>
        <w:rPr>
          <w:color w:val="231F20"/>
          <w:spacing w:val="-7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分，3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例为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。经过二次刮宫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40%（24/60）的患者达到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治愈，从而避免了化疗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。2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例患者（3%）未完成随访，但在失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访前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hCG 已经降至正常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。根据年龄进行分层，≤19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岁者，治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愈率为25%（1/4</w:t>
      </w:r>
      <w:r>
        <w:rPr>
          <w:color w:val="231F20"/>
          <w:spacing w:val="-23"/>
          <w:w w:val="56"/>
        </w:rPr>
        <w:t>）；</w:t>
      </w:r>
      <w:r>
        <w:rPr>
          <w:color w:val="231F20"/>
          <w:spacing w:val="-12"/>
        </w:rPr>
        <w:t>≥40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岁者，治愈率为16.7%（1/6）。 当WHO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预后评分≤4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分时，二次刮宫的治愈率为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43.6%（24</w:t>
      </w:r>
      <w:r>
        <w:rPr>
          <w:color w:val="231F20"/>
        </w:rPr>
        <w:t>/55</w:t>
      </w:r>
      <w:r>
        <w:rPr>
          <w:color w:val="231F20"/>
          <w:spacing w:val="-24"/>
          <w:w w:val="59"/>
        </w:rPr>
        <w:t>），</w:t>
      </w:r>
      <w:r>
        <w:rPr>
          <w:color w:val="231F20"/>
        </w:rPr>
        <w:t>而  </w:t>
      </w:r>
      <w:r>
        <w:rPr>
          <w:color w:val="231F20"/>
          <w:spacing w:val="-2"/>
        </w:rPr>
        <w:t>预后评分为5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分或6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分者均未通过刮宫手术达到治愈（0/5）。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另外，不同的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值，二次清宫的成功率不同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。当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在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100～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1500U/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L 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，成功率为 53%（10/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19</w:t>
      </w:r>
      <w:r>
        <w:rPr>
          <w:color w:val="231F20"/>
          <w:spacing w:val="-28"/>
          <w:w w:val="68"/>
        </w:rPr>
        <w:t>）；</w:t>
      </w:r>
      <w:r>
        <w:rPr>
          <w:color w:val="231F20"/>
          <w:spacing w:val="-8"/>
        </w:rPr>
        <w:t>hCG 在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1500 ~</w:t>
      </w:r>
      <w:r>
        <w:rPr>
          <w:color w:val="231F20"/>
        </w:rPr>
        <w:t xml:space="preserve">   </w:t>
      </w:r>
      <w:r>
        <w:rPr>
          <w:color w:val="231F20"/>
          <w:spacing w:val="-9"/>
        </w:rPr>
        <w:t>5000U/L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9"/>
        </w:rPr>
        <w:t>时，成功率为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40%（4/10</w:t>
      </w:r>
      <w:r>
        <w:rPr>
          <w:color w:val="231F20"/>
          <w:spacing w:val="-24"/>
          <w:w w:val="58"/>
        </w:rPr>
        <w:t>）；</w:t>
      </w:r>
      <w:r>
        <w:rPr>
          <w:color w:val="231F20"/>
          <w:spacing w:val="-9"/>
        </w:rPr>
        <w:t>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50</w:t>
      </w:r>
      <w:r>
        <w:rPr>
          <w:color w:val="231F20"/>
          <w:spacing w:val="-10"/>
        </w:rPr>
        <w:t>00～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10 000 U/L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时，成功率为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29%（2/7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-9"/>
        </w:rPr>
        <w:t>hCG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在 10 000～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100 000U/L 时，成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功率为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40%（8/20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-6"/>
        </w:rPr>
        <w:t>hCG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超过 100 0</w:t>
      </w:r>
      <w:r>
        <w:rPr>
          <w:color w:val="231F20"/>
          <w:spacing w:val="-7"/>
        </w:rPr>
        <w:t>00 U/L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时，没有患者可以</w:t>
      </w:r>
      <w:r>
        <w:rPr>
          <w:color w:val="231F20"/>
        </w:rPr>
        <w:t xml:space="preserve">  </w:t>
      </w:r>
      <w:r>
        <w:rPr>
          <w:color w:val="231F20"/>
        </w:rPr>
        <w:t>通过二次清宫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转阴（0/3）。 通过此研究，可以得出结  </w:t>
      </w:r>
      <w:r>
        <w:rPr>
          <w:color w:val="231F20"/>
          <w:spacing w:val="-1"/>
        </w:rPr>
        <w:t>论，对于新诊断的葡萄胎后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GTN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患者，且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预后评分为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0～4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分者，可从二次清宫术中获益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。而对于需要保留生育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功能的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5～6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分且位于生育年龄两端的患者(</w:t>
      </w:r>
      <w:r>
        <w:rPr>
          <w:color w:val="231F20"/>
          <w:spacing w:val="7"/>
        </w:rPr>
        <w:t>≤19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岁或＞39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岁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12"/>
        </w:rPr>
        <w:t>可首选化疗。</w:t>
      </w:r>
    </w:p>
    <w:p>
      <w:pPr>
        <w:pStyle w:val="BodyText"/>
        <w:ind w:right="64" w:firstLine="73"/>
        <w:spacing w:before="3" w:line="234" w:lineRule="auto"/>
        <w:rPr/>
      </w:pPr>
      <w:r>
        <w:rPr>
          <w:color w:val="231F20"/>
          <w:spacing w:val="-2"/>
        </w:rPr>
        <w:t>3.4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-2"/>
        </w:rPr>
        <w:t>免疫治疗在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GTN 中的应用    2017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Huang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等</w:t>
      </w:r>
      <w:r>
        <w:rPr>
          <w:sz w:val="8"/>
          <w:szCs w:val="8"/>
          <w:color w:val="231F20"/>
          <w:spacing w:val="-2"/>
          <w:position w:val="7"/>
        </w:rPr>
        <w:t>［</w:t>
      </w:r>
      <w:r>
        <w:rPr>
          <w:sz w:val="8"/>
          <w:szCs w:val="8"/>
          <w:color w:val="231F20"/>
          <w:spacing w:val="-3"/>
          <w:position w:val="7"/>
        </w:rPr>
        <w:t>4］</w:t>
      </w:r>
      <w:r>
        <w:rPr>
          <w:color w:val="231F20"/>
          <w:spacing w:val="-3"/>
        </w:rPr>
        <w:t>首次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报道了免疫治疗用于化疗耐药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2"/>
        </w:rPr>
        <w:t xml:space="preserve"> 的病例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。同年，</w:t>
      </w:r>
      <w:r>
        <w:rPr>
          <w:color w:val="231F20"/>
        </w:rPr>
        <w:t>Ghorani </w:t>
      </w:r>
      <w:r>
        <w:rPr>
          <w:color w:val="231F20"/>
          <w:spacing w:val="5"/>
        </w:rPr>
        <w:t>等</w:t>
      </w:r>
      <w:r>
        <w:rPr>
          <w:sz w:val="8"/>
          <w:szCs w:val="8"/>
          <w:color w:val="231F20"/>
          <w:spacing w:val="5"/>
          <w:position w:val="7"/>
        </w:rPr>
        <w:t>［5］</w:t>
      </w:r>
      <w:r>
        <w:rPr>
          <w:color w:val="231F20"/>
          <w:spacing w:val="5"/>
        </w:rPr>
        <w:t>报道了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Pembrolizum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例化疗耐药滋养细</w:t>
      </w:r>
      <w:r>
        <w:rPr>
          <w:color w:val="231F20"/>
          <w:spacing w:val="-2"/>
        </w:rPr>
        <w:t>胞肿瘤中的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疗效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。在该研究中，有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例获得完全缓解，并且均在停</w:t>
      </w:r>
      <w:r>
        <w:rPr>
          <w:color w:val="231F20"/>
          <w:spacing w:val="4"/>
        </w:rPr>
        <w:t>止治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疗后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24、15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5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个月时保持缓解，此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例患者的肿瘤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1"/>
        </w:rPr>
        <w:t>-L1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表达水平均在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90%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以上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。之后发表的研究中有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项为临床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研究，其余为病例报告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。最早的关于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GTT</w:t>
      </w:r>
      <w:r>
        <w:rPr>
          <w:color w:val="231F20"/>
          <w:spacing w:val="16"/>
        </w:rPr>
        <w:t xml:space="preserve"> 的临床研究是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2020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年法国的Ⅱ期单臂多中心临床研究</w:t>
      </w:r>
      <w:r>
        <w:rPr>
          <w:sz w:val="8"/>
          <w:szCs w:val="8"/>
          <w:color w:val="231F20"/>
          <w:spacing w:val="6"/>
          <w:position w:val="7"/>
        </w:rPr>
        <w:t>［6］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6"/>
        </w:rPr>
        <w:t>共纳入 15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例单</w:t>
      </w:r>
      <w:r>
        <w:rPr>
          <w:color w:val="231F20"/>
        </w:rPr>
        <w:t xml:space="preserve"> </w:t>
      </w:r>
      <w:r>
        <w:rPr>
          <w:color w:val="231F20"/>
        </w:rPr>
        <w:t>药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耐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药 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患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者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，给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予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阿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瓦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鲁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单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治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，有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效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率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为 53% </w:t>
      </w:r>
      <w:r>
        <w:rPr>
          <w:color w:val="231F20"/>
          <w:spacing w:val="2"/>
        </w:rPr>
        <w:t>（8/15）。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这项研究的意义在于为单药化疗失败的患者提供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了非化疗的另一个选择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。另外，一项临床研究是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2021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年发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表于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Lancet</w:t>
      </w:r>
      <w:r>
        <w:rPr>
          <w:rFonts w:ascii="Arial" w:hAnsi="Arial" w:eastAsia="Arial" w:cs="Arial"/>
          <w:i/>
          <w:iCs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Oncology</w:t>
      </w:r>
      <w:r>
        <w:rPr>
          <w:color w:val="231F20"/>
          <w:spacing w:val="10"/>
        </w:rPr>
        <w:t>，由北京协和医院向阳教授领衔进行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的第一个前瞻性评估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13"/>
        </w:rPr>
        <w:t>-1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抑制剂联合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抑制剂用于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高危难治性或复发性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的Ⅱ期临床研究</w:t>
      </w:r>
      <w:r>
        <w:rPr>
          <w:sz w:val="8"/>
          <w:szCs w:val="8"/>
          <w:color w:val="231F20"/>
          <w:spacing w:val="7"/>
          <w:position w:val="7"/>
        </w:rPr>
        <w:t>［7］</w:t>
      </w:r>
      <w:r>
        <w:rPr>
          <w:color w:val="231F20"/>
          <w:spacing w:val="7"/>
        </w:rPr>
        <w:t>。此研究的客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观缓解率（ORR）为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55%（11/20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-5"/>
        </w:rPr>
        <w:t>完全缓解率（CR）为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50%</w:t>
      </w:r>
      <w:r>
        <w:rPr>
          <w:color w:val="231F20"/>
        </w:rPr>
        <w:t xml:space="preserve"> </w:t>
      </w:r>
      <w:r>
        <w:rPr>
          <w:color w:val="231F20"/>
        </w:rPr>
        <w:t>（10/20）。 达到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CR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者随访过程中均无疾病复发，为多线耐 </w:t>
      </w:r>
      <w:r>
        <w:rPr>
          <w:color w:val="231F20"/>
          <w:spacing w:val="10"/>
        </w:rPr>
        <w:t>药或复发的难治性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提供了另外一种治疗选择。</w:t>
      </w:r>
    </w:p>
    <w:p>
      <w:pPr>
        <w:pStyle w:val="BodyText"/>
        <w:ind w:left="73"/>
        <w:spacing w:before="59" w:line="159" w:lineRule="auto"/>
        <w:rPr/>
      </w:pPr>
      <w:r>
        <w:rPr>
          <w:color w:val="231F20"/>
          <w:spacing w:val="8"/>
        </w:rPr>
        <w:t>3.5   葡萄胎和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GTN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后的生殖结局及监测    妊娠滋养细胞</w:t>
      </w:r>
    </w:p>
    <w:p>
      <w:pPr>
        <w:spacing w:line="159" w:lineRule="auto"/>
        <w:sectPr>
          <w:type w:val="continuous"/>
          <w:pgSz w:w="11679" w:h="16555"/>
          <w:pgMar w:top="1456" w:right="1097" w:bottom="0" w:left="1096" w:header="1210" w:footer="0" w:gutter="0"/>
          <w:cols w:equalWidth="0" w:num="2">
            <w:col w:w="4758" w:space="100"/>
            <w:col w:w="4627" w:space="0"/>
          </w:cols>
        </w:sectPr>
        <w:rPr/>
      </w:pPr>
    </w:p>
    <w:p>
      <w:pPr>
        <w:spacing w:before="77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4314892</wp:posOffset>
            </wp:positionH>
            <wp:positionV relativeFrom="page">
              <wp:posOffset>908499</wp:posOffset>
            </wp:positionV>
            <wp:extent cx="2298700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7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2"/>
          <w:pgSz w:w="11679" w:h="16555"/>
          <w:pgMar w:top="1456" w:right="1105" w:bottom="0" w:left="1109" w:header="1210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5" w:right="179"/>
        <w:spacing w:before="29" w:line="239" w:lineRule="auto"/>
        <w:jc w:val="both"/>
        <w:rPr/>
      </w:pPr>
      <w:r>
        <w:rPr>
          <w:color w:val="231F20"/>
          <w:spacing w:val="9"/>
        </w:rPr>
        <w:t>疾病多数为生育年龄女性，且随着手术、有效化疗药物及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方案的应用，治愈率非常高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。经过治疗后，许多患者面临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着再次妊娠的问题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。既往有 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次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CHM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PH</w:t>
      </w:r>
      <w:r>
        <w:rPr>
          <w:color w:val="231F20"/>
          <w:spacing w:val="-2"/>
        </w:rPr>
        <w:t>M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病史者，继发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妊娠再次发生葡萄胎的概率为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0.7%～2.6%，即患</w:t>
      </w:r>
      <w:r>
        <w:rPr>
          <w:color w:val="231F20"/>
          <w:spacing w:val="3"/>
        </w:rPr>
        <w:t>病风险增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加到散发性葡萄胎的 10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0"/>
        </w:rPr>
        <w:t>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次葡萄胎的风险在首次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诊断后次年发生率最高，之后下降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。如果既往有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次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CHM </w:t>
      </w:r>
      <w:r>
        <w:rPr>
          <w:color w:val="231F20"/>
          <w:spacing w:val="4"/>
        </w:rPr>
        <w:t>病史，则发病风险增加到约 10%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。既往接受过化疗的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GTN </w:t>
      </w:r>
      <w:r>
        <w:rPr>
          <w:color w:val="231F20"/>
          <w:spacing w:val="9"/>
        </w:rPr>
        <w:t>患者，随着依托泊苷剂量的蓄积，发生急性骨髓性白血病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的风险增加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。对这些患者生育结局的研究发</w:t>
      </w:r>
      <w:r>
        <w:rPr>
          <w:color w:val="231F20"/>
          <w:spacing w:val="8"/>
        </w:rPr>
        <w:t>现，活产率高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达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70%，且不伴先天性出生缺陷率的增加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。但是</w:t>
      </w:r>
      <w:r>
        <w:rPr>
          <w:color w:val="231F20"/>
          <w:spacing w:val="6"/>
        </w:rPr>
        <w:t>与普通生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育年龄女性人群相比，死产的风险稍增加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因</w:t>
      </w:r>
      <w:r>
        <w:rPr>
          <w:color w:val="231F20"/>
          <w:spacing w:val="7"/>
        </w:rPr>
        <w:t>此，对于既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往有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GTD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病史者，再次妊娠后，孕早期行超声检查确</w:t>
      </w:r>
      <w:r>
        <w:rPr>
          <w:color w:val="231F20"/>
          <w:spacing w:val="6"/>
        </w:rPr>
        <w:t>认宫</w:t>
      </w:r>
      <w:r>
        <w:rPr>
          <w:color w:val="231F20"/>
        </w:rPr>
        <w:t xml:space="preserve"> </w:t>
      </w:r>
      <w:r>
        <w:rPr>
          <w:color w:val="231F20"/>
        </w:rPr>
        <w:t>内妊娠；胎盘行病理学评估；产后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周检测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hCG 以证实转阴 </w:t>
      </w:r>
      <w:r>
        <w:rPr>
          <w:color w:val="231F20"/>
          <w:spacing w:val="-1"/>
        </w:rPr>
        <w:t>性均非常有必要</w:t>
      </w:r>
      <w:r>
        <w:rPr>
          <w:sz w:val="8"/>
          <w:szCs w:val="8"/>
          <w:color w:val="231F20"/>
          <w:spacing w:val="-1"/>
          <w:position w:val="7"/>
        </w:rPr>
        <w:t>［8］</w:t>
      </w:r>
      <w:r>
        <w:rPr>
          <w:color w:val="231F20"/>
          <w:spacing w:val="-1"/>
        </w:rPr>
        <w:t>。另外，我们建议有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GTD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病史者，之后的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每次妊娠终止后，包括人工流产、足月产、异位</w:t>
      </w:r>
      <w:r>
        <w:rPr>
          <w:color w:val="231F20"/>
          <w:spacing w:val="2"/>
        </w:rPr>
        <w:t>妊娠，都应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将组织物送病理学评估，并在妊娠终止后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周行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hCG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检测。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60"/>
        <w:spacing w:before="5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55" w:right="206" w:hanging="456"/>
        <w:spacing w:before="11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WHO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Classification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of Tu</w:t>
      </w:r>
      <w:r>
        <w:rPr>
          <w:sz w:val="15"/>
          <w:szCs w:val="15"/>
          <w:color w:val="231F20"/>
          <w:spacing w:val="-8"/>
        </w:rPr>
        <w:t>mours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8"/>
        </w:rPr>
        <w:t>Editorial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Board.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WHO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Classifi-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Tumours·5</w:t>
      </w:r>
      <w:r>
        <w:rPr>
          <w:sz w:val="7"/>
          <w:szCs w:val="7"/>
          <w:color w:val="231F20"/>
          <w:spacing w:val="-9"/>
          <w:position w:val="6"/>
        </w:rPr>
        <w:t>th</w:t>
      </w:r>
      <w:r>
        <w:rPr>
          <w:sz w:val="7"/>
          <w:szCs w:val="7"/>
          <w:color w:val="231F20"/>
          <w:spacing w:val="5"/>
          <w:w w:val="101"/>
          <w:position w:val="6"/>
        </w:rPr>
        <w:t xml:space="preserve">  </w:t>
      </w:r>
      <w:r>
        <w:rPr>
          <w:sz w:val="15"/>
          <w:szCs w:val="15"/>
          <w:color w:val="231F20"/>
          <w:spacing w:val="-9"/>
        </w:rPr>
        <w:t>Edition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Female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Genital Tum</w:t>
      </w:r>
      <w:r>
        <w:rPr>
          <w:sz w:val="15"/>
          <w:szCs w:val="15"/>
          <w:color w:val="231F20"/>
          <w:spacing w:val="-10"/>
        </w:rPr>
        <w:t>ours［M］.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Ag Res Cancer，2020：317-322.</w:t>
      </w:r>
    </w:p>
    <w:p>
      <w:pPr>
        <w:pStyle w:val="BodyText"/>
        <w:ind w:left="457" w:right="200" w:hanging="457"/>
        <w:spacing w:before="53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［2］</w:t>
      </w:r>
      <w:r>
        <w:rPr>
          <w:sz w:val="15"/>
          <w:szCs w:val="15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13"/>
        </w:rPr>
        <w:t>Coyle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C，Short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D，Lauren J，et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al.What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is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optimal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duration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human  chorionic  gonadotrophin  surveilla</w:t>
      </w:r>
      <w:r>
        <w:rPr>
          <w:sz w:val="15"/>
          <w:szCs w:val="15"/>
          <w:color w:val="231F20"/>
          <w:spacing w:val="-11"/>
        </w:rPr>
        <w:t>nce  following  evacua-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6"/>
        <w:spacing w:before="33" w:line="18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tion  of  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molar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pregnancy?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retrospective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anal</w:t>
      </w:r>
      <w:r>
        <w:rPr>
          <w:sz w:val="15"/>
          <w:szCs w:val="15"/>
          <w:color w:val="231F20"/>
          <w:spacing w:val="-11"/>
        </w:rPr>
        <w:t>ysis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over</w:t>
      </w:r>
    </w:p>
    <w:p>
      <w:pPr>
        <w:pStyle w:val="BodyText"/>
        <w:ind w:left="457" w:right="10"/>
        <w:spacing w:before="6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20000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consecutive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patients［J］.Gynecol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Oncol，2018，148（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5"/>
        </w:rPr>
        <w:t>2）：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254-257.</w:t>
      </w:r>
    </w:p>
    <w:p>
      <w:pPr>
        <w:pStyle w:val="BodyText"/>
        <w:ind w:left="455" w:right="56" w:hanging="456"/>
        <w:spacing w:before="27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［3］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10"/>
        </w:rPr>
        <w:t>Osborne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RJ，Filiaci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VL，Schink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JC，et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Second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curettage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f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low-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nonmetastatic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gestational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trophoblastic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neoplasia［J］.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Gynecol，2016，128（3</w:t>
      </w:r>
      <w:r>
        <w:rPr>
          <w:sz w:val="15"/>
          <w:szCs w:val="15"/>
          <w:color w:val="231F20"/>
          <w:spacing w:val="-38"/>
          <w:w w:val="93"/>
        </w:rPr>
        <w:t>）：</w:t>
      </w:r>
      <w:r>
        <w:rPr>
          <w:sz w:val="15"/>
          <w:szCs w:val="15"/>
          <w:color w:val="231F20"/>
          <w:spacing w:val="-14"/>
        </w:rPr>
        <w:t>535-5</w:t>
      </w:r>
      <w:r>
        <w:rPr>
          <w:sz w:val="15"/>
          <w:szCs w:val="15"/>
          <w:color w:val="231F20"/>
          <w:spacing w:val="-15"/>
        </w:rPr>
        <w:t>42.</w:t>
      </w:r>
    </w:p>
    <w:p>
      <w:pPr>
        <w:pStyle w:val="BodyText"/>
        <w:ind w:left="459" w:right="56" w:hanging="459"/>
        <w:spacing w:before="52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［4］  Huang  M，Pinto  A，Castillo  RP，et  al.  Complete  serologic  re-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sponse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pembrolizumab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woman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chemoresistant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static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choriocarcinoma［J］.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Oncol，2017</w:t>
      </w:r>
      <w:r>
        <w:rPr>
          <w:sz w:val="15"/>
          <w:szCs w:val="15"/>
          <w:color w:val="231F20"/>
          <w:spacing w:val="-13"/>
        </w:rPr>
        <w:t>，35（27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3"/>
        </w:rPr>
        <w:t>3172-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3174.</w:t>
      </w:r>
    </w:p>
    <w:p>
      <w:pPr>
        <w:pStyle w:val="BodyText"/>
        <w:ind w:left="454" w:right="56" w:hanging="454"/>
        <w:spacing w:before="27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［5］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Ghorani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E，Kaur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B，Fishe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RA，et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Pembrolizumab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effective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drug-resistant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gestational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trophoblastic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neoplas</w:t>
      </w:r>
      <w:r>
        <w:rPr>
          <w:sz w:val="15"/>
          <w:szCs w:val="15"/>
          <w:color w:val="231F20"/>
          <w:spacing w:val="-11"/>
        </w:rPr>
        <w:t>ia［J］.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cet，2017，390（10110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  <w:spacing w:val="-14"/>
        </w:rPr>
        <w:t>2343-2345.</w:t>
      </w:r>
    </w:p>
    <w:p>
      <w:pPr>
        <w:pStyle w:val="BodyText"/>
        <w:ind w:left="455" w:right="56" w:hanging="456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［6］  You B，Bolze PA，Lotz JP，et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Avelumab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gesta-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tional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trophoblastic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tumors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resistance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si</w:t>
      </w:r>
      <w:r>
        <w:rPr>
          <w:sz w:val="15"/>
          <w:szCs w:val="15"/>
          <w:color w:val="231F20"/>
          <w:spacing w:val="-11"/>
        </w:rPr>
        <w:t>ngle-agent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motherapy：cohort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TROPHIMMUN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phase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II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trial［J］.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Clin Oncol，2020，38（</w:t>
      </w:r>
      <w:r>
        <w:rPr>
          <w:sz w:val="15"/>
          <w:szCs w:val="15"/>
          <w:color w:val="231F20"/>
          <w:spacing w:val="-13"/>
        </w:rPr>
        <w:t>27</w:t>
      </w:r>
      <w:r>
        <w:rPr>
          <w:sz w:val="15"/>
          <w:szCs w:val="15"/>
          <w:color w:val="231F20"/>
          <w:spacing w:val="-38"/>
          <w:w w:val="94"/>
        </w:rPr>
        <w:t>）：</w:t>
      </w:r>
      <w:r>
        <w:rPr>
          <w:sz w:val="15"/>
          <w:szCs w:val="15"/>
          <w:color w:val="231F20"/>
          <w:spacing w:val="-13"/>
        </w:rPr>
        <w:t>3129-3137.</w:t>
      </w:r>
    </w:p>
    <w:p>
      <w:pPr>
        <w:pStyle w:val="BodyText"/>
        <w:ind w:left="455" w:right="9" w:hanging="456"/>
        <w:spacing w:before="40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［7］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Cheng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HY，Zong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LJ，Kong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YJ，et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al.Camrelizumab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plus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apatinib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high-risk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chemorefractory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or relapsed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gestation-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al trophoblastic neoplasia（CAP 01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  <w:spacing w:val="-10"/>
        </w:rPr>
        <w:t>a single-arm，open-label，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phase 2 trial［J］. Lan</w:t>
      </w:r>
      <w:r>
        <w:rPr>
          <w:sz w:val="15"/>
          <w:szCs w:val="15"/>
          <w:color w:val="231F20"/>
          <w:spacing w:val="-13"/>
        </w:rPr>
        <w:t>cet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Oncol，2021，22（11</w:t>
      </w:r>
      <w:r>
        <w:rPr>
          <w:sz w:val="15"/>
          <w:szCs w:val="15"/>
          <w:color w:val="231F20"/>
          <w:spacing w:val="-41"/>
        </w:rPr>
        <w:t>）：</w:t>
      </w:r>
      <w:r>
        <w:rPr>
          <w:sz w:val="15"/>
          <w:szCs w:val="15"/>
          <w:color w:val="231F20"/>
          <w:spacing w:val="-13"/>
        </w:rPr>
        <w:t>1609-1617.</w:t>
      </w:r>
    </w:p>
    <w:p>
      <w:pPr>
        <w:pStyle w:val="BodyText"/>
        <w:ind w:left="457" w:right="56" w:hanging="457"/>
        <w:spacing w:before="5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［8］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Gadducci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A，Lanfredini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N，Cosio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Reproductive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hydatidiform  mole  and  gestational  trophoblastic  n</w:t>
      </w:r>
      <w:r>
        <w:rPr>
          <w:sz w:val="15"/>
          <w:szCs w:val="15"/>
          <w:color w:val="231F20"/>
          <w:spacing w:val="-12"/>
        </w:rPr>
        <w:t>eoplasia［J］.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Gynecol Endo，2015，31（9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  <w:spacing w:val="-14"/>
        </w:rPr>
        <w:t>673-678.</w:t>
      </w:r>
    </w:p>
    <w:p>
      <w:pPr>
        <w:pStyle w:val="BodyText"/>
        <w:spacing w:before="54"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（2022-12-30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679" w:h="16555"/>
      <w:pgMar w:top="1456" w:right="1105" w:bottom="0" w:left="1109" w:header="1210" w:footer="0" w:gutter="0"/>
      <w:cols w:equalWidth="0" w:num="2">
        <w:col w:w="4758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71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70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6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</w:rPr>
      <w:t>期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71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72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6"/>
      <w:spacing w:before="35" w:line="187" w:lineRule="auto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</w:rPr>
      <w:t>期                      </w:t>
    </w:r>
    <w:r>
      <w:rPr>
        <w:sz w:val="15"/>
        <w:szCs w:val="15"/>
        <w:color w:val="231F20"/>
        <w:spacing w:val="-1"/>
      </w:rPr>
      <w:t xml:space="preserve">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73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9"/>
      <w:spacing w:before="35" w:line="18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74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</w:t>
    </w:r>
    <w:r>
      <w:rPr>
        <w:sz w:val="15"/>
        <w:szCs w:val="15"/>
        <w:color w:val="231F20"/>
        <w:spacing w:val="-2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年 1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 1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header" Target="header3.xml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8.png"/><Relationship Id="rId12" Type="http://schemas.openxmlformats.org/officeDocument/2006/relationships/header" Target="header5.xml"/><Relationship Id="rId11" Type="http://schemas.openxmlformats.org/officeDocument/2006/relationships/image" Target="media/image7.png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2023-02-07T13:42:25Z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2025-10-28T22:21:37</vt:filetime>
  </property>
</Properties>
</file>