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30" w:line="188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-1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2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卷 第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2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-1"/>
        </w:rPr>
        <w:t>期</w:t>
      </w:r>
      <w:r>
        <w:rPr>
          <w:sz w:val="15"/>
          <w:szCs w:val="15"/>
          <w:color w:val="231F20"/>
          <w:spacing w:val="-1"/>
        </w:rPr>
        <w:t xml:space="preserve">                                                                                                     </w:t>
      </w:r>
      <w:r>
        <w:rPr>
          <w:sz w:val="15"/>
          <w:szCs w:val="15"/>
          <w:color w:val="231F20"/>
          <w:spacing w:val="-2"/>
        </w:rPr>
        <w:t xml:space="preserve">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  <w:r>
        <w:rPr>
          <w:sz w:val="15"/>
          <w:szCs w:val="15"/>
          <w:color w:val="231F20"/>
          <w:spacing w:val="-2"/>
        </w:rPr>
        <w:t>189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·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145"/>
        <w:spacing w:before="86" w:line="185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7"/>
          <w:w w:val="150"/>
        </w:rPr>
        <w:t>指南解读</w:t>
      </w:r>
    </w:p>
    <w:p>
      <w:pPr>
        <w:pStyle w:val="BodyText"/>
        <w:ind w:left="68"/>
        <w:spacing w:before="24" w:line="21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 19538/j.fk2023020115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176" w:line="205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-31"/>
        </w:rPr>
        <w:t>《2023 NCCN</w:t>
      </w:r>
      <w:r>
        <w:rPr>
          <w:sz w:val="41"/>
          <w:szCs w:val="41"/>
          <w:color w:val="231F20"/>
          <w:spacing w:val="-39"/>
        </w:rPr>
        <w:t xml:space="preserve"> </w:t>
      </w:r>
      <w:r>
        <w:rPr>
          <w:sz w:val="41"/>
          <w:szCs w:val="41"/>
          <w:color w:val="231F20"/>
          <w:spacing w:val="-31"/>
        </w:rPr>
        <w:t>子宫颈癌临床实践指南（第 1</w:t>
      </w:r>
      <w:r>
        <w:rPr>
          <w:sz w:val="41"/>
          <w:szCs w:val="41"/>
          <w:color w:val="231F20"/>
          <w:spacing w:val="-55"/>
        </w:rPr>
        <w:t xml:space="preserve"> </w:t>
      </w:r>
      <w:r>
        <w:rPr>
          <w:sz w:val="41"/>
          <w:szCs w:val="41"/>
          <w:color w:val="231F20"/>
          <w:spacing w:val="-31"/>
        </w:rPr>
        <w:t>版）》解读</w:t>
      </w:r>
    </w:p>
    <w:p>
      <w:pPr>
        <w:pStyle w:val="BodyText"/>
        <w:ind w:left="3168"/>
        <w:spacing w:before="218" w:line="203" w:lineRule="auto"/>
        <w:rPr>
          <w:sz w:val="10"/>
          <w:szCs w:val="10"/>
        </w:rPr>
      </w:pPr>
      <w:r>
        <w:rPr>
          <w:sz w:val="20"/>
          <w:szCs w:val="20"/>
          <w:color w:val="231F20"/>
        </w:rPr>
        <w:t>周</w:t>
      </w:r>
      <w:r>
        <w:rPr>
          <w:sz w:val="20"/>
          <w:szCs w:val="20"/>
          <w:color w:val="231F20"/>
          <w:spacing w:val="5"/>
        </w:rPr>
        <w:t xml:space="preserve">    </w:t>
      </w:r>
      <w:r>
        <w:rPr>
          <w:sz w:val="20"/>
          <w:szCs w:val="20"/>
          <w:color w:val="231F20"/>
        </w:rPr>
        <w:t>晖</w:t>
      </w:r>
      <w:r>
        <w:rPr>
          <w:sz w:val="10"/>
          <w:szCs w:val="10"/>
          <w:color w:val="231F20"/>
        </w:rPr>
        <w:t>a</w:t>
      </w:r>
      <w:r>
        <w:rPr>
          <w:sz w:val="20"/>
          <w:szCs w:val="20"/>
          <w:color w:val="231F20"/>
          <w:spacing w:val="-16"/>
        </w:rPr>
        <w:t>，刘昀昀</w:t>
      </w:r>
      <w:r>
        <w:rPr>
          <w:sz w:val="10"/>
          <w:szCs w:val="10"/>
          <w:color w:val="231F20"/>
          <w:spacing w:val="12"/>
        </w:rPr>
        <w:t>a</w:t>
      </w:r>
      <w:r>
        <w:rPr>
          <w:sz w:val="20"/>
          <w:szCs w:val="20"/>
          <w:color w:val="231F20"/>
          <w:spacing w:val="-18"/>
        </w:rPr>
        <w:t>，罗</w:t>
      </w:r>
      <w:r>
        <w:rPr>
          <w:sz w:val="20"/>
          <w:szCs w:val="20"/>
          <w:color w:val="231F20"/>
          <w:spacing w:val="20"/>
          <w:w w:val="101"/>
        </w:rPr>
        <w:t xml:space="preserve">   </w:t>
      </w:r>
      <w:r>
        <w:rPr>
          <w:sz w:val="20"/>
          <w:szCs w:val="20"/>
          <w:color w:val="231F20"/>
          <w:spacing w:val="-18"/>
        </w:rPr>
        <w:t>铭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0"/>
          <w:szCs w:val="10"/>
          <w:color w:val="231F20"/>
          <w:spacing w:val="-18"/>
          <w:position w:val="8"/>
        </w:rPr>
        <w:t>b</w:t>
      </w:r>
      <w:r>
        <w:rPr>
          <w:sz w:val="20"/>
          <w:szCs w:val="20"/>
          <w:color w:val="231F20"/>
          <w:spacing w:val="-18"/>
        </w:rPr>
        <w:t>，林仲秋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10"/>
          <w:szCs w:val="10"/>
          <w:color w:val="231F20"/>
          <w:spacing w:val="-18"/>
          <w:position w:val="8"/>
        </w:rPr>
        <w:t>a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35"/>
        <w:spacing w:before="73" w:line="206" w:lineRule="auto"/>
        <w:rPr/>
      </w:pPr>
      <w:r>
        <w:rPr>
          <w:rFonts w:ascii="SimHei" w:hAnsi="SimHei" w:eastAsia="SimHei" w:cs="SimHei"/>
          <w:color w:val="231F20"/>
          <w:spacing w:val="-5"/>
        </w:rPr>
        <w:t>关键词：</w:t>
      </w:r>
      <w:r>
        <w:rPr>
          <w:color w:val="231F20"/>
          <w:spacing w:val="-5"/>
        </w:rPr>
        <w:t>子宫肿瘤；指南解读</w:t>
      </w:r>
    </w:p>
    <w:p>
      <w:pPr>
        <w:pStyle w:val="BodyText"/>
        <w:ind w:left="426"/>
        <w:spacing w:before="9" w:line="214" w:lineRule="auto"/>
        <w:rPr/>
      </w:pPr>
      <w:r>
        <w:rPr>
          <w:color w:val="231F20"/>
          <w:spacing w:val="-12"/>
        </w:rPr>
        <w:t>Keywords：uterine ne</w:t>
      </w:r>
      <w:r>
        <w:rPr>
          <w:color w:val="231F20"/>
          <w:spacing w:val="-13"/>
        </w:rPr>
        <w:t>oplasms；guideline interpretation</w:t>
      </w:r>
    </w:p>
    <w:p>
      <w:pPr>
        <w:pStyle w:val="BodyText"/>
        <w:ind w:left="442"/>
        <w:spacing w:before="57" w:line="197" w:lineRule="auto"/>
        <w:rPr/>
      </w:pPr>
      <w:r>
        <w:rPr>
          <w:rFonts w:ascii="SimHei" w:hAnsi="SimHei" w:eastAsia="SimHei" w:cs="SimHei"/>
          <w:color w:val="231F20"/>
          <w:spacing w:val="-6"/>
        </w:rPr>
        <w:t>中图分类号：</w:t>
      </w:r>
      <w:r>
        <w:rPr>
          <w:color w:val="231F20"/>
          <w:spacing w:val="-6"/>
        </w:rPr>
        <w:t>R737.3</w:t>
      </w:r>
      <w:r>
        <w:rPr>
          <w:color w:val="231F20"/>
          <w:spacing w:val="2"/>
        </w:rPr>
        <w:t xml:space="preserve">       </w:t>
      </w:r>
      <w:r>
        <w:rPr>
          <w:rFonts w:ascii="SimHei" w:hAnsi="SimHei" w:eastAsia="SimHei" w:cs="SimHei"/>
          <w:color w:val="231F20"/>
          <w:spacing w:val="-6"/>
        </w:rPr>
        <w:t>文献标志码：</w:t>
      </w:r>
      <w:r>
        <w:rPr>
          <w:color w:val="231F20"/>
          <w:spacing w:val="-6"/>
        </w:rPr>
        <w:t>A</w:t>
      </w:r>
    </w:p>
    <w:p>
      <w:pPr>
        <w:spacing w:before="102"/>
        <w:rPr/>
      </w:pPr>
      <w:r/>
    </w:p>
    <w:p>
      <w:pPr>
        <w:sectPr>
          <w:pgSz w:w="11452" w:h="16328"/>
          <w:pgMar w:top="1047" w:right="996" w:bottom="0" w:left="987" w:header="0" w:footer="0" w:gutter="0"/>
          <w:cols w:equalWidth="0" w:num="1">
            <w:col w:w="9469" w:space="0"/>
          </w:cols>
        </w:sectPr>
        <w:rPr/>
      </w:pPr>
    </w:p>
    <w:p>
      <w:pPr>
        <w:pStyle w:val="BodyText"/>
        <w:ind w:left="63" w:right="129" w:firstLine="368"/>
        <w:spacing w:before="36" w:line="238" w:lineRule="auto"/>
        <w:jc w:val="both"/>
        <w:rPr/>
      </w:pPr>
      <w:r>
        <w:rPr>
          <w:color w:val="231F20"/>
          <w:spacing w:val="9"/>
        </w:rPr>
        <w:t>子宫颈癌是全球女性第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9"/>
        </w:rPr>
        <w:t>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位常见癌症，严重威胁女性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健康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。2022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年 12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月23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6"/>
        </w:rPr>
        <w:t>日，美国国立综合癌症网络（NCCN）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公布了《2023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子宫颈癌临床实践指南（第 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版）》</w:t>
      </w:r>
      <w:r>
        <w:rPr>
          <w:color w:val="231F20"/>
          <w:spacing w:val="-8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新版指南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根据现有临床试验数据进行了重大更新，包括保守性手术  </w:t>
      </w:r>
      <w:r>
        <w:rPr>
          <w:color w:val="231F20"/>
          <w:spacing w:val="19"/>
        </w:rPr>
        <w:t>标准及对低风险早期子宫颈癌开展保守性手术的推荐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为更好地了解新版指南的变化，现对其进行简要解读。</w:t>
      </w:r>
    </w:p>
    <w:p>
      <w:pPr>
        <w:ind w:left="77"/>
        <w:spacing w:before="278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新版指南主要更新</w:t>
      </w:r>
    </w:p>
    <w:p>
      <w:pPr>
        <w:pStyle w:val="BodyText"/>
        <w:ind w:left="58" w:right="129" w:firstLine="298"/>
        <w:spacing w:before="48"/>
        <w:jc w:val="both"/>
        <w:rPr/>
      </w:pPr>
      <w:r>
        <w:rPr>
          <w:color w:val="231F20"/>
          <w:spacing w:val="-3"/>
        </w:rPr>
        <w:t>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1）低风险早期子宫颈癌即经锥切确诊的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ⅠA2</w:t>
      </w:r>
      <w:r>
        <w:rPr>
          <w:color w:val="231F20"/>
          <w:spacing w:val="-4"/>
        </w:rPr>
        <w:t xml:space="preserve"> ~  ⅠB1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期并满足以下条件：无淋巴脉管间隙浸润（</w:t>
      </w:r>
      <w:r>
        <w:rPr>
          <w:color w:val="231F20"/>
        </w:rPr>
        <w:t>LVSI</w:t>
      </w:r>
      <w:r>
        <w:rPr>
          <w:color w:val="231F20"/>
          <w:spacing w:val="3"/>
        </w:rPr>
        <w:t>）</w:t>
      </w:r>
      <w:r>
        <w:rPr>
          <w:color w:val="231F20"/>
          <w:spacing w:val="2"/>
        </w:rPr>
        <w:t>、切缘阴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性、鳞癌（任何级别）或普通类型腺癌（仅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1"/>
        </w:rPr>
        <w:t>G1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或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1"/>
        </w:rPr>
        <w:t>G2）、肿瘤直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径≤2cm、浸润深度≤10mm、影像学检查无其他部位转移</w:t>
      </w:r>
      <w:r>
        <w:rPr>
          <w:color w:val="231F20"/>
          <w:spacing w:val="-5"/>
        </w:rPr>
        <w:t>者，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如需保留生育，可行锥切加盆腔淋巴结切除（或前哨</w:t>
      </w:r>
      <w:r>
        <w:rPr>
          <w:color w:val="231F20"/>
          <w:spacing w:val="9"/>
        </w:rPr>
        <w:t>淋巴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结显影</w:t>
      </w:r>
      <w:r>
        <w:rPr>
          <w:color w:val="231F20"/>
          <w:spacing w:val="-27"/>
          <w:w w:val="67"/>
        </w:rPr>
        <w:t>）；</w:t>
      </w:r>
      <w:r>
        <w:rPr>
          <w:color w:val="231F20"/>
          <w:spacing w:val="12"/>
        </w:rPr>
        <w:t>如无生育要求者可行筋膜外全子宫切除+盆腔淋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巴结切除（或前哨淋巴结显影）。（2）初治保留生育功能的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锥切术阴性切缘要求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6"/>
        </w:rPr>
        <w:t>，从术后病理至少 3</w:t>
      </w:r>
      <w:r>
        <w:rPr>
          <w:color w:val="231F20"/>
        </w:rPr>
        <w:t>mm</w:t>
      </w:r>
      <w:r>
        <w:rPr>
          <w:color w:val="231F20"/>
          <w:spacing w:val="16"/>
        </w:rPr>
        <w:t xml:space="preserve"> 改为至少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1mm。（3）小细胞神经内分泌癌化疗方案</w:t>
      </w:r>
      <w:r>
        <w:rPr>
          <w:color w:val="231F20"/>
          <w:spacing w:val="-10"/>
        </w:rPr>
        <w:t>为顺铂（或卡铂，如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顺铂不耐受）+依托泊苷；前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个周期的化疗可与放疗同时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进行（第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天和第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22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天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-2"/>
        </w:rPr>
        <w:t>后续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个周期在放疗后施行。（4）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所有子宫颈腺癌均建议病理评估人乳头瘤病毒（</w:t>
      </w:r>
      <w:r>
        <w:rPr>
          <w:color w:val="231F20"/>
        </w:rPr>
        <w:t>HPV</w:t>
      </w:r>
      <w:r>
        <w:rPr>
          <w:color w:val="231F20"/>
          <w:spacing w:val="10"/>
        </w:rPr>
        <w:t>）状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态；首选原位杂交（ISH）或分子检测，如上述检测无</w:t>
      </w:r>
      <w:r>
        <w:rPr>
          <w:color w:val="231F20"/>
          <w:spacing w:val="-2"/>
        </w:rPr>
        <w:t>法实现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可做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9"/>
        </w:rPr>
        <w:t>p16；对局部晚期或转移性子宫颈癌患者可考虑检测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5"/>
        </w:rPr>
        <w:t>RET</w:t>
      </w:r>
      <w:r>
        <w:rPr>
          <w:color w:val="231F20"/>
          <w:spacing w:val="-5"/>
        </w:rPr>
        <w:t>基因融合。（5）全身系统性治疗方案更新。</w:t>
      </w:r>
    </w:p>
    <w:p>
      <w:pPr>
        <w:ind w:left="66"/>
        <w:spacing w:before="262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手术分期</w:t>
      </w:r>
    </w:p>
    <w:p>
      <w:pPr>
        <w:pStyle w:val="BodyText"/>
        <w:ind w:left="62" w:right="193" w:firstLine="360"/>
        <w:spacing w:before="75" w:line="235" w:lineRule="auto"/>
        <w:rPr/>
      </w:pPr>
      <w:r>
        <w:rPr>
          <w:color w:val="231F20"/>
          <w:spacing w:val="-5"/>
        </w:rPr>
        <w:t>仍采用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2018 国际妇产科联盟（FIGO）更正手术</w:t>
      </w:r>
      <w:r>
        <w:rPr>
          <w:color w:val="231F20"/>
          <w:spacing w:val="-6"/>
        </w:rPr>
        <w:t>分期，影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像学和手术病理评估均纳入分期。</w:t>
      </w:r>
    </w:p>
    <w:p>
      <w:pPr>
        <w:ind w:left="68"/>
        <w:spacing w:before="293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手术原则</w:t>
      </w:r>
    </w:p>
    <w:p>
      <w:pPr>
        <w:pStyle w:val="BodyText"/>
        <w:ind w:left="426"/>
        <w:spacing w:before="81" w:line="186" w:lineRule="auto"/>
        <w:rPr/>
      </w:pPr>
      <w:r>
        <w:rPr>
          <w:color w:val="231F20"/>
          <w:spacing w:val="9"/>
        </w:rPr>
        <w:t>子宫颈癌手术范围和方式按分期进行分层。</w:t>
      </w:r>
    </w:p>
    <w:p>
      <w:pPr>
        <w:pStyle w:val="BodyText"/>
        <w:ind w:left="76" w:right="187" w:hanging="7"/>
        <w:spacing w:before="28" w:line="267" w:lineRule="auto"/>
        <w:jc w:val="right"/>
        <w:rPr>
          <w:sz w:val="15"/>
          <w:szCs w:val="15"/>
        </w:rPr>
      </w:pPr>
      <w:r>
        <w:rPr>
          <w:color w:val="231F20"/>
          <w:spacing w:val="6"/>
        </w:rPr>
        <w:t>3.1   锥切和筋膜外子宫切除术     ⅠA1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期、无</w:t>
      </w:r>
      <w:r>
        <w:rPr>
          <w:color w:val="231F20"/>
          <w:spacing w:val="5"/>
        </w:rPr>
        <w:t>淋巴脉管间</w:t>
      </w:r>
      <w:r>
        <w:rPr>
          <w:color w:val="231F20"/>
        </w:rPr>
        <w:t xml:space="preserve"> </w:t>
      </w:r>
      <w:r>
        <w:rPr>
          <w:u w:val="single" w:color="auto"/>
          <w:color w:val="231F20"/>
          <w:spacing w:val="9"/>
        </w:rPr>
        <w:t>隙浸润患者淋巴转移率</w:t>
      </w:r>
      <w:r>
        <w:rPr>
          <w:color w:val="231F20"/>
          <w:spacing w:val="9"/>
        </w:rPr>
        <w:t>小于 1%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。保留生育功能者可行锥</w:t>
      </w:r>
      <w:r>
        <w:rPr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作者单位：中山大学孙逸仙纪念医院，a.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妇科，b.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放疗科，广东</w:t>
      </w:r>
    </w:p>
    <w:p>
      <w:pPr>
        <w:pStyle w:val="BodyText"/>
        <w:ind w:left="65"/>
        <w:spacing w:line="18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广州 510120</w:t>
      </w:r>
    </w:p>
    <w:p>
      <w:pPr>
        <w:pStyle w:val="BodyText"/>
        <w:ind w:left="385"/>
        <w:spacing w:before="37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通讯作者：林仲秋，电子信箱：lin-zhongqiu@163.</w:t>
      </w:r>
      <w:r>
        <w:rPr>
          <w:sz w:val="15"/>
          <w:szCs w:val="15"/>
          <w:color w:val="231F20"/>
          <w:spacing w:val="-9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52" w:firstLine="1"/>
        <w:spacing w:before="30" w:line="237" w:lineRule="auto"/>
        <w:jc w:val="both"/>
        <w:rPr/>
      </w:pPr>
      <w:r>
        <w:rPr>
          <w:color w:val="231F20"/>
          <w:spacing w:val="8"/>
        </w:rPr>
        <w:t>切，不保留生育功能者可行筋膜外子宫切除术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。锥切要求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整块切除部分子宫颈及子宫颈管组织，为病理专家提供一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个完整的、无电外科伪影的非碎片样本，有助于边缘状态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评估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。锥切切缘要求至少有 1</w:t>
      </w:r>
      <w:r>
        <w:rPr>
          <w:color w:val="231F20"/>
        </w:rPr>
        <w:t>mm</w:t>
      </w:r>
      <w:r>
        <w:rPr>
          <w:color w:val="231F20"/>
          <w:spacing w:val="1"/>
        </w:rPr>
        <w:t xml:space="preserve"> 的阴性距离（切缘阴性指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切缘无浸润性病变或高度鳞状上皮内病变）。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切除深度至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少为 10 </w:t>
      </w:r>
      <w:r>
        <w:rPr>
          <w:color w:val="231F20"/>
        </w:rPr>
        <w:t>mm</w:t>
      </w:r>
      <w:r>
        <w:rPr>
          <w:color w:val="231F20"/>
          <w:spacing w:val="1"/>
        </w:rPr>
        <w:t>，已生育者可增加到 18～20</w:t>
      </w:r>
      <w:r>
        <w:rPr>
          <w:color w:val="231F20"/>
        </w:rPr>
        <w:t>mm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。推荐冷刀锥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。如能整块切除并达到足够的阴性切缘，</w:t>
      </w:r>
      <w:r>
        <w:rPr>
          <w:color w:val="231F20"/>
          <w:spacing w:val="8"/>
        </w:rPr>
        <w:t>也可以采用环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形电切术（</w:t>
      </w:r>
      <w:r>
        <w:rPr>
          <w:color w:val="231F20"/>
        </w:rPr>
        <w:t>LEEP</w:t>
      </w:r>
      <w:r>
        <w:rPr>
          <w:color w:val="231F20"/>
          <w:spacing w:val="-25"/>
          <w:w w:val="60"/>
        </w:rPr>
        <w:t>），</w:t>
      </w:r>
      <w:r>
        <w:rPr>
          <w:color w:val="231F20"/>
          <w:spacing w:val="10"/>
        </w:rPr>
        <w:t>但必须尽量减少烧灼切缘对病理判断的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影响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。锥切组织的形状和深度需与病灶大小</w:t>
      </w:r>
      <w:r>
        <w:rPr>
          <w:color w:val="231F20"/>
          <w:spacing w:val="8"/>
        </w:rPr>
        <w:t>、形状和病变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部位相适应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。位于子宫颈管的可疑浸润性腺癌与原位腺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癌，锥切应设计成一个窄长锥形，延伸至子宫颈内口以避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6"/>
        </w:rPr>
        <w:t>免遗漏子宫颈管病变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。推荐在锥顶上方的子宫颈管取样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以评估是否残留病灶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。锥切既是诊断也是治疗手段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。不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保留生育功能者，经锥切确诊的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4"/>
        </w:rPr>
        <w:t>ⅠA1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期淋巴脉管间隙无浸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润者可行单纯筋膜外子宫切除术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 ⅠA1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期伴有淋巴</w:t>
      </w:r>
      <w:r>
        <w:rPr>
          <w:color w:val="231F20"/>
          <w:spacing w:val="9"/>
        </w:rPr>
        <w:t>脉管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间隙浸润者，保留生育者可行锥切加盆腔前哨淋巴结显影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或盆腔淋巴结切除术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。不保留生育按 ⅠA2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处理。</w:t>
      </w:r>
    </w:p>
    <w:p>
      <w:pPr>
        <w:pStyle w:val="BodyText"/>
        <w:ind w:left="67" w:firstLine="6"/>
        <w:spacing w:before="11" w:line="233" w:lineRule="auto"/>
        <w:rPr/>
      </w:pPr>
      <w:r>
        <w:rPr>
          <w:color w:val="231F20"/>
          <w:spacing w:val="6"/>
        </w:rPr>
        <w:t>3.2   根治性子宫切除术加双侧盆腔淋巴结切除术（或前哨  </w:t>
      </w:r>
      <w:r>
        <w:rPr>
          <w:color w:val="231F20"/>
          <w:spacing w:val="-3"/>
        </w:rPr>
        <w:t>淋巴结显影）  是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ⅠA2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到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ⅠB2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及部分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ⅠB3 ~  ⅡA1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期的首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选治疗方法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。相比筋膜外子宫切除术切除了更多宫旁组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织，包括部分主韧带、宫骶韧带和阴道上段和盆腔淋</w:t>
      </w:r>
      <w:r>
        <w:rPr>
          <w:color w:val="231F20"/>
          <w:spacing w:val="4"/>
        </w:rPr>
        <w:t>巴结，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必要时切除腹主动脉旁淋巴结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。根治性子宫切除术的标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准术式是开腹入路（1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类）。 前瞻性随机对照试验表明，微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创根治性子宫切除术与开腹根治性子宫切除术相比，无病  </w:t>
      </w:r>
      <w:r>
        <w:rPr>
          <w:color w:val="231F20"/>
          <w:spacing w:val="-6"/>
        </w:rPr>
        <w:t>生存率（DFS）和总体生存率（OS）较低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。此外，最近的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项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研究还表明，对于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ⅠA2 ~  ⅠB1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期子宫颈癌，微创根治性子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宫切除术与开腹手术相比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更低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>QM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分型描述了三维</w:t>
      </w:r>
    </w:p>
    <w:p>
      <w:pPr>
        <w:pStyle w:val="BodyText"/>
        <w:ind w:left="68" w:hanging="68"/>
        <w:spacing w:before="37" w:line="224" w:lineRule="auto"/>
        <w:rPr/>
      </w:pPr>
      <w:r>
        <w:rPr>
          <w:color w:val="231F20"/>
        </w:rPr>
        <w:t>（3D）切除程度和神经保留，详见指南的表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2（该表无更新， </w:t>
      </w:r>
      <w:r>
        <w:rPr>
          <w:color w:val="231F20"/>
          <w:spacing w:val="-8"/>
        </w:rPr>
        <w:t>详见本刊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2020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36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卷第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2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期 131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页表 </w:t>
      </w:r>
      <w:r>
        <w:rPr>
          <w:color w:val="231F20"/>
          <w:spacing w:val="-9"/>
        </w:rPr>
        <w:t>1）。</w:t>
      </w:r>
    </w:p>
    <w:p>
      <w:pPr>
        <w:pStyle w:val="BodyText"/>
        <w:ind w:left="1" w:right="52" w:firstLine="71"/>
        <w:spacing w:before="36" w:line="220" w:lineRule="auto"/>
        <w:rPr/>
      </w:pPr>
      <w:r>
        <w:rPr>
          <w:color w:val="231F20"/>
          <w:spacing w:val="1"/>
        </w:rPr>
        <w:t>3.3    腹 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淋 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切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除    通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常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达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系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膜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下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脉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（</w:t>
      </w:r>
      <w:r>
        <w:rPr>
          <w:color w:val="231F20"/>
        </w:rPr>
        <w:t>IMA</w:t>
      </w:r>
      <w:r>
        <w:rPr>
          <w:color w:val="231F20"/>
          <w:spacing w:val="6"/>
        </w:rPr>
        <w:t>）的水平，可根据临床和影像学结果调整上界手术范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7"/>
        </w:rPr>
        <w:t>围。</w:t>
      </w:r>
    </w:p>
    <w:p>
      <w:pPr>
        <w:pStyle w:val="BodyText"/>
        <w:ind w:left="69" w:right="52" w:firstLine="4"/>
        <w:spacing w:before="63" w:line="212" w:lineRule="auto"/>
        <w:rPr/>
      </w:pPr>
      <w:r>
        <w:rPr>
          <w:color w:val="231F20"/>
          <w:spacing w:val="10"/>
        </w:rPr>
        <w:t>3.4   根治性子宫颈切除术    经阴道广泛子宫颈切除加腹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9"/>
        </w:rPr>
        <w:t>腔镜下淋巴结切除（或前哨淋巴结显影）适用于经仔细筛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选的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ⅠA2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期或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4"/>
        </w:rPr>
        <w:t>ⅠB1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期需要保留生育功能的患者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。宫旁和</w:t>
      </w:r>
    </w:p>
    <w:p>
      <w:pPr>
        <w:spacing w:line="212" w:lineRule="auto"/>
        <w:sectPr>
          <w:type w:val="continuous"/>
          <w:pgSz w:w="11452" w:h="16328"/>
          <w:pgMar w:top="1047" w:right="996" w:bottom="0" w:left="987" w:header="0" w:footer="0" w:gutter="0"/>
          <w:cols w:equalWidth="0" w:num="2">
            <w:col w:w="4753" w:space="100"/>
            <w:col w:w="4617" w:space="0"/>
          </w:cols>
        </w:sectPr>
        <w:rPr/>
      </w:pPr>
    </w:p>
    <w:p>
      <w:pPr>
        <w:pStyle w:val="BodyText"/>
        <w:ind w:left="92"/>
        <w:spacing w:before="30" w:line="1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190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2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74"/>
        <w:rPr/>
      </w:pPr>
      <w:r/>
    </w:p>
    <w:p>
      <w:pPr>
        <w:sectPr>
          <w:pgSz w:w="11452" w:h="16328"/>
          <w:pgMar w:top="1047" w:right="984" w:bottom="0" w:left="983" w:header="0" w:footer="0" w:gutter="0"/>
          <w:cols w:equalWidth="0" w:num="1">
            <w:col w:w="9484" w:space="0"/>
          </w:cols>
        </w:sectPr>
        <w:rPr/>
      </w:pPr>
    </w:p>
    <w:p>
      <w:pPr>
        <w:pStyle w:val="BodyText"/>
        <w:ind w:left="67" w:right="194" w:firstLine="15"/>
        <w:spacing w:before="44" w:line="237" w:lineRule="auto"/>
        <w:jc w:val="both"/>
        <w:rPr/>
      </w:pPr>
      <w:r>
        <w:rPr>
          <w:color w:val="231F20"/>
          <w:spacing w:val="9"/>
        </w:rPr>
        <w:t>阴道上段的切除范围同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QM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类根治性子宫切除术</w:t>
      </w:r>
      <w:r>
        <w:rPr>
          <w:color w:val="231F20"/>
          <w:spacing w:val="8"/>
        </w:rPr>
        <w:t>，保留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子宫体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。已报道有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300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多例妊娠，中孕流产率为 10%，72%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的患者可维持到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37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孕周或以上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1"/>
        </w:rPr>
        <w:t>。经腹根治性子宫颈切除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术与经阴道途径相比能切除更多的宫旁组织，适用于部分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ⅠB1 ~  ⅠB2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期患者，手术范围类似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QM C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类根治性子宫切 </w:t>
      </w:r>
      <w:r>
        <w:rPr>
          <w:color w:val="231F20"/>
          <w:spacing w:val="5"/>
        </w:rPr>
        <w:t>除术。</w:t>
      </w:r>
    </w:p>
    <w:p>
      <w:pPr>
        <w:pStyle w:val="BodyText"/>
        <w:ind w:left="66" w:right="131" w:firstLine="5"/>
        <w:spacing w:before="3" w:line="224" w:lineRule="auto"/>
        <w:rPr/>
      </w:pPr>
      <w:r>
        <w:rPr>
          <w:color w:val="231F20"/>
          <w:spacing w:val="12"/>
        </w:rPr>
        <w:t>3.5    ⅡB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2"/>
        </w:rPr>
        <w:t>期及以上的晚期病例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12"/>
        </w:rPr>
        <w:t>通常不采用手术治疗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大多数美国的晚期患者采用放化疗。在有些国家，部分ⅡB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7"/>
        </w:rPr>
        <w:t>期病例可能首选根治性子宫切除术或新辅助化疗后进行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根治性子宫切除术。</w:t>
      </w:r>
    </w:p>
    <w:p>
      <w:pPr>
        <w:pStyle w:val="BodyText"/>
        <w:ind w:left="66" w:right="128" w:firstLine="5"/>
        <w:spacing w:before="59" w:line="232" w:lineRule="auto"/>
        <w:rPr/>
      </w:pPr>
      <w:r>
        <w:rPr>
          <w:color w:val="231F20"/>
          <w:spacing w:val="12"/>
        </w:rPr>
        <w:t>3.6   放疗后盆腔中心性复发或病灶持续存在者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12"/>
        </w:rPr>
        <w:t>采用盆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腔器官廓清术仍有治愈的可能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。术前需明确是否存在远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处转移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。如复发局限于盆腔，可进行手术探查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。未侵犯盆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壁及淋巴结者可切除盆腔器官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。根据肿瘤的位置采用前、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后或全盆腔器官廓清术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。若有足够的手术切</w:t>
      </w:r>
      <w:r>
        <w:rPr>
          <w:color w:val="231F20"/>
          <w:spacing w:val="8"/>
        </w:rPr>
        <w:t>缘，可保留盆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底肌肉和肛门括约肌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。指南中的表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总结了盆腔器官廓清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术的不同类型及切除范围（该表无更新，详见本刊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4"/>
        </w:rPr>
        <w:t>2020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第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36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卷第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期 131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页表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2）。 盆腔器官廓清术很少用于初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治，仅用于不宜盆腔放疗或因既往患有其他疾病，已接受  </w:t>
      </w:r>
      <w:r>
        <w:rPr>
          <w:color w:val="231F20"/>
          <w:spacing w:val="9"/>
        </w:rPr>
        <w:t>过盆腔放疗或局部晚期子宫颈癌不适合盆腔放疗的患者。</w:t>
      </w:r>
    </w:p>
    <w:p>
      <w:pPr>
        <w:pStyle w:val="BodyText"/>
        <w:ind w:left="66" w:right="130" w:firstLine="5"/>
        <w:spacing w:before="24" w:line="237" w:lineRule="auto"/>
        <w:rPr/>
      </w:pPr>
      <w:r>
        <w:rPr>
          <w:color w:val="231F20"/>
          <w:spacing w:val="3"/>
        </w:rPr>
        <w:t>3.7   前哨淋巴结显影    该技术已经被应用于经选择的 Ⅰ期  </w:t>
      </w:r>
      <w:r>
        <w:rPr>
          <w:color w:val="231F20"/>
          <w:spacing w:val="14"/>
        </w:rPr>
        <w:t>子宫颈癌患者手术程序中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4"/>
        </w:rPr>
        <w:t>。尽管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SLN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4"/>
        </w:rPr>
        <w:t>可用于病灶直径达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4</w:t>
      </w:r>
      <w:r>
        <w:rPr>
          <w:color w:val="231F20"/>
        </w:rPr>
        <w:t>cm</w:t>
      </w:r>
      <w:r>
        <w:rPr>
          <w:color w:val="231F20"/>
          <w:spacing w:val="6"/>
        </w:rPr>
        <w:t xml:space="preserve"> 的患者，但肿瘤直径＜2</w:t>
      </w:r>
      <w:r>
        <w:rPr>
          <w:color w:val="231F20"/>
        </w:rPr>
        <w:t>cm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6"/>
        </w:rPr>
        <w:t>时的检测率和显影效</w:t>
      </w:r>
      <w:r>
        <w:rPr>
          <w:color w:val="231F20"/>
          <w:spacing w:val="5"/>
        </w:rPr>
        <w:t>果最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好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。操作时可直接在子宫颈的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4"/>
        </w:rPr>
        <w:t>9点或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3、6</w:t>
      </w:r>
      <w:r>
        <w:rPr>
          <w:color w:val="231F20"/>
          <w:spacing w:val="-5"/>
        </w:rPr>
        <w:t>、9、12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点位置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注射染料或放射性胶体锝-99m（</w:t>
      </w:r>
      <w:r>
        <w:rPr>
          <w:sz w:val="9"/>
          <w:szCs w:val="9"/>
          <w:color w:val="231F20"/>
          <w:spacing w:val="4"/>
          <w:position w:val="7"/>
        </w:rPr>
        <w:t>99</w:t>
      </w:r>
      <w:r>
        <w:rPr>
          <w:sz w:val="9"/>
          <w:szCs w:val="9"/>
          <w:color w:val="231F20"/>
          <w:position w:val="7"/>
        </w:rPr>
        <w:t>m</w:t>
      </w:r>
      <w:r>
        <w:rPr>
          <w:color w:val="231F20"/>
        </w:rPr>
        <w:t>Tc</w:t>
      </w:r>
      <w:r>
        <w:rPr>
          <w:color w:val="231F20"/>
          <w:spacing w:val="4"/>
        </w:rPr>
        <w:t>）。通过注射吲哚菁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绿（</w:t>
      </w:r>
      <w:r>
        <w:rPr>
          <w:color w:val="231F20"/>
        </w:rPr>
        <w:t>ICG</w:t>
      </w:r>
      <w:r>
        <w:rPr>
          <w:color w:val="231F20"/>
          <w:spacing w:val="1"/>
        </w:rPr>
        <w:t>）者用荧光摄像头显影；注射</w:t>
      </w:r>
      <w:r>
        <w:rPr>
          <w:color w:val="231F20"/>
          <w:spacing w:val="-12"/>
        </w:rPr>
        <w:t xml:space="preserve"> </w:t>
      </w:r>
      <w:r>
        <w:rPr>
          <w:sz w:val="9"/>
          <w:szCs w:val="9"/>
          <w:color w:val="231F20"/>
          <w:spacing w:val="1"/>
          <w:position w:val="7"/>
        </w:rPr>
        <w:t>99</w:t>
      </w:r>
      <w:r>
        <w:rPr>
          <w:sz w:val="9"/>
          <w:szCs w:val="9"/>
          <w:color w:val="231F20"/>
          <w:position w:val="7"/>
        </w:rPr>
        <w:t>m</w:t>
      </w:r>
      <w:r>
        <w:rPr>
          <w:color w:val="231F20"/>
        </w:rPr>
        <w:t>Tc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者使用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γ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探测器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探测；注射染料者直接肉眼观察，从而在术</w:t>
      </w:r>
      <w:r>
        <w:rPr>
          <w:color w:val="231F20"/>
          <w:spacing w:val="9"/>
        </w:rPr>
        <w:t>中识别前哨淋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巴结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。前哨淋巴结通常位于髂外血管内侧、侧</w:t>
      </w:r>
      <w:r>
        <w:rPr>
          <w:color w:val="231F20"/>
          <w:spacing w:val="8"/>
        </w:rPr>
        <w:t>脐韧带外侧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或闭孔窝上部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。前哨淋巴结通常由病理学家进行超分期，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从而可以更高程度地检测可能会改变术后处理的微转移。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关键技术是严格按照以下检测流程：切除所</w:t>
      </w:r>
      <w:r>
        <w:rPr>
          <w:color w:val="231F20"/>
          <w:spacing w:val="9"/>
        </w:rPr>
        <w:t>有显影的淋巴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结（这些淋巴结如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染色无转移，病理专家需采用更高级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的检测技术）→切除任何可疑淋巴结（不论有无显</w:t>
      </w:r>
      <w:r>
        <w:rPr>
          <w:color w:val="231F20"/>
          <w:spacing w:val="2"/>
        </w:rPr>
        <w:t>影）→一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侧没有显影淋巴结时，切除该侧淋巴结→肿</w:t>
      </w:r>
      <w:r>
        <w:rPr>
          <w:color w:val="231F20"/>
          <w:spacing w:val="9"/>
        </w:rPr>
        <w:t>瘤和宫旁组织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整块切除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。这些结果可为术后的辅助治疗提供依据。</w:t>
      </w:r>
      <w:r>
        <w:rPr>
          <w:color w:val="231F20"/>
        </w:rPr>
        <w:t>Meta  </w:t>
      </w:r>
      <w:r>
        <w:rPr>
          <w:color w:val="231F20"/>
          <w:spacing w:val="3"/>
        </w:rPr>
        <w:t>分析结果显示，前哨淋巴结显影会有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89%～92% 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SLN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检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测率和 89%～90% 的灵敏度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Ⅲ期临床试验表明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，采用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ICG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能识别出比蓝色染料更多的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SLN（总体和双侧）。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67"/>
        <w:spacing w:before="56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放射治疗原则</w:t>
      </w:r>
    </w:p>
    <w:p>
      <w:pPr>
        <w:pStyle w:val="BodyText"/>
        <w:ind w:right="194" w:firstLine="67"/>
        <w:spacing w:before="77" w:line="224" w:lineRule="auto"/>
        <w:jc w:val="both"/>
        <w:rPr/>
      </w:pPr>
      <w:r>
        <w:rPr>
          <w:color w:val="231F20"/>
          <w:spacing w:val="8"/>
        </w:rPr>
        <w:t>4.1   放疗总原则    </w:t>
      </w:r>
      <w:r>
        <w:rPr>
          <w:color w:val="231F20"/>
        </w:rPr>
        <w:t>CT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8"/>
        </w:rPr>
        <w:t>为基础的治疗计划和适形挡块是标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准的外照射（</w:t>
      </w:r>
      <w:r>
        <w:rPr>
          <w:color w:val="231F20"/>
        </w:rPr>
        <w:t>EBRT</w:t>
      </w:r>
      <w:r>
        <w:rPr>
          <w:color w:val="231F20"/>
          <w:spacing w:val="9"/>
        </w:rPr>
        <w:t>）的基础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>MRI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是判断进展期患者肿瘤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软组织和宫旁侵犯的最好方式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9"/>
        </w:rPr>
        <w:t>。对于还没有行手术</w:t>
      </w:r>
      <w:r>
        <w:rPr>
          <w:color w:val="231F20"/>
          <w:spacing w:val="18"/>
        </w:rPr>
        <w:t>分期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的患者，正电子发射计算机断层显像（</w:t>
      </w:r>
      <w:r>
        <w:rPr>
          <w:color w:val="231F20"/>
        </w:rPr>
        <w:t>PET</w:t>
      </w:r>
      <w:r>
        <w:rPr>
          <w:color w:val="231F20"/>
          <w:spacing w:val="3"/>
        </w:rPr>
        <w:t>-</w:t>
      </w:r>
      <w:r>
        <w:rPr>
          <w:color w:val="231F20"/>
        </w:rPr>
        <w:t>CT</w:t>
      </w:r>
      <w:r>
        <w:rPr>
          <w:color w:val="231F20"/>
          <w:spacing w:val="3"/>
        </w:rPr>
        <w:t>）影像有助于</w:t>
      </w:r>
      <w:r>
        <w:rPr>
          <w:color w:val="231F20"/>
        </w:rPr>
        <w:t xml:space="preserve"> </w:t>
      </w:r>
      <w:r>
        <w:rPr>
          <w:color w:val="231F20"/>
          <w:spacing w:val="26"/>
        </w:rPr>
        <w:t>判断淋巴结的范围及术后有没切除异常淋巴结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6"/>
        </w:rPr>
        <w:t>。放疗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（</w:t>
      </w:r>
      <w:r>
        <w:rPr>
          <w:color w:val="231F20"/>
        </w:rPr>
        <w:t>RT</w:t>
      </w:r>
      <w:r>
        <w:rPr>
          <w:color w:val="231F20"/>
          <w:spacing w:val="7"/>
        </w:rPr>
        <w:t>）是作用在已知或可疑肿瘤的部位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</w:rPr>
        <w:t>EBRT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作用在宫旁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有或无主动脉旁区域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9"/>
        </w:rPr>
        <w:t>。近距离放疗是不行手术的原</w:t>
      </w:r>
      <w:r>
        <w:rPr>
          <w:color w:val="231F20"/>
          <w:spacing w:val="18"/>
        </w:rPr>
        <w:t>发子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1" w:right="64" w:hanging="11"/>
        <w:spacing w:before="38" w:line="238" w:lineRule="auto"/>
        <w:jc w:val="both"/>
        <w:rPr/>
      </w:pPr>
      <w:r>
        <w:rPr>
          <w:color w:val="231F20"/>
          <w:spacing w:val="8"/>
        </w:rPr>
        <w:t>宫颈癌患者根治放疗的重要部分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。使用腔内和（或）插植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的方法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。大多数子宫颈癌患者接受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EBRT</w:t>
      </w:r>
      <w:r>
        <w:rPr>
          <w:color w:val="231F20"/>
          <w:spacing w:val="7"/>
        </w:rPr>
        <w:t>，需要在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EBRT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期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间行顺铂为基础的同期化疗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。8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周内完成治疗疗效最佳。</w:t>
      </w:r>
    </w:p>
    <w:p>
      <w:pPr>
        <w:pStyle w:val="BodyText"/>
        <w:ind w:left="67"/>
        <w:spacing w:before="1" w:line="188" w:lineRule="auto"/>
        <w:rPr/>
      </w:pPr>
      <w:r>
        <w:rPr>
          <w:color w:val="231F20"/>
          <w:spacing w:val="3"/>
        </w:rPr>
        <w:t>4.2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3"/>
        </w:rPr>
        <w:t>总的治疗信息</w:t>
      </w:r>
    </w:p>
    <w:p>
      <w:pPr>
        <w:pStyle w:val="BodyText"/>
        <w:ind w:firstLine="67"/>
        <w:spacing w:before="46" w:line="235" w:lineRule="auto"/>
        <w:rPr/>
      </w:pPr>
      <w:r>
        <w:rPr>
          <w:color w:val="231F20"/>
          <w:spacing w:val="7"/>
        </w:rPr>
        <w:t>4.2.1   靶体积    已经明确了大体肿瘤体积（</w:t>
      </w:r>
      <w:r>
        <w:rPr>
          <w:color w:val="231F20"/>
        </w:rPr>
        <w:t>GTV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6"/>
        </w:rPr>
        <w:t>临床靶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体积（</w:t>
      </w:r>
      <w:r>
        <w:rPr>
          <w:color w:val="231F20"/>
        </w:rPr>
        <w:t>CTV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5"/>
        </w:rPr>
        <w:t>计划靶体积（</w:t>
      </w:r>
      <w:r>
        <w:rPr>
          <w:color w:val="231F20"/>
        </w:rPr>
        <w:t>PTV</w:t>
      </w:r>
      <w:r>
        <w:rPr>
          <w:color w:val="231F20"/>
          <w:spacing w:val="5"/>
        </w:rPr>
        <w:t>）及危及器官（</w:t>
      </w:r>
      <w:r>
        <w:rPr>
          <w:color w:val="231F20"/>
        </w:rPr>
        <w:t>OARs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5"/>
        </w:rPr>
        <w:t>内部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4"/>
        </w:rPr>
        <w:t>器官运动以及剂量体积直方图（</w:t>
      </w:r>
      <w:r>
        <w:rPr>
          <w:color w:val="231F20"/>
        </w:rPr>
        <w:t>DVH</w:t>
      </w:r>
      <w:r>
        <w:rPr>
          <w:color w:val="231F20"/>
          <w:spacing w:val="4"/>
        </w:rPr>
        <w:t>）的概念，这些在三维  </w:t>
      </w:r>
      <w:r>
        <w:rPr>
          <w:color w:val="231F20"/>
          <w:spacing w:val="1"/>
        </w:rPr>
        <w:t>适形放疗，特别是调强放疗（</w:t>
      </w:r>
      <w:r>
        <w:rPr>
          <w:color w:val="231F20"/>
        </w:rPr>
        <w:t>IMRT</w:t>
      </w:r>
      <w:r>
        <w:rPr>
          <w:color w:val="231F20"/>
          <w:spacing w:val="1"/>
        </w:rPr>
        <w:t>）中非常重要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。特别注意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细节及可重复性（包括考虑靶区和正常组织定义、病人和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9"/>
        </w:rPr>
        <w:t>内部器官运动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9"/>
        </w:rPr>
        <w:t>、软组织变形和严格的剂量和物理治疗保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证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16"/>
        </w:rPr>
        <w:t>这对于正确的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IMRT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和相关的高度适形技术的实施非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常必要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。常规的图像引导（如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CBCT</w:t>
      </w:r>
      <w:r>
        <w:rPr>
          <w:color w:val="231F20"/>
          <w:spacing w:val="7"/>
        </w:rPr>
        <w:t>）应用于判断正常内部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软组织的位置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</w:rPr>
        <w:t>EBRT</w:t>
      </w:r>
      <w:r>
        <w:rPr>
          <w:color w:val="231F20"/>
          <w:spacing w:val="14"/>
        </w:rPr>
        <w:t xml:space="preserve"> 的体积应该包括大体肿瘤（如果患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者有的话）、宫旁、宫骶韧带、距大体肿瘤足够的阴道边缘  </w:t>
      </w:r>
      <w:r>
        <w:rPr>
          <w:color w:val="231F20"/>
          <w:spacing w:val="8"/>
        </w:rPr>
        <w:t>（至少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3</w:t>
      </w:r>
      <w:r>
        <w:rPr>
          <w:color w:val="231F20"/>
        </w:rPr>
        <w:t>cm</w:t>
      </w:r>
      <w:r>
        <w:rPr>
          <w:color w:val="231F20"/>
          <w:spacing w:val="8"/>
        </w:rPr>
        <w:t>）,骶前淋巴结及其他可能危及的淋巴结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。对于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术中发现或者影像淋学上淋巴结阴性的患者，放疗的靶区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1"/>
        </w:rPr>
        <w:t>应包括髂内、髂外、闭孔和骶前淋巴结区域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。对于有高危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淋巴结转移倾向的患者（如大肿瘤，可疑或者确定位于低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6"/>
        </w:rPr>
        <w:t>位真骨盆的淋巴结</w:t>
      </w:r>
      <w:r>
        <w:rPr>
          <w:color w:val="231F20"/>
          <w:spacing w:val="-25"/>
          <w:w w:val="62"/>
        </w:rPr>
        <w:t>），</w:t>
      </w:r>
      <w:r>
        <w:rPr>
          <w:color w:val="231F20"/>
          <w:spacing w:val="16"/>
        </w:rPr>
        <w:t>放疗靶区必须覆盖髂总淋巴结区域。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对于确定有髂总和（或）腹主动脉旁淋巴结侵犯，建议扩大  </w:t>
      </w:r>
      <w:r>
        <w:rPr>
          <w:color w:val="231F20"/>
          <w:spacing w:val="12"/>
        </w:rPr>
        <w:t>盆腔照射野和腹主动脉旁照射野，上升到肾血管水平（或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者根据侵犯的淋巴结范围往头部延伸）。 对于下 1/3</w:t>
      </w:r>
      <w:r>
        <w:rPr>
          <w:color w:val="231F20"/>
          <w:spacing w:val="7"/>
        </w:rPr>
        <w:t xml:space="preserve"> 阴道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侵犯的患者，应包含双侧腹股沟淋巴结。</w:t>
      </w:r>
    </w:p>
    <w:p>
      <w:pPr>
        <w:pStyle w:val="BodyText"/>
        <w:ind w:left="67"/>
        <w:spacing w:before="61" w:line="233" w:lineRule="auto"/>
        <w:rPr/>
      </w:pPr>
      <w:r>
        <w:rPr>
          <w:color w:val="231F20"/>
          <w:spacing w:val="9"/>
        </w:rPr>
        <w:t>4.2.2   外照射技术及剂量    </w:t>
      </w:r>
      <w:r>
        <w:rPr>
          <w:color w:val="231F20"/>
        </w:rPr>
        <w:t>EBRT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是用</w:t>
      </w:r>
      <w:r>
        <w:rPr>
          <w:color w:val="231F20"/>
          <w:spacing w:val="8"/>
        </w:rPr>
        <w:t>多个适形野或者容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积调强技术，如调强放疗/容积调强放疗（IMRT/VMAT）/To-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motherapy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。</w:t>
      </w:r>
      <w:r>
        <w:rPr>
          <w:color w:val="231F20"/>
        </w:rPr>
        <w:t>IMRT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有助于子宫切除术后和必要时治疗腹主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动脉旁淋巴结时减少肠道及关键结构的剂量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。这些技术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可以提高阳性淋巴结剂量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。然而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，适形外照射</w:t>
      </w:r>
      <w:r>
        <w:rPr>
          <w:color w:val="231F20"/>
          <w:spacing w:val="14"/>
        </w:rPr>
        <w:t>技术［如</w:t>
      </w:r>
      <w:r>
        <w:rPr>
          <w:color w:val="231F20"/>
        </w:rPr>
        <w:t xml:space="preserve">  </w:t>
      </w:r>
      <w:r>
        <w:rPr>
          <w:color w:val="231F20"/>
        </w:rPr>
        <w:t>IMRT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2"/>
        </w:rPr>
        <w:t>或者立体定向放疗（</w:t>
      </w:r>
      <w:r>
        <w:rPr>
          <w:color w:val="231F20"/>
        </w:rPr>
        <w:t>SBRT</w:t>
      </w:r>
      <w:r>
        <w:rPr>
          <w:color w:val="231F20"/>
          <w:spacing w:val="-19"/>
          <w:w w:val="59"/>
        </w:rPr>
        <w:t>）］</w:t>
      </w:r>
      <w:r>
        <w:rPr>
          <w:color w:val="231F20"/>
          <w:spacing w:val="12"/>
        </w:rPr>
        <w:t>不能用作为治疗有完整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子宫患者中心病变的近距离放疗的替代方式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。在完成初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始的全盆腔外照射后，对于宫旁病变或者盆腔侧壁侵犯的  </w:t>
      </w:r>
      <w:r>
        <w:rPr>
          <w:color w:val="231F20"/>
          <w:spacing w:val="9"/>
        </w:rPr>
        <w:t>患者可以选择性的宫旁推量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5～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10</w:t>
      </w:r>
      <w:r>
        <w:rPr>
          <w:color w:val="231F20"/>
        </w:rPr>
        <w:t>Gy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>IMRT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可以在阳性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淋巴结区域给予更高的剂量，同时在其他亚临床病灶给予  </w:t>
      </w:r>
      <w:r>
        <w:rPr>
          <w:color w:val="231F20"/>
        </w:rPr>
        <w:t>更低的剂量，这叫做同时补量照射技术（SI</w:t>
      </w:r>
      <w:r>
        <w:rPr>
          <w:color w:val="231F20"/>
          <w:spacing w:val="-1"/>
        </w:rPr>
        <w:t>B）。 使用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IMRT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结合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SIB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9"/>
        </w:rPr>
        <w:t>能够在短时间内对于阳性淋巴结给予更高的剂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量，而避开正常器官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。根据靶区和危及器官（</w:t>
      </w:r>
      <w:r>
        <w:rPr>
          <w:color w:val="231F20"/>
        </w:rPr>
        <w:t>OAR</w:t>
      </w:r>
      <w:r>
        <w:rPr>
          <w:color w:val="231F20"/>
          <w:spacing w:val="3"/>
        </w:rPr>
        <w:t>）体积，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一个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SIB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靶区可以达到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2.1～2.2</w:t>
      </w:r>
      <w:r>
        <w:rPr>
          <w:color w:val="231F20"/>
        </w:rPr>
        <w:t>Gy</w:t>
      </w:r>
      <w:r>
        <w:rPr>
          <w:color w:val="231F20"/>
          <w:spacing w:val="5"/>
        </w:rPr>
        <w:t>/次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。有时</w:t>
      </w:r>
      <w:r>
        <w:rPr>
          <w:color w:val="231F20"/>
          <w:spacing w:val="4"/>
        </w:rPr>
        <w:t>额外的外照射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推量是有必要的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。淋巴结的靶剂量是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54～63</w:t>
      </w:r>
      <w:r>
        <w:rPr>
          <w:color w:val="231F20"/>
        </w:rPr>
        <w:t>Gy</w:t>
      </w:r>
      <w:r>
        <w:rPr>
          <w:color w:val="231F20"/>
          <w:spacing w:val="3"/>
        </w:rPr>
        <w:t>，要特别注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意近距离放疗对这部分范围的贡献，关注相邻正常器官限  </w:t>
      </w:r>
      <w:r>
        <w:rPr>
          <w:color w:val="231F20"/>
          <w:spacing w:val="7"/>
        </w:rPr>
        <w:t>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</w:rPr>
        <w:t>SBRT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是在小区域外照射时给予 1～5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次非常高剂量的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方式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8"/>
        </w:rPr>
        <w:t>，可用于孤立转移灶及接受再照射的局限性病</w:t>
      </w:r>
      <w:r>
        <w:rPr>
          <w:color w:val="231F20"/>
          <w:spacing w:val="17"/>
        </w:rPr>
        <w:t>变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EBRT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7"/>
        </w:rPr>
        <w:t>治疗亚临床病变的剂量时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40～45</w:t>
      </w:r>
      <w:r>
        <w:rPr>
          <w:color w:val="231F20"/>
        </w:rPr>
        <w:t>Gy</w:t>
      </w:r>
      <w:r>
        <w:rPr>
          <w:color w:val="231F20"/>
          <w:spacing w:val="7"/>
        </w:rPr>
        <w:t>（传统分割方式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时 1.8～2.0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Gy，可能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IMRT 时予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SIB）。 对于没有切除的阳</w:t>
      </w:r>
      <w:r>
        <w:rPr>
          <w:color w:val="231F20"/>
        </w:rPr>
        <w:t xml:space="preserve">  </w:t>
      </w:r>
      <w:r>
        <w:rPr>
          <w:color w:val="231F20"/>
          <w:spacing w:val="25"/>
        </w:rPr>
        <w:t>性淋巴结这种局限性的病变可以给予高度适形的推量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10～20</w:t>
      </w:r>
      <w:r>
        <w:rPr>
          <w:color w:val="231F20"/>
        </w:rPr>
        <w:t>Gy</w:t>
      </w:r>
      <w:r>
        <w:rPr>
          <w:color w:val="231F20"/>
          <w:spacing w:val="11"/>
        </w:rPr>
        <w:t>，但需注意近距离放疗的剂量贡献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。对于接受</w:t>
      </w:r>
      <w:r>
        <w:rPr>
          <w:color w:val="231F20"/>
        </w:rPr>
        <w:t xml:space="preserve">  </w:t>
      </w:r>
      <w:r>
        <w:rPr>
          <w:color w:val="231F20"/>
        </w:rPr>
        <w:t>EBRT</w:t>
      </w:r>
      <w:r>
        <w:rPr>
          <w:color w:val="231F20"/>
          <w:spacing w:val="13"/>
        </w:rPr>
        <w:t xml:space="preserve"> 的大多数子宫颈癌患者，应给予顺铂为基</w:t>
      </w:r>
      <w:r>
        <w:rPr>
          <w:color w:val="231F20"/>
          <w:spacing w:val="12"/>
        </w:rPr>
        <w:t>础的同期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化疗。</w:t>
      </w:r>
    </w:p>
    <w:p>
      <w:pPr>
        <w:spacing w:line="233" w:lineRule="auto"/>
        <w:sectPr>
          <w:type w:val="continuous"/>
          <w:pgSz w:w="11452" w:h="16328"/>
          <w:pgMar w:top="1047" w:right="984" w:bottom="0" w:left="983" w:header="0" w:footer="0" w:gutter="0"/>
          <w:cols w:equalWidth="0" w:num="2">
            <w:col w:w="4757" w:space="100"/>
            <w:col w:w="4627" w:space="0"/>
          </w:cols>
        </w:sectPr>
        <w:rPr/>
      </w:pPr>
    </w:p>
    <w:p>
      <w:pPr>
        <w:spacing w:before="82"/>
        <w:rPr/>
      </w:pPr>
      <w:r>
        <w:pict>
          <v:shape id="_x0000_s2" style="position:absolute;margin-left:57.5119pt;margin-top:63.1337pt;mso-position-vertical-relative:page;mso-position-horizontal-relative:page;width:181pt;height:0.3pt;z-index:25165824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"/>
          <w:pgSz w:w="11452" w:h="16328"/>
          <w:pgMar w:top="1278" w:right="1008" w:bottom="0" w:left="1050" w:header="1031" w:footer="0" w:gutter="0"/>
          <w:cols w:equalWidth="0" w:num="1">
            <w:col w:w="9393" w:space="0"/>
          </w:cols>
        </w:sectPr>
        <w:rPr/>
      </w:pPr>
    </w:p>
    <w:p>
      <w:pPr>
        <w:pStyle w:val="BodyText"/>
        <w:ind w:right="202"/>
        <w:spacing w:before="35" w:line="231" w:lineRule="auto"/>
        <w:rPr/>
      </w:pPr>
      <w:r>
        <w:rPr>
          <w:color w:val="231F20"/>
          <w:spacing w:val="4"/>
        </w:rPr>
        <w:t>4.2.3   术中放疗    术中放疗（</w:t>
      </w:r>
      <w:r>
        <w:rPr>
          <w:color w:val="231F20"/>
        </w:rPr>
        <w:t>IORT</w:t>
      </w:r>
      <w:r>
        <w:rPr>
          <w:color w:val="231F20"/>
          <w:spacing w:val="4"/>
        </w:rPr>
        <w:t>）是在开放的手术过程  </w:t>
      </w:r>
      <w:r>
        <w:rPr>
          <w:color w:val="231F20"/>
          <w:spacing w:val="17"/>
        </w:rPr>
        <w:t>中对可能残留的瘤床或孤立的未切除残留病变实施单次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照射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。特别适合既往接受过放疗的复发疾病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1"/>
        </w:rPr>
        <w:t>。在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IORT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程中，覆盖的正常组织（如肠或者其他内脏）能</w:t>
      </w:r>
      <w:r>
        <w:rPr>
          <w:color w:val="231F20"/>
          <w:spacing w:val="2"/>
        </w:rPr>
        <w:t>够从危险区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域移开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IORT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通常用电子线、近距离放疗、或者小剂量的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X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线源，通过匹配不同规格的施源器放置在手术危</w:t>
      </w:r>
      <w:r>
        <w:rPr>
          <w:color w:val="231F20"/>
          <w:spacing w:val="10"/>
        </w:rPr>
        <w:t>险区域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内而实施，这样可以进一步限制射线暴露的区域和深</w:t>
      </w:r>
      <w:r>
        <w:rPr>
          <w:color w:val="231F20"/>
          <w:spacing w:val="11"/>
        </w:rPr>
        <w:t>度，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从而避开周围的正常器官。</w:t>
      </w:r>
    </w:p>
    <w:p>
      <w:pPr>
        <w:pStyle w:val="BodyText"/>
        <w:ind w:right="191"/>
        <w:spacing w:before="69" w:line="235" w:lineRule="auto"/>
        <w:rPr/>
      </w:pPr>
      <w:r>
        <w:rPr>
          <w:color w:val="231F20"/>
          <w:spacing w:val="11"/>
        </w:rPr>
        <w:t>4.2.4   近距离放疗技术及剂量    近距离放疗是不适合手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6"/>
        </w:rPr>
        <w:t>术的原发子宫颈癌患者根治性放疗中的重要部分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。通常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是用宫腔或者阴道施源器腔内治疗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。根据患者及肿瘤解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剖特点，有完整子宫的阴道近距离放疗部分是通过卵圆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形、环状或者圆柱状施源器（结合宫腔内施源器）。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"/>
        </w:rPr>
        <w:t>对于更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晚期病变或者没有足够退缩的患者，插植可</w:t>
      </w:r>
      <w:r>
        <w:rPr>
          <w:color w:val="231F20"/>
          <w:spacing w:val="9"/>
        </w:rPr>
        <w:t>以给予靶区更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高剂量，同时降低正常组织剂量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。在近距离</w:t>
      </w:r>
      <w:r>
        <w:rPr>
          <w:color w:val="231F20"/>
          <w:spacing w:val="8"/>
        </w:rPr>
        <w:t>放疗前或过程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中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可以帮助勾画残留的病变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。如果联合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EBRT</w:t>
      </w:r>
      <w:r>
        <w:rPr>
          <w:color w:val="231F20"/>
          <w:spacing w:val="10"/>
        </w:rPr>
        <w:t>，近距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离放疗通常放在治疗的后半部分，因为足够的肿瘤退缩可  </w:t>
      </w:r>
      <w:r>
        <w:rPr>
          <w:color w:val="231F20"/>
          <w:spacing w:val="16"/>
        </w:rPr>
        <w:t>以得到更满意的近距离放疗剂量分布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。在高度选择的非</w:t>
      </w:r>
      <w:r>
        <w:rPr>
          <w:color w:val="231F20"/>
        </w:rPr>
        <w:t xml:space="preserve">  </w:t>
      </w:r>
      <w:r>
        <w:rPr>
          <w:color w:val="231F20"/>
        </w:rPr>
        <w:t>常早期患者（如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ⅠA2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期</w:t>
      </w:r>
      <w:r>
        <w:rPr>
          <w:color w:val="231F20"/>
          <w:spacing w:val="-26"/>
          <w:w w:val="64"/>
        </w:rPr>
        <w:t>），</w:t>
      </w:r>
      <w:r>
        <w:rPr>
          <w:color w:val="231F20"/>
        </w:rPr>
        <w:t>单独近距离放疗（无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EBRT）也可  </w:t>
      </w:r>
      <w:r>
        <w:rPr>
          <w:color w:val="231F20"/>
          <w:spacing w:val="9"/>
        </w:rPr>
        <w:t>以考虑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。在很少情况下，一些解剖学和肿瘤</w:t>
      </w:r>
      <w:r>
        <w:rPr>
          <w:color w:val="231F20"/>
          <w:spacing w:val="8"/>
        </w:rPr>
        <w:t>几何形状使得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腔内近距离放疗无法施行，可以用插植的方</w:t>
      </w:r>
      <w:r>
        <w:rPr>
          <w:color w:val="231F20"/>
          <w:spacing w:val="8"/>
        </w:rPr>
        <w:t>法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。在选择性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的子宫切除术后患者（特别是那些有阴道黏膜阳性或安全  </w:t>
      </w:r>
      <w:r>
        <w:rPr>
          <w:color w:val="231F20"/>
          <w:spacing w:val="12"/>
        </w:rPr>
        <w:t>切缘不足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2"/>
        </w:rPr>
        <w:t>阴道圆柱状近距离放疗作为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EBRT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2"/>
        </w:rPr>
        <w:t>的推量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。处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方通常是阴道表面或黏膜下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9"/>
        </w:rPr>
        <w:t>5</w:t>
      </w:r>
      <w:r>
        <w:rPr>
          <w:color w:val="231F20"/>
        </w:rPr>
        <w:t>mm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。分割方案有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5.5</w:t>
      </w:r>
      <w:r>
        <w:rPr>
          <w:color w:val="231F20"/>
        </w:rPr>
        <w:t>Gy</w:t>
      </w:r>
      <w:r>
        <w:rPr>
          <w:color w:val="231F20"/>
          <w:spacing w:val="9"/>
        </w:rPr>
        <w:t>×2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次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，参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考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点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下 5mm，或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者 阴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道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膜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面 6Gy×3 次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7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SBRT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不适合作为近距离放疗的替代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。A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点代表一个宫旁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参考点，被广泛用于剂量参考点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。然而，A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点剂</w:t>
      </w:r>
      <w:r>
        <w:rPr>
          <w:color w:val="231F20"/>
          <w:spacing w:val="2"/>
        </w:rPr>
        <w:t>量系统包括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没有考虑肿瘤的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3D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形状和个体肿瘤与周围正常组织结构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的关系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5"/>
        </w:rPr>
        <w:t>。传统的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5"/>
        </w:rPr>
        <w:t>A点剂量根据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LDR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5"/>
        </w:rPr>
        <w:t>近距离治疗剂量分割</w:t>
      </w:r>
      <w:r>
        <w:rPr>
          <w:color w:val="231F20"/>
        </w:rPr>
        <w:t xml:space="preserve">  </w:t>
      </w:r>
      <w:r>
        <w:rPr>
          <w:color w:val="231F20"/>
        </w:rPr>
        <w:t>来确定，即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40～70cGy/h LDR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。通常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LDR 的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A点剂量是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70  </w:t>
      </w:r>
      <w:r>
        <w:rPr>
          <w:color w:val="231F20"/>
          <w:spacing w:val="-1"/>
        </w:rPr>
        <w:t>~80Gy，早期病变是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5.5Gy×5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次，对于大肿瘤或者治疗反应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差的患者是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6</w:t>
      </w:r>
      <w:r>
        <w:rPr>
          <w:color w:val="231F20"/>
        </w:rPr>
        <w:t>Gy</w:t>
      </w:r>
      <w:r>
        <w:rPr>
          <w:color w:val="231F20"/>
          <w:spacing w:val="5"/>
        </w:rPr>
        <w:t>×5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次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。另一合理的选择是按欧洲临床实验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方案，高危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CTV（HR-CTV）28Gy×4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次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。组织间插植是用多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针/管插入大体肿瘤的先进技术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2"/>
        </w:rPr>
        <w:t>。插植是在腔内近距离放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疗不能实施或者解剖学上有利于插植的情况下可以最大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2"/>
        </w:rPr>
        <w:t>限度提高靶区剂量和减少正常器官剂量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。3</w:t>
      </w:r>
      <w:r>
        <w:rPr>
          <w:color w:val="231F20"/>
          <w:spacing w:val="11"/>
        </w:rPr>
        <w:t>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治疗计划可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以在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"/>
        </w:rPr>
        <w:t>/</w:t>
      </w:r>
      <w:r>
        <w:rPr>
          <w:color w:val="231F20"/>
        </w:rPr>
        <w:t>MRI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上勾画靶区和以剂量体积直方图（</w:t>
      </w:r>
      <w:r>
        <w:rPr>
          <w:color w:val="231F20"/>
        </w:rPr>
        <w:t>DVH</w:t>
      </w:r>
      <w:r>
        <w:rPr>
          <w:color w:val="231F20"/>
          <w:spacing w:val="1"/>
        </w:rPr>
        <w:t>）评估</w:t>
      </w:r>
      <w:r>
        <w:rPr>
          <w:color w:val="231F20"/>
        </w:rPr>
        <w:t xml:space="preserve">  </w:t>
      </w:r>
      <w:r>
        <w:rPr>
          <w:color w:val="231F20"/>
        </w:rPr>
        <w:t>OAR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。有证据表明，图像引导的近距离放疗可以改善预后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并且减少毒性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>MRI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是识别残存肿瘤软组织图像的最好方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式，近距离放疗前 MRI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有助于指导治疗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。如果没有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MRI，可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以用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作为次选，但勾画不够精确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。治疗的目标是予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HR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CTV 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D90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相对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2Gy 的照射的等效生物剂量（EQ</w:t>
      </w:r>
      <w:r>
        <w:rPr>
          <w:color w:val="231F20"/>
          <w:spacing w:val="-2"/>
        </w:rPr>
        <w:t>D2）剂量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为 80～85</w:t>
      </w:r>
      <w:r>
        <w:rPr>
          <w:color w:val="231F20"/>
        </w:rPr>
        <w:t>Gy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。对于大肿瘤或者治疗反应差的患者，</w:t>
      </w:r>
      <w:r>
        <w:rPr>
          <w:color w:val="231F20"/>
        </w:rPr>
        <w:t>HR</w:t>
      </w:r>
      <w:r>
        <w:rPr>
          <w:color w:val="231F20"/>
          <w:spacing w:val="10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CTV 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D90≥87Gy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。正常组织应该根据已出版的指</w:t>
      </w:r>
      <w:r>
        <w:rPr>
          <w:color w:val="231F20"/>
          <w:spacing w:val="-2"/>
        </w:rPr>
        <w:t>引：2-cc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直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肠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量 ≤65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～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75Gy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，乙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结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肠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2-cc≤70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75Gy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，</w:t>
      </w:r>
      <w:r>
        <w:rPr>
          <w:color w:val="231F20"/>
          <w:spacing w:val="-8"/>
        </w:rPr>
        <w:t>膀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胱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2-cc≤80～90Gy，如果参数达不到，应该考虑插植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。对于近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距离放疗结合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EBRT，外照射以 1.8～2.0 Gy/（次</w:t>
      </w:r>
      <w:r>
        <w:rPr>
          <w:color w:val="231F20"/>
          <w:spacing w:val="-3"/>
        </w:rPr>
        <w:t>·d）。 临床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38" w:firstLine="12"/>
        <w:spacing w:before="36" w:line="237" w:lineRule="auto"/>
        <w:jc w:val="both"/>
        <w:rPr/>
      </w:pPr>
      <w:r>
        <w:rPr>
          <w:color w:val="231F20"/>
          <w:spacing w:val="16"/>
        </w:rPr>
        <w:t>医生用高剂量率近距离放疗应该根据线性二次模式转换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HDR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5"/>
        </w:rPr>
        <w:t>值生物等效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LDR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剂量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HDR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分割方案为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6</w:t>
      </w:r>
      <w:r>
        <w:rPr>
          <w:color w:val="231F20"/>
        </w:rPr>
        <w:t>Gy</w:t>
      </w:r>
      <w:r>
        <w:rPr>
          <w:color w:val="231F20"/>
          <w:spacing w:val="5"/>
        </w:rPr>
        <w:t>×5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次就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30Gy，分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5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次完成，一般相对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LDR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近距离</w:t>
      </w:r>
      <w:r>
        <w:rPr>
          <w:color w:val="231F20"/>
          <w:spacing w:val="-3"/>
        </w:rPr>
        <w:t>放疗在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A点（肿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瘤替代剂量）的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40Gy。</w:t>
      </w:r>
    </w:p>
    <w:p>
      <w:pPr>
        <w:pStyle w:val="BodyText"/>
        <w:ind w:left="8" w:right="39" w:firstLine="367"/>
        <w:spacing w:before="1" w:line="247" w:lineRule="auto"/>
        <w:rPr/>
      </w:pPr>
      <w:r>
        <w:rPr>
          <w:color w:val="231F20"/>
          <w:spacing w:val="11"/>
        </w:rPr>
        <w:t>表 1～4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1"/>
        </w:rPr>
        <w:t>分别列出子宫颈癌放疗正常组织推荐限制性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剂量。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72" w:line="192" w:lineRule="auto"/>
        <w:rPr/>
      </w:pPr>
      <w:r>
        <w:rPr>
          <w:rFonts w:ascii="SimHei" w:hAnsi="SimHei" w:eastAsia="SimHei" w:cs="SimHei"/>
          <w:color w:val="231F20"/>
          <w:spacing w:val="8"/>
        </w:rPr>
        <w:t>表</w:t>
      </w:r>
      <w:r>
        <w:rPr>
          <w:rFonts w:ascii="SimHei" w:hAnsi="SimHei" w:eastAsia="SimHei" w:cs="SimHei"/>
          <w:color w:val="231F20"/>
          <w:spacing w:val="-47"/>
        </w:rPr>
        <w:t xml:space="preserve"> </w:t>
      </w:r>
      <w:r>
        <w:rPr>
          <w:rFonts w:ascii="SimHei" w:hAnsi="SimHei" w:eastAsia="SimHei" w:cs="SimHei"/>
          <w:color w:val="231F20"/>
          <w:spacing w:val="8"/>
        </w:rPr>
        <w:t>1</w:t>
      </w:r>
      <w:r>
        <w:rPr>
          <w:rFonts w:ascii="SimHei" w:hAnsi="SimHei" w:eastAsia="SimHei" w:cs="SimHei"/>
          <w:color w:val="231F20"/>
          <w:spacing w:val="8"/>
        </w:rPr>
        <w:t xml:space="preserve">  </w:t>
      </w:r>
      <w:r>
        <w:rPr>
          <w:color w:val="231F20"/>
          <w:spacing w:val="8"/>
        </w:rPr>
        <w:t>子宫颈癌完整子宫时正常组织限量指引</w:t>
      </w:r>
    </w:p>
    <w:p>
      <w:pPr>
        <w:spacing w:line="129" w:lineRule="exact"/>
        <w:rPr/>
      </w:pPr>
      <w:r/>
    </w:p>
    <w:tbl>
      <w:tblPr>
        <w:tblStyle w:val="TableNormal"/>
        <w:tblW w:w="450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69"/>
        <w:gridCol w:w="1555"/>
        <w:gridCol w:w="1677"/>
      </w:tblGrid>
      <w:tr>
        <w:trPr>
          <w:trHeight w:val="266" w:hRule="atLeast"/>
        </w:trPr>
        <w:tc>
          <w:tcPr>
            <w:tcW w:w="126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91"/>
              <w:spacing w:before="193" w:line="187" w:lineRule="auto"/>
              <w:rPr/>
            </w:pPr>
            <w:r>
              <w:rPr>
                <w:spacing w:val="9"/>
              </w:rPr>
              <w:t>危及器官</w:t>
            </w:r>
          </w:p>
        </w:tc>
        <w:tc>
          <w:tcPr>
            <w:tcW w:w="323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00"/>
              <w:spacing w:before="50" w:line="188" w:lineRule="auto"/>
              <w:rPr/>
            </w:pPr>
            <w:r>
              <w:rPr>
                <w:spacing w:val="9"/>
              </w:rPr>
              <w:t>剂量建议</w:t>
            </w:r>
          </w:p>
        </w:tc>
      </w:tr>
      <w:tr>
        <w:trPr>
          <w:trHeight w:val="277" w:hRule="atLeast"/>
        </w:trPr>
        <w:tc>
          <w:tcPr>
            <w:tcW w:w="126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55"/>
              <w:spacing w:before="60" w:line="186" w:lineRule="auto"/>
              <w:rPr/>
            </w:pPr>
            <w:r>
              <w:rPr>
                <w:spacing w:val="8"/>
              </w:rPr>
              <w:t>软性限制</w:t>
            </w:r>
          </w:p>
        </w:tc>
        <w:tc>
          <w:tcPr>
            <w:tcW w:w="167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56"/>
              <w:spacing w:before="60" w:line="186" w:lineRule="auto"/>
              <w:rPr/>
            </w:pPr>
            <w:r>
              <w:rPr>
                <w:spacing w:val="8"/>
              </w:rPr>
              <w:t>硬性限制</w:t>
            </w:r>
          </w:p>
        </w:tc>
      </w:tr>
      <w:tr>
        <w:trPr>
          <w:trHeight w:val="1089" w:hRule="atLeast"/>
        </w:trPr>
        <w:tc>
          <w:tcPr>
            <w:tcW w:w="126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61" w:line="178" w:lineRule="auto"/>
              <w:rPr/>
            </w:pPr>
            <w:r>
              <w:rPr>
                <w:spacing w:val="7"/>
              </w:rPr>
              <w:t>肠</w:t>
            </w:r>
          </w:p>
        </w:tc>
        <w:tc>
          <w:tcPr>
            <w:tcW w:w="155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"/>
              <w:spacing w:before="53" w:line="190" w:lineRule="auto"/>
              <w:rPr/>
            </w:pPr>
            <w:r>
              <w:rPr>
                <w:spacing w:val="-2"/>
              </w:rPr>
              <w:t>最多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30%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40Gy</w:t>
            </w:r>
          </w:p>
          <w:p>
            <w:pPr>
              <w:pStyle w:val="TableText"/>
              <w:ind w:left="61"/>
              <w:spacing w:before="104" w:line="169" w:lineRule="auto"/>
              <w:rPr/>
            </w:pPr>
            <w:r>
              <w:rPr>
                <w:spacing w:val="-9"/>
              </w:rPr>
              <w:t>V45</w:t>
            </w:r>
            <w:r>
              <w:rPr>
                <w:color w:val="231F20"/>
                <w:spacing w:val="-9"/>
              </w:rPr>
              <w:t>≤</w:t>
            </w:r>
            <w:r>
              <w:rPr>
                <w:spacing w:val="-9"/>
              </w:rPr>
              <w:t>200cc</w:t>
            </w:r>
          </w:p>
          <w:p>
            <w:pPr>
              <w:pStyle w:val="TableText"/>
              <w:ind w:left="223" w:right="53" w:hanging="161"/>
              <w:spacing w:before="78" w:line="213" w:lineRule="auto"/>
              <w:rPr/>
            </w:pPr>
            <w:r>
              <w:rPr>
                <w:spacing w:val="8"/>
              </w:rPr>
              <w:t>淋巴结推量区域</w:t>
            </w:r>
            <w:r>
              <w:rPr>
                <w:spacing w:val="-14"/>
              </w:rPr>
              <w:t xml:space="preserve"> </w:t>
            </w:r>
            <w:r>
              <w:rPr>
                <w:spacing w:val="8"/>
              </w:rPr>
              <w:t>V55</w:t>
            </w:r>
            <w:r>
              <w:rPr/>
              <w:t xml:space="preserve"> </w:t>
            </w:r>
            <w:r>
              <w:rPr>
                <w:spacing w:val="-11"/>
              </w:rPr>
              <w:t>&lt;5cc</w:t>
            </w:r>
          </w:p>
        </w:tc>
        <w:tc>
          <w:tcPr>
            <w:tcW w:w="16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"/>
              <w:spacing w:before="53" w:line="190" w:lineRule="auto"/>
              <w:rPr/>
            </w:pPr>
            <w:r>
              <w:rPr>
                <w:spacing w:val="-1"/>
              </w:rPr>
              <w:t>不超过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70%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40Gy</w:t>
            </w:r>
          </w:p>
          <w:p>
            <w:pPr>
              <w:pStyle w:val="TableText"/>
              <w:ind w:left="64"/>
              <w:spacing w:before="104" w:line="169" w:lineRule="auto"/>
              <w:rPr/>
            </w:pPr>
            <w:r>
              <w:rPr>
                <w:spacing w:val="-8"/>
              </w:rPr>
              <w:t>V45&lt;250cc</w:t>
            </w:r>
          </w:p>
          <w:p>
            <w:pPr>
              <w:pStyle w:val="TableText"/>
              <w:ind w:left="237" w:right="56" w:hanging="172"/>
              <w:spacing w:before="78" w:line="213" w:lineRule="auto"/>
              <w:rPr/>
            </w:pPr>
            <w:r>
              <w:rPr>
                <w:spacing w:val="7"/>
              </w:rPr>
              <w:t>淋巴结推量区域</w:t>
            </w:r>
            <w:r>
              <w:rPr>
                <w:spacing w:val="-7"/>
              </w:rPr>
              <w:t xml:space="preserve"> </w:t>
            </w:r>
            <w:r>
              <w:rPr>
                <w:spacing w:val="7"/>
              </w:rPr>
              <w:t>V55&lt;</w:t>
            </w:r>
            <w:r>
              <w:rPr/>
              <w:t xml:space="preserve"> </w:t>
            </w:r>
            <w:r>
              <w:rPr>
                <w:spacing w:val="-10"/>
              </w:rPr>
              <w:t>15cc</w:t>
            </w:r>
          </w:p>
        </w:tc>
      </w:tr>
      <w:tr>
        <w:trPr>
          <w:trHeight w:val="287" w:hRule="atLeast"/>
        </w:trPr>
        <w:tc>
          <w:tcPr>
            <w:tcW w:w="1269" w:type="dxa"/>
            <w:vAlign w:val="top"/>
          </w:tcPr>
          <w:p>
            <w:pPr>
              <w:pStyle w:val="TableText"/>
              <w:ind w:left="32"/>
              <w:spacing w:before="77" w:line="186" w:lineRule="auto"/>
              <w:rPr/>
            </w:pPr>
            <w:r>
              <w:rPr>
                <w:spacing w:val="7"/>
              </w:rPr>
              <w:t>膀胱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61"/>
              <w:spacing w:before="100" w:line="165" w:lineRule="auto"/>
              <w:rPr/>
            </w:pPr>
            <w:r>
              <w:rPr>
                <w:spacing w:val="-8"/>
              </w:rPr>
              <w:t>V45&lt;50%</w:t>
            </w:r>
          </w:p>
        </w:tc>
        <w:tc>
          <w:tcPr>
            <w:tcW w:w="1677" w:type="dxa"/>
            <w:vAlign w:val="top"/>
          </w:tcPr>
          <w:p>
            <w:pPr>
              <w:pStyle w:val="TableText"/>
              <w:ind w:left="66"/>
              <w:spacing w:before="100" w:line="165" w:lineRule="auto"/>
              <w:rPr/>
            </w:pPr>
            <w:r>
              <w:rPr>
                <w:spacing w:val="-12"/>
              </w:rPr>
              <w:t>Dmax&lt;115%</w:t>
            </w:r>
          </w:p>
        </w:tc>
      </w:tr>
      <w:tr>
        <w:trPr>
          <w:trHeight w:val="284" w:hRule="atLeast"/>
        </w:trPr>
        <w:tc>
          <w:tcPr>
            <w:tcW w:w="1269" w:type="dxa"/>
            <w:vAlign w:val="top"/>
          </w:tcPr>
          <w:p>
            <w:pPr>
              <w:pStyle w:val="TableText"/>
              <w:ind w:left="32"/>
              <w:spacing w:before="72" w:line="185" w:lineRule="auto"/>
              <w:rPr/>
            </w:pPr>
            <w:r>
              <w:rPr>
                <w:spacing w:val="7"/>
              </w:rPr>
              <w:t>直肠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61"/>
              <w:spacing w:before="95" w:line="166" w:lineRule="auto"/>
              <w:rPr/>
            </w:pPr>
            <w:r>
              <w:rPr>
                <w:spacing w:val="-12"/>
              </w:rPr>
              <w:t>V45&lt;50%，V30&lt;60%</w:t>
            </w:r>
          </w:p>
        </w:tc>
        <w:tc>
          <w:tcPr>
            <w:tcW w:w="1677" w:type="dxa"/>
            <w:vAlign w:val="top"/>
          </w:tcPr>
          <w:p>
            <w:pPr>
              <w:pStyle w:val="TableText"/>
              <w:ind w:left="66"/>
              <w:spacing w:before="97" w:line="165" w:lineRule="auto"/>
              <w:rPr/>
            </w:pPr>
            <w:r>
              <w:rPr>
                <w:spacing w:val="-12"/>
              </w:rPr>
              <w:t>Dmax&lt;115%</w:t>
            </w:r>
          </w:p>
        </w:tc>
      </w:tr>
      <w:tr>
        <w:trPr>
          <w:trHeight w:val="281" w:hRule="atLeast"/>
        </w:trPr>
        <w:tc>
          <w:tcPr>
            <w:tcW w:w="1269" w:type="dxa"/>
            <w:vAlign w:val="top"/>
          </w:tcPr>
          <w:p>
            <w:pPr>
              <w:pStyle w:val="TableText"/>
              <w:ind w:left="32"/>
              <w:spacing w:before="74" w:line="183" w:lineRule="auto"/>
              <w:rPr/>
            </w:pPr>
            <w:r>
              <w:rPr>
                <w:spacing w:val="8"/>
              </w:rPr>
              <w:t>股骨头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61"/>
              <w:spacing w:before="96" w:line="163" w:lineRule="auto"/>
              <w:rPr/>
            </w:pPr>
            <w:r>
              <w:rPr>
                <w:spacing w:val="-8"/>
              </w:rPr>
              <w:t>V30&lt;15%</w:t>
            </w:r>
          </w:p>
        </w:tc>
        <w:tc>
          <w:tcPr>
            <w:tcW w:w="1677" w:type="dxa"/>
            <w:vAlign w:val="top"/>
          </w:tcPr>
          <w:p>
            <w:pPr>
              <w:pStyle w:val="TableText"/>
              <w:ind w:left="66"/>
              <w:spacing w:before="96" w:line="163" w:lineRule="auto"/>
              <w:rPr/>
            </w:pPr>
            <w:r>
              <w:rPr>
                <w:spacing w:val="-12"/>
              </w:rPr>
              <w:t>Dmax&lt;115%</w:t>
            </w:r>
          </w:p>
        </w:tc>
      </w:tr>
      <w:tr>
        <w:trPr>
          <w:trHeight w:val="283" w:hRule="atLeast"/>
        </w:trPr>
        <w:tc>
          <w:tcPr>
            <w:tcW w:w="1269" w:type="dxa"/>
            <w:vAlign w:val="top"/>
          </w:tcPr>
          <w:p>
            <w:pPr>
              <w:pStyle w:val="TableText"/>
              <w:ind w:left="34"/>
              <w:spacing w:before="72" w:line="187" w:lineRule="auto"/>
              <w:rPr/>
            </w:pPr>
            <w:r>
              <w:rPr>
                <w:spacing w:val="-3"/>
              </w:rPr>
              <w:t>骨髓（可选择的）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61"/>
              <w:spacing w:before="99" w:line="162" w:lineRule="auto"/>
              <w:rPr/>
            </w:pPr>
            <w:r>
              <w:rPr>
                <w:spacing w:val="-12"/>
              </w:rPr>
              <w:t>V10&lt;80%，V20&lt;66%</w:t>
            </w:r>
          </w:p>
        </w:tc>
        <w:tc>
          <w:tcPr>
            <w:tcW w:w="1677" w:type="dxa"/>
            <w:vAlign w:val="top"/>
          </w:tcPr>
          <w:p>
            <w:pPr>
              <w:pStyle w:val="TableText"/>
              <w:ind w:left="64"/>
              <w:spacing w:before="98" w:line="163" w:lineRule="auto"/>
              <w:rPr/>
            </w:pPr>
            <w:r>
              <w:rPr>
                <w:spacing w:val="-12"/>
              </w:rPr>
              <w:t>V10&lt;90%，V20&lt;75%</w:t>
            </w:r>
          </w:p>
        </w:tc>
      </w:tr>
      <w:tr>
        <w:trPr>
          <w:trHeight w:val="291" w:hRule="atLeast"/>
        </w:trPr>
        <w:tc>
          <w:tcPr>
            <w:tcW w:w="1269" w:type="dxa"/>
            <w:vAlign w:val="top"/>
          </w:tcPr>
          <w:p>
            <w:pPr>
              <w:pStyle w:val="TableText"/>
              <w:ind w:left="30"/>
              <w:spacing w:before="75" w:line="190" w:lineRule="auto"/>
              <w:rPr/>
            </w:pPr>
            <w:r>
              <w:rPr>
                <w:spacing w:val="8"/>
              </w:rPr>
              <w:t>脊髓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63"/>
              <w:spacing w:before="99" w:line="166" w:lineRule="auto"/>
              <w:rPr/>
            </w:pPr>
            <w:r>
              <w:rPr>
                <w:spacing w:val="-10"/>
              </w:rPr>
              <w:t>Dmax 45Gy</w:t>
            </w:r>
          </w:p>
        </w:tc>
        <w:tc>
          <w:tcPr>
            <w:tcW w:w="16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3" w:hRule="atLeast"/>
        </w:trPr>
        <w:tc>
          <w:tcPr>
            <w:tcW w:w="1269" w:type="dxa"/>
            <w:vAlign w:val="top"/>
          </w:tcPr>
          <w:p>
            <w:pPr>
              <w:pStyle w:val="TableText"/>
              <w:ind w:left="46"/>
              <w:spacing w:before="69" w:line="188" w:lineRule="auto"/>
              <w:rPr/>
            </w:pPr>
            <w:r>
              <w:rPr/>
              <w:t>肾</w:t>
            </w:r>
          </w:p>
        </w:tc>
        <w:tc>
          <w:tcPr>
            <w:tcW w:w="1555" w:type="dxa"/>
            <w:vAlign w:val="top"/>
          </w:tcPr>
          <w:p>
            <w:pPr>
              <w:pStyle w:val="TableText"/>
              <w:ind w:left="63"/>
              <w:spacing w:before="91" w:line="166" w:lineRule="auto"/>
              <w:rPr/>
            </w:pPr>
            <w:r>
              <w:rPr>
                <w:spacing w:val="-13"/>
              </w:rPr>
              <w:t>Dmean&lt;10Gy</w:t>
            </w:r>
          </w:p>
        </w:tc>
        <w:tc>
          <w:tcPr>
            <w:tcW w:w="1677" w:type="dxa"/>
            <w:vAlign w:val="top"/>
          </w:tcPr>
          <w:p>
            <w:pPr>
              <w:pStyle w:val="TableText"/>
              <w:ind w:left="66"/>
              <w:spacing w:before="92" w:line="166" w:lineRule="auto"/>
              <w:rPr/>
            </w:pPr>
            <w:r>
              <w:rPr>
                <w:spacing w:val="-13"/>
              </w:rPr>
              <w:t>Dmean&lt;15Gy</w:t>
            </w:r>
          </w:p>
        </w:tc>
      </w:tr>
      <w:tr>
        <w:trPr>
          <w:trHeight w:val="282" w:hRule="atLeast"/>
        </w:trPr>
        <w:tc>
          <w:tcPr>
            <w:tcW w:w="126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"/>
              <w:spacing w:before="71" w:line="184" w:lineRule="auto"/>
              <w:rPr/>
            </w:pPr>
            <w:r>
              <w:rPr>
                <w:spacing w:val="7"/>
              </w:rPr>
              <w:t>十二指肠</w:t>
            </w:r>
          </w:p>
        </w:tc>
        <w:tc>
          <w:tcPr>
            <w:tcW w:w="155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"/>
              <w:spacing w:before="91" w:line="168" w:lineRule="auto"/>
              <w:rPr/>
            </w:pPr>
            <w:r>
              <w:rPr>
                <w:spacing w:val="-8"/>
              </w:rPr>
              <w:t>V55&lt;5cc</w:t>
            </w:r>
          </w:p>
        </w:tc>
        <w:tc>
          <w:tcPr>
            <w:tcW w:w="16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4"/>
              <w:spacing w:before="91" w:line="168" w:lineRule="auto"/>
              <w:rPr/>
            </w:pPr>
            <w:r>
              <w:rPr>
                <w:spacing w:val="-8"/>
              </w:rPr>
              <w:t>V55&lt;15cc</w:t>
            </w:r>
          </w:p>
        </w:tc>
      </w:tr>
    </w:tbl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3" w:line="192" w:lineRule="auto"/>
        <w:rPr/>
      </w:pPr>
      <w:r>
        <w:rPr>
          <w:rFonts w:ascii="SimHei" w:hAnsi="SimHei" w:eastAsia="SimHei" w:cs="SimHei"/>
          <w:color w:val="231F20"/>
          <w:spacing w:val="9"/>
        </w:rPr>
        <w:t>表2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子宫颈癌子宫切除术后正常组织限量指引</w:t>
      </w:r>
    </w:p>
    <w:p>
      <w:pPr>
        <w:spacing w:line="115" w:lineRule="exact"/>
        <w:rPr/>
      </w:pPr>
      <w:r/>
    </w:p>
    <w:tbl>
      <w:tblPr>
        <w:tblStyle w:val="TableNormal"/>
        <w:tblW w:w="4509" w:type="dxa"/>
        <w:tblInd w:w="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02"/>
        <w:gridCol w:w="45"/>
        <w:gridCol w:w="1455"/>
        <w:gridCol w:w="1807"/>
      </w:tblGrid>
      <w:tr>
        <w:trPr>
          <w:trHeight w:val="276" w:hRule="atLeast"/>
        </w:trPr>
        <w:tc>
          <w:tcPr>
            <w:tcW w:w="1247" w:type="dxa"/>
            <w:vAlign w:val="top"/>
            <w:gridSpan w:val="2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19"/>
              <w:spacing w:before="198" w:line="187" w:lineRule="auto"/>
              <w:rPr/>
            </w:pPr>
            <w:r>
              <w:rPr>
                <w:spacing w:val="9"/>
              </w:rPr>
              <w:t>危及器官</w:t>
            </w:r>
          </w:p>
        </w:tc>
        <w:tc>
          <w:tcPr>
            <w:tcW w:w="326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15"/>
              <w:spacing w:before="55" w:line="188" w:lineRule="auto"/>
              <w:rPr/>
            </w:pPr>
            <w:r>
              <w:rPr>
                <w:spacing w:val="9"/>
              </w:rPr>
              <w:t>剂量建议</w:t>
            </w:r>
          </w:p>
        </w:tc>
      </w:tr>
      <w:tr>
        <w:trPr>
          <w:trHeight w:val="277" w:hRule="atLeast"/>
        </w:trPr>
        <w:tc>
          <w:tcPr>
            <w:tcW w:w="1247" w:type="dxa"/>
            <w:vAlign w:val="top"/>
            <w:gridSpan w:val="2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62" w:type="dxa"/>
            <w:vAlign w:val="top"/>
            <w:gridSpan w:val="2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3"/>
              <w:spacing w:before="59" w:line="187" w:lineRule="auto"/>
              <w:rPr/>
            </w:pPr>
            <w:r>
              <w:rPr>
                <w:spacing w:val="8"/>
              </w:rPr>
              <w:t>软性限制</w:t>
            </w:r>
            <w:r>
              <w:rPr>
                <w:spacing w:val="1"/>
              </w:rPr>
              <w:t xml:space="preserve">                   </w:t>
            </w:r>
            <w:r>
              <w:rPr>
                <w:spacing w:val="8"/>
              </w:rPr>
              <w:t>硬性限制</w:t>
            </w:r>
          </w:p>
        </w:tc>
      </w:tr>
      <w:tr>
        <w:trPr>
          <w:trHeight w:val="283" w:hRule="atLeast"/>
        </w:trPr>
        <w:tc>
          <w:tcPr>
            <w:tcW w:w="120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66" w:line="178" w:lineRule="auto"/>
              <w:rPr/>
            </w:pPr>
            <w:r>
              <w:rPr>
                <w:spacing w:val="7"/>
              </w:rPr>
              <w:t>肠</w:t>
            </w:r>
          </w:p>
        </w:tc>
        <w:tc>
          <w:tcPr>
            <w:tcW w:w="1500" w:type="dxa"/>
            <w:vAlign w:val="top"/>
            <w:gridSpan w:val="2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58" w:line="190" w:lineRule="auto"/>
              <w:rPr/>
            </w:pPr>
            <w:r>
              <w:rPr>
                <w:spacing w:val="-2"/>
              </w:rPr>
              <w:t>最多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30%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40Gy</w:t>
            </w:r>
          </w:p>
        </w:tc>
        <w:tc>
          <w:tcPr>
            <w:tcW w:w="18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"/>
              <w:spacing w:before="58" w:line="190" w:lineRule="auto"/>
              <w:rPr/>
            </w:pPr>
            <w:r>
              <w:rPr>
                <w:spacing w:val="-1"/>
              </w:rPr>
              <w:t>不超过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70%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40Gy</w:t>
            </w:r>
          </w:p>
        </w:tc>
      </w:tr>
      <w:tr>
        <w:trPr>
          <w:trHeight w:val="282" w:hRule="atLeast"/>
        </w:trPr>
        <w:tc>
          <w:tcPr>
            <w:tcW w:w="1202" w:type="dxa"/>
            <w:vAlign w:val="top"/>
          </w:tcPr>
          <w:p>
            <w:pPr>
              <w:pStyle w:val="TableText"/>
              <w:ind w:left="61"/>
              <w:spacing w:before="62" w:line="187" w:lineRule="auto"/>
              <w:rPr/>
            </w:pPr>
            <w:r>
              <w:rPr>
                <w:spacing w:val="7"/>
              </w:rPr>
              <w:t>膀胱</w:t>
            </w:r>
          </w:p>
        </w:tc>
        <w:tc>
          <w:tcPr>
            <w:tcW w:w="1500" w:type="dxa"/>
            <w:vAlign w:val="top"/>
            <w:gridSpan w:val="2"/>
          </w:tcPr>
          <w:p>
            <w:pPr>
              <w:pStyle w:val="TableText"/>
              <w:ind w:left="105"/>
              <w:spacing w:before="59" w:line="190" w:lineRule="auto"/>
              <w:rPr/>
            </w:pPr>
            <w:r>
              <w:rPr>
                <w:spacing w:val="-2"/>
              </w:rPr>
              <w:t>最多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35%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45Gy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0"/>
              <w:spacing w:before="59" w:line="190" w:lineRule="auto"/>
              <w:rPr/>
            </w:pPr>
            <w:r>
              <w:rPr>
                <w:spacing w:val="-1"/>
              </w:rPr>
              <w:t>不超过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70%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45Gy</w:t>
            </w:r>
          </w:p>
        </w:tc>
      </w:tr>
      <w:tr>
        <w:trPr>
          <w:trHeight w:val="280" w:hRule="atLeast"/>
        </w:trPr>
        <w:tc>
          <w:tcPr>
            <w:tcW w:w="1202" w:type="dxa"/>
            <w:vAlign w:val="top"/>
          </w:tcPr>
          <w:p>
            <w:pPr>
              <w:pStyle w:val="TableText"/>
              <w:ind w:left="61"/>
              <w:spacing w:before="61" w:line="185" w:lineRule="auto"/>
              <w:rPr/>
            </w:pPr>
            <w:r>
              <w:rPr>
                <w:spacing w:val="7"/>
              </w:rPr>
              <w:t>直肠</w:t>
            </w:r>
          </w:p>
        </w:tc>
        <w:tc>
          <w:tcPr>
            <w:tcW w:w="1500" w:type="dxa"/>
            <w:vAlign w:val="top"/>
            <w:gridSpan w:val="2"/>
          </w:tcPr>
          <w:p>
            <w:pPr>
              <w:pStyle w:val="TableText"/>
              <w:ind w:left="105"/>
              <w:spacing w:before="60" w:line="190" w:lineRule="auto"/>
              <w:rPr/>
            </w:pPr>
            <w:r>
              <w:rPr>
                <w:spacing w:val="-2"/>
              </w:rPr>
              <w:t>最多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80%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40Gy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09"/>
              <w:spacing w:before="60" w:line="190" w:lineRule="auto"/>
              <w:rPr/>
            </w:pPr>
            <w:r>
              <w:rPr>
                <w:spacing w:val="-3"/>
              </w:rPr>
              <w:t>低于 100%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40Gy</w:t>
            </w:r>
          </w:p>
        </w:tc>
      </w:tr>
      <w:tr>
        <w:trPr>
          <w:trHeight w:val="541" w:hRule="atLeast"/>
        </w:trPr>
        <w:tc>
          <w:tcPr>
            <w:tcW w:w="1202" w:type="dxa"/>
            <w:vAlign w:val="top"/>
          </w:tcPr>
          <w:p>
            <w:pPr>
              <w:pStyle w:val="TableText"/>
              <w:ind w:left="60"/>
              <w:spacing w:before="195" w:line="185" w:lineRule="auto"/>
              <w:rPr/>
            </w:pPr>
            <w:r>
              <w:rPr>
                <w:spacing w:val="8"/>
              </w:rPr>
              <w:t>股骨头</w:t>
            </w:r>
          </w:p>
        </w:tc>
        <w:tc>
          <w:tcPr>
            <w:tcW w:w="1500" w:type="dxa"/>
            <w:vAlign w:val="top"/>
            <w:gridSpan w:val="2"/>
          </w:tcPr>
          <w:p>
            <w:pPr>
              <w:pStyle w:val="TableText"/>
              <w:ind w:left="261" w:right="422" w:hanging="156"/>
              <w:spacing w:before="59" w:line="220" w:lineRule="auto"/>
              <w:rPr/>
            </w:pPr>
            <w:r>
              <w:rPr>
                <w:spacing w:val="-1"/>
              </w:rPr>
              <w:t>最多 15%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体积</w:t>
            </w:r>
            <w:r>
              <w:rPr/>
              <w:t xml:space="preserve"> </w:t>
            </w:r>
            <w:r>
              <w:rPr>
                <w:color w:val="231F20"/>
                <w:spacing w:val="-12"/>
              </w:rPr>
              <w:t>≥</w:t>
            </w:r>
            <w:r>
              <w:rPr>
                <w:spacing w:val="-12"/>
              </w:rPr>
              <w:t>30Gy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0"/>
              <w:spacing w:before="192" w:line="189" w:lineRule="auto"/>
              <w:rPr/>
            </w:pPr>
            <w:r>
              <w:rPr>
                <w:spacing w:val="-3"/>
              </w:rPr>
              <w:t>最多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20%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体积</w:t>
            </w:r>
            <w:r>
              <w:rPr>
                <w:color w:val="231F20"/>
                <w:spacing w:val="-3"/>
              </w:rPr>
              <w:t>≥</w:t>
            </w:r>
            <w:r>
              <w:rPr>
                <w:spacing w:val="-3"/>
              </w:rPr>
              <w:t>30Gy</w:t>
            </w:r>
          </w:p>
        </w:tc>
      </w:tr>
      <w:tr>
        <w:trPr>
          <w:trHeight w:val="280" w:hRule="atLeast"/>
        </w:trPr>
        <w:tc>
          <w:tcPr>
            <w:tcW w:w="1202" w:type="dxa"/>
            <w:vAlign w:val="top"/>
          </w:tcPr>
          <w:p>
            <w:pPr>
              <w:pStyle w:val="TableText"/>
              <w:spacing w:before="59" w:line="196" w:lineRule="auto"/>
              <w:jc w:val="right"/>
              <w:rPr/>
            </w:pPr>
            <w:r>
              <w:rPr>
                <w:spacing w:val="-8"/>
              </w:rPr>
              <w:t>骨髓（可选择的）</w:t>
            </w:r>
          </w:p>
        </w:tc>
        <w:tc>
          <w:tcPr>
            <w:tcW w:w="1500" w:type="dxa"/>
            <w:vAlign w:val="top"/>
            <w:gridSpan w:val="2"/>
          </w:tcPr>
          <w:p>
            <w:pPr>
              <w:pStyle w:val="TableText"/>
              <w:ind w:left="105"/>
              <w:spacing w:before="61" w:line="190" w:lineRule="auto"/>
              <w:rPr/>
            </w:pPr>
            <w:r>
              <w:rPr>
                <w:spacing w:val="-3"/>
              </w:rPr>
              <w:t>最多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90%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体积</w:t>
            </w:r>
            <w:r>
              <w:rPr>
                <w:spacing w:val="-8"/>
              </w:rPr>
              <w:t xml:space="preserve"> </w:t>
            </w:r>
            <w:r>
              <w:rPr>
                <w:spacing w:val="-3"/>
              </w:rPr>
              <w:t>10Gy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1"/>
              <w:spacing w:before="61" w:line="190" w:lineRule="auto"/>
              <w:rPr/>
            </w:pPr>
            <w:r>
              <w:rPr>
                <w:spacing w:val="-1"/>
              </w:rPr>
              <w:t>90%</w:t>
            </w:r>
            <w:r>
              <w:rPr>
                <w:spacing w:val="-13"/>
              </w:rPr>
              <w:t xml:space="preserve"> </w:t>
            </w:r>
            <w:r>
              <w:rPr>
                <w:spacing w:val="-1"/>
              </w:rPr>
              <w:t>体积不超过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25 Gy</w:t>
            </w:r>
          </w:p>
        </w:tc>
      </w:tr>
      <w:tr>
        <w:trPr>
          <w:trHeight w:val="283" w:hRule="atLeast"/>
        </w:trPr>
        <w:tc>
          <w:tcPr>
            <w:tcW w:w="1202" w:type="dxa"/>
            <w:vAlign w:val="top"/>
          </w:tcPr>
          <w:p>
            <w:pPr>
              <w:pStyle w:val="TableText"/>
              <w:spacing w:before="63" w:line="195" w:lineRule="auto"/>
              <w:jc w:val="right"/>
              <w:rPr/>
            </w:pPr>
            <w:r>
              <w:rPr>
                <w:spacing w:val="-8"/>
              </w:rPr>
              <w:t>骨髓（可选择的）</w:t>
            </w:r>
          </w:p>
        </w:tc>
        <w:tc>
          <w:tcPr>
            <w:tcW w:w="1500" w:type="dxa"/>
            <w:vAlign w:val="top"/>
            <w:gridSpan w:val="2"/>
          </w:tcPr>
          <w:p>
            <w:pPr>
              <w:pStyle w:val="TableText"/>
              <w:ind w:left="105"/>
              <w:spacing w:before="64" w:line="190" w:lineRule="auto"/>
              <w:rPr/>
            </w:pPr>
            <w:r>
              <w:rPr>
                <w:spacing w:val="-2"/>
              </w:rPr>
              <w:t>最多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37%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40Gy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0"/>
              <w:spacing w:before="64" w:line="190" w:lineRule="auto"/>
              <w:rPr/>
            </w:pPr>
            <w:r>
              <w:rPr>
                <w:spacing w:val="-1"/>
              </w:rPr>
              <w:t>不超过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60%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体积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40Gy</w:t>
            </w:r>
          </w:p>
        </w:tc>
      </w:tr>
      <w:tr>
        <w:trPr>
          <w:trHeight w:val="283" w:hRule="atLeast"/>
        </w:trPr>
        <w:tc>
          <w:tcPr>
            <w:tcW w:w="1202" w:type="dxa"/>
            <w:vAlign w:val="top"/>
          </w:tcPr>
          <w:p>
            <w:pPr>
              <w:pStyle w:val="TableText"/>
              <w:ind w:left="59"/>
              <w:spacing w:before="67" w:line="190" w:lineRule="auto"/>
              <w:rPr/>
            </w:pPr>
            <w:r>
              <w:rPr>
                <w:spacing w:val="8"/>
              </w:rPr>
              <w:t>脊髓</w:t>
            </w:r>
          </w:p>
        </w:tc>
        <w:tc>
          <w:tcPr>
            <w:tcW w:w="1500" w:type="dxa"/>
            <w:vAlign w:val="top"/>
            <w:gridSpan w:val="2"/>
          </w:tcPr>
          <w:p>
            <w:pPr>
              <w:pStyle w:val="TableText"/>
              <w:ind w:left="108"/>
              <w:spacing w:before="90" w:line="166" w:lineRule="auto"/>
              <w:rPr/>
            </w:pPr>
            <w:r>
              <w:rPr>
                <w:spacing w:val="-8"/>
              </w:rPr>
              <w:t>Dmax＜45Gy</w:t>
            </w:r>
          </w:p>
        </w:tc>
        <w:tc>
          <w:tcPr>
            <w:tcW w:w="18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3" w:hRule="atLeast"/>
        </w:trPr>
        <w:tc>
          <w:tcPr>
            <w:tcW w:w="1202" w:type="dxa"/>
            <w:vAlign w:val="top"/>
          </w:tcPr>
          <w:p>
            <w:pPr>
              <w:pStyle w:val="TableText"/>
              <w:ind w:left="74"/>
              <w:spacing w:before="68" w:line="188" w:lineRule="auto"/>
              <w:rPr/>
            </w:pPr>
            <w:r>
              <w:rPr/>
              <w:t>肾</w:t>
            </w:r>
          </w:p>
        </w:tc>
        <w:tc>
          <w:tcPr>
            <w:tcW w:w="1500" w:type="dxa"/>
            <w:vAlign w:val="top"/>
            <w:gridSpan w:val="2"/>
          </w:tcPr>
          <w:p>
            <w:pPr>
              <w:pStyle w:val="TableText"/>
              <w:ind w:left="108"/>
              <w:spacing w:before="91" w:line="166" w:lineRule="auto"/>
              <w:rPr/>
            </w:pPr>
            <w:r>
              <w:rPr>
                <w:spacing w:val="-13"/>
              </w:rPr>
              <w:t>Dmean&lt;10Gy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3"/>
              <w:spacing w:before="91" w:line="166" w:lineRule="auto"/>
              <w:rPr/>
            </w:pPr>
            <w:r>
              <w:rPr>
                <w:spacing w:val="-13"/>
              </w:rPr>
              <w:t>Dmean&lt;15Gy</w:t>
            </w:r>
          </w:p>
        </w:tc>
      </w:tr>
      <w:tr>
        <w:trPr>
          <w:trHeight w:val="282" w:hRule="atLeast"/>
        </w:trPr>
        <w:tc>
          <w:tcPr>
            <w:tcW w:w="120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5"/>
              <w:spacing w:before="71" w:line="184" w:lineRule="auto"/>
              <w:rPr/>
            </w:pPr>
            <w:r>
              <w:rPr>
                <w:spacing w:val="7"/>
              </w:rPr>
              <w:t>十二指肠</w:t>
            </w:r>
          </w:p>
        </w:tc>
        <w:tc>
          <w:tcPr>
            <w:tcW w:w="1500" w:type="dxa"/>
            <w:vAlign w:val="top"/>
            <w:gridSpan w:val="2"/>
            <w:tcBorders>
              <w:bottom w:val="single" w:color="231F20" w:sz="6" w:space="0"/>
            </w:tcBorders>
          </w:tcPr>
          <w:p>
            <w:pPr>
              <w:pStyle w:val="TableText"/>
              <w:ind w:left="105"/>
              <w:spacing w:before="91" w:line="168" w:lineRule="auto"/>
              <w:rPr/>
            </w:pPr>
            <w:r>
              <w:rPr>
                <w:spacing w:val="-8"/>
              </w:rPr>
              <w:t>V55&lt;5cc</w:t>
            </w:r>
          </w:p>
        </w:tc>
        <w:tc>
          <w:tcPr>
            <w:tcW w:w="180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10"/>
              <w:spacing w:before="90" w:line="169" w:lineRule="auto"/>
              <w:rPr/>
            </w:pPr>
            <w:r>
              <w:rPr>
                <w:spacing w:val="-8"/>
              </w:rPr>
              <w:t>V55&lt;15cc</w:t>
            </w:r>
          </w:p>
        </w:tc>
      </w:tr>
    </w:tbl>
    <w:p>
      <w:pPr>
        <w:spacing w:line="445" w:lineRule="auto"/>
        <w:rPr>
          <w:rFonts w:ascii="Arial"/>
          <w:sz w:val="21"/>
        </w:rPr>
      </w:pPr>
      <w:r/>
    </w:p>
    <w:p>
      <w:pPr>
        <w:pStyle w:val="BodyText"/>
        <w:ind w:left="588"/>
        <w:spacing w:before="73" w:line="192" w:lineRule="auto"/>
        <w:rPr/>
      </w:pPr>
      <w:r>
        <w:rPr>
          <w:rFonts w:ascii="SimHei" w:hAnsi="SimHei" w:eastAsia="SimHei" w:cs="SimHei"/>
          <w:color w:val="231F20"/>
          <w:spacing w:val="9"/>
        </w:rPr>
        <w:t>表3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子宫颈癌外阴周围正常组织限量指引</w:t>
      </w:r>
    </w:p>
    <w:p>
      <w:pPr>
        <w:spacing w:line="93" w:lineRule="exact"/>
        <w:rPr/>
      </w:pPr>
      <w:r/>
    </w:p>
    <w:tbl>
      <w:tblPr>
        <w:tblStyle w:val="TableNormal"/>
        <w:tblW w:w="4492" w:type="dxa"/>
        <w:tblInd w:w="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8"/>
        <w:gridCol w:w="1667"/>
        <w:gridCol w:w="1687"/>
      </w:tblGrid>
      <w:tr>
        <w:trPr>
          <w:trHeight w:val="274" w:hRule="atLeast"/>
        </w:trPr>
        <w:tc>
          <w:tcPr>
            <w:tcW w:w="1138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52"/>
              <w:spacing w:before="198" w:line="187" w:lineRule="auto"/>
              <w:rPr/>
            </w:pPr>
            <w:r>
              <w:rPr>
                <w:spacing w:val="9"/>
              </w:rPr>
              <w:t>危及器官</w:t>
            </w:r>
          </w:p>
        </w:tc>
        <w:tc>
          <w:tcPr>
            <w:tcW w:w="3354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70"/>
              <w:spacing w:before="55" w:line="188" w:lineRule="auto"/>
              <w:rPr/>
            </w:pPr>
            <w:r>
              <w:rPr>
                <w:spacing w:val="9"/>
              </w:rPr>
              <w:t>剂量建议</w:t>
            </w:r>
          </w:p>
        </w:tc>
      </w:tr>
      <w:tr>
        <w:trPr>
          <w:trHeight w:val="275" w:hRule="atLeast"/>
        </w:trPr>
        <w:tc>
          <w:tcPr>
            <w:tcW w:w="1138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2"/>
              <w:spacing w:before="62" w:line="186" w:lineRule="auto"/>
              <w:rPr/>
            </w:pPr>
            <w:r>
              <w:rPr>
                <w:spacing w:val="8"/>
              </w:rPr>
              <w:t>软性限制</w:t>
            </w:r>
          </w:p>
        </w:tc>
        <w:tc>
          <w:tcPr>
            <w:tcW w:w="168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32"/>
              <w:spacing w:before="62" w:line="186" w:lineRule="auto"/>
              <w:rPr/>
            </w:pPr>
            <w:r>
              <w:rPr>
                <w:spacing w:val="8"/>
              </w:rPr>
              <w:t>硬性限制</w:t>
            </w:r>
          </w:p>
        </w:tc>
      </w:tr>
      <w:tr>
        <w:trPr>
          <w:trHeight w:val="284" w:hRule="atLeast"/>
        </w:trPr>
        <w:tc>
          <w:tcPr>
            <w:tcW w:w="113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0"/>
              <w:spacing w:before="70" w:line="181" w:lineRule="auto"/>
              <w:rPr/>
            </w:pPr>
            <w:r>
              <w:rPr>
                <w:spacing w:val="8"/>
              </w:rPr>
              <w:t>肛肠</w:t>
            </w:r>
          </w:p>
        </w:tc>
        <w:tc>
          <w:tcPr>
            <w:tcW w:w="16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3"/>
              <w:spacing w:before="88" w:line="166" w:lineRule="auto"/>
              <w:rPr/>
            </w:pPr>
            <w:r>
              <w:rPr>
                <w:spacing w:val="-8"/>
              </w:rPr>
              <w:t>Dmax＜65Gy</w:t>
            </w:r>
          </w:p>
        </w:tc>
        <w:tc>
          <w:tcPr>
            <w:tcW w:w="16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1"/>
              <w:spacing w:before="14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80" w:hRule="atLeast"/>
        </w:trPr>
        <w:tc>
          <w:tcPr>
            <w:tcW w:w="1138" w:type="dxa"/>
            <w:vAlign w:val="top"/>
          </w:tcPr>
          <w:p>
            <w:pPr>
              <w:pStyle w:val="TableText"/>
              <w:ind w:left="380"/>
              <w:spacing w:before="66" w:line="185" w:lineRule="auto"/>
              <w:rPr/>
            </w:pPr>
            <w:r>
              <w:rPr>
                <w:spacing w:val="8"/>
              </w:rPr>
              <w:t>股骨头</w:t>
            </w:r>
          </w:p>
        </w:tc>
        <w:tc>
          <w:tcPr>
            <w:tcW w:w="1667" w:type="dxa"/>
            <w:vAlign w:val="top"/>
          </w:tcPr>
          <w:p>
            <w:pPr>
              <w:pStyle w:val="TableText"/>
              <w:ind w:left="383"/>
              <w:spacing w:before="87" w:line="166" w:lineRule="auto"/>
              <w:rPr/>
            </w:pPr>
            <w:r>
              <w:rPr>
                <w:spacing w:val="-8"/>
              </w:rPr>
              <w:t>Dmax＜55Gy</w:t>
            </w:r>
          </w:p>
        </w:tc>
        <w:tc>
          <w:tcPr>
            <w:tcW w:w="1687" w:type="dxa"/>
            <w:vAlign w:val="top"/>
          </w:tcPr>
          <w:p>
            <w:pPr>
              <w:pStyle w:val="TableText"/>
              <w:ind w:left="711"/>
              <w:spacing w:before="147" w:line="118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  <w:tr>
        <w:trPr>
          <w:trHeight w:val="281" w:hRule="atLeast"/>
        </w:trPr>
        <w:tc>
          <w:tcPr>
            <w:tcW w:w="113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1"/>
              <w:spacing w:before="68" w:line="187" w:lineRule="auto"/>
              <w:rPr/>
            </w:pPr>
            <w:r>
              <w:rPr>
                <w:spacing w:val="7"/>
              </w:rPr>
              <w:t>膀胱</w:t>
            </w:r>
          </w:p>
        </w:tc>
        <w:tc>
          <w:tcPr>
            <w:tcW w:w="166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3"/>
              <w:spacing w:before="91" w:line="166" w:lineRule="auto"/>
              <w:rPr/>
            </w:pPr>
            <w:r>
              <w:rPr>
                <w:spacing w:val="-8"/>
              </w:rPr>
              <w:t>Dmax＜65Gy</w:t>
            </w:r>
          </w:p>
        </w:tc>
        <w:tc>
          <w:tcPr>
            <w:tcW w:w="168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11"/>
              <w:spacing w:before="150" w:line="119" w:lineRule="exact"/>
              <w:rPr/>
            </w:pPr>
            <w:r>
              <w:rPr>
                <w:color w:val="231F20"/>
                <w:spacing w:val="16"/>
                <w:position w:val="-6"/>
              </w:rPr>
              <w:t>-</w:t>
            </w:r>
          </w:p>
        </w:tc>
      </w:tr>
    </w:tbl>
    <w:p>
      <w:pPr>
        <w:pStyle w:val="BodyText"/>
        <w:ind w:left="11" w:right="39" w:firstLine="164"/>
        <w:spacing w:before="64" w:line="231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注：临床医生需平衡正常组织毒性和肿瘤控制之间的关系，建议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6"/>
        </w:rPr>
        <w:t>尽量按剂量限制要求；研究表明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</w:rPr>
        <w:t>20%～30% 的病例不会满足所有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限量</w:t>
      </w:r>
    </w:p>
    <w:p>
      <w:pPr>
        <w:spacing w:line="231" w:lineRule="auto"/>
        <w:sectPr>
          <w:type w:val="continuous"/>
          <w:pgSz w:w="11452" w:h="16328"/>
          <w:pgMar w:top="1278" w:right="1008" w:bottom="0" w:left="1050" w:header="1031" w:footer="0" w:gutter="0"/>
          <w:cols w:equalWidth="0" w:num="2">
            <w:col w:w="4752" w:space="100"/>
            <w:col w:w="4542" w:space="0"/>
          </w:cols>
        </w:sectPr>
        <w:rPr>
          <w:sz w:val="15"/>
          <w:szCs w:val="15"/>
        </w:rPr>
      </w:pPr>
    </w:p>
    <w:p>
      <w:pPr>
        <w:spacing w:line="284" w:lineRule="auto"/>
        <w:rPr>
          <w:rFonts w:ascii="Arial"/>
          <w:sz w:val="21"/>
        </w:rPr>
      </w:pPr>
      <w:r>
        <w:pict>
          <v:shape id="_x0000_s4" style="position:absolute;margin-left:285.047pt;margin-top:-0.604492pt;mso-position-vertical-relative:text;mso-position-horizontal-relative:text;width:181.05pt;height:0.3pt;z-index:251659264;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pStyle w:val="BodyText"/>
        <w:ind w:left="2985"/>
        <w:spacing w:before="73" w:line="192" w:lineRule="auto"/>
        <w:rPr/>
      </w:pPr>
      <w:r>
        <w:rPr>
          <w:rFonts w:ascii="SimHei" w:hAnsi="SimHei" w:eastAsia="SimHei" w:cs="SimHei"/>
          <w:color w:val="231F20"/>
          <w:spacing w:val="9"/>
        </w:rPr>
        <w:t>表4</w:t>
      </w:r>
      <w:r>
        <w:rPr>
          <w:rFonts w:ascii="SimHei" w:hAnsi="SimHei" w:eastAsia="SimHei" w:cs="SimHei"/>
          <w:color w:val="231F20"/>
          <w:spacing w:val="9"/>
        </w:rPr>
        <w:t xml:space="preserve">  </w:t>
      </w:r>
      <w:r>
        <w:rPr>
          <w:color w:val="231F20"/>
          <w:spacing w:val="9"/>
        </w:rPr>
        <w:t>子宫颈癌近距离放疗正常组织限量指引</w:t>
      </w:r>
    </w:p>
    <w:p>
      <w:pPr>
        <w:spacing w:line="136" w:lineRule="exact"/>
        <w:rPr/>
      </w:pPr>
      <w:r/>
    </w:p>
    <w:tbl>
      <w:tblPr>
        <w:tblStyle w:val="TableNormal"/>
        <w:tblW w:w="9356" w:type="dxa"/>
        <w:tblInd w:w="6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16"/>
        <w:gridCol w:w="2420"/>
        <w:gridCol w:w="2400"/>
        <w:gridCol w:w="2320"/>
      </w:tblGrid>
      <w:tr>
        <w:trPr>
          <w:trHeight w:val="274" w:hRule="atLeast"/>
        </w:trPr>
        <w:tc>
          <w:tcPr>
            <w:tcW w:w="221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9"/>
              <w:spacing w:before="57" w:line="187" w:lineRule="auto"/>
              <w:rPr/>
            </w:pPr>
            <w:r>
              <w:rPr>
                <w:spacing w:val="9"/>
              </w:rPr>
              <w:t>危及器官</w:t>
            </w:r>
          </w:p>
        </w:tc>
        <w:tc>
          <w:tcPr>
            <w:tcW w:w="242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0"/>
              <w:spacing w:before="53" w:line="185" w:lineRule="auto"/>
              <w:rPr/>
            </w:pPr>
            <w:r>
              <w:rPr>
                <w:spacing w:val="-2"/>
              </w:rPr>
              <w:t>理想剂量限制（cGy</w:t>
            </w:r>
            <w:r>
              <w:rPr>
                <w:spacing w:val="-15"/>
                <w:w w:val="57"/>
              </w:rPr>
              <w:t>）（</w:t>
            </w:r>
            <w:r>
              <w:rPr>
                <w:spacing w:val="-2"/>
              </w:rPr>
              <w:t>EQD2</w:t>
            </w:r>
            <w:r>
              <w:rPr>
                <w:sz w:val="9"/>
                <w:szCs w:val="9"/>
                <w:spacing w:val="-2"/>
                <w:position w:val="-4"/>
              </w:rPr>
              <w:t>3</w:t>
            </w:r>
            <w:r>
              <w:rPr>
                <w:spacing w:val="-2"/>
              </w:rPr>
              <w:t>）</w:t>
            </w:r>
          </w:p>
        </w:tc>
        <w:tc>
          <w:tcPr>
            <w:tcW w:w="240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3"/>
              <w:spacing w:before="53" w:line="185" w:lineRule="auto"/>
              <w:rPr/>
            </w:pPr>
            <w:r>
              <w:rPr>
                <w:spacing w:val="-2"/>
              </w:rPr>
              <w:t>最大剂量限制（cGy</w:t>
            </w:r>
            <w:r>
              <w:rPr>
                <w:spacing w:val="-15"/>
                <w:w w:val="57"/>
              </w:rPr>
              <w:t>）（</w:t>
            </w:r>
            <w:r>
              <w:rPr>
                <w:spacing w:val="-2"/>
              </w:rPr>
              <w:t>EQD2</w:t>
            </w:r>
            <w:r>
              <w:rPr>
                <w:sz w:val="9"/>
                <w:szCs w:val="9"/>
                <w:spacing w:val="-2"/>
                <w:position w:val="-4"/>
              </w:rPr>
              <w:t>3</w:t>
            </w:r>
            <w:r>
              <w:rPr>
                <w:spacing w:val="-2"/>
              </w:rPr>
              <w:t>）</w:t>
            </w:r>
          </w:p>
        </w:tc>
        <w:tc>
          <w:tcPr>
            <w:tcW w:w="232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9"/>
              <w:spacing w:before="53" w:line="185" w:lineRule="auto"/>
              <w:rPr/>
            </w:pPr>
            <w:r>
              <w:rPr>
                <w:spacing w:val="-6"/>
              </w:rPr>
              <w:t>ICRU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点（cGy</w:t>
            </w:r>
            <w:r>
              <w:rPr>
                <w:spacing w:val="-16"/>
                <w:w w:val="61"/>
              </w:rPr>
              <w:t>）（</w:t>
            </w:r>
            <w:r>
              <w:rPr>
                <w:spacing w:val="-6"/>
              </w:rPr>
              <w:t>EQD2</w:t>
            </w:r>
            <w:r>
              <w:rPr>
                <w:sz w:val="9"/>
                <w:szCs w:val="9"/>
                <w:spacing w:val="-6"/>
                <w:position w:val="-4"/>
              </w:rPr>
              <w:t>3</w:t>
            </w:r>
            <w:r>
              <w:rPr>
                <w:spacing w:val="-6"/>
              </w:rPr>
              <w:t>）</w:t>
            </w:r>
          </w:p>
        </w:tc>
      </w:tr>
      <w:tr>
        <w:trPr>
          <w:trHeight w:val="1408" w:hRule="atLeast"/>
        </w:trPr>
        <w:tc>
          <w:tcPr>
            <w:tcW w:w="221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81"/>
              <w:spacing w:before="60" w:line="185" w:lineRule="auto"/>
              <w:rPr/>
            </w:pPr>
            <w:r>
              <w:rPr>
                <w:spacing w:val="7"/>
              </w:rPr>
              <w:t>直肠</w:t>
            </w:r>
          </w:p>
          <w:p>
            <w:pPr>
              <w:pStyle w:val="TableText"/>
              <w:ind w:left="381"/>
              <w:spacing w:before="87" w:line="187" w:lineRule="auto"/>
              <w:rPr/>
            </w:pPr>
            <w:r>
              <w:rPr>
                <w:spacing w:val="7"/>
              </w:rPr>
              <w:t>膀胱</w:t>
            </w:r>
          </w:p>
          <w:p>
            <w:pPr>
              <w:pStyle w:val="TableText"/>
              <w:ind w:left="389" w:right="254" w:firstLine="3"/>
              <w:spacing w:before="78" w:line="260" w:lineRule="auto"/>
              <w:rPr/>
            </w:pPr>
            <w:r>
              <w:rPr/>
              <w:t>阴道口（直肠-阴道点）</w:t>
            </w:r>
            <w:r>
              <w:rPr>
                <w:spacing w:val="2"/>
              </w:rPr>
              <w:t xml:space="preserve"> </w:t>
            </w:r>
            <w:r>
              <w:rPr>
                <w:spacing w:val="6"/>
              </w:rPr>
              <w:t>乙状结肠</w:t>
            </w:r>
          </w:p>
          <w:p>
            <w:pPr>
              <w:pStyle w:val="TableText"/>
              <w:ind w:left="379"/>
              <w:spacing w:before="17" w:line="178" w:lineRule="auto"/>
              <w:rPr/>
            </w:pPr>
            <w:r>
              <w:rPr>
                <w:spacing w:val="7"/>
              </w:rPr>
              <w:t>肠</w:t>
            </w:r>
          </w:p>
        </w:tc>
        <w:tc>
          <w:tcPr>
            <w:tcW w:w="242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909"/>
              <w:spacing w:before="83" w:line="169" w:lineRule="auto"/>
              <w:rPr/>
            </w:pPr>
            <w:r>
              <w:rPr>
                <w:spacing w:val="-9"/>
              </w:rPr>
              <w:t>&lt;6500 D2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cc</w:t>
            </w:r>
          </w:p>
          <w:p>
            <w:pPr>
              <w:pStyle w:val="TableText"/>
              <w:ind w:left="709"/>
              <w:spacing w:before="103" w:line="168" w:lineRule="auto"/>
              <w:rPr/>
            </w:pPr>
            <w:r>
              <w:rPr>
                <w:spacing w:val="-6"/>
              </w:rPr>
              <w:t>7500～8000 D2 cc</w:t>
            </w:r>
          </w:p>
          <w:p>
            <w:pPr>
              <w:pStyle w:val="TableText"/>
              <w:ind w:left="863"/>
              <w:spacing w:before="76" w:line="216" w:lineRule="auto"/>
              <w:rPr/>
            </w:pPr>
            <w:r>
              <w:rPr>
                <w:spacing w:val="-2"/>
              </w:rPr>
              <w:t>&lt;6500点剂量</w:t>
            </w:r>
          </w:p>
          <w:p>
            <w:pPr>
              <w:pStyle w:val="TableText"/>
              <w:ind w:left="909"/>
              <w:spacing w:before="79" w:line="167" w:lineRule="auto"/>
              <w:rPr/>
            </w:pPr>
            <w:r>
              <w:rPr>
                <w:spacing w:val="-9"/>
              </w:rPr>
              <w:t>&lt;7000 D2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cc</w:t>
            </w:r>
          </w:p>
          <w:p>
            <w:pPr>
              <w:pStyle w:val="TableText"/>
              <w:ind w:left="909"/>
              <w:spacing w:before="104" w:line="166" w:lineRule="auto"/>
              <w:rPr/>
            </w:pPr>
            <w:r>
              <w:rPr>
                <w:spacing w:val="-9"/>
              </w:rPr>
              <w:t>&lt;7000 D2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cc</w:t>
            </w:r>
          </w:p>
        </w:tc>
        <w:tc>
          <w:tcPr>
            <w:tcW w:w="240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723"/>
              <w:spacing w:before="84" w:line="168" w:lineRule="auto"/>
              <w:rPr/>
            </w:pPr>
            <w:r>
              <w:rPr>
                <w:spacing w:val="-9"/>
              </w:rPr>
              <w:t>&lt;7500 D2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cc</w:t>
            </w:r>
          </w:p>
          <w:p>
            <w:pPr>
              <w:pStyle w:val="TableText"/>
              <w:ind w:left="677" w:right="821" w:firstLine="45"/>
              <w:spacing w:before="103" w:line="260" w:lineRule="auto"/>
              <w:jc w:val="both"/>
              <w:rPr/>
            </w:pPr>
            <w:r>
              <w:rPr>
                <w:spacing w:val="-10"/>
              </w:rPr>
              <w:t>&lt;9000 D2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cc</w:t>
            </w:r>
            <w:r>
              <w:rPr/>
              <w:t xml:space="preserve">  </w:t>
            </w:r>
            <w:r>
              <w:rPr>
                <w:spacing w:val="-2"/>
              </w:rPr>
              <w:t>&lt;7500点剂量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&lt;7500 D2 cc</w:t>
            </w:r>
          </w:p>
          <w:p>
            <w:pPr>
              <w:pStyle w:val="TableText"/>
              <w:ind w:left="723"/>
              <w:spacing w:before="13" w:line="168" w:lineRule="auto"/>
              <w:rPr/>
            </w:pPr>
            <w:r>
              <w:rPr>
                <w:spacing w:val="-9"/>
              </w:rPr>
              <w:t>&lt;7500 D2</w:t>
            </w:r>
            <w:r>
              <w:rPr>
                <w:spacing w:val="1"/>
              </w:rPr>
              <w:t xml:space="preserve"> </w:t>
            </w:r>
            <w:r>
              <w:rPr>
                <w:spacing w:val="-9"/>
              </w:rPr>
              <w:t>cc</w:t>
            </w:r>
          </w:p>
        </w:tc>
        <w:tc>
          <w:tcPr>
            <w:tcW w:w="2320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633"/>
              <w:spacing w:before="58" w:line="216" w:lineRule="auto"/>
              <w:rPr/>
            </w:pPr>
            <w:r>
              <w:rPr>
                <w:spacing w:val="-2"/>
              </w:rPr>
              <w:t>&lt;7500点剂量</w:t>
            </w:r>
          </w:p>
          <w:p>
            <w:pPr>
              <w:pStyle w:val="TableText"/>
              <w:ind w:left="633"/>
              <w:spacing w:before="51" w:line="216" w:lineRule="auto"/>
              <w:rPr/>
            </w:pPr>
            <w:r>
              <w:rPr>
                <w:spacing w:val="-2"/>
              </w:rPr>
              <w:t>&lt;7500点剂量</w:t>
            </w:r>
          </w:p>
          <w:p>
            <w:pPr>
              <w:pStyle w:val="TableText"/>
              <w:ind w:left="1044"/>
              <w:spacing w:before="137" w:line="118" w:lineRule="exact"/>
              <w:rPr/>
            </w:pPr>
            <w:r>
              <w:rPr>
                <w:spacing w:val="16"/>
                <w:position w:val="-6"/>
              </w:rPr>
              <w:t>-</w:t>
            </w:r>
          </w:p>
          <w:p>
            <w:pPr>
              <w:pStyle w:val="TableText"/>
              <w:ind w:left="1044"/>
              <w:spacing w:before="165" w:line="118" w:lineRule="exact"/>
              <w:rPr/>
            </w:pPr>
            <w:r>
              <w:rPr>
                <w:spacing w:val="16"/>
                <w:position w:val="-6"/>
              </w:rPr>
              <w:t>-</w:t>
            </w:r>
          </w:p>
          <w:p>
            <w:pPr>
              <w:pStyle w:val="TableText"/>
              <w:ind w:left="1044"/>
              <w:spacing w:before="165" w:line="118" w:lineRule="exact"/>
              <w:rPr/>
            </w:pPr>
            <w:r>
              <w:rPr>
                <w:spacing w:val="16"/>
                <w:position w:val="-6"/>
              </w:rPr>
              <w:t>-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61" w:lineRule="exact"/>
        <w:rPr/>
      </w:pPr>
      <w:r/>
    </w:p>
    <w:p>
      <w:pPr>
        <w:spacing w:line="161" w:lineRule="exact"/>
        <w:sectPr>
          <w:headerReference w:type="default" r:id="rId2"/>
          <w:pgSz w:w="11452" w:h="16328"/>
          <w:pgMar w:top="1278" w:right="983" w:bottom="0" w:left="983" w:header="1031" w:footer="0" w:gutter="0"/>
          <w:cols w:equalWidth="0" w:num="1">
            <w:col w:w="9485" w:space="0"/>
          </w:cols>
        </w:sectPr>
        <w:rPr/>
      </w:pPr>
    </w:p>
    <w:p>
      <w:pPr>
        <w:ind w:left="68"/>
        <w:spacing w:before="3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8"/>
        </w:rPr>
        <w:t>全身治疗（化疗）原则</w:t>
      </w:r>
    </w:p>
    <w:p>
      <w:pPr>
        <w:pStyle w:val="BodyText"/>
        <w:ind w:left="70"/>
        <w:spacing w:before="80" w:line="188" w:lineRule="auto"/>
        <w:rPr/>
      </w:pPr>
      <w:r>
        <w:rPr>
          <w:color w:val="231F20"/>
          <w:spacing w:val="4"/>
        </w:rPr>
        <w:t>5.1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4"/>
        </w:rPr>
        <w:t>同期放化疗   一般用顺铂单药，不耐受</w:t>
      </w:r>
      <w:r>
        <w:rPr>
          <w:color w:val="231F20"/>
          <w:spacing w:val="3"/>
        </w:rPr>
        <w:t>者可用卡铂。</w:t>
      </w:r>
    </w:p>
    <w:p>
      <w:pPr>
        <w:pStyle w:val="BodyText"/>
        <w:ind w:right="131" w:firstLine="70"/>
        <w:spacing w:before="58" w:line="230" w:lineRule="auto"/>
        <w:rPr/>
      </w:pPr>
      <w:r>
        <w:rPr>
          <w:color w:val="231F20"/>
          <w:spacing w:val="10"/>
        </w:rPr>
        <w:t>5.2   一线联合化疗    持续性、复发转移子宫颈癌患者如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PD</w:t>
      </w:r>
      <w:r>
        <w:rPr>
          <w:color w:val="231F20"/>
          <w:spacing w:val="1"/>
        </w:rPr>
        <w:t>-L1 阳性（</w:t>
      </w:r>
      <w:r>
        <w:rPr>
          <w:color w:val="231F20"/>
        </w:rPr>
        <w:t>CPS</w:t>
      </w:r>
      <w:r>
        <w:rPr>
          <w:color w:val="231F20"/>
          <w:spacing w:val="1"/>
        </w:rPr>
        <w:t>≥1）首选帕姆单抗+顺铂</w:t>
      </w:r>
      <w:r>
        <w:rPr>
          <w:color w:val="231F20"/>
        </w:rPr>
        <w:t>+紫杉醇±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贝伐珠  </w:t>
      </w:r>
      <w:r>
        <w:rPr>
          <w:color w:val="231F20"/>
          <w:spacing w:val="6"/>
        </w:rPr>
        <w:t>单抗或帕姆单抗+卡铂+紫杉醇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±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贝伐珠单抗（1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类证据）。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或顺铂+紫杉醇+贝伐珠单抗或卡铂+紫杉醇+贝伐珠单抗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（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类证据）。 其他推荐方案为：顺铂+紫杉醇、卡铂+紫杉  </w:t>
      </w:r>
      <w:r>
        <w:rPr>
          <w:color w:val="231F20"/>
          <w:spacing w:val="4"/>
        </w:rPr>
        <w:t>醇、拓扑替康+紫杉醇+贝伐珠单抗、拓扑替康</w:t>
      </w:r>
      <w:r>
        <w:rPr>
          <w:color w:val="231F20"/>
          <w:spacing w:val="3"/>
        </w:rPr>
        <w:t>+紫杉醇、顺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铂+拓扑替康、顺铂或卡铂单药。</w:t>
      </w:r>
    </w:p>
    <w:p>
      <w:pPr>
        <w:pStyle w:val="BodyText"/>
        <w:ind w:left="63" w:right="196" w:firstLine="6"/>
        <w:spacing w:before="63" w:line="233" w:lineRule="auto"/>
        <w:rPr/>
      </w:pPr>
      <w:r>
        <w:rPr>
          <w:color w:val="231F20"/>
          <w:spacing w:val="15"/>
        </w:rPr>
        <w:t>5.3</w:t>
      </w:r>
      <w:r>
        <w:rPr>
          <w:color w:val="231F20"/>
          <w:spacing w:val="20"/>
        </w:rPr>
        <w:t xml:space="preserve">   </w:t>
      </w:r>
      <w:r>
        <w:rPr>
          <w:color w:val="231F20"/>
          <w:spacing w:val="15"/>
        </w:rPr>
        <w:t>二线治疗药物</w:t>
      </w:r>
      <w:r>
        <w:rPr>
          <w:color w:val="231F20"/>
        </w:rPr>
        <w:t xml:space="preserve">    </w:t>
      </w:r>
      <w:r>
        <w:rPr>
          <w:color w:val="231F20"/>
          <w:spacing w:val="15"/>
        </w:rPr>
        <w:t>首选帕姆单抗用于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15"/>
        </w:rPr>
        <w:t>-L1 阳性或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MSI-H/dMMR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1"/>
        </w:rPr>
        <w:t>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TMB-H（Mb≥10</w:t>
      </w:r>
      <w:r>
        <w:rPr>
          <w:color w:val="231F20"/>
          <w:spacing w:val="-12"/>
        </w:rPr>
        <w:t>）肿瘤患者；新增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tisotumab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vedotin-tftv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。其他推荐药物有：贝伐珠单抗、紫杉醇、白蛋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白紫杉醇、多西他赛、氟尿嘧啶（5-FU）、吉西他滨、伊立替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康、拓扑替康、培美曲塞和长春瑞滨（2B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级证据）。 某些情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况下可用药物：纳武单抗用于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4"/>
        </w:rPr>
        <w:t>-L1 阳性患</w:t>
      </w:r>
      <w:r>
        <w:rPr>
          <w:color w:val="231F20"/>
          <w:spacing w:val="3"/>
        </w:rPr>
        <w:t>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、</w:t>
      </w:r>
      <w:r>
        <w:rPr>
          <w:color w:val="231F20"/>
        </w:rPr>
        <w:t>selperca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tinib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用于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RET</w:t>
      </w:r>
      <w:r>
        <w:rPr>
          <w:rFonts w:ascii="Arial" w:hAnsi="Arial" w:eastAsia="Arial" w:cs="Arial"/>
          <w:i/>
          <w:iCs/>
          <w:color w:val="231F20"/>
          <w:spacing w:val="-23"/>
        </w:rPr>
        <w:t xml:space="preserve"> </w:t>
      </w:r>
      <w:r>
        <w:rPr>
          <w:color w:val="231F20"/>
          <w:spacing w:val="6"/>
        </w:rPr>
        <w:t>融合基因患者、拉罗曲替尼、恩曲替尼用于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NTRK</w:t>
      </w:r>
      <w:r>
        <w:rPr>
          <w:color w:val="231F20"/>
          <w:spacing w:val="-6"/>
        </w:rPr>
        <w:t>基因阳性肿瘤（2B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6"/>
        </w:rPr>
        <w:t>级证据）。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70"/>
        <w:spacing w:before="55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6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影像学检查原则</w:t>
      </w:r>
    </w:p>
    <w:p>
      <w:pPr>
        <w:pStyle w:val="BodyText"/>
        <w:ind w:left="72" w:right="196" w:firstLine="369"/>
        <w:spacing w:before="80" w:line="237" w:lineRule="auto"/>
        <w:rPr/>
      </w:pPr>
      <w:r>
        <w:rPr>
          <w:color w:val="231F20"/>
          <w:spacing w:val="5"/>
        </w:rPr>
        <w:t>除了胸部</w:t>
      </w:r>
      <w:r>
        <w:rPr>
          <w:color w:val="231F20"/>
        </w:rPr>
        <w:t xml:space="preserve"> 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不要求增强，指南中提及的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及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均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为增强检查，除非有禁忌证。</w:t>
      </w:r>
    </w:p>
    <w:p>
      <w:pPr>
        <w:pStyle w:val="BodyText"/>
        <w:ind w:left="70"/>
        <w:spacing w:line="188" w:lineRule="auto"/>
        <w:rPr/>
      </w:pPr>
      <w:r>
        <w:rPr>
          <w:color w:val="231F20"/>
          <w:spacing w:val="5"/>
        </w:rPr>
        <w:t>6.1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5"/>
        </w:rPr>
        <w:t>初始检查影像学推荐</w:t>
      </w:r>
    </w:p>
    <w:p>
      <w:pPr>
        <w:pStyle w:val="BodyText"/>
        <w:ind w:left="65" w:right="196" w:firstLine="5"/>
        <w:spacing w:before="24" w:line="237" w:lineRule="auto"/>
        <w:rPr/>
      </w:pPr>
      <w:r>
        <w:rPr>
          <w:color w:val="231F20"/>
          <w:spacing w:val="-3"/>
        </w:rPr>
        <w:t>6.1.1     Ⅰ期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-3"/>
        </w:rPr>
        <w:t>非保留生育功能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FIGO  ⅠB1</w:t>
      </w:r>
      <w:r>
        <w:rPr>
          <w:color w:val="231F20"/>
          <w:spacing w:val="-4"/>
        </w:rPr>
        <w:t xml:space="preserve"> ~  ⅠB3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期患者首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选盆腔增强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1"/>
        </w:rPr>
        <w:t>评估局部病灶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。首选颈部/胸部/腹部/骨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盆/腹股沟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9"/>
        </w:rPr>
        <w:t>-</w:t>
      </w:r>
      <w:r>
        <w:rPr>
          <w:color w:val="231F20"/>
        </w:rPr>
        <w:t>CT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或胸部/腹部/骨盆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或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9"/>
        </w:rPr>
        <w:t>-</w:t>
      </w:r>
      <w:r>
        <w:rPr>
          <w:color w:val="231F20"/>
        </w:rPr>
        <w:t>MRI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评估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全身情况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。根据临床症状及可疑转移病灶可选择其他影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像学检查进行诊断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。全宫切除术后意外发现的子宫颈癌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的患者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，建议颈部/胸部/腹部/骨盆/腹股沟 </w:t>
      </w:r>
      <w:r>
        <w:rPr>
          <w:color w:val="231F20"/>
        </w:rPr>
        <w:t>PET</w:t>
      </w:r>
      <w:r>
        <w:rPr>
          <w:color w:val="231F20"/>
          <w:spacing w:val="10"/>
        </w:rPr>
        <w:t>-</w:t>
      </w:r>
      <w:r>
        <w:rPr>
          <w:color w:val="231F20"/>
        </w:rPr>
        <w:t>CT</w:t>
      </w:r>
      <w:r>
        <w:rPr>
          <w:color w:val="231F20"/>
          <w:spacing w:val="10"/>
        </w:rPr>
        <w:t xml:space="preserve"> 或胸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部/腹部/骨盆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评估转移性疾病和盆腔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2"/>
        </w:rPr>
        <w:t>评估盆腔残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留病灶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2"/>
        </w:rPr>
        <w:t>。保留生育患者首选盆腔 </w:t>
      </w:r>
      <w:r>
        <w:rPr>
          <w:color w:val="231F20"/>
        </w:rPr>
        <w:t>MRI</w:t>
      </w:r>
      <w:r>
        <w:rPr>
          <w:color w:val="231F20"/>
          <w:spacing w:val="12"/>
        </w:rPr>
        <w:t xml:space="preserve"> 以评估局部病灶和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肿瘤与子宫颈内口的距离；</w:t>
      </w:r>
      <w:r>
        <w:rPr>
          <w:color w:val="231F20"/>
        </w:rPr>
        <w:t>MRI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有禁忌者可行经</w:t>
      </w:r>
      <w:r>
        <w:rPr>
          <w:color w:val="231F20"/>
          <w:spacing w:val="9"/>
        </w:rPr>
        <w:t>阴道超声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检查进行评估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6"/>
        </w:rPr>
        <w:t>。考虑行颈部/胸部/腹部/盆腔/腹股沟区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PET-CT（首选）或胸部/腹部/盆腔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CT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检查。</w:t>
      </w:r>
    </w:p>
    <w:p>
      <w:pPr>
        <w:pStyle w:val="BodyText"/>
        <w:ind w:left="67" w:right="195" w:firstLine="2"/>
        <w:spacing w:before="38" w:line="225" w:lineRule="auto"/>
        <w:rPr/>
      </w:pPr>
      <w:r>
        <w:rPr>
          <w:color w:val="231F20"/>
          <w:spacing w:val="4"/>
        </w:rPr>
        <w:t>6.1.2    Ⅱ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~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Ⅳ期    盆腔增强 </w:t>
      </w:r>
      <w:r>
        <w:rPr>
          <w:color w:val="231F20"/>
        </w:rPr>
        <w:t>MRI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评估局部病灶范围；颈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部/胸部/腹部/盆腔/腹股沟区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4"/>
        </w:rPr>
        <w:t>-</w:t>
      </w:r>
      <w:r>
        <w:rPr>
          <w:color w:val="231F20"/>
        </w:rPr>
        <w:t>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或胸部/腹部/盆腔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CT </w:t>
      </w:r>
      <w:r>
        <w:rPr>
          <w:color w:val="231F20"/>
          <w:spacing w:val="9"/>
        </w:rPr>
        <w:t>检查以评估转移情况；根据临床症状及可疑转移病灶选择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其他影像学检查进行诊断；全子宫切除术后意外发现子宫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3"/>
        </w:rPr>
        <w:t>颈癌者考虑颈部/胸部/腹部/盆腔/腹股沟</w:t>
      </w:r>
      <w:r>
        <w:rPr>
          <w:color w:val="231F20"/>
          <w:spacing w:val="12"/>
        </w:rPr>
        <w:t>区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12"/>
        </w:rPr>
        <w:t>-</w:t>
      </w:r>
      <w:r>
        <w:rPr>
          <w:color w:val="231F20"/>
        </w:rPr>
        <w:t>CT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2"/>
        </w:rPr>
        <w:t>或胸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部/腹部/盆腔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检查以评估转移情况，盆腔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评估盆腔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/>
        <w:spacing w:before="38" w:line="188" w:lineRule="auto"/>
        <w:rPr/>
      </w:pPr>
      <w:r>
        <w:rPr>
          <w:color w:val="231F20"/>
          <w:spacing w:val="7"/>
        </w:rPr>
        <w:t>残留病灶。</w:t>
      </w:r>
    </w:p>
    <w:p>
      <w:pPr>
        <w:pStyle w:val="BodyText"/>
        <w:ind w:left="70"/>
        <w:spacing w:before="58" w:line="188" w:lineRule="auto"/>
        <w:rPr/>
      </w:pPr>
      <w:r>
        <w:rPr>
          <w:color w:val="231F20"/>
          <w:spacing w:val="4"/>
        </w:rPr>
        <w:t>6.2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4"/>
        </w:rPr>
        <w:t>随访时影像学检查推荐</w:t>
      </w:r>
    </w:p>
    <w:p>
      <w:pPr>
        <w:pStyle w:val="BodyText"/>
        <w:ind w:left="67" w:right="65" w:firstLine="3"/>
        <w:spacing w:before="24" w:line="234" w:lineRule="auto"/>
        <w:rPr/>
      </w:pPr>
      <w:r>
        <w:rPr>
          <w:color w:val="231F20"/>
          <w:spacing w:val="11"/>
        </w:rPr>
        <w:t>6.2.1</w:t>
      </w:r>
      <w:r>
        <w:rPr>
          <w:color w:val="231F20"/>
        </w:rPr>
        <w:t xml:space="preserve">     </w:t>
      </w:r>
      <w:r>
        <w:rPr>
          <w:color w:val="231F20"/>
          <w:spacing w:val="11"/>
        </w:rPr>
        <w:t>Ⅰ期   非保留生育功能患者的影像学检查</w:t>
      </w:r>
      <w:r>
        <w:rPr>
          <w:color w:val="231F20"/>
          <w:spacing w:val="10"/>
        </w:rPr>
        <w:t>选择基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于临床症状及复发/转移灶；ⅠB3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期患者或术后有高/中危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因素接受辅助放疗及放化疗的患者，在治疗结束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3～6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个月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后可行颈部/胸部/腹部/盆腔/腹股沟区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6"/>
        </w:rPr>
        <w:t>-</w:t>
      </w:r>
      <w:r>
        <w:rPr>
          <w:color w:val="231F20"/>
        </w:rPr>
        <w:t>CT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检查；保留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生育功能者术后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6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个月考虑行盆腔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平扫+增强检查，之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后的 2～3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年间每年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次；若怀疑复发，根据临床症状及复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发/转移选择其他影像学检查。</w:t>
      </w:r>
    </w:p>
    <w:p>
      <w:pPr>
        <w:pStyle w:val="BodyText"/>
        <w:ind w:left="67" w:right="64" w:firstLine="2"/>
        <w:spacing w:before="58" w:line="230" w:lineRule="auto"/>
        <w:rPr/>
      </w:pPr>
      <w:r>
        <w:rPr>
          <w:color w:val="231F20"/>
        </w:rPr>
        <w:t>6.2.2    Ⅱ ~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Ⅳ期    治疗结束后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3～6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个月内行颈部/胸</w:t>
      </w:r>
      <w:r>
        <w:rPr>
          <w:color w:val="231F20"/>
          <w:spacing w:val="-1"/>
        </w:rPr>
        <w:t>部/腹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部/盆腔/腹股沟区 </w:t>
      </w:r>
      <w:r>
        <w:rPr>
          <w:color w:val="231F20"/>
        </w:rPr>
        <w:t>PET</w:t>
      </w:r>
      <w:r>
        <w:rPr>
          <w:color w:val="231F20"/>
          <w:spacing w:val="5"/>
        </w:rPr>
        <w:t>-</w:t>
      </w:r>
      <w:r>
        <w:rPr>
          <w:color w:val="231F20"/>
        </w:rPr>
        <w:t>CT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检查（首选）或胸部/腹部/盆腔</w:t>
      </w:r>
      <w:r>
        <w:rPr>
          <w:color w:val="231F2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平扫+增强检查；治疗结束后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3～6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个月后选择性行盆腔</w:t>
      </w:r>
      <w:r>
        <w:rPr>
          <w:color w:val="231F20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平扫+增强检查；根据临床症状及复发/转移选择其他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影像学检查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。Ⅳ期患者根据症状或下一步处理决策选用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相应的检查方法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。可疑复发转移者均建议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12"/>
        </w:rPr>
        <w:t>-</w:t>
      </w:r>
      <w:r>
        <w:rPr>
          <w:color w:val="231F20"/>
        </w:rPr>
        <w:t>CT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及</w:t>
      </w:r>
      <w:r>
        <w:rPr>
          <w:color w:val="231F20"/>
          <w:spacing w:val="11"/>
        </w:rPr>
        <w:t>选用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MRI。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ind w:left="72"/>
        <w:spacing w:before="5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7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各期子宫颈癌的初始治疗方法</w:t>
      </w:r>
    </w:p>
    <w:p>
      <w:pPr>
        <w:pStyle w:val="BodyText"/>
        <w:ind w:left="68" w:right="65" w:firstLine="421"/>
        <w:spacing w:before="46" w:line="244" w:lineRule="auto"/>
        <w:jc w:val="both"/>
        <w:rPr/>
      </w:pPr>
      <w:r>
        <w:rPr>
          <w:color w:val="231F20"/>
          <w:spacing w:val="7"/>
        </w:rPr>
        <w:t>ⅠA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期子宫颈癌需经锥切诊断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。有适应证者加子宫颈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搔刮术（</w:t>
      </w:r>
      <w:r>
        <w:rPr>
          <w:color w:val="231F20"/>
        </w:rPr>
        <w:t>ECC</w:t>
      </w:r>
      <w:r>
        <w:rPr>
          <w:color w:val="231F20"/>
          <w:spacing w:val="3"/>
        </w:rPr>
        <w:t>）。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早期鳞癌卵巢转移发生率低</w:t>
      </w:r>
      <w:r>
        <w:rPr>
          <w:color w:val="231F20"/>
          <w:spacing w:val="-41"/>
        </w:rPr>
        <w:t>，＜</w:t>
      </w:r>
      <w:r>
        <w:rPr>
          <w:color w:val="231F20"/>
          <w:spacing w:val="3"/>
        </w:rPr>
        <w:t>45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岁的绝</w:t>
      </w:r>
      <w:r>
        <w:rPr>
          <w:color w:val="231F20"/>
        </w:rPr>
        <w:t xml:space="preserve"> </w:t>
      </w:r>
      <w:r>
        <w:rPr>
          <w:color w:val="231F20"/>
          <w:spacing w:val="23"/>
        </w:rPr>
        <w:t>经前患者可选择保留卵巢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3"/>
        </w:rPr>
        <w:t>。前哨淋巴结显影在肿瘤直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径＜2</w:t>
      </w:r>
      <w:r>
        <w:rPr>
          <w:color w:val="231F20"/>
        </w:rPr>
        <w:t>cm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者检出率和准确性最高。</w:t>
      </w:r>
    </w:p>
    <w:p>
      <w:pPr>
        <w:pStyle w:val="BodyText"/>
        <w:ind w:left="65" w:right="65" w:firstLine="2"/>
        <w:spacing w:before="1" w:line="233" w:lineRule="auto"/>
        <w:jc w:val="both"/>
        <w:rPr/>
      </w:pPr>
      <w:r>
        <w:rPr>
          <w:color w:val="231F20"/>
          <w:spacing w:val="2"/>
        </w:rPr>
        <w:t>7.1   保留生育功能    推荐用于病灶小于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2</w:t>
      </w:r>
      <w:r>
        <w:rPr>
          <w:color w:val="231F20"/>
        </w:rPr>
        <w:t>cm</w:t>
      </w:r>
      <w:r>
        <w:rPr>
          <w:color w:val="231F20"/>
          <w:spacing w:val="2"/>
        </w:rPr>
        <w:t xml:space="preserve"> 的鳞癌，普通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腺癌并非绝对禁忌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目前，尚无数据支持小细胞神经内分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泌肿瘤、胃型腺癌等病理类型的患者保留生育</w:t>
      </w:r>
      <w:r>
        <w:rPr>
          <w:color w:val="231F20"/>
          <w:spacing w:val="8"/>
        </w:rPr>
        <w:t>功能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。不建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议伴有高危和中危因素的患者保留生育功能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。生育后是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否切除子宫由患者和医生共同确定，但强烈</w:t>
      </w:r>
      <w:r>
        <w:rPr>
          <w:color w:val="231F20"/>
          <w:spacing w:val="9"/>
        </w:rPr>
        <w:t>建议术后持续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性异常液基细胞涂片或人乳头瘤病毒（</w:t>
      </w:r>
      <w:r>
        <w:rPr>
          <w:color w:val="231F20"/>
        </w:rPr>
        <w:t>HPV</w:t>
      </w:r>
      <w:r>
        <w:rPr>
          <w:color w:val="231F20"/>
          <w:spacing w:val="2"/>
        </w:rPr>
        <w:t>）感染的患者在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8"/>
        </w:rPr>
        <w:t>完成生育后切除子宫。</w:t>
      </w:r>
    </w:p>
    <w:p>
      <w:pPr>
        <w:pStyle w:val="BodyText"/>
        <w:ind w:left="67" w:right="64"/>
        <w:spacing w:before="3" w:line="231" w:lineRule="auto"/>
        <w:rPr/>
      </w:pPr>
      <w:r>
        <w:rPr>
          <w:color w:val="231F20"/>
          <w:spacing w:val="7"/>
        </w:rPr>
        <w:t>7.1.1</w:t>
      </w:r>
      <w:r>
        <w:rPr>
          <w:color w:val="231F20"/>
          <w:spacing w:val="12"/>
        </w:rPr>
        <w:t xml:space="preserve">    </w:t>
      </w:r>
      <w:r>
        <w:rPr>
          <w:color w:val="231F20"/>
          <w:spacing w:val="7"/>
        </w:rPr>
        <w:t>ⅠA1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期无淋巴脉管间隙浸润   先锥切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。如切缘阴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性且有至少 1</w:t>
      </w:r>
      <w:r>
        <w:rPr>
          <w:color w:val="231F20"/>
        </w:rPr>
        <w:t>mm</w:t>
      </w:r>
      <w:r>
        <w:rPr>
          <w:color w:val="231F20"/>
          <w:spacing w:val="1"/>
        </w:rPr>
        <w:t xml:space="preserve"> 的阴性距离，术后可随访观察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。如切缘阳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性，建议再次锥切或行子宫颈切除术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6"/>
        </w:rPr>
        <w:t>。该期淋</w:t>
      </w:r>
      <w:r>
        <w:rPr>
          <w:color w:val="231F20"/>
          <w:spacing w:val="15"/>
        </w:rPr>
        <w:t>巴结转移</w:t>
      </w:r>
      <w:r>
        <w:rPr>
          <w:color w:val="231F20"/>
        </w:rPr>
        <w:t xml:space="preserve"> </w:t>
      </w:r>
      <w:r>
        <w:rPr>
          <w:color w:val="231F20"/>
        </w:rPr>
        <w:t>率＜1%，不需要切除淋巴结。</w:t>
      </w:r>
    </w:p>
    <w:p>
      <w:pPr>
        <w:pStyle w:val="BodyText"/>
        <w:ind w:left="67" w:firstLine="1"/>
        <w:spacing w:before="26" w:line="236" w:lineRule="auto"/>
        <w:rPr/>
      </w:pPr>
      <w:r>
        <w:rPr>
          <w:color w:val="231F20"/>
          <w:spacing w:val="1"/>
        </w:rPr>
        <w:t>7.1.2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1"/>
        </w:rPr>
        <w:t>经锥切确诊的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ⅠA2 ~  ⅠB1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期    满足</w:t>
      </w:r>
      <w:r>
        <w:rPr>
          <w:color w:val="231F20"/>
        </w:rPr>
        <w:t>下列所有条件  </w:t>
      </w:r>
      <w:r>
        <w:rPr>
          <w:color w:val="231F20"/>
          <w:spacing w:val="-16"/>
          <w:w w:val="97"/>
        </w:rPr>
        <w:t>者，即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6"/>
          <w:w w:val="97"/>
        </w:rPr>
        <w:t>ConCerv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6"/>
          <w:w w:val="97"/>
        </w:rPr>
        <w:t>标准</w:t>
      </w:r>
      <w:r>
        <w:rPr>
          <w:color w:val="231F20"/>
          <w:spacing w:val="-33"/>
          <w:w w:val="71"/>
        </w:rPr>
        <w:t>：（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6"/>
          <w:w w:val="97"/>
        </w:rPr>
        <w:t>1）无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6"/>
          <w:w w:val="97"/>
        </w:rPr>
        <w:t>LVSI。（2）切缘阴性。（3）鳞</w:t>
      </w:r>
      <w:r>
        <w:rPr>
          <w:color w:val="231F20"/>
          <w:spacing w:val="-17"/>
          <w:w w:val="97"/>
        </w:rPr>
        <w:t>癌（任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何级别）或普通类型腺癌（G1 或 G2）。（4）肿</w:t>
      </w:r>
      <w:r>
        <w:rPr>
          <w:color w:val="231F20"/>
          <w:spacing w:val="-10"/>
        </w:rPr>
        <w:t>瘤大小≤2cm。</w:t>
      </w:r>
    </w:p>
    <w:p>
      <w:pPr>
        <w:pStyle w:val="BodyText"/>
        <w:ind w:left="68" w:right="64" w:hanging="68"/>
        <w:spacing w:before="31" w:line="215" w:lineRule="auto"/>
        <w:jc w:val="both"/>
        <w:rPr/>
      </w:pPr>
      <w:r>
        <w:rPr>
          <w:color w:val="231F20"/>
          <w:spacing w:val="-7"/>
        </w:rPr>
        <w:t>（5）浸润深度≤10mm。（6）影像学检查无其</w:t>
      </w:r>
      <w:r>
        <w:rPr>
          <w:color w:val="231F20"/>
          <w:spacing w:val="-8"/>
        </w:rPr>
        <w:t>他部位转移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8"/>
        </w:rPr>
        <w:t>。锥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切阴性切缘至少达 1</w:t>
      </w:r>
      <w:r>
        <w:rPr>
          <w:color w:val="231F20"/>
        </w:rPr>
        <w:t>mm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者可补充盆腔淋巴结切除（或前哨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淋巴结显影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1"/>
        </w:rPr>
        <w:t>阴性切缘未达 1</w:t>
      </w:r>
      <w:r>
        <w:rPr>
          <w:color w:val="231F20"/>
        </w:rPr>
        <w:t>mm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1"/>
        </w:rPr>
        <w:t>者再次锥切达阴性切缘</w:t>
      </w:r>
    </w:p>
    <w:p>
      <w:pPr>
        <w:spacing w:line="215" w:lineRule="auto"/>
        <w:sectPr>
          <w:type w:val="continuous"/>
          <w:pgSz w:w="11452" w:h="16328"/>
          <w:pgMar w:top="1278" w:right="983" w:bottom="0" w:left="983" w:header="1031" w:footer="0" w:gutter="0"/>
          <w:cols w:equalWidth="0" w:num="2">
            <w:col w:w="4759" w:space="100"/>
            <w:col w:w="4627" w:space="0"/>
          </w:cols>
        </w:sectPr>
        <w:rPr/>
      </w:pPr>
    </w:p>
    <w:p>
      <w:pPr>
        <w:spacing w:before="75"/>
        <w:rPr/>
      </w:pPr>
      <w:r>
        <w:pict>
          <v:shape id="_x0000_s6" style="position:absolute;margin-left:57.5119pt;margin-top:63.1337pt;mso-position-vertical-relative:page;mso-position-horizontal-relative:page;width:181pt;height:0.3pt;z-index:251660288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3"/>
          <w:pgSz w:w="11452" w:h="16328"/>
          <w:pgMar w:top="1278" w:right="983" w:bottom="0" w:left="983" w:header="1031" w:footer="0" w:gutter="0"/>
          <w:cols w:equalWidth="0" w:num="1">
            <w:col w:w="9486" w:space="0"/>
          </w:cols>
        </w:sectPr>
        <w:rPr/>
      </w:pPr>
    </w:p>
    <w:p>
      <w:pPr>
        <w:pStyle w:val="BodyText"/>
        <w:ind w:left="73"/>
        <w:spacing w:before="41" w:line="210" w:lineRule="auto"/>
        <w:rPr/>
      </w:pPr>
      <w:r>
        <w:rPr>
          <w:color w:val="231F20"/>
          <w:spacing w:val="-5"/>
        </w:rPr>
        <w:t>至少达 1mm+盆腔淋巴结切除（或前哨淋巴结显影）。</w:t>
      </w:r>
    </w:p>
    <w:p>
      <w:pPr>
        <w:pStyle w:val="BodyText"/>
        <w:ind w:left="68"/>
        <w:spacing w:before="3" w:line="238" w:lineRule="auto"/>
        <w:rPr/>
      </w:pPr>
      <w:r>
        <w:rPr>
          <w:color w:val="231F20"/>
          <w:spacing w:val="4"/>
        </w:rPr>
        <w:t>7.1.3</w:t>
      </w:r>
      <w:r>
        <w:rPr>
          <w:color w:val="231F20"/>
          <w:spacing w:val="12"/>
        </w:rPr>
        <w:t xml:space="preserve">    </w:t>
      </w:r>
      <w:r>
        <w:rPr>
          <w:color w:val="231F20"/>
          <w:spacing w:val="4"/>
        </w:rPr>
        <w:t>ⅠA1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期伴淋巴脉管间隙浸润和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ⅠA</w:t>
      </w:r>
      <w:r>
        <w:rPr>
          <w:color w:val="231F20"/>
          <w:spacing w:val="3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期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3"/>
        </w:rPr>
        <w:t>可选择：</w:t>
      </w:r>
    </w:p>
    <w:p>
      <w:pPr>
        <w:pStyle w:val="BodyText"/>
        <w:ind w:left="69" w:right="131" w:hanging="69"/>
        <w:spacing w:before="28" w:line="232" w:lineRule="auto"/>
        <w:jc w:val="both"/>
        <w:rPr/>
      </w:pPr>
      <w:r>
        <w:rPr>
          <w:color w:val="231F20"/>
          <w:spacing w:val="2"/>
        </w:rPr>
        <w:t>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1）根治性子宫颈切除术+盆腔淋巴结切除，可考虑行前哨</w:t>
      </w:r>
      <w:r>
        <w:rPr>
          <w:color w:val="231F20"/>
        </w:rPr>
        <w:t xml:space="preserve">  </w:t>
      </w:r>
      <w:r>
        <w:rPr>
          <w:color w:val="231F20"/>
        </w:rPr>
        <w:t>淋巴结显影。（2）锥切+盆腔淋巴结切除，可考虑行前哨淋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巴结显影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0"/>
        </w:rPr>
        <w:t>。锥切切缘至少达 1</w:t>
      </w:r>
      <w:r>
        <w:rPr>
          <w:color w:val="231F20"/>
        </w:rPr>
        <w:t>mm</w:t>
      </w:r>
      <w:r>
        <w:rPr>
          <w:color w:val="231F20"/>
          <w:spacing w:val="10"/>
        </w:rPr>
        <w:t xml:space="preserve"> 阴性者术后随访观察。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切缘阳性者，再次锥切达切缘至少 1</w:t>
      </w:r>
      <w:r>
        <w:rPr>
          <w:color w:val="231F20"/>
        </w:rPr>
        <w:t>mm</w:t>
      </w:r>
      <w:r>
        <w:rPr>
          <w:color w:val="231F20"/>
          <w:spacing w:val="2"/>
        </w:rPr>
        <w:t xml:space="preserve"> 阴性或行子宫颈切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5"/>
        </w:rPr>
        <w:t>除术。</w:t>
      </w:r>
    </w:p>
    <w:p>
      <w:pPr>
        <w:pStyle w:val="BodyText"/>
        <w:ind w:left="69"/>
        <w:spacing w:before="1" w:line="229" w:lineRule="auto"/>
        <w:rPr/>
      </w:pPr>
      <w:r>
        <w:rPr>
          <w:color w:val="231F20"/>
          <w:spacing w:val="-2"/>
        </w:rPr>
        <w:t>7.1.4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-2"/>
        </w:rPr>
        <w:t>不符合全部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ConCerv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标准的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B1 和选</w:t>
      </w:r>
      <w:r>
        <w:rPr>
          <w:color w:val="231F20"/>
          <w:spacing w:val="-3"/>
        </w:rPr>
        <w:t>择性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B2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期</w:t>
      </w:r>
    </w:p>
    <w:p>
      <w:pPr>
        <w:pStyle w:val="BodyText"/>
        <w:ind w:left="69" w:right="194" w:firstLine="187"/>
        <w:spacing w:before="42" w:line="237" w:lineRule="auto"/>
        <w:jc w:val="both"/>
        <w:rPr/>
      </w:pPr>
      <w:r>
        <w:rPr>
          <w:color w:val="231F20"/>
          <w:spacing w:val="12"/>
        </w:rPr>
        <w:t>根治性子宫颈切除术+盆腔淋巴结切除±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主动脉旁淋巴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结切除，可考虑行前哨淋巴结显影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。保留生育功能原则上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推荐选择肿瘤直径≤2</w:t>
      </w:r>
      <w:r>
        <w:rPr>
          <w:color w:val="231F20"/>
        </w:rPr>
        <w:t>cm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者，可选择经阴道或经腹行根治性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子宫颈切除术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。肿瘤直径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2～4</w:t>
      </w:r>
      <w:r>
        <w:rPr>
          <w:color w:val="231F20"/>
        </w:rPr>
        <w:t>cm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者，推荐行经腹根治性子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宫颈切除术。</w:t>
      </w:r>
    </w:p>
    <w:p>
      <w:pPr>
        <w:pStyle w:val="BodyText"/>
        <w:ind w:left="69"/>
        <w:spacing w:before="1" w:line="186" w:lineRule="auto"/>
        <w:rPr/>
      </w:pPr>
      <w:r>
        <w:rPr>
          <w:color w:val="231F20"/>
          <w:spacing w:val="4"/>
        </w:rPr>
        <w:t>7.2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4"/>
        </w:rPr>
        <w:t>不保留生育功能</w:t>
      </w:r>
    </w:p>
    <w:p>
      <w:pPr>
        <w:pStyle w:val="BodyText"/>
        <w:ind w:left="70" w:right="193" w:hanging="1"/>
        <w:spacing w:before="24" w:line="237" w:lineRule="auto"/>
        <w:rPr/>
      </w:pPr>
      <w:r>
        <w:rPr>
          <w:color w:val="231F20"/>
          <w:spacing w:val="7"/>
        </w:rPr>
        <w:t>7.2.1</w:t>
      </w:r>
      <w:r>
        <w:rPr>
          <w:color w:val="231F20"/>
          <w:spacing w:val="12"/>
        </w:rPr>
        <w:t xml:space="preserve">    </w:t>
      </w:r>
      <w:r>
        <w:rPr>
          <w:color w:val="231F20"/>
          <w:spacing w:val="7"/>
        </w:rPr>
        <w:t>ⅠA1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期无淋巴脉管间隙浸润   先锥切诊断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。切缘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阴性并有手术禁忌证者，可观察随访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。无手术禁忌证者行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筋膜外子宫切除术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。切缘阳性者最好再次锥切以评估浸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润深度排除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ⅠA2/ ⅠB1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。不再次锥切直接手术者，切缘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为子宫颈高度鳞状上皮内病变（</w:t>
      </w:r>
      <w:r>
        <w:rPr>
          <w:color w:val="231F20"/>
        </w:rPr>
        <w:t>HSIL</w:t>
      </w:r>
      <w:r>
        <w:rPr>
          <w:color w:val="231F20"/>
          <w:spacing w:val="9"/>
        </w:rPr>
        <w:t>）行筋膜外全子宫切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1"/>
        </w:rPr>
        <w:t>除，切缘为癌者行改良根治性子宫切除术+盆腔淋巴结切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除术（淋巴切除证据等级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2B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5"/>
        </w:rPr>
        <w:t>可考虑行前哨淋巴结显影。</w:t>
      </w:r>
    </w:p>
    <w:p>
      <w:pPr>
        <w:pStyle w:val="BodyText"/>
        <w:ind w:left="73" w:right="193" w:hanging="3"/>
        <w:spacing w:before="4" w:line="236" w:lineRule="auto"/>
        <w:rPr/>
      </w:pPr>
      <w:r>
        <w:rPr>
          <w:color w:val="231F20"/>
          <w:spacing w:val="-2"/>
        </w:rPr>
        <w:t>7.2.2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  <w:spacing w:val="-2"/>
        </w:rPr>
        <w:t>经锥切确诊的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ⅠA2 ~  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B1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期满足全部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ConCerv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标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准者   可行筋膜外子宫切除+盆腔淋巴结切除（或前哨淋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巴结显影）。</w:t>
      </w:r>
    </w:p>
    <w:p>
      <w:pPr>
        <w:pStyle w:val="BodyText"/>
        <w:ind w:left="71" w:right="128" w:hanging="1"/>
        <w:spacing w:before="3" w:line="233" w:lineRule="auto"/>
        <w:rPr/>
      </w:pPr>
      <w:r>
        <w:rPr>
          <w:color w:val="231F20"/>
          <w:spacing w:val="-1"/>
        </w:rPr>
        <w:t>7.2.3     ⅠA1 ~  ⅠA2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期伴淋巴脉管</w:t>
      </w:r>
      <w:r>
        <w:rPr>
          <w:color w:val="231F20"/>
          <w:spacing w:val="-2"/>
        </w:rPr>
        <w:t>间隙浸润    可选择</w:t>
      </w:r>
      <w:r>
        <w:rPr>
          <w:color w:val="231F20"/>
          <w:spacing w:val="-35"/>
          <w:w w:val="74"/>
        </w:rPr>
        <w:t>：（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1）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改良根治性子宫切除术+盆腔淋巴结切除术，可考虑行前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哨淋巴结显影。（2）有手术禁忌证或拒绝手术者，可盆</w:t>
      </w:r>
      <w:r>
        <w:rPr>
          <w:color w:val="231F20"/>
          <w:spacing w:val="-2"/>
        </w:rPr>
        <w:t>腔外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照射+近距离放疗，ⅠA2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期伴淋巴脉管间隙浸润可考虑在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盆腔外照射同时顺铂（不能耐受顺铂用卡铂）单药同期放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化疗。</w:t>
      </w:r>
    </w:p>
    <w:p>
      <w:pPr>
        <w:pStyle w:val="BodyText"/>
        <w:ind w:left="260" w:right="193" w:hanging="189"/>
        <w:spacing w:before="28" w:line="236" w:lineRule="auto"/>
        <w:rPr/>
      </w:pPr>
      <w:r>
        <w:rPr>
          <w:color w:val="231F20"/>
          <w:spacing w:val="-4"/>
        </w:rPr>
        <w:t>7.2.4    不符合全部 ConCerv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标准的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B</w:t>
      </w:r>
      <w:r>
        <w:rPr>
          <w:color w:val="231F20"/>
          <w:spacing w:val="-5"/>
        </w:rPr>
        <w:t>1 和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5"/>
        </w:rPr>
        <w:t>Ⅰ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B2、ⅡA1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可选择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1）根治性子宫切除术+盆腔淋巴结切除（证据</w:t>
      </w:r>
    </w:p>
    <w:p>
      <w:pPr>
        <w:pStyle w:val="BodyText"/>
        <w:ind w:left="69" w:right="193" w:firstLine="4"/>
        <w:spacing w:before="32" w:line="231" w:lineRule="auto"/>
        <w:jc w:val="both"/>
        <w:rPr/>
      </w:pPr>
      <w:r>
        <w:rPr>
          <w:color w:val="231F20"/>
          <w:spacing w:val="1"/>
        </w:rPr>
        <w:t>等级 1 ）±主动脉旁淋巴结切除（证据等级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2B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1"/>
        </w:rPr>
        <w:t>可考虑行前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哨淋巴结显影。（2）有手术禁忌证或拒绝手术者，盆腔外照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2"/>
        </w:rPr>
        <w:t>射(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±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同时顺铂单药同期化疗，不能耐受顺铂者用卡</w:t>
      </w:r>
      <w:r>
        <w:rPr>
          <w:color w:val="231F20"/>
          <w:spacing w:val="1"/>
        </w:rPr>
        <w:t>铂）+近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距离放疗。</w:t>
      </w:r>
    </w:p>
    <w:p>
      <w:pPr>
        <w:pStyle w:val="BodyText"/>
        <w:ind w:left="2" w:right="126" w:firstLine="69"/>
        <w:spacing w:before="4" w:line="236" w:lineRule="auto"/>
        <w:rPr/>
      </w:pPr>
      <w:r>
        <w:rPr>
          <w:color w:val="231F20"/>
          <w:spacing w:val="1"/>
        </w:rPr>
        <w:t>7.2.5</w:t>
      </w:r>
      <w:r>
        <w:rPr>
          <w:color w:val="231F20"/>
          <w:spacing w:val="12"/>
        </w:rPr>
        <w:t xml:space="preserve">    </w:t>
      </w:r>
      <w:r>
        <w:rPr>
          <w:color w:val="231F20"/>
          <w:spacing w:val="1"/>
        </w:rPr>
        <w:t>ⅠB3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和ⅡA2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期（初治不选择手术者见下文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7.2.</w:t>
      </w:r>
      <w:r>
        <w:rPr>
          <w:color w:val="231F20"/>
        </w:rPr>
        <w:t>7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部  </w:t>
      </w:r>
      <w:r>
        <w:rPr>
          <w:color w:val="231F20"/>
          <w:spacing w:val="6"/>
        </w:rPr>
        <w:t>分）  可选择</w:t>
      </w:r>
      <w:r>
        <w:rPr>
          <w:color w:val="231F20"/>
          <w:spacing w:val="-34"/>
          <w:w w:val="73"/>
        </w:rPr>
        <w:t>：（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1）盆腔外照射+含铂同期化疗+近距离放疗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（证据等级 1）。（2）根治性子宫切除</w:t>
      </w:r>
      <w:r>
        <w:rPr>
          <w:color w:val="231F20"/>
          <w:spacing w:val="-7"/>
        </w:rPr>
        <w:t>术+盆腔淋巴结切除±主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动脉旁淋巴结切除（证据等级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2B）。（3）盆腔外</w:t>
      </w:r>
      <w:r>
        <w:rPr>
          <w:color w:val="231F20"/>
          <w:spacing w:val="-6"/>
        </w:rPr>
        <w:t>照射+含铂同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期化疗+近距离放疗+子宫切除术（适用于放疗效果不佳、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子宫颈病灶太大超出近距离放疗覆盖范围</w:t>
      </w:r>
      <w:r>
        <w:rPr>
          <w:color w:val="231F20"/>
          <w:spacing w:val="-18"/>
          <w:w w:val="62"/>
        </w:rPr>
        <w:t>）（</w:t>
      </w:r>
      <w:r>
        <w:rPr>
          <w:color w:val="231F20"/>
          <w:spacing w:val="7"/>
        </w:rPr>
        <w:t>证据等级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3）。</w:t>
      </w:r>
    </w:p>
    <w:p>
      <w:pPr>
        <w:pStyle w:val="BodyText"/>
        <w:ind w:left="68" w:right="194" w:firstLine="1"/>
        <w:spacing w:before="34" w:line="219" w:lineRule="auto"/>
        <w:rPr/>
      </w:pPr>
      <w:r>
        <w:rPr>
          <w:color w:val="231F20"/>
          <w:spacing w:val="7"/>
        </w:rPr>
        <w:t>7.2.6   术后辅助治疗    初治子宫颈癌手术指征推荐限于≤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ⅡA2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期，接受初治手术者术后辅助治疗取决于手术发现及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病理分期。“高危因素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”包括淋巴结阳性、切缘阳性和宫旁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浸润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。具备任何一个“高危因素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”均推荐进</w:t>
      </w:r>
      <w:r>
        <w:rPr>
          <w:color w:val="231F20"/>
          <w:spacing w:val="7"/>
        </w:rPr>
        <w:t>一步影像学检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查以了解其他部位转移情况，然后补充盆腔外照射+含铂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6" w:right="64" w:firstLine="19"/>
        <w:spacing w:before="39" w:line="238" w:lineRule="auto"/>
        <w:jc w:val="both"/>
        <w:rPr/>
      </w:pPr>
      <w:r>
        <w:rPr>
          <w:color w:val="231F20"/>
          <w:spacing w:val="1"/>
        </w:rPr>
        <w:t>同期化疗（证据等级 1）±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近距离放疗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中危因素（肿瘤大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小、间质浸润、淋巴脉管间隙阳性）按照“Sed</w:t>
      </w:r>
      <w:r>
        <w:rPr>
          <w:color w:val="231F20"/>
          <w:spacing w:val="-9"/>
        </w:rPr>
        <w:t>lis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标准”（证据</w:t>
      </w:r>
      <w:r>
        <w:rPr>
          <w:color w:val="231F20"/>
        </w:rPr>
        <w:t xml:space="preserve"> </w:t>
      </w:r>
      <w:r>
        <w:rPr>
          <w:color w:val="231F20"/>
        </w:rPr>
        <w:t>等级 1，见表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5）补充盆腔外照射±含铂同期化疗（同期化疗 </w:t>
      </w:r>
      <w:r>
        <w:rPr>
          <w:color w:val="231F20"/>
          <w:spacing w:val="-2"/>
        </w:rPr>
        <w:t>证据等级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2B）。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但中危因素不限于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Sedlis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标准，如腺癌和肿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瘤靠近切缘等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>Sedlis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标准主要用于鳞状细胞癌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。鳞癌和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腺癌组织学特异性列线图可能提供新的工具来模拟复发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6"/>
        </w:rPr>
        <w:t>风险和提出辅助治疗建议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。浸润深度是鳞癌复发的重要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危险因素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。肿瘤大小是腺癌复发的重要危险</w:t>
      </w:r>
      <w:r>
        <w:rPr>
          <w:color w:val="231F20"/>
          <w:spacing w:val="8"/>
        </w:rPr>
        <w:t>因素，这种风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险随着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LVSI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而增加。</w:t>
      </w:r>
    </w:p>
    <w:p>
      <w:pPr>
        <w:pStyle w:val="BodyText"/>
        <w:ind w:left="1677"/>
        <w:spacing w:before="201" w:line="194" w:lineRule="auto"/>
        <w:rPr/>
      </w:pPr>
      <w:r>
        <w:rPr>
          <w:rFonts w:ascii="SimHei" w:hAnsi="SimHei" w:eastAsia="SimHei" w:cs="SimHei"/>
          <w:color w:val="231F20"/>
          <w:spacing w:val="-1"/>
        </w:rPr>
        <w:t>表5</w:t>
      </w:r>
      <w:r>
        <w:rPr>
          <w:rFonts w:ascii="SimHei" w:hAnsi="SimHei" w:eastAsia="SimHei" w:cs="SimHei"/>
          <w:color w:val="231F20"/>
          <w:spacing w:val="10"/>
        </w:rPr>
        <w:t xml:space="preserve">  </w:t>
      </w:r>
      <w:r>
        <w:rPr>
          <w:color w:val="231F20"/>
          <w:spacing w:val="-1"/>
        </w:rPr>
        <w:t>Sedlis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标准</w:t>
      </w:r>
    </w:p>
    <w:p>
      <w:pPr>
        <w:spacing w:line="109" w:lineRule="exact"/>
        <w:rPr/>
      </w:pPr>
      <w:r/>
    </w:p>
    <w:tbl>
      <w:tblPr>
        <w:tblStyle w:val="TableNormal"/>
        <w:tblW w:w="4502" w:type="dxa"/>
        <w:tblInd w:w="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7"/>
        <w:gridCol w:w="1494"/>
        <w:gridCol w:w="1971"/>
      </w:tblGrid>
      <w:tr>
        <w:trPr>
          <w:trHeight w:val="274" w:hRule="atLeast"/>
        </w:trPr>
        <w:tc>
          <w:tcPr>
            <w:tcW w:w="10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362"/>
              <w:spacing w:before="53" w:line="23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6"/>
              </w:rPr>
              <w:t>脉管</w:t>
            </w:r>
          </w:p>
        </w:tc>
        <w:tc>
          <w:tcPr>
            <w:tcW w:w="149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01"/>
              <w:spacing w:before="53" w:line="23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5"/>
              </w:rPr>
              <w:t>间质浸润</w:t>
            </w:r>
          </w:p>
        </w:tc>
        <w:tc>
          <w:tcPr>
            <w:tcW w:w="197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453"/>
              <w:spacing w:before="54" w:line="23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肿瘤直径（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cm</w:t>
            </w:r>
            <w:r>
              <w:rPr>
                <w:rFonts w:ascii="SimSun" w:hAnsi="SimSun" w:eastAsia="SimSun" w:cs="SimSun"/>
                <w:sz w:val="15"/>
                <w:szCs w:val="15"/>
                <w:spacing w:val="-3"/>
              </w:rPr>
              <w:t>）</w:t>
            </w:r>
          </w:p>
        </w:tc>
      </w:tr>
      <w:tr>
        <w:trPr>
          <w:trHeight w:val="273" w:hRule="atLeast"/>
        </w:trPr>
        <w:tc>
          <w:tcPr>
            <w:tcW w:w="1037" w:type="dxa"/>
            <w:vAlign w:val="top"/>
            <w:tcBorders>
              <w:top w:val="single" w:color="231F20" w:sz="2" w:space="0"/>
            </w:tcBorders>
          </w:tcPr>
          <w:p>
            <w:pPr>
              <w:ind w:left="472"/>
              <w:spacing w:before="53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+</w:t>
            </w:r>
          </w:p>
        </w:tc>
        <w:tc>
          <w:tcPr>
            <w:tcW w:w="1494" w:type="dxa"/>
            <w:vAlign w:val="top"/>
            <w:tcBorders>
              <w:top w:val="single" w:color="231F20" w:sz="2" w:space="0"/>
            </w:tcBorders>
          </w:tcPr>
          <w:p>
            <w:pPr>
              <w:ind w:left="520"/>
              <w:spacing w:before="53" w:line="20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2"/>
                <w:position w:val="1"/>
              </w:rPr>
              <w:t>外</w:t>
            </w:r>
            <w:r>
              <w:rPr>
                <w:rFonts w:ascii="SimSun" w:hAnsi="SimSun" w:eastAsia="SimSun" w:cs="SimSun"/>
                <w:sz w:val="15"/>
                <w:szCs w:val="15"/>
                <w:spacing w:val="-3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1/3</w:t>
            </w:r>
          </w:p>
        </w:tc>
        <w:tc>
          <w:tcPr>
            <w:tcW w:w="1971" w:type="dxa"/>
            <w:vAlign w:val="top"/>
            <w:tcBorders>
              <w:top w:val="single" w:color="231F20" w:sz="2" w:space="0"/>
            </w:tcBorders>
          </w:tcPr>
          <w:p>
            <w:pPr>
              <w:ind w:left="631"/>
              <w:spacing w:before="58" w:line="232" w:lineRule="auto"/>
              <w:rPr>
                <w:rFonts w:ascii="SimSun" w:hAnsi="SimSun" w:eastAsia="SimSun" w:cs="SimSu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8"/>
              </w:rPr>
              <w:t>任何大小</w:t>
            </w:r>
          </w:p>
        </w:tc>
      </w:tr>
      <w:tr>
        <w:trPr>
          <w:trHeight w:val="280" w:hRule="atLeast"/>
        </w:trPr>
        <w:tc>
          <w:tcPr>
            <w:tcW w:w="1037" w:type="dxa"/>
            <w:vAlign w:val="top"/>
          </w:tcPr>
          <w:p>
            <w:pPr>
              <w:ind w:left="472"/>
              <w:spacing w:before="63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+</w:t>
            </w:r>
          </w:p>
        </w:tc>
        <w:tc>
          <w:tcPr>
            <w:tcW w:w="1494" w:type="dxa"/>
            <w:vAlign w:val="top"/>
          </w:tcPr>
          <w:p>
            <w:pPr>
              <w:ind w:left="532"/>
              <w:spacing w:before="64" w:line="20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5"/>
                <w:position w:val="1"/>
              </w:rPr>
              <w:t>中</w:t>
            </w:r>
            <w:r>
              <w:rPr>
                <w:rFonts w:ascii="SimSun" w:hAnsi="SimSun" w:eastAsia="SimSun" w:cs="SimSun"/>
                <w:sz w:val="15"/>
                <w:szCs w:val="15"/>
                <w:spacing w:val="-3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  <w:position w:val="1"/>
              </w:rPr>
              <w:t>1/3</w:t>
            </w:r>
          </w:p>
        </w:tc>
        <w:tc>
          <w:tcPr>
            <w:tcW w:w="1971" w:type="dxa"/>
            <w:vAlign w:val="top"/>
          </w:tcPr>
          <w:p>
            <w:pPr>
              <w:pStyle w:val="TableText"/>
              <w:ind w:left="867"/>
              <w:spacing w:before="64" w:line="19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2"/>
              </w:rPr>
              <w:t>≥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2</w:t>
            </w:r>
          </w:p>
        </w:tc>
      </w:tr>
      <w:tr>
        <w:trPr>
          <w:trHeight w:val="281" w:hRule="atLeast"/>
        </w:trPr>
        <w:tc>
          <w:tcPr>
            <w:tcW w:w="1037" w:type="dxa"/>
            <w:vAlign w:val="top"/>
          </w:tcPr>
          <w:p>
            <w:pPr>
              <w:ind w:left="472"/>
              <w:spacing w:before="67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+</w:t>
            </w:r>
          </w:p>
        </w:tc>
        <w:tc>
          <w:tcPr>
            <w:tcW w:w="1494" w:type="dxa"/>
            <w:vAlign w:val="top"/>
          </w:tcPr>
          <w:p>
            <w:pPr>
              <w:ind w:left="536"/>
              <w:spacing w:before="67" w:line="20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spacing w:val="-6"/>
                <w:position w:val="1"/>
              </w:rPr>
              <w:t>内</w:t>
            </w:r>
            <w:r>
              <w:rPr>
                <w:rFonts w:ascii="SimSun" w:hAnsi="SimSun" w:eastAsia="SimSun" w:cs="SimSun"/>
                <w:sz w:val="15"/>
                <w:szCs w:val="15"/>
                <w:spacing w:val="-3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1"/>
              </w:rPr>
              <w:t>1/3</w:t>
            </w:r>
          </w:p>
        </w:tc>
        <w:tc>
          <w:tcPr>
            <w:tcW w:w="1971" w:type="dxa"/>
            <w:vAlign w:val="top"/>
          </w:tcPr>
          <w:p>
            <w:pPr>
              <w:pStyle w:val="TableText"/>
              <w:ind w:left="867"/>
              <w:spacing w:before="67" w:line="19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2"/>
              </w:rPr>
              <w:t>≥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5</w:t>
            </w:r>
          </w:p>
        </w:tc>
      </w:tr>
      <w:tr>
        <w:trPr>
          <w:trHeight w:val="291" w:hRule="atLeast"/>
        </w:trPr>
        <w:tc>
          <w:tcPr>
            <w:tcW w:w="10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78"/>
              <w:spacing w:before="168" w:line="112" w:lineRule="exact"/>
              <w:rPr/>
            </w:pPr>
            <w:r>
              <w:rPr>
                <w:spacing w:val="15"/>
                <w:position w:val="-6"/>
              </w:rPr>
              <w:t>-</w:t>
            </w:r>
          </w:p>
        </w:tc>
        <w:tc>
          <w:tcPr>
            <w:tcW w:w="1494" w:type="dxa"/>
            <w:vAlign w:val="top"/>
            <w:tcBorders>
              <w:bottom w:val="single" w:color="231F20" w:sz="6" w:space="0"/>
            </w:tcBorders>
          </w:tcPr>
          <w:p>
            <w:pPr>
              <w:ind w:left="372"/>
              <w:spacing w:before="70" w:line="20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SimSun" w:hAnsi="SimSun" w:eastAsia="SimSun" w:cs="SimSun"/>
                <w:sz w:val="15"/>
                <w:szCs w:val="15"/>
                <w:position w:val="1"/>
              </w:rPr>
              <w:t>中或外</w:t>
            </w:r>
            <w:r>
              <w:rPr>
                <w:rFonts w:ascii="SimSun" w:hAnsi="SimSun" w:eastAsia="SimSun" w:cs="SimSun"/>
                <w:sz w:val="15"/>
                <w:szCs w:val="15"/>
                <w:spacing w:val="-3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t>1/3</w:t>
            </w:r>
          </w:p>
        </w:tc>
        <w:tc>
          <w:tcPr>
            <w:tcW w:w="197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67"/>
              <w:spacing w:before="69" w:line="19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2"/>
              </w:rPr>
              <w:t>≥</w:t>
            </w:r>
            <w:r>
              <w:rPr>
                <w:rFonts w:ascii="Times New Roman" w:hAnsi="Times New Roman" w:eastAsia="Times New Roman" w:cs="Times New Roman"/>
                <w:spacing w:val="-12"/>
              </w:rPr>
              <w:t>4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67" w:right="64" w:firstLine="375"/>
        <w:spacing w:before="73" w:line="233" w:lineRule="auto"/>
        <w:jc w:val="both"/>
        <w:rPr/>
      </w:pPr>
      <w:r>
        <w:rPr>
          <w:color w:val="231F20"/>
          <w:spacing w:val="17"/>
        </w:rPr>
        <w:t>主动脉旁淋巴结阳性者先行影像学检查以了解其他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0"/>
        </w:rPr>
        <w:t>部位的转移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。如无远处转移者行延伸野外照射+含铂同期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化疗±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阴道近距离放疗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。影像学发现远处转移者，对有指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征的疑似部位进行活检，活检阴性者行延伸野外照射+含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0"/>
        </w:rPr>
        <w:t>铂同期化疗±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阴道近距离放疗，活检阳性者进行系统治疗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加个体化放疗。</w:t>
      </w:r>
    </w:p>
    <w:p>
      <w:pPr>
        <w:pStyle w:val="BodyText"/>
        <w:ind w:left="70" w:hanging="2"/>
        <w:spacing w:before="3" w:line="245" w:lineRule="auto"/>
        <w:jc w:val="both"/>
        <w:rPr/>
      </w:pPr>
      <w:r>
        <w:rPr>
          <w:color w:val="231F20"/>
          <w:spacing w:val="1"/>
        </w:rPr>
        <w:t>7.2.7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1"/>
        </w:rPr>
        <w:t>部分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ⅠB3/ⅡA2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期（选择手术者见上文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7.2.</w:t>
      </w:r>
      <w:r>
        <w:rPr>
          <w:color w:val="231F20"/>
        </w:rPr>
        <w:t>4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部分） </w:t>
      </w:r>
      <w:r>
        <w:rPr>
          <w:color w:val="231F20"/>
        </w:rPr>
        <w:t>和 ⅡB ~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ⅣA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期</w:t>
      </w:r>
      <w:r>
        <w:rPr>
          <w:color w:val="231F20"/>
          <w:spacing w:val="11"/>
        </w:rPr>
        <w:t xml:space="preserve">   </w:t>
      </w:r>
      <w:r>
        <w:rPr>
          <w:color w:val="231F20"/>
        </w:rPr>
        <w:t>可选择影像学分期或手术分期（手术分期  </w:t>
      </w:r>
      <w:r>
        <w:rPr>
          <w:color w:val="231F20"/>
          <w:spacing w:val="-12"/>
        </w:rPr>
        <w:t>2B类证据）。</w:t>
      </w:r>
    </w:p>
    <w:p>
      <w:pPr>
        <w:pStyle w:val="BodyText"/>
        <w:ind w:left="66" w:firstLine="1"/>
        <w:spacing w:before="15" w:line="234" w:lineRule="auto"/>
        <w:rPr/>
      </w:pPr>
      <w:r>
        <w:rPr>
          <w:color w:val="231F20"/>
          <w:spacing w:val="8"/>
        </w:rPr>
        <w:t>7.2.7.1   影像学分期    淋巴结阴性</w:t>
      </w:r>
      <w:r>
        <w:rPr>
          <w:color w:val="231F20"/>
          <w:spacing w:val="7"/>
        </w:rPr>
        <w:t>者行盆腔外照射+含铂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同期化疗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"/>
        </w:rPr>
        <w:t>+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近距离放疗（证据等级 1</w:t>
      </w:r>
      <w:r>
        <w:rPr>
          <w:color w:val="231F20"/>
          <w:spacing w:val="-28"/>
          <w:w w:val="68"/>
        </w:rPr>
        <w:t>）；</w:t>
      </w:r>
      <w:r>
        <w:rPr>
          <w:color w:val="231F20"/>
          <w:spacing w:val="1"/>
        </w:rPr>
        <w:t>若 </w:t>
      </w:r>
      <w:r>
        <w:rPr>
          <w:color w:val="231F20"/>
        </w:rPr>
        <w:t>CT</w:t>
      </w:r>
      <w:r>
        <w:rPr>
          <w:color w:val="231F20"/>
          <w:spacing w:val="1"/>
        </w:rPr>
        <w:t>、</w:t>
      </w:r>
      <w:r>
        <w:rPr>
          <w:color w:val="231F20"/>
        </w:rPr>
        <w:t>MRI</w:t>
      </w:r>
      <w:r>
        <w:rPr>
          <w:color w:val="231F20"/>
          <w:spacing w:val="1"/>
        </w:rPr>
        <w:t xml:space="preserve"> 和（或）</w:t>
      </w:r>
      <w:r>
        <w:rPr>
          <w:color w:val="231F20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17"/>
        </w:rPr>
        <w:t>-</w:t>
      </w:r>
      <w:r>
        <w:rPr>
          <w:color w:val="231F20"/>
        </w:rPr>
        <w:t>CT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7"/>
        </w:rPr>
        <w:t>提示盆腔淋巴结阳性/主动脉旁淋巴结阴性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7"/>
        </w:rPr>
        <w:t>，即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ⅢC1r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者，可选择</w:t>
      </w:r>
      <w:r>
        <w:rPr>
          <w:color w:val="231F20"/>
          <w:spacing w:val="-35"/>
          <w:w w:val="75"/>
        </w:rPr>
        <w:t>：（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1）盆腔外照射+近距离放疗</w:t>
      </w:r>
      <w:r>
        <w:rPr>
          <w:color w:val="231F20"/>
          <w:spacing w:val="1"/>
        </w:rPr>
        <w:t>+含铂同期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化疗（证据等级 1）±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5"/>
        </w:rPr>
        <w:t>主动脉旁淋巴结放疗。（2）腹主</w:t>
      </w:r>
      <w:r>
        <w:rPr>
          <w:color w:val="231F20"/>
          <w:spacing w:val="-6"/>
        </w:rPr>
        <w:t>动脉旁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淋巴结手术分期，阴性者即ⅢC1p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行盆腔外照射+含铂同期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化疗+近距离放疗（证据等级 1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6"/>
        </w:rPr>
        <w:t>主动脉旁淋巴结阳性</w:t>
      </w:r>
      <w:r>
        <w:rPr>
          <w:color w:val="231F20"/>
          <w:spacing w:val="5"/>
        </w:rPr>
        <w:t>者即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ⅢC2p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4"/>
        </w:rPr>
        <w:t>期，行延伸野放疗+含铂同期化疗+近距离放疗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。影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像学检查发现盆腔淋巴结和主动脉旁淋巴结均阳性即Ⅲ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C2r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者，行延伸野放疗+含铂同期化疗+近距离放疗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。影像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学检查发现有远处转移并有临床指征经活检证实转移者，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0"/>
        </w:rPr>
        <w:t>行全身治疗±个体化放疗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。远处转移局限于锁骨上淋巴结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者，可以选择根治性治疗。如果原发灶已被控制，转</w:t>
      </w:r>
      <w:r>
        <w:rPr>
          <w:color w:val="231F20"/>
          <w:spacing w:val="2"/>
        </w:rPr>
        <w:t>移灶在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1～5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个者可考虑立体定向放疗（2B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5"/>
        </w:rPr>
        <w:t>类）。</w:t>
      </w:r>
    </w:p>
    <w:p>
      <w:pPr>
        <w:pStyle w:val="BodyText"/>
        <w:ind w:firstLine="69"/>
        <w:spacing w:before="31" w:line="224" w:lineRule="auto"/>
        <w:rPr/>
      </w:pPr>
      <w:r>
        <w:rPr>
          <w:color w:val="231F20"/>
          <w:spacing w:val="4"/>
        </w:rPr>
        <w:t>7.2.7.2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4"/>
        </w:rPr>
        <w:t>手术分期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4"/>
        </w:rPr>
        <w:t>指切除腹膜后淋巴结，病理提示</w:t>
      </w:r>
      <w:r>
        <w:rPr>
          <w:color w:val="231F20"/>
          <w:spacing w:val="-35"/>
          <w:w w:val="75"/>
        </w:rPr>
        <w:t>：（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1）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淋巴结阴性者，行盆腔外照射+含铂同期化疗</w:t>
      </w:r>
      <w:r>
        <w:rPr>
          <w:color w:val="231F20"/>
          <w:spacing w:val="8"/>
        </w:rPr>
        <w:t>+近距离放疗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（证据等级 1）。（2）盆腔淋巴结阳性、主动脉旁淋巴结阴性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即ⅢC1p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期行盆腔外照射+含铂同期化疗+近距离放疗（证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据等级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7"/>
        </w:rPr>
        <w:t>1</w:t>
      </w:r>
      <w:r>
        <w:rPr>
          <w:color w:val="231F20"/>
          <w:spacing w:val="-24"/>
          <w:w w:val="58"/>
        </w:rPr>
        <w:t>）；</w:t>
      </w:r>
      <w:r>
        <w:rPr>
          <w:color w:val="231F20"/>
          <w:spacing w:val="7"/>
        </w:rPr>
        <w:t>ⅢC2p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期即主动脉旁淋巴结阳性者，需</w:t>
      </w:r>
      <w:r>
        <w:rPr>
          <w:color w:val="231F20"/>
          <w:spacing w:val="6"/>
        </w:rPr>
        <w:t>根据临床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指征补充进一步的影像学检查以排除更广泛的转</w:t>
      </w:r>
      <w:r>
        <w:rPr>
          <w:color w:val="231F20"/>
          <w:spacing w:val="18"/>
        </w:rPr>
        <w:t>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8"/>
        </w:rPr>
        <w:t>。无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远处转移者行延伸野外照射+含铂同期化疗+近距离放疗。</w:t>
      </w:r>
    </w:p>
    <w:p>
      <w:pPr>
        <w:spacing w:line="224" w:lineRule="auto"/>
        <w:sectPr>
          <w:type w:val="continuous"/>
          <w:pgSz w:w="11452" w:h="16328"/>
          <w:pgMar w:top="1278" w:right="983" w:bottom="0" w:left="983" w:header="1031" w:footer="0" w:gutter="0"/>
          <w:cols w:equalWidth="0" w:num="2">
            <w:col w:w="4759" w:space="100"/>
            <w:col w:w="4628" w:space="0"/>
          </w:cols>
        </w:sectPr>
        <w:rPr/>
      </w:pPr>
    </w:p>
    <w:p>
      <w:pPr>
        <w:spacing w:before="75"/>
        <w:rPr/>
      </w:pPr>
      <w:r>
        <w:pict>
          <v:shape id="_x0000_s8" style="position:absolute;margin-left:334.086pt;margin-top:63.1337pt;mso-position-vertical-relative:page;mso-position-horizontal-relative:page;width:181.05pt;height:0.3pt;z-index:251661312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4"/>
          <w:pgSz w:w="11452" w:h="16328"/>
          <w:pgMar w:top="1278" w:right="993" w:bottom="0" w:left="983" w:header="1031" w:footer="0" w:gutter="0"/>
          <w:cols w:equalWidth="0" w:num="1">
            <w:col w:w="9476" w:space="0"/>
          </w:cols>
        </w:sectPr>
        <w:rPr/>
      </w:pPr>
    </w:p>
    <w:p>
      <w:pPr>
        <w:pStyle w:val="BodyText"/>
        <w:ind w:left="67" w:right="194" w:firstLine="1"/>
        <w:spacing w:before="45" w:line="236" w:lineRule="auto"/>
        <w:jc w:val="both"/>
        <w:rPr/>
      </w:pPr>
      <w:r>
        <w:rPr>
          <w:color w:val="231F20"/>
          <w:spacing w:val="9"/>
        </w:rPr>
        <w:t>有更远处转移者在可疑处活检，活检阴性者行延伸野外照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射+含铂同期化疗+近距离放疗，活检阳性者行全身</w:t>
      </w:r>
      <w:r>
        <w:rPr>
          <w:color w:val="231F20"/>
          <w:spacing w:val="7"/>
        </w:rPr>
        <w:t>治疗±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个体化放疗。</w:t>
      </w:r>
    </w:p>
    <w:p>
      <w:pPr>
        <w:pStyle w:val="BodyText"/>
        <w:ind w:left="68" w:right="130"/>
        <w:spacing w:before="3" w:line="236" w:lineRule="auto"/>
        <w:jc w:val="both"/>
        <w:rPr/>
      </w:pPr>
      <w:r>
        <w:rPr>
          <w:color w:val="231F20"/>
          <w:spacing w:val="-1"/>
        </w:rPr>
        <w:t>7.2.8    ⅣB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期或远处转移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（ 1）若适合局部治疗，可考虑局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部切除±个体化放疗，或局部消融治疗±个体化放疗，或个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2"/>
        </w:rPr>
        <w:t>体化放疗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±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2"/>
        </w:rPr>
        <w:t>全身系统治疗，也可考虑辅助性系统性治疗。</w:t>
      </w:r>
    </w:p>
    <w:p>
      <w:pPr>
        <w:pStyle w:val="BodyText"/>
        <w:spacing w:line="210" w:lineRule="auto"/>
        <w:rPr/>
      </w:pPr>
      <w:r>
        <w:rPr>
          <w:color w:val="231F20"/>
        </w:rPr>
        <w:t>（2）不适合局部治疗者，全身系统性治疗或支持治疗。</w:t>
      </w:r>
    </w:p>
    <w:p>
      <w:pPr>
        <w:pStyle w:val="BodyText"/>
        <w:ind w:left="66" w:right="130" w:firstLine="2"/>
        <w:spacing w:before="32" w:line="237" w:lineRule="auto"/>
        <w:tabs>
          <w:tab w:val="left" w:pos="252"/>
        </w:tabs>
        <w:jc w:val="right"/>
        <w:rPr/>
      </w:pPr>
      <w:r>
        <w:rPr>
          <w:color w:val="231F20"/>
          <w:spacing w:val="20"/>
        </w:rPr>
        <w:t>7.3   筋膜外子宫切除术后意外发现</w:t>
      </w:r>
      <w:r>
        <w:rPr>
          <w:color w:val="231F20"/>
          <w:spacing w:val="19"/>
        </w:rPr>
        <w:t>的浸润性子宫颈癌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3"/>
        </w:rPr>
        <w:t>经病理复核确认的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ⅠA1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期无淋巴脉管间隙浸润者，可随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访观察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。 ⅠA1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期伴淋巴脉管间隙浸润或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ⅠA2/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ⅠB1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期或切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缘阳性或有肉眼残留病灶者，先完善病史、体格检</w:t>
      </w:r>
      <w:r>
        <w:rPr>
          <w:color w:val="231F20"/>
          <w:spacing w:val="2"/>
        </w:rPr>
        <w:t>查、血常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规（含血小板）和肝肾功能检查及影像学检查。（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1）切缘及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影像学检查均阴性者，可选择盆腔外照射+近距离放疗±含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铂同期化疗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。对于已切除的子宫病理无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Sedlis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标准所述的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危险因素者也可行宫旁广泛切除加阴道上段切除+盆腔淋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1"/>
        </w:rPr>
        <w:t>巴结切除±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1"/>
        </w:rPr>
        <w:t>主动脉旁淋巴结取样（主动脉旁淋巴</w:t>
      </w:r>
      <w:r>
        <w:rPr>
          <w:color w:val="231F20"/>
          <w:spacing w:val="10"/>
        </w:rPr>
        <w:t>结取样为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2B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类证据）。 术后淋巴结阴性且无残余病灶者可以观</w:t>
      </w:r>
      <w:r>
        <w:rPr>
          <w:color w:val="231F20"/>
          <w:spacing w:val="6"/>
        </w:rPr>
        <w:t>察。</w:t>
      </w:r>
    </w:p>
    <w:p>
      <w:pPr>
        <w:pStyle w:val="BodyText"/>
        <w:ind w:left="67" w:right="194"/>
        <w:spacing w:before="2" w:line="237" w:lineRule="auto"/>
        <w:jc w:val="both"/>
        <w:rPr/>
      </w:pPr>
      <w:r>
        <w:rPr>
          <w:color w:val="231F20"/>
          <w:spacing w:val="9"/>
        </w:rPr>
        <w:t>术后淋巴或切缘或宫旁阳性者，补充盆腔外照射（若主动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脉旁淋巴结阳性加主动脉旁区放疗）+含铂的同期化疗（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1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类证据）±个体化近距离放疗（阴道切缘阳性者）。（2）初次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9"/>
        </w:rPr>
        <w:t>手术切缘为癌，存在肉眼残留病灶、影像学检查阳性或肿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瘤特征符合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Sedlis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标准者，直接行盆腔外照射（若主动脉旁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淋巴结阳性加主动脉旁区放疗）+含铂的同期化疗（1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类证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据）+近距离放疗（阴道切缘阳性者）。</w:t>
      </w:r>
    </w:p>
    <w:p>
      <w:pPr>
        <w:pStyle w:val="BodyText"/>
        <w:ind w:left="67" w:right="140" w:firstLine="1"/>
        <w:spacing w:before="3" w:line="238" w:lineRule="auto"/>
        <w:jc w:val="both"/>
        <w:rPr/>
      </w:pPr>
      <w:r>
        <w:rPr>
          <w:color w:val="231F20"/>
          <w:spacing w:val="5"/>
        </w:rPr>
        <w:t>7.4   妊娠合并子宫颈癌    妊娠合并妇科恶性肿瘤中，最常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见是子宫颈癌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。大多数为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2"/>
        </w:rPr>
        <w:t>Ⅰ期患者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。选择延迟治疗直至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胎儿成熟还是立即接受治疗是患者和医生必须做出的困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难选择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1"/>
        </w:rPr>
        <w:t>。推迟治疗直至胎儿成熟的患者应该接受剖宫</w:t>
      </w:r>
      <w:r>
        <w:rPr>
          <w:color w:val="231F20"/>
          <w:spacing w:val="10"/>
        </w:rPr>
        <w:t>产，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并可在剖宫产的同时行根治性子宫切除术和盆腔淋巴结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切除术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。根治性子宫颈切除术已在部分早期子宫颈癌患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者中成功实施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。对那些选择放疗的患者，传统的放疗±化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疗需要做适当调整。</w:t>
      </w:r>
    </w:p>
    <w:p>
      <w:pPr>
        <w:ind w:left="70"/>
        <w:spacing w:before="272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8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子宫颈小细胞神经内分泌癌（</w:t>
      </w:r>
      <w:r>
        <w:rPr>
          <w:rFonts w:ascii="SimHei" w:hAnsi="SimHei" w:eastAsia="SimHei" w:cs="SimHei"/>
          <w:sz w:val="17"/>
          <w:szCs w:val="17"/>
          <w:color w:val="231F20"/>
        </w:rPr>
        <w:t>NECC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）</w:t>
      </w:r>
    </w:p>
    <w:p>
      <w:pPr>
        <w:pStyle w:val="BodyText"/>
        <w:ind w:left="69" w:right="193" w:firstLine="6"/>
        <w:spacing w:before="73" w:line="232" w:lineRule="auto"/>
        <w:jc w:val="both"/>
        <w:rPr/>
      </w:pPr>
      <w:r>
        <w:rPr>
          <w:color w:val="231F20"/>
          <w:spacing w:val="15"/>
        </w:rPr>
        <w:t>8.1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15"/>
        </w:rPr>
        <w:t>病理特征</w:t>
      </w:r>
      <w:r>
        <w:rPr>
          <w:color w:val="231F20"/>
        </w:rPr>
        <w:t xml:space="preserve">    </w:t>
      </w:r>
      <w:r>
        <w:rPr>
          <w:color w:val="231F20"/>
          <w:spacing w:val="15"/>
        </w:rPr>
        <w:t>小细胞 </w:t>
      </w:r>
      <w:r>
        <w:rPr>
          <w:color w:val="231F20"/>
        </w:rPr>
        <w:t>NECC</w:t>
      </w:r>
      <w:r>
        <w:rPr>
          <w:color w:val="231F20"/>
          <w:spacing w:val="15"/>
        </w:rPr>
        <w:t xml:space="preserve"> 为形态学诊断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。通常与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HPV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8"/>
        </w:rPr>
        <w:t>相关，以 16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和 18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型多见（18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型多于 16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型）。 主要的生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长方式呈弥漫性及岛状生长（细胞呈实性巢状，巢周细胞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0"/>
        </w:rPr>
        <w:t>呈栅栏状，伴有间质收缩现象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0"/>
        </w:rPr>
        <w:t>围血管生长和厚的小梁状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9"/>
        </w:rPr>
        <w:t>生长方式，伴有匍匐状或波浪状的间质血管；不同程度的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出现假腺样或菊形团样结构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。细胞学特征包括细胞大小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一致、胞界不清、胞浆稀少、核染色质呈细颗粒</w:t>
      </w:r>
      <w:r>
        <w:rPr>
          <w:color w:val="231F20"/>
          <w:spacing w:val="2"/>
        </w:rPr>
        <w:t>样深染、核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分裂象和凋亡易见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3"/>
        </w:rPr>
        <w:t>。核仁不明显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3"/>
        </w:rPr>
        <w:t>。坏死常见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。可合并子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宫颈腺体病变（癌前病变或癌变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0"/>
        </w:rPr>
        <w:t>可考虑诊断为腺癌混合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性神经内分泌癌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。鉴别诊断小细胞和大细胞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NECC</w:t>
      </w:r>
      <w:r>
        <w:rPr>
          <w:color w:val="231F20"/>
          <w:spacing w:val="8"/>
        </w:rPr>
        <w:t xml:space="preserve"> 比较困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难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3"/>
        </w:rPr>
        <w:t>。嗜铬粒蛋白、</w:t>
      </w:r>
      <w:r>
        <w:rPr>
          <w:color w:val="231F20"/>
        </w:rPr>
        <w:t>CD</w:t>
      </w:r>
      <w:r>
        <w:rPr>
          <w:color w:val="231F20"/>
          <w:spacing w:val="3"/>
        </w:rPr>
        <w:t>56、突触素可能表达阳性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3"/>
        </w:rPr>
        <w:t>。后两者是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敏感标志物，但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8"/>
        </w:rPr>
        <w:t>56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缺乏特异性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。嗜铬粒蛋白是特异性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最高的标志物，但缺乏敏感性，仅约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50</w:t>
      </w:r>
      <w:r>
        <w:rPr>
          <w:color w:val="231F20"/>
          <w:spacing w:val="-3"/>
        </w:rPr>
        <w:t>％～</w:t>
      </w:r>
      <w:r>
        <w:rPr>
          <w:color w:val="231F20"/>
          <w:spacing w:val="4"/>
        </w:rPr>
        <w:t xml:space="preserve"> 60％的小细胞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7" w:right="54" w:firstLine="5"/>
        <w:spacing w:before="42" w:line="237" w:lineRule="auto"/>
        <w:jc w:val="both"/>
        <w:rPr/>
      </w:pPr>
      <w:r>
        <w:rPr>
          <w:color w:val="231F20"/>
        </w:rPr>
        <w:t>NECC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呈阳性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。胰岛素瘤相关蛋白 1（</w:t>
      </w:r>
      <w:r>
        <w:rPr>
          <w:color w:val="231F20"/>
        </w:rPr>
        <w:t>INSM</w:t>
      </w:r>
      <w:r>
        <w:rPr>
          <w:color w:val="231F20"/>
          <w:spacing w:val="1"/>
        </w:rPr>
        <w:t>1）和突触素是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其他神经内分泌标志物，阳性率分别为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80</w:t>
      </w:r>
      <w:r>
        <w:rPr>
          <w:color w:val="231F20"/>
          <w:spacing w:val="3"/>
        </w:rPr>
        <w:t>%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70%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。如果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肿瘤表现出小细胞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NECC</w:t>
      </w:r>
      <w:r>
        <w:rPr>
          <w:color w:val="231F20"/>
          <w:spacing w:val="9"/>
        </w:rPr>
        <w:t xml:space="preserve"> 的经典形态特征，即使免疫组化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标志物阴性，也可诊断，但大细胞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NECC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并非如此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。小细胞</w:t>
      </w:r>
      <w:r>
        <w:rPr>
          <w:color w:val="231F20"/>
        </w:rPr>
        <w:t xml:space="preserve"> </w:t>
      </w:r>
      <w:r>
        <w:rPr>
          <w:color w:val="231F20"/>
        </w:rPr>
        <w:t>NECC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1"/>
        </w:rPr>
        <w:t>可能仅局灶阳性表达上述标志物（通常为点状细胞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质染色</w:t>
      </w:r>
      <w:r>
        <w:rPr>
          <w:color w:val="231F20"/>
          <w:spacing w:val="-26"/>
          <w:w w:val="64"/>
        </w:rPr>
        <w:t>），</w:t>
      </w:r>
      <w:r>
        <w:rPr>
          <w:color w:val="231F20"/>
          <w:spacing w:val="17"/>
        </w:rPr>
        <w:t>甚至广谱细胞角蛋白也为阴性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7"/>
        </w:rPr>
        <w:t>。多数原发性高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级别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NECC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TTF</w:t>
      </w:r>
      <w:r>
        <w:rPr>
          <w:color w:val="231F20"/>
          <w:spacing w:val="4"/>
        </w:rPr>
        <w:t>1 阳性，部分患者呈现弥漫性强阳性，但</w:t>
      </w:r>
      <w:r>
        <w:rPr>
          <w:color w:val="231F20"/>
        </w:rPr>
        <w:t xml:space="preserve"> </w:t>
      </w:r>
      <w:r>
        <w:rPr>
          <w:color w:val="231F20"/>
        </w:rPr>
        <w:t>TTF</w:t>
      </w:r>
      <w:r>
        <w:rPr>
          <w:color w:val="231F20"/>
          <w:spacing w:val="4"/>
        </w:rPr>
        <w:t>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表达与肺转移无相关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。大多数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NECC</w:t>
      </w:r>
      <w:r>
        <w:rPr>
          <w:color w:val="231F20"/>
          <w:spacing w:val="4"/>
        </w:rPr>
        <w:t xml:space="preserve"> 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p16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染色为弥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漫阳性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。但是阳性不能用来确定肿瘤原发部位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。其他部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位仍可能高表达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p16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。考虑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HPV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原位杂交（</w:t>
      </w:r>
      <w:r>
        <w:rPr>
          <w:color w:val="231F20"/>
        </w:rPr>
        <w:t>ISH</w:t>
      </w:r>
      <w:r>
        <w:rPr>
          <w:color w:val="231F20"/>
          <w:spacing w:val="1"/>
        </w:rPr>
        <w:t>）或聚合酶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链反应（PCR）检测。</w:t>
      </w:r>
    </w:p>
    <w:p>
      <w:pPr>
        <w:pStyle w:val="BodyText"/>
        <w:ind w:left="76"/>
        <w:spacing w:line="188" w:lineRule="auto"/>
        <w:rPr/>
      </w:pPr>
      <w:r>
        <w:rPr>
          <w:color w:val="231F20"/>
          <w:spacing w:val="2"/>
        </w:rPr>
        <w:t>8.2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2"/>
        </w:rPr>
        <w:t>影像学检查</w:t>
      </w:r>
    </w:p>
    <w:p>
      <w:pPr>
        <w:pStyle w:val="BodyText"/>
        <w:ind w:left="69" w:right="55" w:firstLine="7"/>
        <w:spacing w:before="61" w:line="211" w:lineRule="auto"/>
        <w:rPr/>
      </w:pPr>
      <w:r>
        <w:rPr>
          <w:color w:val="231F20"/>
        </w:rPr>
        <w:t>8.2.1   治疗前检查    颈部/胸部/腹部</w:t>
      </w:r>
      <w:r>
        <w:rPr>
          <w:color w:val="231F20"/>
          <w:spacing w:val="-1"/>
        </w:rPr>
        <w:t>/盆腔/腹股沟PET-CT +</w:t>
      </w:r>
      <w:r>
        <w:rPr>
          <w:color w:val="231F20"/>
        </w:rPr>
        <w:t xml:space="preserve"> </w:t>
      </w:r>
      <w:r>
        <w:rPr>
          <w:color w:val="231F20"/>
        </w:rPr>
        <w:t>脑部增强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或胸部/腹部/盆腔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CT +脑部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MRI。</w:t>
      </w:r>
    </w:p>
    <w:p>
      <w:pPr>
        <w:pStyle w:val="BodyText"/>
        <w:ind w:left="68" w:right="55" w:firstLine="7"/>
        <w:spacing w:before="60" w:line="221" w:lineRule="auto"/>
        <w:rPr/>
      </w:pPr>
      <w:r>
        <w:rPr>
          <w:color w:val="231F20"/>
          <w:spacing w:val="10"/>
        </w:rPr>
        <w:t>8.2.2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10"/>
        </w:rPr>
        <w:t>治疗评估   初治如选择同期放化疗，</w:t>
      </w:r>
      <w:r>
        <w:rPr>
          <w:color w:val="231F20"/>
          <w:spacing w:val="9"/>
        </w:rPr>
        <w:t>则行胸部/腹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部/盆腔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4"/>
        </w:rPr>
        <w:t>±脑部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4"/>
        </w:rPr>
        <w:t>；初治如选择新辅助化疗，在接受后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续治疗前，应考虑重新评估以排除转移性疾病。</w:t>
      </w:r>
    </w:p>
    <w:p>
      <w:pPr>
        <w:pStyle w:val="BodyText"/>
        <w:ind w:left="73" w:right="55" w:firstLine="2"/>
        <w:spacing w:before="62" w:line="211" w:lineRule="auto"/>
        <w:rPr/>
      </w:pPr>
      <w:r>
        <w:rPr>
          <w:color w:val="231F20"/>
          <w:spacing w:val="3"/>
        </w:rPr>
        <w:t>8.2.3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3"/>
        </w:rPr>
        <w:t>随访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3"/>
        </w:rPr>
        <w:t>颈部/胸部/腹部/盆腔/腹股沟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PET</w:t>
      </w:r>
      <w:r>
        <w:rPr>
          <w:color w:val="231F20"/>
          <w:spacing w:val="3"/>
        </w:rPr>
        <w:t>-</w:t>
      </w:r>
      <w:r>
        <w:rPr>
          <w:color w:val="231F20"/>
        </w:rPr>
        <w:t>CT</w:t>
      </w:r>
      <w:r>
        <w:rPr>
          <w:color w:val="231F20"/>
          <w:spacing w:val="3"/>
        </w:rPr>
        <w:t xml:space="preserve"> +</w:t>
      </w:r>
      <w:r>
        <w:rPr>
          <w:color w:val="231F20"/>
          <w:spacing w:val="2"/>
        </w:rPr>
        <w:t>脑部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MRI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或胸部/腹部/盆腔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CT +脑部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MRI。</w:t>
      </w:r>
    </w:p>
    <w:p>
      <w:pPr>
        <w:pStyle w:val="BodyText"/>
        <w:ind w:left="75"/>
        <w:spacing w:before="62" w:line="186" w:lineRule="auto"/>
        <w:rPr/>
      </w:pPr>
      <w:r>
        <w:rPr>
          <w:color w:val="231F20"/>
          <w:spacing w:val="1"/>
        </w:rPr>
        <w:t>8.3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1"/>
        </w:rPr>
        <w:t>治疗流程</w:t>
      </w:r>
    </w:p>
    <w:p>
      <w:pPr>
        <w:pStyle w:val="BodyText"/>
        <w:ind w:right="2" w:firstLine="75"/>
        <w:spacing w:before="56" w:line="233" w:lineRule="auto"/>
        <w:rPr/>
      </w:pPr>
      <w:r>
        <w:rPr>
          <w:color w:val="231F20"/>
          <w:spacing w:val="-2"/>
        </w:rPr>
        <w:t>8.3.1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-2"/>
        </w:rPr>
        <w:t>肿瘤局限于子宫颈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2"/>
        </w:rPr>
        <w:t>（ 1）肿瘤直径≤4cm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者，首选根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治性子宫切除+盆腔淋巴结切除±腹主动脉旁淋巴</w:t>
      </w:r>
      <w:r>
        <w:rPr>
          <w:color w:val="231F20"/>
          <w:spacing w:val="10"/>
        </w:rPr>
        <w:t>结取样，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术后行化疗或同期放化疗；亦可选择同期放化疗+近距离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4"/>
        </w:rPr>
        <w:t>放疗，后续考虑联合其他全身治疗。（2）肿瘤直径＞4cm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者，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可选择同期放化疗+近距离放疗，后续考虑联合其他全身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治疗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9"/>
        </w:rPr>
        <w:t>。亦可选择新辅助化疗然后考虑间歇性全子</w:t>
      </w:r>
      <w:r>
        <w:rPr>
          <w:color w:val="231F20"/>
          <w:spacing w:val="18"/>
        </w:rPr>
        <w:t>宫切除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术，术后辅助性放疗或同期放化疗，后续再考虑联合其他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2"/>
        </w:rPr>
        <w:t>全身治疗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。新辅助化疗后也可以后续同期放化疗+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2"/>
        </w:rPr>
        <w:t>阴道近</w:t>
      </w:r>
      <w:r>
        <w:rPr>
          <w:color w:val="231F20"/>
        </w:rPr>
        <w:t xml:space="preserve">  </w:t>
      </w:r>
      <w:r>
        <w:rPr>
          <w:color w:val="231F20"/>
          <w:spacing w:val="18"/>
        </w:rPr>
        <w:t>距离放疗，再考虑联合其他全身治疗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8"/>
        </w:rPr>
        <w:t>。化疗方案为顺铂</w:t>
      </w:r>
      <w:r>
        <w:rPr>
          <w:color w:val="231F20"/>
        </w:rPr>
        <w:t xml:space="preserve">  </w:t>
      </w:r>
      <w:r>
        <w:rPr>
          <w:color w:val="231F20"/>
        </w:rPr>
        <w:t>（或卡铂，如顺铂不耐受）+依托泊苷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。前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个周期的化疗可  </w:t>
      </w:r>
      <w:r>
        <w:rPr>
          <w:color w:val="231F20"/>
        </w:rPr>
        <w:t>与放疗同时进行（第 1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天和第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22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天）。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后续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个周期在完成  </w:t>
      </w:r>
      <w:r>
        <w:rPr>
          <w:color w:val="231F20"/>
          <w:spacing w:val="19"/>
        </w:rPr>
        <w:t>放疗后进行。</w:t>
      </w:r>
    </w:p>
    <w:p>
      <w:pPr>
        <w:pStyle w:val="BodyText"/>
        <w:ind w:left="66" w:firstLine="8"/>
        <w:spacing w:before="27" w:line="233" w:lineRule="auto"/>
        <w:rPr/>
      </w:pPr>
      <w:r>
        <w:rPr>
          <w:color w:val="231F20"/>
          <w:spacing w:val="2"/>
        </w:rPr>
        <w:t>8.3.2   局部晚期(  ⅠB3 ~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ⅣA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期）  首选同期放化疗+近距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离放疗±辅助性化疗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。亦可选择新辅助化疗，然后同期放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化疗+近距离放疗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。治疗结束后评估，若缓解，进入随访；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若局部病灶持续存在或局部复发，考虑全身治疗/姑息支持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"/>
        </w:rPr>
        <w:t>治疗/盆腔廓清术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。若为远处转移，见上文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7.2.8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部分。</w:t>
      </w:r>
    </w:p>
    <w:p>
      <w:pPr>
        <w:pStyle w:val="BodyText"/>
        <w:ind w:left="75"/>
        <w:spacing w:before="60" w:line="186" w:lineRule="auto"/>
        <w:rPr/>
      </w:pPr>
      <w:r>
        <w:rPr>
          <w:color w:val="231F20"/>
          <w:spacing w:val="1"/>
        </w:rPr>
        <w:t>8.3.3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1"/>
        </w:rPr>
        <w:t>远处转移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1"/>
        </w:rPr>
        <w:t>见上文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7.2.8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部分。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67"/>
        <w:spacing w:before="56" w:line="23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9</w:t>
      </w:r>
      <w:r>
        <w:rPr>
          <w:rFonts w:ascii="SimHei" w:hAnsi="SimHei" w:eastAsia="SimHei" w:cs="SimHei"/>
          <w:sz w:val="17"/>
          <w:szCs w:val="17"/>
          <w:color w:val="231F20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3"/>
        </w:rPr>
        <w:t>随访</w:t>
      </w:r>
    </w:p>
    <w:p>
      <w:pPr>
        <w:pStyle w:val="BodyText"/>
        <w:ind w:left="69" w:right="56" w:firstLine="363"/>
        <w:spacing w:before="78" w:line="227" w:lineRule="auto"/>
        <w:jc w:val="both"/>
        <w:rPr/>
      </w:pPr>
      <w:r>
        <w:rPr>
          <w:color w:val="231F20"/>
          <w:spacing w:val="1"/>
        </w:rPr>
        <w:t>建议治疗后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年内每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3～6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个月随访 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次，第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3～</w:t>
      </w:r>
      <w:r>
        <w:rPr>
          <w:color w:val="231F20"/>
        </w:rPr>
        <w:t>5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年每 </w:t>
      </w:r>
      <w:r>
        <w:rPr>
          <w:color w:val="231F20"/>
          <w:spacing w:val="3"/>
        </w:rPr>
        <w:t>6～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12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个月1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次，5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年后每年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次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。高危患者应缩短随访间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隔（如第 1～2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年每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个月1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次</w:t>
      </w:r>
      <w:r>
        <w:rPr>
          <w:color w:val="231F20"/>
          <w:spacing w:val="-25"/>
          <w:w w:val="61"/>
        </w:rPr>
        <w:t>），</w:t>
      </w:r>
      <w:r>
        <w:rPr>
          <w:color w:val="231F20"/>
          <w:spacing w:val="1"/>
        </w:rPr>
        <w:t>低危患者可以延长（如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6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个</w:t>
      </w:r>
      <w:r>
        <w:rPr>
          <w:color w:val="231F20"/>
        </w:rPr>
        <w:t xml:space="preserve"> </w:t>
      </w:r>
      <w:r>
        <w:rPr>
          <w:color w:val="231F20"/>
        </w:rPr>
        <w:t>月 1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次）。 至少每年进行 1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次子宫颈</w:t>
      </w:r>
      <w:r>
        <w:rPr>
          <w:color w:val="231F20"/>
          <w:spacing w:val="-1"/>
        </w:rPr>
        <w:t>（保留生育功能者）或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阴道细胞学检查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。随访时需进行仔细的临床评估，教育患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者了解复发的早期症状，如阴道排液、体重</w:t>
      </w:r>
      <w:r>
        <w:rPr>
          <w:color w:val="231F20"/>
          <w:spacing w:val="2"/>
        </w:rPr>
        <w:t>减轻、厌食，盆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腔、髂关节、背部或腿部疼痛等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。鼓励患者戒烟或减少吸</w:t>
      </w:r>
    </w:p>
    <w:p>
      <w:pPr>
        <w:spacing w:line="227" w:lineRule="auto"/>
        <w:sectPr>
          <w:type w:val="continuous"/>
          <w:pgSz w:w="11452" w:h="16328"/>
          <w:pgMar w:top="1278" w:right="993" w:bottom="0" w:left="983" w:header="1031" w:footer="0" w:gutter="0"/>
          <w:cols w:equalWidth="0" w:num="2">
            <w:col w:w="4757" w:space="100"/>
            <w:col w:w="4619" w:space="0"/>
          </w:cols>
        </w:sectPr>
        <w:rPr/>
      </w:pPr>
    </w:p>
    <w:p>
      <w:pPr>
        <w:spacing w:before="75"/>
        <w:rPr/>
      </w:pPr>
      <w:r>
        <w:pict>
          <v:shape id="_x0000_s10" style="position:absolute;margin-left:57.5119pt;margin-top:63.1337pt;mso-position-vertical-relative:page;mso-position-horizontal-relative:page;width:181pt;height:0.3pt;z-index:251662336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5"/>
          <w:pgSz w:w="11452" w:h="16328"/>
          <w:pgMar w:top="1278" w:right="982" w:bottom="0" w:left="983" w:header="1031" w:footer="0" w:gutter="0"/>
          <w:cols w:equalWidth="0" w:num="1">
            <w:col w:w="9486" w:space="0"/>
          </w:cols>
        </w:sectPr>
        <w:rPr/>
      </w:pPr>
    </w:p>
    <w:p>
      <w:pPr>
        <w:pStyle w:val="BodyText"/>
        <w:ind w:left="67" w:right="193" w:firstLine="4"/>
        <w:spacing w:before="45" w:line="242" w:lineRule="auto"/>
        <w:jc w:val="both"/>
        <w:rPr/>
      </w:pPr>
      <w:r>
        <w:rPr>
          <w:color w:val="231F20"/>
          <w:spacing w:val="8"/>
        </w:rPr>
        <w:t>烟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。随访过程中不需常规进行影像学检查，有症状或怀疑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复发时可选用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。复发病例在治疗前需经病理证实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。对于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肿瘤未控或复发者，治疗前需要进一步的影像学检查或手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术探查来评估病情。</w:t>
      </w:r>
    </w:p>
    <w:p>
      <w:pPr>
        <w:ind w:left="81"/>
        <w:spacing w:before="260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10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复发子宫颈癌的治疗</w:t>
      </w:r>
    </w:p>
    <w:p>
      <w:pPr>
        <w:pStyle w:val="BodyText"/>
        <w:ind w:left="67" w:right="129" w:firstLine="368"/>
        <w:spacing w:before="86" w:line="238" w:lineRule="auto"/>
        <w:jc w:val="both"/>
        <w:rPr/>
      </w:pPr>
      <w:r>
        <w:rPr>
          <w:color w:val="231F20"/>
          <w:spacing w:val="10"/>
        </w:rPr>
        <w:t>复发子宫颈癌的治疗包括放疗±化疗或手术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。局部复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发病例，如果初治没有接受放疗或者复发部位在原来放射  </w:t>
      </w:r>
      <w:r>
        <w:rPr>
          <w:color w:val="231F20"/>
          <w:spacing w:val="17"/>
        </w:rPr>
        <w:t>野之外，能切除者可以考虑手术切除后继续个体化外照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射±全身化疗±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近距离放疗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1"/>
        </w:rPr>
        <w:t>。放疗后中心性复发者可考虑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盆腔器官廓清术±</w:t>
      </w:r>
      <w:r>
        <w:rPr>
          <w:color w:val="231F20"/>
        </w:rPr>
        <w:t>IORT</w:t>
      </w:r>
      <w:r>
        <w:rPr>
          <w:color w:val="231F20"/>
          <w:spacing w:val="2"/>
        </w:rPr>
        <w:t>（证据等级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3）。 中心性复</w:t>
      </w:r>
      <w:r>
        <w:rPr>
          <w:color w:val="231F20"/>
          <w:spacing w:val="1"/>
        </w:rPr>
        <w:t>发病灶直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径≤2</w:t>
      </w:r>
      <w:r>
        <w:rPr>
          <w:color w:val="231F20"/>
        </w:rPr>
        <w:t>cm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3"/>
        </w:rPr>
        <w:t>的病例，经仔细选择也可以考虑行根治性</w:t>
      </w:r>
      <w:r>
        <w:rPr>
          <w:color w:val="231F20"/>
          <w:spacing w:val="2"/>
        </w:rPr>
        <w:t>子宫切除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术或近距离放疗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。对于非中心性复发者，可</w:t>
      </w:r>
      <w:r>
        <w:rPr>
          <w:color w:val="231F20"/>
          <w:spacing w:val="8"/>
        </w:rPr>
        <w:t>选择个体化外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照射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±全身化疗或手术切除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4"/>
        </w:rPr>
        <w:t>±术中放疗或全身系统治疗。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再次复发的患者选择化疗或支持治疗。</w:t>
      </w:r>
    </w:p>
    <w:p>
      <w:pPr>
        <w:ind w:left="81"/>
        <w:spacing w:before="267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11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治疗后管理</w:t>
      </w:r>
    </w:p>
    <w:p>
      <w:pPr>
        <w:pStyle w:val="BodyText"/>
        <w:ind w:left="67" w:right="130" w:firstLine="365"/>
        <w:spacing w:before="84" w:line="236" w:lineRule="auto"/>
        <w:jc w:val="both"/>
        <w:rPr/>
      </w:pPr>
      <w:r>
        <w:rPr>
          <w:color w:val="231F20"/>
          <w:spacing w:val="2"/>
        </w:rPr>
        <w:t>子宫颈癌患者的治疗包括手术、化疗、激素治疗、放疗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和（或）免疫治疗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。以上治疗措施可能引起相关并发</w:t>
      </w:r>
      <w:r>
        <w:rPr>
          <w:color w:val="231F20"/>
          <w:spacing w:val="1"/>
        </w:rPr>
        <w:t>症，从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而影响患者身心健康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。治疗后管理的重点有以下几个方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面</w:t>
      </w:r>
      <w:r>
        <w:rPr>
          <w:color w:val="231F20"/>
          <w:spacing w:val="-37"/>
          <w:w w:val="79"/>
        </w:rPr>
        <w:t>：（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1）慢性疾病的管理，如心血管疾病、胃肠功能紊乱、淋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巴水肿等。（2）关注患者心理健康。（3）详细</w:t>
      </w:r>
      <w:r>
        <w:rPr>
          <w:color w:val="231F20"/>
          <w:spacing w:val="-11"/>
        </w:rPr>
        <w:t>询问病史、全面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体检，并行必要的影像学和（或）实验室检查。（4）询问</w:t>
      </w:r>
      <w:r>
        <w:rPr>
          <w:color w:val="231F20"/>
          <w:spacing w:val="-8"/>
        </w:rPr>
        <w:t>泌尿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生殖系统症状，性功能障碍、围绝经期期症状</w:t>
      </w:r>
      <w:r>
        <w:rPr>
          <w:color w:val="231F20"/>
          <w:spacing w:val="2"/>
        </w:rPr>
        <w:t>，如外阴阴道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干燥、尿失禁等，如发现异常，则建议转诊</w:t>
      </w:r>
      <w:r>
        <w:rPr>
          <w:color w:val="231F20"/>
          <w:spacing w:val="2"/>
        </w:rPr>
        <w:t>至适当的专业服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务人员（例如物理疗法、盆底治疗、性疗法、心理疗法）。（5）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建议在放射后使用阴道扩张器和保湿剂。</w:t>
      </w:r>
    </w:p>
    <w:p>
      <w:pPr>
        <w:ind w:left="80"/>
        <w:spacing w:before="291" w:line="232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12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讨论</w:t>
      </w:r>
    </w:p>
    <w:p>
      <w:pPr>
        <w:pStyle w:val="BodyText"/>
        <w:ind w:left="66" w:right="194" w:firstLine="375"/>
        <w:spacing w:before="78" w:line="237" w:lineRule="auto"/>
        <w:jc w:val="both"/>
        <w:rPr/>
      </w:pPr>
      <w:r>
        <w:rPr>
          <w:color w:val="231F20"/>
          <w:spacing w:val="9"/>
        </w:rPr>
        <w:t>随着临床研究的不断深入，新版指南在早期子宫颈癌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的手术范围进行了重大更新，在系统性治疗方面也增加了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新的推荐。</w:t>
      </w:r>
    </w:p>
    <w:p>
      <w:pPr>
        <w:pStyle w:val="BodyText"/>
        <w:ind w:left="68" w:right="129" w:firstLine="16"/>
        <w:spacing w:before="9" w:line="236" w:lineRule="auto"/>
        <w:jc w:val="both"/>
        <w:rPr/>
      </w:pPr>
      <w:r>
        <w:rPr>
          <w:color w:val="231F20"/>
          <w:spacing w:val="5"/>
        </w:rPr>
        <w:t>12.1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5"/>
        </w:rPr>
        <w:t>指南更新   新版指南最重大的更新源</w:t>
      </w:r>
      <w:r>
        <w:rPr>
          <w:color w:val="231F20"/>
          <w:spacing w:val="4"/>
        </w:rPr>
        <w:t>于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Ander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son 肿瘤中心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Schmeler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KM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牵头的 ConCerv </w:t>
      </w:r>
      <w:r>
        <w:rPr>
          <w:color w:val="231F20"/>
          <w:spacing w:val="-7"/>
        </w:rPr>
        <w:t>临床试验（Con-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Cerv: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-11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1"/>
        </w:rPr>
        <w:t>prospective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1"/>
        </w:rPr>
        <w:t>trial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1"/>
        </w:rPr>
        <w:t>conservative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1"/>
        </w:rPr>
        <w:t>surgery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1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1"/>
        </w:rPr>
        <w:t>low-risk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early-stage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2"/>
        </w:rPr>
        <w:t>cervical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2"/>
        </w:rPr>
        <w:t>cancer［J］.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2"/>
        </w:rPr>
        <w:t>Int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2"/>
        </w:rPr>
        <w:t>J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Gynecol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2"/>
        </w:rPr>
        <w:t>Cance</w:t>
      </w:r>
      <w:r>
        <w:rPr>
          <w:color w:val="231F20"/>
          <w:spacing w:val="-13"/>
        </w:rPr>
        <w:t>r，2021，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31：1317-1325.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doi:10.1</w:t>
      </w:r>
      <w:r>
        <w:rPr>
          <w:color w:val="231F20"/>
          <w:spacing w:val="-8"/>
        </w:rPr>
        <w:t>136/ijgc-2021-002921）。 有必要详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细了解该研究的主要内容才能更好理解指南的更新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</w:rPr>
        <w:t>Con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Cerv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研究从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2010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4"/>
        </w:rPr>
        <w:t>4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月开始至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2019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月结束，历时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9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4"/>
        </w:rPr>
        <w:t>年。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是一项来自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9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个国家（包括欠发达国家）16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个单位参与的前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瞻性、单臂、多中心研究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7"/>
        </w:rPr>
        <w:t>。入组标准（下称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ConCerv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标准）包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括</w:t>
      </w:r>
      <w:r>
        <w:rPr>
          <w:color w:val="231F20"/>
          <w:spacing w:val="-36"/>
          <w:w w:val="77"/>
        </w:rPr>
        <w:t>：（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1）FIGO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2"/>
        </w:rPr>
        <w:t>2009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2"/>
        </w:rPr>
        <w:t>年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2"/>
        </w:rPr>
        <w:t>ⅠA2 ~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2"/>
        </w:rPr>
        <w:t>Ⅰ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B1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2"/>
        </w:rPr>
        <w:t>期子</w:t>
      </w:r>
      <w:r>
        <w:rPr>
          <w:color w:val="231F20"/>
          <w:spacing w:val="-13"/>
        </w:rPr>
        <w:t>宫颈癌。（2）鳞状细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胞癌（任何级别）或腺癌（仅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5"/>
        </w:rPr>
        <w:t>G1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5"/>
        </w:rPr>
        <w:t>或 G2）。（3）肿瘤直径≤2cm。</w:t>
      </w:r>
    </w:p>
    <w:p>
      <w:pPr>
        <w:pStyle w:val="BodyText"/>
        <w:ind w:left="66" w:right="193" w:hanging="67"/>
        <w:spacing w:before="1" w:line="220" w:lineRule="auto"/>
        <w:jc w:val="both"/>
        <w:rPr/>
      </w:pPr>
      <w:r>
        <w:rPr>
          <w:color w:val="231F20"/>
          <w:spacing w:val="-15"/>
        </w:rPr>
        <w:t>（4）无淋巴脉管间隙浸润。（5）浸润深度≤10mm。（6）影像学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无转移。（7）锥切阴性边缘＞1mm（可重复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次锥切</w:t>
      </w:r>
      <w:r>
        <w:rPr>
          <w:color w:val="231F20"/>
          <w:spacing w:val="-5"/>
        </w:rPr>
        <w:t>达切缘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阴性）。 符合上述所有条件者，希望保留生育功能的患者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3"/>
        </w:rPr>
        <w:t>进行盆腔淋巴结评估［包括前哨淋巴结活检和（或</w:t>
      </w:r>
      <w:r>
        <w:rPr>
          <w:color w:val="231F20"/>
          <w:spacing w:val="2"/>
        </w:rPr>
        <w:t>）系统性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2"/>
        <w:spacing w:before="40" w:line="237" w:lineRule="auto"/>
        <w:jc w:val="both"/>
        <w:rPr/>
      </w:pPr>
      <w:r>
        <w:rPr>
          <w:color w:val="231F20"/>
          <w:spacing w:val="7"/>
        </w:rPr>
        <w:t>盆腔淋巴结切除术］。 不保留生育功能的患者可行筋膜外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9"/>
        </w:rPr>
        <w:t>子宫切除术加盆腔淋巴结评估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9"/>
        </w:rPr>
        <w:t>。接受筋膜外子宫切除术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且术后意外发现为子宫颈癌的患者，若符合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ConCerv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标准，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也可只接受系统性盆腔淋巴结切除术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。结果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100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例</w:t>
      </w:r>
      <w:r>
        <w:rPr>
          <w:color w:val="231F20"/>
          <w:spacing w:val="9"/>
        </w:rPr>
        <w:t>可评估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患者入组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"/>
        </w:rPr>
        <w:t>。手术时平均年龄为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38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岁（23～67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岁）。  ⅠA2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期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占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33%、ⅠB1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期占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67%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。锥切+盆腔淋巴结评估44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例</w:t>
      </w:r>
      <w:r>
        <w:rPr>
          <w:color w:val="231F20"/>
          <w:spacing w:val="-2"/>
        </w:rPr>
        <w:t>；锥切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后筋膜外子宫切除+盆腔淋巴结评估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40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例；意外筋膜外子</w:t>
      </w:r>
      <w:r>
        <w:rPr>
          <w:color w:val="231F20"/>
        </w:rPr>
        <w:t xml:space="preserve">  </w:t>
      </w:r>
      <w:r>
        <w:rPr>
          <w:color w:val="231F20"/>
        </w:rPr>
        <w:t>宫切除后+盆腔淋巴结评估 16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例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。5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例患者（5%）盆腔淋巴  </w:t>
      </w:r>
      <w:r>
        <w:rPr>
          <w:color w:val="231F20"/>
          <w:spacing w:val="9"/>
        </w:rPr>
        <w:t>结阳性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。开腹手术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例，96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例采用腹腔镜或达芬奇机器人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腹腔镜进行手术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。锥切后筋膜外全子宫切除+盆腔淋巴结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评估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40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例中，1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例患者在全子宫切除术标本中发现残余肿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瘤，立即失败率为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2.5%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中位随访时间为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36.3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个月（范围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0.0～68.3）。 3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例患者在手术后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2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年内复发，</w:t>
      </w:r>
      <w:r>
        <w:rPr>
          <w:color w:val="231F20"/>
          <w:spacing w:val="2"/>
        </w:rPr>
        <w:t>2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年累积复发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率为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3.5%（95%</w:t>
      </w:r>
      <w:r>
        <w:rPr>
          <w:color w:val="231F20"/>
        </w:rPr>
        <w:t>CI</w:t>
      </w:r>
      <w:r>
        <w:rPr>
          <w:color w:val="231F20"/>
          <w:spacing w:val="4"/>
        </w:rPr>
        <w:t xml:space="preserve"> 0.9%～9.0%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4"/>
        </w:rPr>
        <w:t>锥切+盆腔淋巴结评估组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复发率为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"/>
        </w:rPr>
        <w:t>2.5%（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1/40）。筋膜外子宫切除术+盆腔淋巴结评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估组无复发，意外发现子宫颈癌组复发率 12.5%（2/16）。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总共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3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例复发患者中，1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例为保留生育功能的锥切患者，第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1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3"/>
        </w:rPr>
        <w:t>次锥切为鳞状细胞癌，浸润深度 13</w:t>
      </w:r>
      <w:r>
        <w:rPr>
          <w:color w:val="231F20"/>
        </w:rPr>
        <w:t>mm</w:t>
      </w:r>
      <w:r>
        <w:rPr>
          <w:color w:val="231F20"/>
          <w:spacing w:val="3"/>
        </w:rPr>
        <w:t>，边缘呈阳性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。接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受了第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次锥切，未发现浸润癌，但锥切切缘为</w:t>
      </w:r>
      <w:r>
        <w:rPr>
          <w:color w:val="231F20"/>
          <w:spacing w:val="5"/>
        </w:rPr>
        <w:t>子宫颈上皮</w:t>
      </w:r>
      <w:r>
        <w:rPr>
          <w:color w:val="231F20"/>
        </w:rPr>
        <w:t xml:space="preserve">  </w:t>
      </w:r>
      <w:r>
        <w:rPr>
          <w:color w:val="231F20"/>
        </w:rPr>
        <w:t>内瘤变（CIN）3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。腹腔镜盆腔淋巴结切除术，15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个淋巴结阴  </w:t>
      </w:r>
      <w:r>
        <w:rPr>
          <w:color w:val="231F20"/>
          <w:spacing w:val="14"/>
        </w:rPr>
        <w:t>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4"/>
        </w:rPr>
        <w:t>。术后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4"/>
        </w:rPr>
        <w:t>3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个月随访细胞学检查为高度鳞状上皮内病变。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再次进行冷刀锥切，发现浸润性鳞癌，边缘阳性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。最后进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行了根治性子宫颈切除术，因为术中冰冻病理提示子宫颈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上切缘阳性，随后改为根治性子宫切除术，术后辅助化疗。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随访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9"/>
        </w:rPr>
        <w:t>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年未发现复发证据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9"/>
        </w:rPr>
        <w:t>因为这 1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例患者的出现，研究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者随后对纳入标准进行了修改，增加了浸润深度≤10 </w:t>
      </w:r>
      <w:r>
        <w:rPr>
          <w:color w:val="231F20"/>
        </w:rPr>
        <w:t>mm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3"/>
        </w:rPr>
        <w:t>和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锥切边缘阴性（包括子宫颈上皮内瘤变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2/3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和原位腺癌）2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个指标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2"/>
        </w:rPr>
        <w:t>。另外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例复发为进行筋膜外子宫切除术意外发现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子宫颈癌的女性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。其中 1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例为原位腺癌，锥切边缘阴性，随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后进行了腹腔镜筋膜外子宫切除术和盆腔淋巴结切除术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3"/>
        </w:rPr>
        <w:t>（仅切除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3"/>
        </w:rPr>
        <w:t>个淋巴结，均阴性</w:t>
      </w:r>
      <w:r>
        <w:rPr>
          <w:color w:val="231F20"/>
          <w:spacing w:val="-24"/>
          <w:w w:val="59"/>
        </w:rPr>
        <w:t>），</w:t>
      </w:r>
      <w:r>
        <w:rPr>
          <w:color w:val="231F20"/>
          <w:spacing w:val="3"/>
        </w:rPr>
        <w:t>术后病理为腺癌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G2，浸</w:t>
      </w:r>
      <w:r>
        <w:rPr>
          <w:color w:val="231F20"/>
          <w:spacing w:val="2"/>
        </w:rPr>
        <w:t>润深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4.2</w:t>
      </w:r>
      <w:r>
        <w:rPr>
          <w:color w:val="231F20"/>
        </w:rPr>
        <w:t>mm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。11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个月后盆腔复发和肺部转移，后接受了化疗，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6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2"/>
        </w:rPr>
        <w:t>年后死于肿瘤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。另 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例为鳞癌，锥切阴性切缘＜1</w:t>
      </w:r>
      <w:r>
        <w:rPr>
          <w:color w:val="231F20"/>
        </w:rPr>
        <w:t>mm</w:t>
      </w:r>
      <w:r>
        <w:rPr>
          <w:color w:val="231F20"/>
          <w:spacing w:val="2"/>
        </w:rPr>
        <w:t>，进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行了腹腔镜筋膜外子宫切除术，术后病理显示浸润深度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6</w:t>
      </w:r>
      <w:r>
        <w:rPr>
          <w:color w:val="231F20"/>
        </w:rPr>
        <w:t>mm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。随后进行了腹腔镜淋巴结切除术，切除 11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个淋巴结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均阴性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。10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个月后腹股沟淋巴结复发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。后接受了化疗，4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年随访未发现再复发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。出现这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例复发后，于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2016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年停止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入组筋膜外子宫切除术后意外发现的子宫颈癌病例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3"/>
        </w:rPr>
        <w:t>。这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3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例患者的复发部位均不是在子宫旁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4"/>
        </w:rPr>
        <w:t>。该研究结论是早期、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低风险子宫颈癌患者可进行保守性手术。</w:t>
      </w:r>
    </w:p>
    <w:p>
      <w:pPr>
        <w:pStyle w:val="BodyText"/>
        <w:ind w:left="68" w:right="66" w:firstLine="369"/>
        <w:spacing w:before="1" w:line="227" w:lineRule="auto"/>
        <w:jc w:val="both"/>
        <w:rPr/>
      </w:pPr>
      <w:r>
        <w:rPr>
          <w:color w:val="231F20"/>
        </w:rPr>
        <w:t>ConCerv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试验提出的保守性手术精粹是省略了宫旁和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阴道上段切除，降低了手术难度、手术并发症</w:t>
      </w:r>
      <w:r>
        <w:rPr>
          <w:color w:val="231F20"/>
          <w:spacing w:val="2"/>
        </w:rPr>
        <w:t>和后遗症，提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高患者术后的生活质量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7"/>
        </w:rPr>
        <w:t>。新版指南采纳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ConCerv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试验研究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结论，将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ⅠA1 ~  ⅠB1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期子宫颈癌患者按照有无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LVSI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及是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否符合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ConCerv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标准进行分流，有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LVSI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及不符合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ConCerv </w:t>
      </w:r>
      <w:r>
        <w:rPr>
          <w:color w:val="231F20"/>
          <w:spacing w:val="3"/>
        </w:rPr>
        <w:t>标准者手术范围按去年指南推荐，无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LVSI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及符合所有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Cerv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标准者，盆腔淋巴结评估仍按去年指南推荐，但缩</w:t>
      </w:r>
      <w:r>
        <w:rPr>
          <w:color w:val="231F20"/>
        </w:rPr>
        <w:t>小了</w:t>
      </w:r>
    </w:p>
    <w:p>
      <w:pPr>
        <w:spacing w:line="227" w:lineRule="auto"/>
        <w:sectPr>
          <w:type w:val="continuous"/>
          <w:pgSz w:w="11452" w:h="16328"/>
          <w:pgMar w:top="1278" w:right="982" w:bottom="0" w:left="983" w:header="1031" w:footer="0" w:gutter="0"/>
          <w:cols w:equalWidth="0" w:num="2">
            <w:col w:w="4757" w:space="100"/>
            <w:col w:w="4630" w:space="0"/>
          </w:cols>
        </w:sectPr>
        <w:rPr/>
      </w:pPr>
    </w:p>
    <w:p>
      <w:pPr>
        <w:spacing w:before="83"/>
        <w:rPr/>
      </w:pPr>
      <w:r>
        <w:pict>
          <v:shape id="_x0000_s12" style="position:absolute;margin-left:334.086pt;margin-top:63.1337pt;mso-position-vertical-relative:page;mso-position-horizontal-relative:page;width:181.05pt;height:0.3pt;z-index:251663360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6"/>
          <w:pgSz w:w="11452" w:h="16328"/>
          <w:pgMar w:top="1278" w:right="981" w:bottom="0" w:left="1049" w:header="1031" w:footer="0" w:gutter="0"/>
          <w:cols w:equalWidth="0" w:num="1">
            <w:col w:w="9422" w:space="0"/>
          </w:cols>
        </w:sectPr>
        <w:rPr/>
      </w:pPr>
    </w:p>
    <w:p>
      <w:pPr>
        <w:pStyle w:val="BodyText"/>
        <w:ind w:right="141" w:firstLine="3"/>
        <w:spacing w:before="33" w:line="237" w:lineRule="auto"/>
        <w:jc w:val="both"/>
        <w:rPr/>
      </w:pPr>
      <w:r>
        <w:rPr>
          <w:color w:val="231F20"/>
          <w:spacing w:val="8"/>
        </w:rPr>
        <w:t>宫旁和阴道的切除范围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。保留生育功能者采用锥切，锥切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阴性切缘标准从至少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3mm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减为至少 1mm；不保留生育功能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者采用筋膜外子宫切除术代替改良根治性或根治性子宫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1"/>
        </w:rPr>
        <w:t>切除术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1"/>
        </w:rPr>
        <w:t>。筋膜外子宫切除术后意外发现的子宫颈浸润癌，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符合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ConCerv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标准者，术后也推荐只需补充盆腔淋巴结评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估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，不需要进行宫旁广泛加阴道上段切除术（详见上文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7.1.1～7.1.4，7.2.2～7.2.4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8"/>
        </w:rPr>
        <w:t>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7.3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8"/>
        </w:rPr>
        <w:t>部分）。</w:t>
      </w:r>
    </w:p>
    <w:p>
      <w:pPr>
        <w:pStyle w:val="BodyText"/>
        <w:ind w:right="141" w:firstLine="363"/>
        <w:spacing w:before="11" w:line="233" w:lineRule="auto"/>
        <w:jc w:val="both"/>
        <w:rPr/>
      </w:pPr>
      <w:r>
        <w:rPr>
          <w:color w:val="231F20"/>
          <w:spacing w:val="4"/>
        </w:rPr>
        <w:t>对于新版指南的上述推荐，有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2点值得商榷：</w:t>
      </w:r>
      <w:r>
        <w:rPr>
          <w:color w:val="231F20"/>
          <w:spacing w:val="3"/>
        </w:rPr>
        <w:t>首先是符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合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ConCerv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标准的意外发现子宫颈癌，术后只需补充盆腔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淋巴结评估的问题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。从查阅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ConCerv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试验原文可得知，按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该指征入组 16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例患者中出现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例复发，对于早期子宫颈癌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来说，高达 12.5% 的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"/>
        </w:rPr>
        <w:t>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年复发率是不可接受的（</w:t>
      </w:r>
      <w:r>
        <w:rPr>
          <w:color w:val="231F20"/>
        </w:rPr>
        <w:t>LACC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试验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中，随访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7"/>
        </w:rPr>
        <w:t>4.5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年，复发或死亡率微创组 10.03%，32/</w:t>
      </w:r>
      <w:r>
        <w:rPr>
          <w:color w:val="231F20"/>
          <w:spacing w:val="-8"/>
        </w:rPr>
        <w:t>319；开放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2.56%，8/312）。 也正因为如此，数据和安全监测委员会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于 2016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年停止了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ConCerv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试验，直至后来经评估认为终止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意外发现的子宫颈癌患者入组，其他患者还是安全之</w:t>
      </w:r>
      <w:r>
        <w:rPr>
          <w:color w:val="231F20"/>
          <w:spacing w:val="11"/>
        </w:rPr>
        <w:t>后，</w:t>
      </w:r>
      <w:r>
        <w:rPr>
          <w:color w:val="231F20"/>
        </w:rPr>
        <w:t xml:space="preserve"> </w:t>
      </w:r>
      <w:r>
        <w:rPr>
          <w:color w:val="231F20"/>
        </w:rPr>
        <w:t>ConCerv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试验才得以重启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。所以，我们认为对于意外发现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的子宫颈癌患者来说，能否免除宫旁广泛和</w:t>
      </w:r>
      <w:r>
        <w:rPr>
          <w:color w:val="231F20"/>
          <w:spacing w:val="9"/>
        </w:rPr>
        <w:t>阴道上段切除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尚须进一步研究，建议仍按去年指南推荐处理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8"/>
        </w:rPr>
        <w:t>。其次，是</w:t>
      </w:r>
      <w:r>
        <w:rPr>
          <w:color w:val="231F20"/>
        </w:rPr>
        <w:t xml:space="preserve">  </w:t>
      </w:r>
      <w:r>
        <w:rPr>
          <w:color w:val="231F20"/>
        </w:rPr>
        <w:t>ConCerv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2"/>
        </w:rPr>
        <w:t>标准中“肿瘤大小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≤2</w:t>
      </w:r>
      <w:r>
        <w:rPr>
          <w:color w:val="231F20"/>
        </w:rPr>
        <w:t>cm</w:t>
      </w:r>
      <w:r>
        <w:rPr>
          <w:color w:val="231F20"/>
          <w:spacing w:val="2"/>
        </w:rPr>
        <w:t>”这个指标设置的合理性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问题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。如果是内生型病灶，肿瘤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2cm 即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20mm，浸润深度会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超过另一个指标“浸润深度≤10mm”；如果是肉眼</w:t>
      </w:r>
      <w:r>
        <w:rPr>
          <w:color w:val="231F20"/>
          <w:spacing w:val="-3"/>
        </w:rPr>
        <w:t>可见的外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生型肿瘤，可以直接在肿瘤表面活检，没有</w:t>
      </w:r>
      <w:r>
        <w:rPr>
          <w:color w:val="231F20"/>
          <w:spacing w:val="9"/>
        </w:rPr>
        <w:t>必要再行锥切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明确诊断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。在肿物表面直接取活检的标本很难诊断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LVSI</w:t>
      </w:r>
      <w:r>
        <w:rPr>
          <w:color w:val="231F20"/>
          <w:spacing w:val="10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即使看到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LVSI</w:t>
      </w:r>
      <w:r>
        <w:rPr>
          <w:color w:val="231F20"/>
          <w:spacing w:val="7"/>
        </w:rPr>
        <w:t>，也难以判断真伪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。所以，对于不保留生育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功能肉眼可见的外生型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ⅠB1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期子宫颈癌患者来说，我们还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是建议直接行根治性子宫切除术+盆腔淋巴结切除术（或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3"/>
        </w:rPr>
        <w:t>前哨淋巴结活检）±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主动脉旁淋巴结切除术为宜；保留生育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功能的患者才可考虑选择先锥切，锥切标本病</w:t>
      </w:r>
      <w:r>
        <w:rPr>
          <w:color w:val="231F20"/>
          <w:spacing w:val="9"/>
        </w:rPr>
        <w:t>理符合所有</w:t>
      </w:r>
      <w:r>
        <w:rPr>
          <w:color w:val="231F20"/>
        </w:rPr>
        <w:t xml:space="preserve">  </w:t>
      </w:r>
      <w:r>
        <w:rPr>
          <w:color w:val="231F20"/>
        </w:rPr>
        <w:t>ConCerv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标准者可再行盆腔淋巴结评估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。我们同样认为选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择活检明确诊断后直接行根治性子宫颈切除术+盆腔淋巴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/>
        <w:spacing w:before="37" w:line="184" w:lineRule="auto"/>
        <w:rPr/>
      </w:pPr>
      <w:r>
        <w:rPr>
          <w:color w:val="231F20"/>
          <w:spacing w:val="8"/>
        </w:rPr>
        <w:t>结切除术可能更为稳妥。</w:t>
      </w:r>
    </w:p>
    <w:p>
      <w:pPr>
        <w:pStyle w:val="BodyText"/>
        <w:ind w:firstLine="438"/>
        <w:spacing w:before="62" w:line="237" w:lineRule="auto"/>
        <w:jc w:val="both"/>
        <w:rPr/>
      </w:pPr>
      <w:r>
        <w:rPr>
          <w:color w:val="231F20"/>
          <w:spacing w:val="6"/>
        </w:rPr>
        <w:t>另外，虽然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ConCerv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试验进行了比较严谨的设计和质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量控制，但入组患者毕竟只有 100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0"/>
        </w:rPr>
        <w:t>例，设置指</w:t>
      </w:r>
      <w:r>
        <w:rPr>
          <w:color w:val="231F20"/>
          <w:spacing w:val="9"/>
        </w:rPr>
        <w:t>标也不尽合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理，单凭一项临床试验就改变沿用多年的临床实践似乎略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2"/>
        </w:rPr>
        <w:t>显仓促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2"/>
        </w:rPr>
        <w:t>。我们需要关注另外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2"/>
        </w:rPr>
        <w:t>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项接近完成的评估低风险子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宫 颈 癌 保 守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7"/>
        </w:rPr>
        <w:t>手 术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7"/>
        </w:rPr>
        <w:t>的 前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7"/>
        </w:rPr>
        <w:t>瞻 性 研 究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，即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SHAPE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7"/>
        </w:rPr>
        <w:t>试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验</w:t>
      </w:r>
      <w:r>
        <w:rPr>
          <w:color w:val="231F20"/>
        </w:rPr>
        <w:t xml:space="preserve">  </w:t>
      </w:r>
      <w:r>
        <w:rPr>
          <w:color w:val="231F20"/>
        </w:rPr>
        <w:t>（NCT01658930，比较筋膜外子宫切除术加盆腔淋巴结切除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0"/>
        </w:rPr>
        <w:t>术与根治性子宫切除术加盆腔淋巴结切除术的安全性和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盆腔无复发生存率的非劣效随机Ⅲ期研究</w:t>
      </w:r>
      <w:r>
        <w:rPr>
          <w:color w:val="231F20"/>
          <w:spacing w:val="-32"/>
          <w:w w:val="78"/>
        </w:rPr>
        <w:t>），</w:t>
      </w:r>
      <w:r>
        <w:rPr>
          <w:color w:val="231F20"/>
        </w:rPr>
        <w:t>GOG</w:t>
      </w:r>
      <w:r>
        <w:rPr>
          <w:color w:val="231F20"/>
          <w:spacing w:val="8"/>
        </w:rPr>
        <w:t xml:space="preserve"> 278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试验</w:t>
      </w:r>
      <w:r>
        <w:rPr>
          <w:color w:val="231F20"/>
        </w:rPr>
        <w:t xml:space="preserve">  </w:t>
      </w:r>
      <w:r>
        <w:rPr>
          <w:color w:val="231F20"/>
        </w:rPr>
        <w:t>（NCT01649089，筋膜外子宫切除术或锥切加盆腔淋巴结切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8"/>
        </w:rPr>
        <w:t>除术对患者淋巴水肿、膀胱、肠和性功能的影响和复发率、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生存率分析）。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在获得更充分、更高质量临床研究数据后，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再来改变我们的临床实践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1"/>
        </w:rPr>
        <w:t>。毕竟生存比生活更重要。</w:t>
      </w:r>
    </w:p>
    <w:p>
      <w:pPr>
        <w:pStyle w:val="BodyText"/>
        <w:ind w:left="85"/>
        <w:spacing w:line="185" w:lineRule="auto"/>
        <w:rPr/>
      </w:pPr>
      <w:r>
        <w:rPr>
          <w:color w:val="231F20"/>
          <w:spacing w:val="8"/>
        </w:rPr>
        <w:t>12.2   新版指南明确提出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Sedlis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标准主要用于鳞状细胞癌</w:t>
      </w:r>
    </w:p>
    <w:p>
      <w:pPr>
        <w:pStyle w:val="BodyText"/>
        <w:ind w:left="68" w:right="13" w:firstLine="185"/>
        <w:spacing w:before="62" w:line="237" w:lineRule="auto"/>
        <w:jc w:val="both"/>
        <w:rPr/>
      </w:pPr>
      <w:r>
        <w:rPr>
          <w:color w:val="231F20"/>
          <w:spacing w:val="2"/>
        </w:rPr>
        <w:t>虽然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Sedlis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标准是 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级证据，但发表年代已久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。近年来，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众多学者在寻求比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Sedlis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标准更现代的指标来指导子宫颈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癌患者术后补充治疗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。包括使用特异性列线图、结合基因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检测分子标志物等新的工具或指标来模拟复发风险和提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出辅助治疗建议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。但迄今为止，对于子宫颈鳞癌来说，Sed-  </w:t>
      </w:r>
      <w:r>
        <w:rPr>
          <w:color w:val="231F20"/>
        </w:rPr>
        <w:t>lis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标准的地位仍然不可撼动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。新工具、新指标仅在腺</w:t>
      </w:r>
      <w:r>
        <w:rPr>
          <w:color w:val="231F20"/>
          <w:spacing w:val="7"/>
        </w:rPr>
        <w:t>癌或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其他类型子宫颈癌比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Sedlis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标准略有优势。</w:t>
      </w:r>
    </w:p>
    <w:p>
      <w:pPr>
        <w:pStyle w:val="BodyText"/>
        <w:ind w:left="67" w:right="13" w:firstLine="17"/>
        <w:spacing w:before="7" w:line="236" w:lineRule="auto"/>
        <w:jc w:val="both"/>
        <w:rPr/>
      </w:pPr>
      <w:r>
        <w:rPr>
          <w:color w:val="231F20"/>
          <w:spacing w:val="8"/>
        </w:rPr>
        <w:t>12.3   新版指南进一步明确免疫和靶向治疗在子宫颈癌治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0"/>
        </w:rPr>
        <w:t>疗中的地位   复发转移性子宫颈癌（鳞状</w:t>
      </w:r>
      <w:r>
        <w:rPr>
          <w:color w:val="231F20"/>
          <w:spacing w:val="9"/>
        </w:rPr>
        <w:t>细胞癌、腺癌或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腺鳞癌）一线联合治疗方案指南中，继续推</w:t>
      </w:r>
      <w:r>
        <w:rPr>
          <w:color w:val="231F20"/>
          <w:spacing w:val="4"/>
        </w:rPr>
        <w:t>荐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4"/>
        </w:rPr>
        <w:t>- L1 阳性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患者首选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PD</w:t>
      </w:r>
      <w:r>
        <w:rPr>
          <w:color w:val="231F20"/>
          <w:spacing w:val="10"/>
        </w:rPr>
        <w:t>-1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阻断剂联合化疗和贝伐珠单抗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。二线治疗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推荐新增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tisotumab vedotin-tf</w:t>
      </w:r>
      <w:r>
        <w:rPr>
          <w:color w:val="231F20"/>
          <w:spacing w:val="-3"/>
        </w:rPr>
        <w:t>tv（抗体药物偶联物</w:t>
      </w:r>
      <w:r>
        <w:rPr>
          <w:color w:val="231F20"/>
          <w:spacing w:val="-30"/>
          <w:w w:val="64"/>
        </w:rPr>
        <w:t>）：</w:t>
      </w:r>
      <w:r>
        <w:rPr>
          <w:color w:val="231F20"/>
          <w:spacing w:val="-3"/>
        </w:rPr>
        <w:t>该推荐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源 于 针 对 晚 期 子 宫 颈 癌 患 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的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innovaTV  204/GOG-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3023/</w:t>
      </w:r>
      <w:r>
        <w:rPr>
          <w:color w:val="231F20"/>
        </w:rPr>
        <w:t>ENGOT</w:t>
      </w:r>
      <w:r>
        <w:rPr>
          <w:color w:val="231F20"/>
          <w:spacing w:val="1"/>
        </w:rPr>
        <w:t>-</w:t>
      </w:r>
      <w:r>
        <w:rPr>
          <w:color w:val="231F20"/>
        </w:rPr>
        <w:t>cx</w:t>
      </w:r>
      <w:r>
        <w:rPr>
          <w:color w:val="231F20"/>
          <w:spacing w:val="1"/>
        </w:rPr>
        <w:t>6Ⅱ期临床研究，共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35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个中心入组 102 例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患者，</w:t>
      </w:r>
      <w:r>
        <w:rPr>
          <w:rFonts w:ascii="Arial" w:hAnsi="Arial" w:eastAsia="Arial" w:cs="Arial"/>
          <w:i/>
          <w:iCs/>
          <w:color w:val="231F20"/>
          <w:spacing w:val="-8"/>
        </w:rPr>
        <w:t>ORR </w:t>
      </w:r>
      <w:r>
        <w:rPr>
          <w:color w:val="231F20"/>
          <w:spacing w:val="-8"/>
        </w:rPr>
        <w:t>达 24%（95%CI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16～33）。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7% 的患者达到 CR，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17%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的患者达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PR。</w:t>
      </w:r>
    </w:p>
    <w:p>
      <w:pPr>
        <w:pStyle w:val="BodyText"/>
        <w:spacing w:line="17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（2023-01-07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452" w:h="16328"/>
      <w:pgMar w:top="1278" w:right="981" w:bottom="0" w:left="1049" w:header="1031" w:footer="0" w:gutter="0"/>
      <w:cols w:equalWidth="0" w:num="2">
        <w:col w:w="4692" w:space="100"/>
        <w:col w:w="463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191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46" w:line="17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192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193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46" w:line="17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194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195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"/>
      <w:spacing w:before="46" w:line="17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196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2023-03-09T11:43:55Z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2025-10-28T22:21:38</vt:filetime>
  </property>
</Properties>
</file>