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3358"/>
        <w:spacing w:before="117" w:line="219" w:lineRule="auto"/>
        <w:outlineLvl w:val="0"/>
        <w:rPr>
          <w:rFonts w:ascii="NSimSun" w:hAnsi="NSimSun" w:eastAsia="NSimSun" w:cs="NSimSun"/>
          <w:sz w:val="36"/>
          <w:szCs w:val="36"/>
        </w:rPr>
      </w:pPr>
      <w:r>
        <w:rPr>
          <w:rFonts w:ascii="NSimSun" w:hAnsi="NSimSun" w:eastAsia="NSimSun" w:cs="NSimSun"/>
          <w:sz w:val="36"/>
          <w:szCs w:val="36"/>
          <w:color w:val="231F20"/>
          <w:spacing w:val="5"/>
        </w:rPr>
        <w:t>冠状动脉微血管病诊断标准</w:t>
      </w:r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headerReference w:type="default" r:id="rId1"/>
          <w:footerReference w:type="default" r:id="rId2"/>
          <w:pgSz w:w="11906" w:h="16158"/>
          <w:pgMar w:top="1416" w:right="984" w:bottom="866" w:left="407" w:header="421" w:footer="635" w:gutter="0"/>
          <w:cols w:equalWidth="0" w:num="1">
            <w:col w:w="10513" w:space="0"/>
          </w:cols>
        </w:sectPr>
        <w:rPr/>
      </w:pPr>
    </w:p>
    <w:p>
      <w:pPr>
        <w:pStyle w:val="BodyText"/>
        <w:ind w:left="641" w:right="327" w:firstLine="403"/>
        <w:spacing w:before="34" w:line="218" w:lineRule="auto"/>
        <w:jc w:val="both"/>
        <w:rPr/>
      </w:pPr>
      <w:r>
        <w:rPr>
          <w:color w:val="231F20"/>
          <w:spacing w:val="3"/>
        </w:rPr>
        <w:t>冠状动脉微血管病（</w:t>
      </w:r>
      <w:r>
        <w:rPr>
          <w:color w:val="231F20"/>
        </w:rPr>
        <w:t>CMVD</w:t>
      </w:r>
      <w:r>
        <w:rPr>
          <w:color w:val="231F20"/>
          <w:spacing w:val="3"/>
        </w:rPr>
        <w:t>）一般指冠状动脉微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血管在多种致病因素的作用下，其结构和（或）功能异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3"/>
        </w:rPr>
        <w:t>常所致的劳力性心绞痛或心肌缺血客观证据的临床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综合征。1973 年，Kemp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HG 首次将此病命名为心脏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X 综合征（syndrome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7"/>
        </w:rPr>
        <w:t>X）。1985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年，Cannon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RO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将此病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命名为微血管性心绞痛，2007 年，Camici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PG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将</w:t>
      </w:r>
      <w:r>
        <w:rPr>
          <w:color w:val="231F20"/>
          <w:spacing w:val="-5"/>
        </w:rPr>
        <w:t>此病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命名为微血管功能障碍，但对此病一直没</w:t>
      </w:r>
      <w:r>
        <w:rPr>
          <w:color w:val="231F20"/>
          <w:spacing w:val="3"/>
        </w:rPr>
        <w:t>有形成指南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或共识意见。2013 年，欧洲心脏病学会《稳定性冠状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动脉疾病治疗指南》正式将此病列入冠心病的临床类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型，并提出了初步的诊断和治疗建议。2017 年，我国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发布《冠状动脉微血管疾病诊断和治疗的中国专</w:t>
      </w:r>
      <w:r>
        <w:rPr>
          <w:color w:val="231F20"/>
          <w:spacing w:val="3"/>
        </w:rPr>
        <w:t>家共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识》，并建议将此病命名为冠状动脉微血管疾病，目前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ICD-10 编码中以“冠状动脉微血管病”命名。</w:t>
      </w:r>
    </w:p>
    <w:p>
      <w:pPr>
        <w:pStyle w:val="BodyText"/>
        <w:ind w:left="2364"/>
        <w:spacing w:before="140" w:line="202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西医诊断标准</w:t>
      </w:r>
    </w:p>
    <w:p>
      <w:pPr>
        <w:pStyle w:val="BodyText"/>
        <w:ind w:left="662"/>
        <w:spacing w:before="149" w:line="211" w:lineRule="auto"/>
        <w:rPr/>
      </w:pPr>
      <w:r>
        <w:rPr>
          <w:color w:val="231F20"/>
          <w:spacing w:val="-2"/>
        </w:rPr>
        <w:t>1   无心肌病或阻塞性冠状动脉疾病的原发性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CMVD</w:t>
      </w:r>
    </w:p>
    <w:p>
      <w:pPr>
        <w:ind w:left="667" w:right="329" w:hanging="5"/>
        <w:spacing w:before="17" w:line="261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1   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参考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2017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年《冠状动脉微血管疾病诊断和治疗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的中国专家共识》</w:t>
      </w:r>
    </w:p>
    <w:p>
      <w:pPr>
        <w:pStyle w:val="BodyText"/>
        <w:ind w:left="641" w:right="212" w:firstLine="402"/>
        <w:spacing w:before="53" w:line="216" w:lineRule="auto"/>
        <w:jc w:val="both"/>
        <w:rPr/>
      </w:pPr>
      <w:r>
        <w:rPr>
          <w:color w:val="231F20"/>
          <w:spacing w:val="14"/>
        </w:rPr>
        <w:t>原发性稳定型微血管心绞痛的诊断须结合五方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5"/>
        </w:rPr>
        <w:t>面的证据，包括：①典型劳力性心绞痛症状，但硝酸甘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3"/>
        </w:rPr>
        <w:t>油疗效不佳；②静息或负荷状态下心肌缺血的客观证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1"/>
        </w:rPr>
        <w:t>据（ST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段压低、心肌灌注缺损或心肌代谢产物增多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1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但无节段性室壁运动异常；③无创或创伤性影像技术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2"/>
        </w:rPr>
        <w:t>测量的 CFR&lt;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2.0；④冠状动脉造影或冠状动脉计算机</w:t>
      </w:r>
      <w:r>
        <w:rPr>
          <w:color w:val="231F20"/>
        </w:rPr>
        <w:t xml:space="preserve">   </w:t>
      </w:r>
      <w:r>
        <w:rPr>
          <w:color w:val="231F20"/>
          <w:spacing w:val="-4"/>
        </w:rPr>
        <w:t>断层摄影检查无明显心外膜下冠状动脉狭窄（&lt;20%</w:t>
      </w:r>
      <w:r>
        <w:rPr>
          <w:color w:val="231F20"/>
          <w:spacing w:val="-30"/>
        </w:rPr>
        <w:t>）；</w:t>
      </w:r>
    </w:p>
    <w:p>
      <w:pPr>
        <w:pStyle w:val="BodyText"/>
        <w:ind w:left="643"/>
        <w:spacing w:before="1" w:line="180" w:lineRule="auto"/>
        <w:rPr/>
      </w:pPr>
      <w:r>
        <w:rPr>
          <w:color w:val="231F20"/>
          <w:spacing w:val="3"/>
        </w:rPr>
        <w:t>⑤排除非心原性胸痛和其他心脏疾病。</w:t>
      </w:r>
    </w:p>
    <w:p>
      <w:pPr>
        <w:pStyle w:val="BodyText"/>
        <w:ind w:left="643" w:right="212" w:firstLine="400"/>
        <w:spacing w:before="63" w:line="217" w:lineRule="auto"/>
        <w:jc w:val="both"/>
        <w:rPr/>
      </w:pPr>
      <w:r>
        <w:rPr>
          <w:color w:val="231F20"/>
          <w:spacing w:val="14"/>
        </w:rPr>
        <w:t>原发性不稳定性微血管心绞痛的诊断须结合五</w:t>
      </w:r>
      <w:r>
        <w:rPr>
          <w:color w:val="231F20"/>
          <w:spacing w:val="2"/>
        </w:rPr>
        <w:t xml:space="preserve">   </w:t>
      </w:r>
      <w:r>
        <w:rPr>
          <w:color w:val="231F20"/>
        </w:rPr>
        <w:t>方面的证据，包括：①有典型不稳定性心绞痛或</w:t>
      </w:r>
      <w:r>
        <w:rPr>
          <w:color w:val="231F20"/>
          <w:spacing w:val="-1"/>
        </w:rPr>
        <w:t>非 ST</w:t>
      </w:r>
      <w:r>
        <w:rPr>
          <w:color w:val="231F20"/>
        </w:rPr>
        <w:t xml:space="preserve">   </w:t>
      </w:r>
      <w:r>
        <w:rPr>
          <w:color w:val="231F20"/>
          <w:spacing w:val="9"/>
        </w:rPr>
        <w:t>段抬高型急性心肌梗死症状，但硝酸甘油疗效</w:t>
      </w:r>
      <w:r>
        <w:rPr>
          <w:color w:val="231F20"/>
          <w:spacing w:val="8"/>
        </w:rPr>
        <w:t>不佳；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②心电图缺血型 </w:t>
      </w:r>
      <w:r>
        <w:rPr>
          <w:color w:val="231F20"/>
        </w:rPr>
        <w:t>ST</w:t>
      </w:r>
      <w:r>
        <w:rPr>
          <w:color w:val="231F20"/>
          <w:spacing w:val="5"/>
        </w:rPr>
        <w:t>-T 改变并呈动态演变，血清肌钙   </w:t>
      </w:r>
      <w:r>
        <w:rPr>
          <w:color w:val="231F20"/>
          <w:spacing w:val="3"/>
        </w:rPr>
        <w:t>蛋白水平可有轻度升高；③冠状动脉造影检查无明显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12"/>
        </w:rPr>
        <w:t>心外膜下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2"/>
        </w:rPr>
        <w:t>冠状动脉狭窄；④冠状动脉内注射腺苷或</w:t>
      </w:r>
      <w:r>
        <w:rPr>
          <w:color w:val="231F20"/>
        </w:rPr>
        <w:t xml:space="preserve">   </w:t>
      </w:r>
      <w:r>
        <w:rPr>
          <w:color w:val="231F20"/>
        </w:rPr>
        <w:t>静脉注射双嘧达莫测量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CFR&lt;2.0；⑤排除冠状动脉痉   </w:t>
      </w:r>
      <w:r>
        <w:rPr>
          <w:color w:val="231F20"/>
          <w:spacing w:val="-4"/>
        </w:rPr>
        <w:t>挛、一过性血栓形成和急性心肌炎。</w:t>
      </w:r>
    </w:p>
    <w:p>
      <w:pPr>
        <w:pStyle w:val="BodyText"/>
        <w:ind w:left="645" w:right="265" w:firstLine="396"/>
        <w:spacing w:before="3" w:line="186" w:lineRule="auto"/>
        <w:rPr/>
      </w:pPr>
      <w:r>
        <w:rPr>
          <w:color w:val="231F20"/>
          <w:spacing w:val="7"/>
        </w:rPr>
        <w:t>无论为原发性稳定型或不稳定性微血管心绞痛，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如其他条件均具备但影像技术测量的 </w:t>
      </w:r>
      <w:r>
        <w:rPr>
          <w:color w:val="231F20"/>
        </w:rPr>
        <w:t>CFR</w:t>
      </w:r>
      <w:r>
        <w:rPr>
          <w:color w:val="231F20"/>
          <w:spacing w:val="60"/>
        </w:rPr>
        <w:t xml:space="preserve"> </w:t>
      </w:r>
      <w:r>
        <w:rPr>
          <w:color w:val="231F20"/>
          <w:spacing w:val="1"/>
        </w:rPr>
        <w:t>≥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2.0，可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5" w:hanging="1"/>
        <w:spacing w:before="37" w:line="216" w:lineRule="auto"/>
        <w:jc w:val="both"/>
        <w:rPr/>
      </w:pPr>
      <w:r>
        <w:rPr>
          <w:color w:val="231F20"/>
          <w:spacing w:val="3"/>
        </w:rPr>
        <w:t>行冠状动脉内注射乙酰胆碱的激发试验，如心外膜下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3"/>
        </w:rPr>
        <w:t>冠状动脉无痉挛但出现心绞痛症状和心电图缺</w:t>
      </w:r>
      <w:r>
        <w:rPr>
          <w:color w:val="231F20"/>
          <w:spacing w:val="12"/>
        </w:rPr>
        <w:t>血型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ST-T 改变，可确诊原发性不稳定型微血管心绞痛。</w:t>
      </w:r>
    </w:p>
    <w:p>
      <w:pPr>
        <w:ind w:left="10" w:right="64" w:firstLine="9"/>
        <w:spacing w:line="261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1.2   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参考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>2020 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年《中国多学科微血管疾病诊断与治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疗专家共识》</w:t>
      </w:r>
    </w:p>
    <w:p>
      <w:pPr>
        <w:pStyle w:val="BodyText"/>
        <w:ind w:firstLine="400"/>
        <w:spacing w:before="58" w:line="214" w:lineRule="auto"/>
        <w:rPr/>
      </w:pPr>
      <w:r>
        <w:rPr>
          <w:color w:val="231F20"/>
          <w:spacing w:val="3"/>
        </w:rPr>
        <w:t>①临床心肌缺血的症状，如：劳力性 / 静息型心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绞痛，或心绞痛等危症等。②经冠状动脉 </w:t>
      </w:r>
      <w:r>
        <w:rPr>
          <w:color w:val="231F20"/>
        </w:rPr>
        <w:t>CT</w:t>
      </w:r>
      <w:r>
        <w:rPr>
          <w:color w:val="231F20"/>
          <w:spacing w:val="5"/>
        </w:rPr>
        <w:t xml:space="preserve"> 血管造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影（</w:t>
      </w:r>
      <w:r>
        <w:rPr>
          <w:color w:val="231F20"/>
        </w:rPr>
        <w:t>CTA</w:t>
      </w:r>
      <w:r>
        <w:rPr>
          <w:color w:val="231F20"/>
          <w:spacing w:val="4"/>
        </w:rPr>
        <w:t>）或有创性的冠状动脉造影检查除外阻塞性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冠状动脉疾病存在，即：心外膜冠状动脉直径狭窄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&lt;</w:t>
      </w:r>
      <w:r>
        <w:rPr>
          <w:color w:val="231F20"/>
        </w:rPr>
        <w:t xml:space="preserve">  </w:t>
      </w:r>
      <w:r>
        <w:rPr>
          <w:color w:val="231F20"/>
        </w:rPr>
        <w:t>50%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或冠状动脉血流储备分数（FFR）≥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0.80。③客  </w:t>
      </w:r>
      <w:r>
        <w:rPr>
          <w:color w:val="231F20"/>
          <w:spacing w:val="3"/>
        </w:rPr>
        <w:t>观的心肌缺血证据，如：胸痛发作时出现特征性的缺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血性的心电图改变；运动负荷试验诱发胸痛和（或）缺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血性的心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电图改变时伴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随有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一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过性，或可逆性的心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肌灌注异常和（或）室壁运动异常等。④明确的冠状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动脉微循环功能受损证据，包括：冠状动脉血流储备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受损，CFR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&lt;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2.5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或 &lt;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2.0；除外冠状动脉微血管</w:t>
      </w:r>
      <w:r>
        <w:rPr>
          <w:color w:val="231F20"/>
          <w:spacing w:val="-10"/>
        </w:rPr>
        <w:t>痉挛，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即：反复的心绞痛发作以及心电图改变的同时乙酰胆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碱激发试验证实心外膜冠状动脉无痉挛发生；</w:t>
      </w:r>
      <w:r>
        <w:rPr>
          <w:color w:val="231F20"/>
        </w:rPr>
        <w:t>IMR</w:t>
      </w:r>
      <w:r>
        <w:rPr>
          <w:color w:val="231F20"/>
          <w:spacing w:val="2"/>
        </w:rPr>
        <w:t xml:space="preserve"> 异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常，通常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&gt;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25；以及存在冠状动脉慢血流现象，TIMI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血流计帧法（TFC）&gt; 25 等。</w:t>
      </w:r>
    </w:p>
    <w:p>
      <w:pPr>
        <w:pStyle w:val="BodyText"/>
        <w:ind w:left="1"/>
        <w:spacing w:before="48" w:line="211" w:lineRule="auto"/>
        <w:rPr/>
      </w:pPr>
      <w:r>
        <w:rPr>
          <w:color w:val="231F20"/>
          <w:spacing w:val="-4"/>
        </w:rPr>
        <w:t>2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4"/>
        </w:rPr>
        <w:t>合并阻塞性冠状动脉疾病的 CMVD</w:t>
      </w:r>
    </w:p>
    <w:p>
      <w:pPr>
        <w:pStyle w:val="BodyText"/>
        <w:ind w:right="1" w:firstLine="414"/>
        <w:spacing w:before="19" w:line="213" w:lineRule="auto"/>
        <w:jc w:val="both"/>
        <w:rPr/>
      </w:pPr>
      <w:r>
        <w:rPr>
          <w:color w:val="231F20"/>
          <w:spacing w:val="4"/>
        </w:rPr>
        <w:t>当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CMVD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和心外膜下阻塞性冠状动脉病变共同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导致稳定型心绞痛或急性冠脉综合征时，心绞痛发作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时间较长，诱发心绞痛的体力活动阈值变异较大，含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服硝酸甘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油效果不佳；心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9"/>
        </w:rPr>
        <w:t>绞痛发作程度重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于冠状动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脉狭窄程度所预期的症状。在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PCI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9"/>
        </w:rPr>
        <w:t>治疗解除心外膜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冠状动脉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狭窄病变后，如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9"/>
        </w:rPr>
        <w:t>注射腺苷或双嘧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9"/>
        </w:rPr>
        <w:t>达莫后测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量的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CFR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&lt;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2.0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或冠状动脉内注射乙酰胆碱后心外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膜下冠状动脉无痉挛但出现典型心绞痛和心电</w:t>
      </w:r>
      <w:r>
        <w:rPr>
          <w:color w:val="231F20"/>
          <w:spacing w:val="12"/>
        </w:rPr>
        <w:t>图缺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血型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ST</w:t>
      </w:r>
      <w:r>
        <w:rPr>
          <w:color w:val="231F20"/>
          <w:spacing w:val="3"/>
        </w:rPr>
        <w:t>-T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改变，可诊断合并阻塞性冠状动脉病变的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CMVD。此外，在 ACS 患者中，可</w:t>
      </w:r>
      <w:r>
        <w:rPr>
          <w:color w:val="231F20"/>
          <w:spacing w:val="-9"/>
        </w:rPr>
        <w:t>能发生急性 CMVD，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即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冠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2"/>
        </w:rPr>
        <w:t>微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管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阻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(Coronary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microvascula</w:t>
      </w:r>
      <w:r>
        <w:rPr>
          <w:color w:val="231F20"/>
          <w:spacing w:val="-13"/>
        </w:rPr>
        <w:t>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3"/>
        </w:rPr>
        <w:t>ob-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struction,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CMVO)，即尽管心外膜血管开放，但在先前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缺血区域的冠状动脉微循环无法再灌注。广泛和严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重的微血管病变与心肌内出血有关，心肌内出血，进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而激活血小板，导致微栓塞或释放缩血管、促炎和促</w:t>
      </w:r>
    </w:p>
    <w:p>
      <w:pPr>
        <w:spacing w:line="213" w:lineRule="auto"/>
        <w:sectPr>
          <w:type w:val="continuous"/>
          <w:pgSz w:w="11906" w:h="16158"/>
          <w:pgMar w:top="1416" w:right="984" w:bottom="866" w:left="407" w:header="421" w:footer="635" w:gutter="0"/>
          <w:cols w:equalWidth="0" w:num="2">
            <w:col w:w="5661" w:space="100"/>
            <w:col w:w="4753" w:space="0"/>
          </w:cols>
        </w:sectPr>
        <w:rPr/>
      </w:pPr>
    </w:p>
    <w:p>
      <w:pPr>
        <w:spacing w:before="147"/>
        <w:rPr/>
      </w:pPr>
      <w:r/>
    </w:p>
    <w:p>
      <w:pPr>
        <w:sectPr>
          <w:headerReference w:type="default" r:id="rId3"/>
          <w:footerReference w:type="default" r:id="rId4"/>
          <w:pgSz w:w="11906" w:h="16158"/>
          <w:pgMar w:top="1416" w:right="939" w:bottom="865" w:left="407" w:header="421" w:footer="636" w:gutter="0"/>
          <w:cols w:equalWidth="0" w:num="1">
            <w:col w:w="10558" w:space="0"/>
          </w:cols>
        </w:sectPr>
        <w:rPr/>
      </w:pPr>
    </w:p>
    <w:p>
      <w:pPr>
        <w:pStyle w:val="BodyText"/>
        <w:ind w:left="647"/>
        <w:spacing w:before="39" w:line="181" w:lineRule="auto"/>
        <w:rPr/>
      </w:pPr>
      <w:r>
        <w:rPr>
          <w:color w:val="231F20"/>
          <w:spacing w:val="-5"/>
        </w:rPr>
        <w:t>黏附因子，使微血管阻力升高。</w:t>
      </w:r>
    </w:p>
    <w:p>
      <w:pPr>
        <w:pStyle w:val="BodyText"/>
        <w:ind w:left="649"/>
        <w:spacing w:before="40" w:line="211" w:lineRule="auto"/>
        <w:rPr/>
      </w:pPr>
      <w:r>
        <w:rPr>
          <w:color w:val="231F20"/>
          <w:spacing w:val="-7"/>
        </w:rPr>
        <w:t>3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7"/>
        </w:rPr>
        <w:t>合并心肌病的 CMVD</w:t>
      </w:r>
    </w:p>
    <w:p>
      <w:pPr>
        <w:pStyle w:val="BodyText"/>
        <w:ind w:left="642" w:right="262" w:firstLine="407"/>
        <w:spacing w:before="15" w:line="216" w:lineRule="auto"/>
        <w:jc w:val="both"/>
        <w:rPr/>
      </w:pPr>
      <w:r>
        <w:rPr>
          <w:color w:val="231F20"/>
          <w:spacing w:val="-5"/>
        </w:rPr>
        <w:t>近年研究表明，在应激性心肌病 (Takots</w:t>
      </w:r>
      <w:r>
        <w:rPr>
          <w:color w:val="231F20"/>
          <w:spacing w:val="-6"/>
        </w:rPr>
        <w:t>ubo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心肌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病 )、肥厚型心肌病、扩张型心肌病、心肌炎</w:t>
      </w:r>
      <w:r>
        <w:rPr>
          <w:color w:val="231F20"/>
          <w:spacing w:val="-10"/>
        </w:rPr>
        <w:t>、主动脉瓣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狭窄、Anderson-Fabry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9"/>
        </w:rPr>
        <w:t>病、心肌淀粉样变性的患者中，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存在着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CMVD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的临床表现和实验室证据，提示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CMVD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可能参与了这些疾病的发病机制，但 CMVD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与这些心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肌和瓣膜疾病的预后关系尚不明了，目前亦缺乏针对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这些 CMVD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的特异性的治疗方法。</w:t>
      </w:r>
    </w:p>
    <w:p>
      <w:pPr>
        <w:pStyle w:val="BodyText"/>
        <w:ind w:left="643"/>
        <w:spacing w:line="211" w:lineRule="auto"/>
        <w:rPr/>
      </w:pPr>
      <w:r>
        <w:rPr>
          <w:color w:val="231F20"/>
          <w:spacing w:val="-9"/>
        </w:rPr>
        <w:t>4    医源性 CMVD</w:t>
      </w:r>
    </w:p>
    <w:p>
      <w:pPr>
        <w:pStyle w:val="BodyText"/>
        <w:ind w:left="642" w:right="327" w:firstLine="402"/>
        <w:spacing w:before="16" w:line="217" w:lineRule="auto"/>
        <w:jc w:val="both"/>
        <w:rPr/>
      </w:pPr>
      <w:r>
        <w:rPr>
          <w:color w:val="231F20"/>
          <w:spacing w:val="4"/>
        </w:rPr>
        <w:t>通常发生在经皮冠状动脉介入治疗、冠状动脉旁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路移植术、心脏移植术手术前、术中及术后 (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围手术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期 )，或伴有 </w:t>
      </w:r>
      <w:r>
        <w:rPr>
          <w:color w:val="231F20"/>
        </w:rPr>
        <w:t>PCI</w:t>
      </w:r>
      <w:r>
        <w:rPr>
          <w:color w:val="231F20"/>
          <w:spacing w:val="4"/>
        </w:rPr>
        <w:t xml:space="preserve"> 术后肌钙蛋白阳性。接受 </w:t>
      </w:r>
      <w:r>
        <w:rPr>
          <w:color w:val="231F20"/>
        </w:rPr>
        <w:t>PCI</w:t>
      </w:r>
      <w:r>
        <w:rPr>
          <w:color w:val="231F20"/>
          <w:spacing w:val="4"/>
        </w:rPr>
        <w:t xml:space="preserve"> 手术</w:t>
      </w:r>
      <w:r>
        <w:rPr>
          <w:color w:val="231F20"/>
        </w:rPr>
        <w:t xml:space="preserve"> </w:t>
      </w:r>
      <w:r>
        <w:rPr>
          <w:color w:val="231F20"/>
        </w:rPr>
        <w:t>的患者中，CMVD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的机制是支架植入过程中</w:t>
      </w:r>
      <w:r>
        <w:rPr>
          <w:color w:val="231F20"/>
          <w:spacing w:val="-1"/>
        </w:rPr>
        <w:t>脱落的内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皮碎片、破碎的附壁血栓，以及斑块溢出的脂质等造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成的远端栓塞或功能改变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，如 PCI 术后心外膜下冠状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动脉再通但心肌再灌注未恢复即无复流 (</w:t>
      </w:r>
      <w:r>
        <w:rPr>
          <w:color w:val="231F20"/>
        </w:rPr>
        <w:t>no</w:t>
      </w:r>
      <w:r>
        <w:rPr>
          <w:color w:val="231F20"/>
          <w:spacing w:val="4"/>
        </w:rPr>
        <w:t>-</w:t>
      </w:r>
      <w:r>
        <w:rPr>
          <w:color w:val="231F20"/>
        </w:rPr>
        <w:t>flow</w:t>
      </w:r>
      <w:r>
        <w:rPr>
          <w:color w:val="231F20"/>
          <w:spacing w:val="4"/>
        </w:rPr>
        <w:t>) 或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CMVO。在接受直接或择期 PCI 后的患者，如 TIMI 血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  <w:w w:val="98"/>
        </w:rPr>
        <w:t>流分级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8"/>
          <w:w w:val="98"/>
        </w:rPr>
        <w:t>&lt;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8"/>
          <w:w w:val="98"/>
        </w:rPr>
        <w:t>3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8"/>
          <w:w w:val="98"/>
        </w:rPr>
        <w:t>级和（或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8"/>
          <w:w w:val="98"/>
        </w:rPr>
        <w:t>）TMPG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8"/>
          <w:w w:val="98"/>
        </w:rPr>
        <w:t>&lt;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8"/>
          <w:w w:val="98"/>
        </w:rPr>
        <w:t>3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8"/>
          <w:w w:val="98"/>
        </w:rPr>
        <w:t>级，应考虑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8"/>
          <w:w w:val="98"/>
        </w:rPr>
        <w:t>CMVO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8"/>
          <w:w w:val="98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可能性。</w:t>
      </w:r>
      <w:r>
        <w:rPr>
          <w:color w:val="231F20"/>
        </w:rPr>
        <w:t>PCI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后出院前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SPECT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显像显示心肌局部无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灌注区或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显像显示心肌灌注缺损或钆延迟显像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增强，可诊断为 CMVO。</w:t>
      </w:r>
    </w:p>
    <w:p>
      <w:pPr>
        <w:pStyle w:val="BodyText"/>
        <w:ind w:left="643" w:right="263" w:firstLine="400"/>
        <w:spacing w:before="1" w:line="219" w:lineRule="auto"/>
        <w:jc w:val="both"/>
        <w:rPr/>
      </w:pPr>
      <w:r>
        <w:rPr>
          <w:color w:val="231F20"/>
          <w:spacing w:val="-9"/>
        </w:rPr>
        <w:t>对于原发性 CMVD、继发性 CMVD 及 CMVD 伴发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疾病，目前公认的参考指标包括 CFR、IMR、TIMI 血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流分级或 TIMI 血流计帧法等，通常，IMR&gt;20 或 25，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CFR&lt;2.0 或 2.5，TIMI  血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=2 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或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TIMI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数 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27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帧被定义为存在冠状动脉微循环功能异常。</w:t>
      </w:r>
    </w:p>
    <w:p>
      <w:pPr>
        <w:pStyle w:val="BodyText"/>
        <w:ind w:left="2588"/>
        <w:spacing w:before="142" w:line="202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5"/>
        </w:rPr>
        <w:t>中医诊断</w:t>
      </w:r>
    </w:p>
    <w:p>
      <w:pPr>
        <w:pStyle w:val="BodyText"/>
        <w:ind w:left="662"/>
        <w:spacing w:before="148" w:line="211" w:lineRule="auto"/>
        <w:rPr/>
      </w:pPr>
      <w:r>
        <w:rPr>
          <w:color w:val="231F20"/>
          <w:spacing w:val="-9"/>
        </w:rPr>
        <w:t>1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9"/>
        </w:rPr>
        <w:t>疾病诊断</w:t>
      </w:r>
    </w:p>
    <w:p>
      <w:pPr>
        <w:pStyle w:val="BodyText"/>
        <w:ind w:left="644" w:right="262" w:firstLine="420"/>
        <w:spacing w:before="24" w:line="196" w:lineRule="auto"/>
        <w:jc w:val="both"/>
        <w:rPr/>
      </w:pPr>
      <w:r>
        <w:rPr>
          <w:color w:val="231F20"/>
          <w:spacing w:val="3"/>
        </w:rPr>
        <w:t>中医古籍尚无冠状动脉微血管病病名记载，根据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其常见临床表现，可将其归属于“胸痹心痛病”的范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畴。临床以胸闷、气短及发作性心胸疼痛为证候特征，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通常，此类胸痛持续时间更长，应用缓解心绞痛的药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39" w:line="179" w:lineRule="auto"/>
        <w:rPr/>
      </w:pPr>
      <w:r>
        <w:rPr>
          <w:color w:val="231F20"/>
          <w:spacing w:val="-1"/>
        </w:rPr>
        <w:t>物效果不佳。</w:t>
      </w:r>
    </w:p>
    <w:p>
      <w:pPr>
        <w:pStyle w:val="BodyText"/>
        <w:ind w:left="3"/>
        <w:spacing w:before="41" w:line="211" w:lineRule="auto"/>
        <w:rPr/>
      </w:pPr>
      <w:r>
        <w:rPr>
          <w:color w:val="231F20"/>
          <w:spacing w:val="-6"/>
        </w:rPr>
        <w:t>2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6"/>
        </w:rPr>
        <w:t>证候诊断</w:t>
      </w:r>
    </w:p>
    <w:p>
      <w:pPr>
        <w:pStyle w:val="BodyText"/>
        <w:ind w:right="107" w:firstLine="3"/>
        <w:spacing w:before="15" w:line="214" w:lineRule="auto"/>
        <w:rPr/>
      </w:pPr>
      <w:r>
        <w:rPr>
          <w:color w:val="231F20"/>
          <w:spacing w:val="-1"/>
        </w:rPr>
        <w:t>2.1    </w:t>
      </w:r>
      <w:r>
        <w:rPr>
          <w:rFonts w:ascii="FangSong" w:hAnsi="FangSong" w:eastAsia="FangSong" w:cs="FangSong"/>
          <w:color w:val="231F20"/>
          <w:spacing w:val="-1"/>
        </w:rPr>
        <w:t>心血瘀阻证</w:t>
      </w:r>
      <w:r>
        <w:rPr>
          <w:rFonts w:ascii="FangSong" w:hAnsi="FangSong" w:eastAsia="FangSong" w:cs="FangSong"/>
          <w:color w:val="231F20"/>
          <w:spacing w:val="-1"/>
        </w:rPr>
        <w:t xml:space="preserve">  </w:t>
      </w:r>
      <w:r>
        <w:rPr>
          <w:color w:val="231F20"/>
          <w:spacing w:val="-1"/>
        </w:rPr>
        <w:t>胸痛，如割如绞，</w:t>
      </w:r>
      <w:r>
        <w:rPr>
          <w:color w:val="231F20"/>
          <w:spacing w:val="-2"/>
        </w:rPr>
        <w:t>或胸憋或胸部窒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闷感，伴心悸怔忡，舌质紫暗，或有瘀点瘀斑，舌苔薄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白，脉细涩或结或代。临床以胸痛、胸憋或</w:t>
      </w:r>
      <w:r>
        <w:rPr>
          <w:color w:val="231F20"/>
          <w:spacing w:val="3"/>
        </w:rPr>
        <w:t>胸部窒闷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感，舌质紫暗，或有瘀点瘀斑为辨证要点。</w:t>
      </w:r>
    </w:p>
    <w:p>
      <w:pPr>
        <w:pStyle w:val="BodyText"/>
        <w:ind w:left="2" w:right="45"/>
        <w:spacing w:before="20" w:line="214" w:lineRule="auto"/>
        <w:rPr/>
      </w:pPr>
      <w:r>
        <w:rPr>
          <w:color w:val="231F20"/>
          <w:spacing w:val="1"/>
        </w:rPr>
        <w:t>2.2    </w:t>
      </w:r>
      <w:r>
        <w:rPr>
          <w:rFonts w:ascii="FangSong" w:hAnsi="FangSong" w:eastAsia="FangSong" w:cs="FangSong"/>
          <w:color w:val="231F20"/>
          <w:spacing w:val="1"/>
        </w:rPr>
        <w:t>气滞心胸证</w:t>
      </w:r>
      <w:r>
        <w:rPr>
          <w:rFonts w:ascii="FangSong" w:hAnsi="FangSong" w:eastAsia="FangSong" w:cs="FangSong"/>
          <w:color w:val="231F20"/>
          <w:spacing w:val="1"/>
        </w:rPr>
        <w:t xml:space="preserve">  </w:t>
      </w:r>
      <w:r>
        <w:rPr>
          <w:color w:val="231F20"/>
          <w:spacing w:val="1"/>
        </w:rPr>
        <w:t>心胸满闷不适，胀痛或攻窜作痛，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痛无定处，情志不舒，常喜叹息，常随情绪变化而减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轻或加重，或伴脘腹胀闷，得嗳气或矢气则舒，舌质淡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暗，舌苔薄白，脉弦。临床以心胸满闷不适，胀痛或攻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窜作痛，情志不舒为辨证要点。</w:t>
      </w:r>
    </w:p>
    <w:p>
      <w:pPr>
        <w:pStyle w:val="BodyText"/>
        <w:ind w:right="108" w:firstLine="3"/>
        <w:spacing w:before="16" w:line="215" w:lineRule="auto"/>
        <w:rPr/>
      </w:pPr>
      <w:r>
        <w:rPr>
          <w:color w:val="231F20"/>
          <w:spacing w:val="-1"/>
        </w:rPr>
        <w:t>2.3</w:t>
      </w:r>
      <w:r>
        <w:rPr>
          <w:color w:val="231F20"/>
          <w:spacing w:val="17"/>
        </w:rPr>
        <w:t xml:space="preserve">   </w:t>
      </w:r>
      <w:r>
        <w:rPr>
          <w:rFonts w:ascii="FangSong" w:hAnsi="FangSong" w:eastAsia="FangSong" w:cs="FangSong"/>
          <w:color w:val="231F20"/>
          <w:spacing w:val="-1"/>
        </w:rPr>
        <w:t>痰浊闭阻证</w:t>
      </w:r>
      <w:r>
        <w:rPr>
          <w:rFonts w:ascii="FangSong" w:hAnsi="FangSong" w:eastAsia="FangSong" w:cs="FangSong"/>
          <w:color w:val="231F20"/>
          <w:spacing w:val="-1"/>
        </w:rPr>
        <w:t xml:space="preserve">  </w:t>
      </w:r>
      <w:r>
        <w:rPr>
          <w:color w:val="231F20"/>
          <w:spacing w:val="-1"/>
        </w:rPr>
        <w:t>心胸憋闷，偶或胸痛，遇</w:t>
      </w:r>
      <w:r>
        <w:rPr>
          <w:color w:val="231F20"/>
          <w:spacing w:val="-2"/>
        </w:rPr>
        <w:t>阴冷潮湿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辄加重或诱发，体胖多痰，身体困重，或伴倦怠，纳呆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便溏，舌质胖大，边有齿痕，舌苔浊腻或滑，脉滑或沉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弦。临床以心胸憋闷，体胖多痰，舌苔厚腻</w:t>
      </w:r>
      <w:r>
        <w:rPr>
          <w:color w:val="231F20"/>
          <w:spacing w:val="3"/>
        </w:rPr>
        <w:t>为辨证要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点。</w:t>
      </w:r>
    </w:p>
    <w:p>
      <w:pPr>
        <w:pStyle w:val="BodyText"/>
        <w:ind w:left="2" w:right="108"/>
        <w:spacing w:before="10" w:line="215" w:lineRule="auto"/>
        <w:rPr/>
      </w:pPr>
      <w:r>
        <w:rPr>
          <w:color w:val="231F20"/>
          <w:spacing w:val="-1"/>
        </w:rPr>
        <w:t>2.4</w:t>
      </w:r>
      <w:r>
        <w:rPr>
          <w:color w:val="231F20"/>
          <w:spacing w:val="17"/>
        </w:rPr>
        <w:t xml:space="preserve">   </w:t>
      </w:r>
      <w:r>
        <w:rPr>
          <w:rFonts w:ascii="FangSong" w:hAnsi="FangSong" w:eastAsia="FangSong" w:cs="FangSong"/>
          <w:color w:val="231F20"/>
          <w:spacing w:val="-1"/>
        </w:rPr>
        <w:t>寒凝心脉证</w:t>
      </w:r>
      <w:r>
        <w:rPr>
          <w:rFonts w:ascii="FangSong" w:hAnsi="FangSong" w:eastAsia="FangSong" w:cs="FangSong"/>
          <w:color w:val="231F20"/>
          <w:spacing w:val="-1"/>
        </w:rPr>
        <w:t xml:space="preserve">  </w:t>
      </w:r>
      <w:r>
        <w:rPr>
          <w:color w:val="231F20"/>
          <w:spacing w:val="-1"/>
        </w:rPr>
        <w:t>胸痛、胸憋或胸部窒闷感，</w:t>
      </w:r>
      <w:r>
        <w:rPr>
          <w:color w:val="231F20"/>
          <w:spacing w:val="-2"/>
        </w:rPr>
        <w:t>遇寒加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重，唇甲青紫，冷汗淋漓，手足厥逆，伴心悸气促，形寒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肢冷，舌质暗或青紫，舌苔薄白，脉沉紧或结或代。临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床以胸痛、胸憋或胸部窒闷感，遇寒加重，形寒肢冷为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辨证要点。</w:t>
      </w:r>
    </w:p>
    <w:p>
      <w:pPr>
        <w:pStyle w:val="BodyText"/>
        <w:ind w:left="1" w:right="108"/>
        <w:spacing w:before="16" w:line="214" w:lineRule="auto"/>
        <w:rPr/>
      </w:pPr>
      <w:r>
        <w:rPr>
          <w:color w:val="231F20"/>
          <w:spacing w:val="-1"/>
        </w:rPr>
        <w:t>2.5    </w:t>
      </w:r>
      <w:r>
        <w:rPr>
          <w:rFonts w:ascii="FangSong" w:hAnsi="FangSong" w:eastAsia="FangSong" w:cs="FangSong"/>
          <w:color w:val="231F20"/>
          <w:spacing w:val="-1"/>
        </w:rPr>
        <w:t>气虚血瘀证</w:t>
      </w:r>
      <w:r>
        <w:rPr>
          <w:rFonts w:ascii="FangSong" w:hAnsi="FangSong" w:eastAsia="FangSong" w:cs="FangSong"/>
          <w:color w:val="231F20"/>
          <w:spacing w:val="-1"/>
        </w:rPr>
        <w:t xml:space="preserve">  </w:t>
      </w:r>
      <w:r>
        <w:rPr>
          <w:color w:val="231F20"/>
          <w:spacing w:val="-1"/>
        </w:rPr>
        <w:t>胸痛、胸憋或胸部</w:t>
      </w:r>
      <w:r>
        <w:rPr>
          <w:color w:val="231F20"/>
          <w:spacing w:val="-2"/>
        </w:rPr>
        <w:t>窒闷感，劳则加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重，心悸气短，神疲乏力，面色暗淡，舌质淡暗，舌苔薄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白，脉弱细涩。临床以胸痛、胸憋或胸部窒闷感，劳则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加重，舌质淡暗为辨证要点。</w:t>
      </w:r>
    </w:p>
    <w:p>
      <w:pPr>
        <w:pStyle w:val="BodyText"/>
        <w:ind w:right="32" w:firstLine="2"/>
        <w:spacing w:before="16" w:line="214" w:lineRule="auto"/>
        <w:rPr/>
      </w:pPr>
      <w:r>
        <w:rPr>
          <w:color w:val="231F20"/>
          <w:spacing w:val="-8"/>
        </w:rPr>
        <w:t>2.6    </w:t>
      </w:r>
      <w:r>
        <w:rPr>
          <w:rFonts w:ascii="FangSong" w:hAnsi="FangSong" w:eastAsia="FangSong" w:cs="FangSong"/>
          <w:color w:val="231F20"/>
          <w:spacing w:val="-8"/>
        </w:rPr>
        <w:t>气阴两虚证</w:t>
      </w:r>
      <w:r>
        <w:rPr>
          <w:rFonts w:ascii="FangSong" w:hAnsi="FangSong" w:eastAsia="FangSong" w:cs="FangSong"/>
          <w:color w:val="231F20"/>
          <w:spacing w:val="-8"/>
        </w:rPr>
        <w:t xml:space="preserve">  </w:t>
      </w:r>
      <w:r>
        <w:rPr>
          <w:color w:val="231F20"/>
          <w:spacing w:val="-8"/>
        </w:rPr>
        <w:t>心胸疼痛时作，或灼痛，或隐痛，头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晕耳鸣，心悸怔忡，神疲气短，多梦易惊，颧红口干，五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0"/>
        </w:rPr>
        <w:t>心烦热，自汗盗汗，舌质偏红，舌苔或少，脉细弱或数。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临床以心胸疼痛时作，乏力，口干为辨证要</w:t>
      </w:r>
      <w:r>
        <w:rPr>
          <w:color w:val="231F20"/>
          <w:spacing w:val="-7"/>
        </w:rPr>
        <w:t>点。</w:t>
      </w:r>
    </w:p>
    <w:p>
      <w:pPr>
        <w:pStyle w:val="BodyText"/>
        <w:ind w:right="29" w:firstLine="401"/>
        <w:spacing w:before="22" w:line="224" w:lineRule="auto"/>
        <w:jc w:val="both"/>
        <w:rPr/>
      </w:pPr>
      <w:r>
        <w:rPr>
          <w:color w:val="231F20"/>
          <w:spacing w:val="7"/>
        </w:rPr>
        <w:t>冠状动脉微血管病常见临床证型为心血瘀阻证、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气滞心胸证、痰浊闭阻证、寒凝心脉证、气虚血瘀证、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气阴两虚证。</w:t>
      </w:r>
    </w:p>
    <w:p>
      <w:pPr>
        <w:spacing w:before="245" w:line="234" w:lineRule="auto"/>
        <w:jc w:val="righ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1"/>
        </w:rPr>
        <w:t>摘自中华中医药学会《冠状动脉微血管病中医诊疗指南》</w:t>
      </w:r>
    </w:p>
    <w:sectPr>
      <w:type w:val="continuous"/>
      <w:pgSz w:w="11906" w:h="16158"/>
      <w:pgMar w:top="1416" w:right="939" w:bottom="865" w:left="407" w:header="421" w:footer="636" w:gutter="0"/>
      <w:cols w:equalWidth="0" w:num="2">
        <w:col w:w="5660" w:space="100"/>
        <w:col w:w="479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9"/>
      <w:spacing w:line="220" w:lineRule="exact"/>
      <w:rPr/>
    </w:pPr>
    <w:r>
      <w:rPr>
        <w:color w:val="231F20"/>
        <w:spacing w:val="21"/>
        <w:w w:val="109"/>
        <w:position w:val="-4"/>
      </w:rPr>
      <w:t>·</w:t>
    </w:r>
    <w:r>
      <w:rPr>
        <w:rFonts w:ascii="Times New Roman" w:hAnsi="Times New Roman" w:eastAsia="Times New Roman" w:cs="Times New Roman"/>
        <w:color w:val="231F20"/>
        <w:spacing w:val="21"/>
        <w:w w:val="109"/>
        <w:position w:val="-4"/>
      </w:rPr>
      <w:t>1046</w:t>
    </w:r>
    <w:r>
      <w:rPr>
        <w:rFonts w:ascii="Times New Roman" w:hAnsi="Times New Roman" w:eastAsia="Times New Roman" w:cs="Times New Roman"/>
        <w:color w:val="231F20"/>
        <w:spacing w:val="46"/>
        <w:position w:val="-4"/>
      </w:rPr>
      <w:t xml:space="preserve"> </w:t>
    </w:r>
    <w:r>
      <w:rPr>
        <w:color w:val="231F20"/>
        <w:spacing w:val="21"/>
        <w:w w:val="109"/>
        <w:position w:val="-4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712"/>
      <w:spacing w:line="218" w:lineRule="exact"/>
      <w:rPr/>
    </w:pPr>
    <w:r>
      <w:rPr>
        <w:color w:val="231F20"/>
        <w:spacing w:val="21"/>
        <w:w w:val="109"/>
        <w:position w:val="4"/>
      </w:rPr>
      <w:t>·</w:t>
    </w:r>
    <w:r>
      <w:rPr>
        <w:rFonts w:ascii="Times New Roman" w:hAnsi="Times New Roman" w:eastAsia="Times New Roman" w:cs="Times New Roman"/>
        <w:color w:val="231F20"/>
        <w:spacing w:val="21"/>
        <w:w w:val="109"/>
        <w:position w:val="4"/>
      </w:rPr>
      <w:t>1047</w:t>
    </w:r>
    <w:r>
      <w:rPr>
        <w:rFonts w:ascii="Times New Roman" w:hAnsi="Times New Roman" w:eastAsia="Times New Roman" w:cs="Times New Roman"/>
        <w:color w:val="231F20"/>
        <w:spacing w:val="46"/>
        <w:position w:val="4"/>
      </w:rPr>
      <w:t xml:space="preserve"> </w:t>
    </w:r>
    <w:r>
      <w:rPr>
        <w:color w:val="231F20"/>
        <w:spacing w:val="21"/>
        <w:w w:val="109"/>
        <w:position w:val="4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6" w:lineRule="auto"/>
      <w:rPr>
        <w:rFonts w:ascii="Arial"/>
        <w:sz w:val="21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2.4409pt;margin-top:68.1736pt;mso-position-vertical-relative:page;mso-position-horizontal-relative:page;width:490.4pt;height:0.3pt;z-index:251661312;" o:allowincell="f" filled="false" strokecolor="#231F20" strokeweight="0.28pt" coordsize="9807,6" coordorigin="0,0" path="m0,2l9807,2e">
          <v:stroke joinstyle="miter" miterlimit="4"/>
        </v:shape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666000</wp:posOffset>
          </wp:positionH>
          <wp:positionV relativeFrom="page">
            <wp:posOffset>287972</wp:posOffset>
          </wp:positionV>
          <wp:extent cx="543628" cy="543628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43628" cy="543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5350959</wp:posOffset>
          </wp:positionH>
          <wp:positionV relativeFrom="page">
            <wp:posOffset>288711</wp:posOffset>
          </wp:positionV>
          <wp:extent cx="1543039" cy="542897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543039" cy="542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1611"/>
      <w:spacing w:before="69" w:line="176" w:lineRule="auto"/>
      <w:rPr>
        <w:sz w:val="16"/>
        <w:szCs w:val="16"/>
      </w:rPr>
    </w:pPr>
    <w:r>
      <w:rPr>
        <w:sz w:val="16"/>
        <w:szCs w:val="16"/>
        <w:color w:val="231F20"/>
        <w:spacing w:val="-3"/>
      </w:rPr>
      <w:t>May</w:t>
    </w:r>
    <w:r>
      <w:rPr>
        <w:sz w:val="16"/>
        <w:szCs w:val="16"/>
        <w:color w:val="231F20"/>
        <w:spacing w:val="37"/>
        <w:w w:val="101"/>
      </w:rPr>
      <w:t xml:space="preserve"> </w:t>
    </w:r>
    <w:r>
      <w:rPr>
        <w:sz w:val="16"/>
        <w:szCs w:val="16"/>
        <w:color w:val="231F20"/>
        <w:spacing w:val="-3"/>
      </w:rPr>
      <w:t>2023</w:t>
    </w:r>
    <w:r>
      <w:rPr>
        <w:sz w:val="16"/>
        <w:szCs w:val="16"/>
        <w:color w:val="231F20"/>
        <w:spacing w:val="27"/>
      </w:rPr>
      <w:t xml:space="preserve"> </w:t>
    </w:r>
    <w:r>
      <w:rPr>
        <w:sz w:val="16"/>
        <w:szCs w:val="16"/>
        <w:color w:val="231F20"/>
        <w:spacing w:val="-3"/>
      </w:rPr>
      <w:t>Vol.35</w:t>
    </w:r>
    <w:r>
      <w:rPr>
        <w:sz w:val="16"/>
        <w:szCs w:val="16"/>
        <w:color w:val="231F20"/>
        <w:spacing w:val="29"/>
        <w:w w:val="101"/>
      </w:rPr>
      <w:t xml:space="preserve"> </w:t>
    </w:r>
    <w:r>
      <w:rPr>
        <w:sz w:val="16"/>
        <w:szCs w:val="16"/>
        <w:color w:val="231F20"/>
        <w:spacing w:val="-3"/>
      </w:rPr>
      <w:t>No.5</w:t>
    </w:r>
  </w:p>
  <w:p>
    <w:pPr>
      <w:pStyle w:val="BodyText"/>
      <w:ind w:left="1609"/>
      <w:spacing w:line="183" w:lineRule="auto"/>
      <w:rPr>
        <w:sz w:val="16"/>
        <w:szCs w:val="16"/>
      </w:rPr>
    </w:pPr>
    <w:r>
      <w:rPr>
        <w:sz w:val="16"/>
        <w:szCs w:val="16"/>
        <w:color w:val="231F20"/>
        <w:spacing w:val="-1"/>
      </w:rPr>
      <w:t>2023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年</w:t>
    </w:r>
    <w:r>
      <w:rPr>
        <w:sz w:val="16"/>
        <w:szCs w:val="16"/>
        <w:color w:val="231F20"/>
        <w:spacing w:val="13"/>
      </w:rPr>
      <w:t xml:space="preserve"> </w:t>
    </w:r>
    <w:r>
      <w:rPr>
        <w:sz w:val="16"/>
        <w:szCs w:val="16"/>
        <w:color w:val="231F20"/>
        <w:spacing w:val="-1"/>
      </w:rPr>
      <w:t>5</w:t>
    </w:r>
    <w:r>
      <w:rPr>
        <w:sz w:val="16"/>
        <w:szCs w:val="16"/>
        <w:color w:val="231F20"/>
        <w:spacing w:val="14"/>
        <w:w w:val="102"/>
      </w:rPr>
      <w:t xml:space="preserve"> </w:t>
    </w:r>
    <w:r>
      <w:rPr>
        <w:sz w:val="16"/>
        <w:szCs w:val="16"/>
        <w:color w:val="231F20"/>
        <w:spacing w:val="-1"/>
      </w:rPr>
      <w:t>月第</w:t>
    </w:r>
    <w:r>
      <w:rPr>
        <w:sz w:val="16"/>
        <w:szCs w:val="16"/>
        <w:color w:val="231F20"/>
        <w:spacing w:val="15"/>
        <w:w w:val="101"/>
      </w:rPr>
      <w:t xml:space="preserve"> </w:t>
    </w:r>
    <w:r>
      <w:rPr>
        <w:sz w:val="16"/>
        <w:szCs w:val="16"/>
        <w:color w:val="231F20"/>
        <w:spacing w:val="-1"/>
      </w:rPr>
      <w:t>35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卷第</w:t>
    </w:r>
    <w:r>
      <w:rPr>
        <w:sz w:val="16"/>
        <w:szCs w:val="16"/>
        <w:color w:val="231F20"/>
        <w:spacing w:val="13"/>
        <w:w w:val="101"/>
      </w:rPr>
      <w:t xml:space="preserve"> </w:t>
    </w:r>
    <w:r>
      <w:rPr>
        <w:sz w:val="16"/>
        <w:szCs w:val="16"/>
        <w:color w:val="231F20"/>
        <w:spacing w:val="-1"/>
      </w:rPr>
      <w:t>5 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7" w:lineRule="auto"/>
      <w:rPr>
        <w:rFonts w:ascii="Arial"/>
        <w:sz w:val="21"/>
      </w:rPr>
    </w:pPr>
    <w:r>
      <w:pict>
        <v:shape id="WordPictureWatermark6" style="position:absolute;margin-left:20.4pt;margin-top:780.47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8" style="position:absolute;margin-left:52.4409pt;margin-top:68.1736pt;mso-position-vertical-relative:page;mso-position-horizontal-relative:page;width:490.4pt;height:0.3pt;z-index:251665408;" o:allowincell="f" filled="false" strokecolor="#231F20" strokeweight="0.28pt" coordsize="9807,6" coordorigin="0,0" path="m0,2l9807,2e">
          <v:stroke joinstyle="miter" miterlimit="4"/>
        </v:shape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665067</wp:posOffset>
          </wp:positionH>
          <wp:positionV relativeFrom="page">
            <wp:posOffset>287972</wp:posOffset>
          </wp:positionV>
          <wp:extent cx="543628" cy="543623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43628" cy="5436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1284267</wp:posOffset>
          </wp:positionH>
          <wp:positionV relativeFrom="page">
            <wp:posOffset>288711</wp:posOffset>
          </wp:positionV>
          <wp:extent cx="1543039" cy="542897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543039" cy="542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8326" w:right="109" w:firstLine="387"/>
      <w:spacing w:before="69" w:line="179" w:lineRule="auto"/>
      <w:rPr>
        <w:sz w:val="16"/>
        <w:szCs w:val="16"/>
      </w:rPr>
    </w:pPr>
    <w:r>
      <w:rPr>
        <w:sz w:val="16"/>
        <w:szCs w:val="16"/>
        <w:color w:val="231F20"/>
        <w:spacing w:val="-3"/>
      </w:rPr>
      <w:t>May</w:t>
    </w:r>
    <w:r>
      <w:rPr>
        <w:sz w:val="16"/>
        <w:szCs w:val="16"/>
        <w:color w:val="231F20"/>
        <w:spacing w:val="37"/>
        <w:w w:val="101"/>
      </w:rPr>
      <w:t xml:space="preserve"> </w:t>
    </w:r>
    <w:r>
      <w:rPr>
        <w:sz w:val="16"/>
        <w:szCs w:val="16"/>
        <w:color w:val="231F20"/>
        <w:spacing w:val="-3"/>
      </w:rPr>
      <w:t>2023</w:t>
    </w:r>
    <w:r>
      <w:rPr>
        <w:sz w:val="16"/>
        <w:szCs w:val="16"/>
        <w:color w:val="231F20"/>
        <w:spacing w:val="27"/>
      </w:rPr>
      <w:t xml:space="preserve"> </w:t>
    </w:r>
    <w:r>
      <w:rPr>
        <w:sz w:val="16"/>
        <w:szCs w:val="16"/>
        <w:color w:val="231F20"/>
        <w:spacing w:val="-3"/>
      </w:rPr>
      <w:t>Vol.35</w:t>
    </w:r>
    <w:r>
      <w:rPr>
        <w:sz w:val="16"/>
        <w:szCs w:val="16"/>
        <w:color w:val="231F20"/>
        <w:spacing w:val="29"/>
        <w:w w:val="101"/>
      </w:rPr>
      <w:t xml:space="preserve"> </w:t>
    </w:r>
    <w:r>
      <w:rPr>
        <w:sz w:val="16"/>
        <w:szCs w:val="16"/>
        <w:color w:val="231F20"/>
        <w:spacing w:val="-3"/>
      </w:rPr>
      <w:t>No.5</w:t>
    </w:r>
    <w:r>
      <w:rPr>
        <w:sz w:val="16"/>
        <w:szCs w:val="16"/>
        <w:color w:val="231F20"/>
      </w:rPr>
      <w:t xml:space="preserve"> </w:t>
    </w:r>
    <w:r>
      <w:rPr>
        <w:sz w:val="16"/>
        <w:szCs w:val="16"/>
        <w:color w:val="231F20"/>
        <w:spacing w:val="-1"/>
      </w:rPr>
      <w:t>2023</w:t>
    </w:r>
    <w:r>
      <w:rPr>
        <w:sz w:val="16"/>
        <w:szCs w:val="16"/>
        <w:color w:val="231F20"/>
        <w:spacing w:val="24"/>
        <w:w w:val="101"/>
      </w:rPr>
      <w:t xml:space="preserve"> </w:t>
    </w:r>
    <w:r>
      <w:rPr>
        <w:sz w:val="16"/>
        <w:szCs w:val="16"/>
        <w:color w:val="231F20"/>
        <w:spacing w:val="-1"/>
      </w:rPr>
      <w:t>年</w:t>
    </w:r>
    <w:r>
      <w:rPr>
        <w:sz w:val="16"/>
        <w:szCs w:val="16"/>
        <w:color w:val="231F20"/>
        <w:spacing w:val="13"/>
      </w:rPr>
      <w:t xml:space="preserve"> </w:t>
    </w:r>
    <w:r>
      <w:rPr>
        <w:sz w:val="16"/>
        <w:szCs w:val="16"/>
        <w:color w:val="231F20"/>
        <w:spacing w:val="-1"/>
      </w:rPr>
      <w:t>5</w:t>
    </w:r>
    <w:r>
      <w:rPr>
        <w:sz w:val="16"/>
        <w:szCs w:val="16"/>
        <w:color w:val="231F20"/>
        <w:spacing w:val="14"/>
        <w:w w:val="101"/>
      </w:rPr>
      <w:t xml:space="preserve"> </w:t>
    </w:r>
    <w:r>
      <w:rPr>
        <w:sz w:val="16"/>
        <w:szCs w:val="16"/>
        <w:color w:val="231F20"/>
        <w:spacing w:val="-1"/>
      </w:rPr>
      <w:t>月第</w:t>
    </w:r>
    <w:r>
      <w:rPr>
        <w:sz w:val="16"/>
        <w:szCs w:val="16"/>
        <w:color w:val="231F20"/>
        <w:spacing w:val="16"/>
      </w:rPr>
      <w:t xml:space="preserve"> </w:t>
    </w:r>
    <w:r>
      <w:rPr>
        <w:sz w:val="16"/>
        <w:szCs w:val="16"/>
        <w:color w:val="231F20"/>
        <w:spacing w:val="-1"/>
      </w:rPr>
      <w:t>35</w:t>
    </w:r>
    <w:r>
      <w:rPr>
        <w:sz w:val="16"/>
        <w:szCs w:val="16"/>
        <w:color w:val="231F20"/>
        <w:spacing w:val="12"/>
        <w:w w:val="101"/>
      </w:rPr>
      <w:t xml:space="preserve"> </w:t>
    </w:r>
    <w:r>
      <w:rPr>
        <w:sz w:val="16"/>
        <w:szCs w:val="16"/>
        <w:color w:val="231F20"/>
        <w:spacing w:val="-1"/>
      </w:rPr>
      <w:t>卷第</w:t>
    </w:r>
    <w:r>
      <w:rPr>
        <w:sz w:val="16"/>
        <w:szCs w:val="16"/>
        <w:color w:val="231F20"/>
        <w:spacing w:val="13"/>
        <w:w w:val="101"/>
      </w:rPr>
      <w:t xml:space="preserve"> </w:t>
    </w:r>
    <w:r>
      <w:rPr>
        <w:sz w:val="16"/>
        <w:szCs w:val="16"/>
        <w:color w:val="231F20"/>
        <w:spacing w:val="-1"/>
      </w:rPr>
      <w:t>5 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2023-05-30T12:12:38Z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2025-10-29T09:36:28</vt:filetime>
  </property>
</Properties>
</file>