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04"/>
        <w:spacing w:before="46" w:line="200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Bendary </w:t>
      </w:r>
      <w:r>
        <w:rPr>
          <w:sz w:val="16"/>
          <w:szCs w:val="16"/>
          <w:i/>
          <w:iCs/>
          <w:position w:val="2"/>
        </w:rPr>
        <w:t>etal. The Egyp</w:t>
      </w:r>
      <w:r>
        <w:rPr>
          <w:sz w:val="16"/>
          <w:szCs w:val="16"/>
          <w:i/>
          <w:iCs/>
          <w:spacing w:val="-1"/>
          <w:position w:val="2"/>
        </w:rPr>
        <w:t>tian Heart</w:t>
      </w:r>
      <w:r>
        <w:rPr>
          <w:sz w:val="16"/>
          <w:szCs w:val="16"/>
          <w:i/>
          <w:iCs/>
          <w:spacing w:val="-15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Journal         (2023) 75:40</w:t>
      </w:r>
    </w:p>
    <w:p>
      <w:pPr>
        <w:pStyle w:val="BodyText"/>
        <w:ind w:left="404"/>
        <w:spacing w:line="206" w:lineRule="exact"/>
        <w:rPr>
          <w:sz w:val="16"/>
          <w:szCs w:val="16"/>
        </w:rPr>
      </w:pPr>
      <w:hyperlink w:history="true" r:id="rId1">
        <w:r>
          <w:rPr>
            <w:sz w:val="16"/>
            <w:szCs w:val="16"/>
            <w:position w:val="2"/>
          </w:rPr>
          <w:t>https://doi.org/10.1186/s43044-0</w:t>
        </w:r>
        <w:r>
          <w:rPr>
            <w:sz w:val="16"/>
            <w:szCs w:val="16"/>
            <w:spacing w:val="-1"/>
            <w:position w:val="2"/>
          </w:rPr>
          <w:t>23-00364-3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24" w:right="38" w:hanging="1224"/>
        <w:spacing w:before="86" w:line="215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The Egyptian</w:t>
      </w:r>
      <w:r>
        <w:rPr>
          <w:sz w:val="25"/>
          <w:szCs w:val="25"/>
          <w:spacing w:val="17"/>
          <w:w w:val="101"/>
        </w:rPr>
        <w:t xml:space="preserve"> </w:t>
      </w:r>
      <w:r>
        <w:rPr>
          <w:sz w:val="25"/>
          <w:szCs w:val="25"/>
          <w:spacing w:val="2"/>
        </w:rPr>
        <w:t>Heart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3"/>
        </w:rPr>
        <w:t>Journal</w:t>
      </w:r>
    </w:p>
    <w:p>
      <w:pPr>
        <w:spacing w:line="215" w:lineRule="auto"/>
        <w:sectPr>
          <w:pgSz w:w="11906" w:h="15818"/>
          <w:pgMar w:top="587" w:right="1095" w:bottom="0" w:left="740" w:header="0" w:footer="0" w:gutter="0"/>
          <w:cols w:equalWidth="0" w:num="2">
            <w:col w:w="7941" w:space="100"/>
            <w:col w:w="2030" w:space="0"/>
          </w:cols>
        </w:sectPr>
        <w:rPr>
          <w:sz w:val="25"/>
          <w:szCs w:val="25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383"/>
        <w:spacing w:line="340" w:lineRule="exact"/>
        <w:rPr/>
      </w:pPr>
      <w:r>
        <w:rPr>
          <w:position w:val="-6"/>
        </w:rPr>
        <w:pict>
          <v:roundrect id="_x0000_s2" style="mso-position-vertical-relative:line;mso-position-horizontal-relative:char;width:481.9pt;height:16pt;" filled="false" strokecolor="#8099B2" strokeweight="1.00pt" arcsize="0.23529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4" w:line="192" w:lineRule="auto"/>
                    <w:tabs>
                      <w:tab w:val="left" w:pos="111"/>
                    </w:tabs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shd w:val="clear" w:fill="8099B2"/>
                      <w:rFonts w:ascii="Calibri" w:hAnsi="Calibri" w:eastAsia="Calibri" w:cs="Calibri"/>
                      <w:sz w:val="26"/>
                      <w:szCs w:val="26"/>
                      <w:b/>
                      <w:bCs/>
                      <w:position w:val="-1"/>
                    </w:rPr>
                    <w:tab/>
                  </w:r>
                  <w:r>
                    <w:rPr>
                      <w:shd w:val="clear" w:fill="8099B2"/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3"/>
                      <w:position w:val="-1"/>
                    </w:rPr>
                    <w:t>COMMENTARY</w:t>
                  </w:r>
                  <w:r>
                    <w:rPr>
                      <w:shd w:val="clear" w:fill="8099B2"/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"/>
                      <w:position w:val="-1"/>
                    </w:rPr>
                    <w:t xml:space="preserve">                                                     </w:t>
                  </w:r>
                  <w:r>
                    <w:rPr>
                      <w:shd w:val="clear" w:fill="8099B2"/>
                      <w:rFonts w:ascii="Calibri" w:hAnsi="Calibri" w:eastAsia="Calibri" w:cs="Calibri"/>
                      <w:sz w:val="26"/>
                      <w:szCs w:val="26"/>
                      <w:b/>
                      <w:bCs/>
                      <w:position w:val="-1"/>
                    </w:rPr>
                    <w:t xml:space="preserve">                                                   </w:t>
                  </w:r>
                  <w:r>
                    <w:rPr>
                      <w:shd w:val="clear" w:fill="8099B2"/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3"/>
                      <w:position w:val="1"/>
                    </w:rPr>
                    <w:t>Open Access</w:t>
                  </w:r>
                </w:p>
              </w:txbxContent>
            </v:textbox>
          </v:roundrect>
        </w:pict>
      </w:r>
    </w:p>
    <w:p>
      <w:pPr>
        <w:pStyle w:val="BodyText"/>
        <w:ind w:left="400" w:firstLine="27"/>
        <w:spacing w:before="48" w:line="221" w:lineRule="auto"/>
        <w:outlineLvl w:val="0"/>
        <w:rPr>
          <w:sz w:val="48"/>
          <w:szCs w:val="48"/>
        </w:rPr>
      </w:pPr>
      <w:r>
        <w:rPr>
          <w:sz w:val="48"/>
          <w:szCs w:val="48"/>
        </w:rPr>
        <w:t>Boosting</w:t>
      </w:r>
      <w:r>
        <w:rPr>
          <w:sz w:val="48"/>
          <w:szCs w:val="48"/>
          <w:spacing w:val="5"/>
        </w:rPr>
        <w:t xml:space="preserve"> </w:t>
      </w:r>
      <w:r>
        <w:rPr>
          <w:sz w:val="48"/>
          <w:szCs w:val="48"/>
        </w:rPr>
        <w:t>protection</w:t>
      </w:r>
      <w:r>
        <w:rPr>
          <w:sz w:val="48"/>
          <w:szCs w:val="48"/>
          <w:spacing w:val="5"/>
        </w:rPr>
        <w:t xml:space="preserve"> </w:t>
      </w:r>
      <w:r>
        <w:rPr>
          <w:sz w:val="48"/>
          <w:szCs w:val="48"/>
        </w:rPr>
        <w:t>for</w:t>
      </w:r>
      <w:r>
        <w:rPr>
          <w:sz w:val="48"/>
          <w:szCs w:val="48"/>
          <w:spacing w:val="5"/>
        </w:rPr>
        <w:t xml:space="preserve"> </w:t>
      </w:r>
      <w:r>
        <w:rPr>
          <w:sz w:val="48"/>
          <w:szCs w:val="48"/>
        </w:rPr>
        <w:t>patients</w:t>
      </w:r>
      <w:hyperlink w:history="true" r:id="rId2">
        <w:r>
          <w:rPr>
            <w:sz w:val="48"/>
            <w:szCs w:val="48"/>
            <w:spacing w:val="5"/>
          </w:rPr>
          <w:t xml:space="preserve">                        </w:t>
        </w:r>
        <w:r>
          <w:rPr>
            <w:sz w:val="48"/>
            <w:szCs w:val="48"/>
            <w:position w:val="-4"/>
          </w:rPr>
          <w:drawing>
            <wp:inline distT="0" distB="0" distL="0" distR="0">
              <wp:extent cx="413613" cy="413829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413613" cy="4138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48"/>
            <w:szCs w:val="48"/>
            <w:spacing w:val="8"/>
          </w:rPr>
          <w:t xml:space="preserve"> </w:t>
        </w:r>
      </w:hyperlink>
      <w:r>
        <w:rPr>
          <w:sz w:val="48"/>
          <w:szCs w:val="48"/>
        </w:rPr>
        <w:t>with</w:t>
      </w:r>
      <w:r>
        <w:rPr>
          <w:sz w:val="48"/>
          <w:szCs w:val="48"/>
          <w:spacing w:val="18"/>
        </w:rPr>
        <w:t xml:space="preserve"> </w:t>
      </w:r>
      <w:r>
        <w:rPr>
          <w:sz w:val="48"/>
          <w:szCs w:val="48"/>
        </w:rPr>
        <w:t>non</w:t>
      </w:r>
      <w:r>
        <w:rPr>
          <w:sz w:val="48"/>
          <w:szCs w:val="48"/>
          <w:spacing w:val="18"/>
        </w:rPr>
        <w:t>-</w:t>
      </w:r>
      <w:r>
        <w:rPr>
          <w:sz w:val="48"/>
          <w:szCs w:val="48"/>
        </w:rPr>
        <w:t>acute</w:t>
      </w:r>
      <w:r>
        <w:rPr>
          <w:sz w:val="48"/>
          <w:szCs w:val="48"/>
          <w:spacing w:val="18"/>
        </w:rPr>
        <w:t xml:space="preserve"> </w:t>
      </w:r>
      <w:r>
        <w:rPr>
          <w:sz w:val="48"/>
          <w:szCs w:val="48"/>
        </w:rPr>
        <w:t>cardiovascular</w:t>
      </w:r>
      <w:r>
        <w:rPr>
          <w:sz w:val="48"/>
          <w:szCs w:val="48"/>
          <w:spacing w:val="18"/>
        </w:rPr>
        <w:t xml:space="preserve"> </w:t>
      </w:r>
      <w:r>
        <w:rPr>
          <w:sz w:val="48"/>
          <w:szCs w:val="48"/>
        </w:rPr>
        <w:t>disease</w:t>
      </w:r>
      <w:r>
        <w:rPr>
          <w:sz w:val="48"/>
          <w:szCs w:val="48"/>
          <w:spacing w:val="18"/>
        </w:rPr>
        <w:t>: </w:t>
      </w:r>
      <w:r>
        <w:rPr>
          <w:sz w:val="48"/>
          <w:szCs w:val="48"/>
        </w:rPr>
        <w:t>a</w:t>
      </w:r>
      <w:r>
        <w:rPr>
          <w:sz w:val="48"/>
          <w:szCs w:val="48"/>
          <w:spacing w:val="18"/>
        </w:rPr>
        <w:t xml:space="preserve"> </w:t>
      </w:r>
      <w:r>
        <w:rPr>
          <w:sz w:val="48"/>
          <w:szCs w:val="48"/>
        </w:rPr>
        <w:t>focus     </w:t>
      </w:r>
      <w:r>
        <w:rPr>
          <w:sz w:val="48"/>
          <w:szCs w:val="48"/>
          <w:spacing w:val="5"/>
        </w:rPr>
        <w:t>on antithrombotic regimen (a consensus ex</w:t>
      </w:r>
      <w:r>
        <w:rPr>
          <w:sz w:val="48"/>
          <w:szCs w:val="48"/>
          <w:spacing w:val="4"/>
        </w:rPr>
        <w:t>pert</w:t>
      </w:r>
      <w:r>
        <w:rPr>
          <w:sz w:val="48"/>
          <w:szCs w:val="48"/>
        </w:rPr>
        <w:t xml:space="preserve">  </w:t>
      </w:r>
      <w:r>
        <w:rPr>
          <w:sz w:val="48"/>
          <w:szCs w:val="48"/>
          <w:spacing w:val="6"/>
        </w:rPr>
        <w:t>opinion from the Egyptian Society of Cardiology</w:t>
      </w:r>
      <w:r>
        <w:rPr>
          <w:sz w:val="48"/>
          <w:szCs w:val="48"/>
          <w:spacing w:val="10"/>
        </w:rPr>
        <w:t xml:space="preserve"> </w:t>
      </w:r>
      <w:r>
        <w:rPr>
          <w:sz w:val="48"/>
          <w:szCs w:val="48"/>
          <w:spacing w:val="6"/>
        </w:rPr>
        <w:t>working group of</w:t>
      </w:r>
      <w:r>
        <w:rPr>
          <w:sz w:val="48"/>
          <w:szCs w:val="48"/>
        </w:rPr>
        <w:t xml:space="preserve"> </w:t>
      </w:r>
      <w:r>
        <w:rPr>
          <w:sz w:val="48"/>
          <w:szCs w:val="48"/>
          <w:spacing w:val="6"/>
        </w:rPr>
        <w:t>thrombosis and prevention)</w:t>
      </w:r>
    </w:p>
    <w:p>
      <w:pPr>
        <w:pStyle w:val="BodyText"/>
        <w:ind w:left="398"/>
        <w:spacing w:before="93" w:line="299" w:lineRule="exact"/>
        <w:rPr>
          <w:sz w:val="15"/>
          <w:szCs w:val="15"/>
        </w:rPr>
      </w:pPr>
      <w:r>
        <w:rPr>
          <w:sz w:val="22"/>
          <w:szCs w:val="22"/>
          <w:spacing w:val="-4"/>
          <w:position w:val="2"/>
        </w:rPr>
        <w:t>Ahmed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4"/>
          <w:position w:val="2"/>
        </w:rPr>
        <w:t>Bendary</w:t>
      </w:r>
      <w:r>
        <w:rPr>
          <w:sz w:val="15"/>
          <w:szCs w:val="15"/>
          <w:spacing w:val="-4"/>
          <w:position w:val="10"/>
        </w:rPr>
        <w:t>1*</w:t>
      </w:r>
      <w:hyperlink w:history="true" r:id="rId4">
        <w:r>
          <w:rPr>
            <w:sz w:val="15"/>
            <w:szCs w:val="15"/>
            <w:position w:val="2"/>
          </w:rPr>
          <w:drawing>
            <wp:inline distT="0" distB="0" distL="0" distR="0">
              <wp:extent cx="111669" cy="105827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669" cy="1058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2"/>
          <w:szCs w:val="22"/>
          <w:spacing w:val="-4"/>
          <w:position w:val="2"/>
        </w:rPr>
        <w:t>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4"/>
          <w:position w:val="2"/>
        </w:rPr>
        <w:t>Bassem Zarif</w:t>
      </w:r>
      <w:r>
        <w:rPr>
          <w:sz w:val="15"/>
          <w:szCs w:val="15"/>
          <w:spacing w:val="-4"/>
          <w:position w:val="10"/>
        </w:rPr>
        <w:t>2</w:t>
      </w:r>
      <w:r>
        <w:rPr>
          <w:sz w:val="22"/>
          <w:szCs w:val="22"/>
          <w:spacing w:val="-4"/>
          <w:position w:val="2"/>
        </w:rPr>
        <w:t>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4"/>
          <w:position w:val="2"/>
        </w:rPr>
        <w:t>Ha</w:t>
      </w:r>
      <w:r>
        <w:rPr>
          <w:sz w:val="22"/>
          <w:szCs w:val="22"/>
          <w:spacing w:val="-5"/>
          <w:position w:val="2"/>
        </w:rPr>
        <w:t>la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Mahfouz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Badran</w:t>
      </w:r>
      <w:r>
        <w:rPr>
          <w:sz w:val="15"/>
          <w:szCs w:val="15"/>
          <w:spacing w:val="-5"/>
          <w:position w:val="10"/>
        </w:rPr>
        <w:t>3</w:t>
      </w:r>
      <w:r>
        <w:rPr>
          <w:sz w:val="22"/>
          <w:szCs w:val="22"/>
          <w:spacing w:val="-5"/>
          <w:position w:val="2"/>
        </w:rPr>
        <w:t>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Khaled Shokry</w:t>
      </w:r>
      <w:r>
        <w:rPr>
          <w:sz w:val="15"/>
          <w:szCs w:val="15"/>
          <w:spacing w:val="-5"/>
          <w:position w:val="10"/>
        </w:rPr>
        <w:t>4  </w:t>
      </w:r>
      <w:r>
        <w:rPr>
          <w:sz w:val="22"/>
          <w:szCs w:val="22"/>
          <w:spacing w:val="-5"/>
          <w:position w:val="2"/>
        </w:rPr>
        <w:t>and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Hamza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5"/>
          <w:position w:val="2"/>
        </w:rPr>
        <w:t>Kabil</w:t>
      </w:r>
      <w:r>
        <w:rPr>
          <w:sz w:val="15"/>
          <w:szCs w:val="15"/>
          <w:spacing w:val="-5"/>
          <w:position w:val="10"/>
        </w:rPr>
        <w:t>5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firstLine="392"/>
        <w:spacing w:line="3795" w:lineRule="exact"/>
        <w:rPr/>
      </w:pPr>
      <w:r>
        <w:rPr>
          <w:position w:val="-75"/>
        </w:rPr>
        <w:pict>
          <v:roundrect id="_x0000_s4" style="mso-position-vertical-relative:line;mso-position-horizontal-relative:char;width:481.4pt;height:189.25pt;" filled="false" strokecolor="#8099B2" strokeweight="0.50pt" arcsize="0.02371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7"/>
                    <w:spacing w:before="122" w:line="196" w:lineRule="auto"/>
                    <w:outlineLvl w:val="1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9"/>
                    </w:rPr>
                    <w:t>Abstract</w:t>
                  </w:r>
                </w:p>
                <w:p>
                  <w:pPr>
                    <w:ind w:left="97" w:right="358" w:firstLine="10"/>
                    <w:spacing w:before="71" w:line="237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1"/>
                    </w:rPr>
                    <w:t>Background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Till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moment 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this document writing,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no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Egyptian consensus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s there 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guide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selection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of addi-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tional antithrombotic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 stable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 with established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CVD.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Despite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use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lifestyle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measures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statins,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those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 with established CVD still face 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considerable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burden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residual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risk.</w:t>
                  </w:r>
                </w:p>
                <w:p>
                  <w:pPr>
                    <w:ind w:left="104"/>
                    <w:spacing w:before="37" w:line="258" w:lineRule="exact"/>
                    <w:outlineLvl w:val="2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2"/>
                      <w:position w:val="3"/>
                    </w:rPr>
                    <w:t>Main body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With the evolvement of evidence-based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medicine, there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have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been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lot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3"/>
                    </w:rPr>
                    <w:t>of rec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  <w:position w:val="3"/>
                    </w:rPr>
                    <w:t>ommendations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  <w:position w:val="3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  <w:position w:val="3"/>
                    </w:rPr>
                    <w:t>use</w:t>
                  </w:r>
                </w:p>
                <w:p>
                  <w:pPr>
                    <w:ind w:left="97" w:right="102" w:firstLine="4"/>
                    <w:spacing w:before="2" w:line="235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additional antithrombotic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medications 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maximize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protection for th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patients. Accordingly,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Egyptian Society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Cardiology working group 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thrombosis 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prev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ention took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responsibility of providing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expert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consensus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the current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recommendations for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using antithro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mbotic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medications 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maximize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protection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 stable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 with</w:t>
                  </w:r>
                </w:p>
                <w:p>
                  <w:pPr>
                    <w:ind w:left="101"/>
                    <w:spacing w:line="235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established CVD.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For stable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 with esta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blished CVD,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addition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proper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lifestyle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measures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appropriate</w:t>
                  </w:r>
                </w:p>
                <w:p>
                  <w:pPr>
                    <w:ind w:left="109" w:right="169" w:hanging="8"/>
                    <w:spacing w:before="1" w:line="238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dose statins, we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recommend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long-term aspirin therapy.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ients who are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unable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take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aspirin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those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with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history of gastrointestinal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bleeding, clopidogrel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is 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reasonable alternative.</w:t>
                  </w:r>
                </w:p>
                <w:p>
                  <w:pPr>
                    <w:ind w:left="100"/>
                    <w:spacing w:before="55" w:line="236" w:lineRule="auto"/>
                    <w:outlineLvl w:val="2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2"/>
                    </w:rPr>
                    <w:t>Conclusions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1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For some stable ath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erosclerotic CVD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patients who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high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risk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of cardiovascular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events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low</w:t>
                  </w:r>
                </w:p>
                <w:p>
                  <w:pPr>
                    <w:ind w:left="108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risk for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bleeding, 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regimen of rivaroxaban and aspirin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might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taken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into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consi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deration.</w:t>
                  </w:r>
                </w:p>
                <w:p>
                  <w:pPr>
                    <w:ind w:left="107"/>
                    <w:spacing w:before="90" w:line="201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3"/>
                    </w:rPr>
                    <w:t>Keywords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1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Rivaroxaban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, Atherosclerosis,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Risk,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</w:rPr>
                    <w:t>Egypt</w:t>
                  </w:r>
                </w:p>
              </w:txbxContent>
            </v:textbox>
          </v:roundrect>
        </w:pict>
      </w:r>
    </w:p>
    <w:p>
      <w:pPr>
        <w:spacing w:before="129"/>
        <w:rPr/>
      </w:pPr>
      <w:r/>
    </w:p>
    <w:p>
      <w:pPr>
        <w:sectPr>
          <w:type w:val="continuous"/>
          <w:pgSz w:w="11906" w:h="15818"/>
          <w:pgMar w:top="587" w:right="1095" w:bottom="0" w:left="740" w:header="0" w:footer="0" w:gutter="0"/>
          <w:cols w:equalWidth="0" w:num="1">
            <w:col w:w="10071" w:space="0"/>
          </w:cols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6" style="position:absolute;margin-left:19.7629pt;margin-top:12.6536pt;mso-position-vertical-relative:text;mso-position-horizontal-relative:text;width:233.9pt;height:0.15pt;z-index:251658240;" filled="false" strokecolor="#000000" strokeweight="0.15pt" coordsize="4677,3" coordorigin="0,0" path="m0,1l4677,1e">
            <v:stroke joinstyle="miter" miterlimit="10"/>
          </v:shape>
        </w:pict>
      </w:r>
      <w:r/>
    </w:p>
    <w:p>
      <w:pPr>
        <w:pStyle w:val="BodyText"/>
        <w:ind w:left="398"/>
        <w:spacing w:before="46" w:line="19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*Correspondence:</w:t>
      </w:r>
    </w:p>
    <w:p>
      <w:pPr>
        <w:pStyle w:val="BodyText"/>
        <w:ind w:left="398"/>
        <w:spacing w:before="30" w:line="20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Ahmed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Bendary</w:t>
      </w:r>
    </w:p>
    <w:p>
      <w:pPr>
        <w:pStyle w:val="BodyText"/>
        <w:ind w:left="399"/>
        <w:spacing w:before="1" w:line="21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ahmed.bendari@fmed.bu.edu.eg; dr_a_bendary@hotmail.com</w:t>
      </w:r>
    </w:p>
    <w:p>
      <w:pPr>
        <w:pStyle w:val="BodyText"/>
        <w:ind w:left="405" w:right="626"/>
        <w:spacing w:before="1" w:line="232" w:lineRule="auto"/>
        <w:rPr>
          <w:sz w:val="15"/>
          <w:szCs w:val="15"/>
        </w:rPr>
      </w:pPr>
      <w:r>
        <w:rPr>
          <w:sz w:val="10"/>
          <w:szCs w:val="10"/>
          <w:spacing w:val="-3"/>
          <w:position w:val="5"/>
        </w:rPr>
        <w:t>1</w:t>
      </w:r>
      <w:r>
        <w:rPr>
          <w:sz w:val="10"/>
          <w:szCs w:val="10"/>
          <w:spacing w:val="16"/>
          <w:position w:val="5"/>
        </w:rPr>
        <w:t xml:space="preserve"> </w:t>
      </w:r>
      <w:r>
        <w:rPr>
          <w:sz w:val="15"/>
          <w:szCs w:val="15"/>
          <w:spacing w:val="-3"/>
        </w:rPr>
        <w:t>Cardiology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Department,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Faculty of Medicine,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Be</w:t>
      </w:r>
      <w:r>
        <w:rPr>
          <w:sz w:val="15"/>
          <w:szCs w:val="15"/>
          <w:spacing w:val="-4"/>
        </w:rPr>
        <w:t>nha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University,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Benha,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Egypt</w:t>
      </w:r>
    </w:p>
    <w:p>
      <w:pPr>
        <w:pStyle w:val="BodyText"/>
        <w:ind w:left="398"/>
        <w:spacing w:before="1" w:line="235" w:lineRule="auto"/>
        <w:rPr>
          <w:sz w:val="15"/>
          <w:szCs w:val="15"/>
        </w:rPr>
      </w:pPr>
      <w:r>
        <w:rPr>
          <w:sz w:val="10"/>
          <w:szCs w:val="10"/>
          <w:spacing w:val="-4"/>
          <w:position w:val="5"/>
        </w:rPr>
        <w:t>2  </w:t>
      </w:r>
      <w:r>
        <w:rPr>
          <w:sz w:val="15"/>
          <w:szCs w:val="15"/>
          <w:spacing w:val="-4"/>
        </w:rPr>
        <w:t>National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4"/>
        </w:rPr>
        <w:t>Heart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Institute, Giza,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Egypt</w:t>
      </w:r>
    </w:p>
    <w:p>
      <w:pPr>
        <w:pStyle w:val="BodyText"/>
        <w:ind w:left="405" w:right="540" w:hanging="7"/>
        <w:spacing w:before="1" w:line="232" w:lineRule="auto"/>
        <w:rPr>
          <w:sz w:val="15"/>
          <w:szCs w:val="15"/>
        </w:rPr>
      </w:pPr>
      <w:r>
        <w:rPr>
          <w:sz w:val="10"/>
          <w:szCs w:val="10"/>
          <w:spacing w:val="-3"/>
          <w:position w:val="5"/>
        </w:rPr>
        <w:t>3</w:t>
      </w:r>
      <w:r>
        <w:rPr>
          <w:sz w:val="10"/>
          <w:szCs w:val="10"/>
          <w:spacing w:val="34"/>
          <w:w w:val="102"/>
          <w:position w:val="5"/>
        </w:rPr>
        <w:t xml:space="preserve"> </w:t>
      </w:r>
      <w:r>
        <w:rPr>
          <w:sz w:val="15"/>
          <w:szCs w:val="15"/>
          <w:spacing w:val="-3"/>
        </w:rPr>
        <w:t>Cardiology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Department,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Faculty of Medicine,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Menofia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University, Shibin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El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5"/>
        </w:rPr>
        <w:t>Kom,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Egypt</w:t>
      </w:r>
    </w:p>
    <w:p>
      <w:pPr>
        <w:pStyle w:val="BodyText"/>
        <w:ind w:left="394"/>
        <w:spacing w:before="1" w:line="232" w:lineRule="auto"/>
        <w:rPr>
          <w:sz w:val="15"/>
          <w:szCs w:val="15"/>
        </w:rPr>
      </w:pPr>
      <w:r>
        <w:rPr>
          <w:sz w:val="10"/>
          <w:szCs w:val="10"/>
          <w:spacing w:val="-2"/>
          <w:position w:val="5"/>
        </w:rPr>
        <w:t>4</w:t>
      </w:r>
      <w:r>
        <w:rPr>
          <w:sz w:val="10"/>
          <w:szCs w:val="10"/>
          <w:spacing w:val="16"/>
          <w:position w:val="5"/>
        </w:rPr>
        <w:t xml:space="preserve"> </w:t>
      </w:r>
      <w:r>
        <w:rPr>
          <w:sz w:val="15"/>
          <w:szCs w:val="15"/>
          <w:spacing w:val="-2"/>
        </w:rPr>
        <w:t>Cardiology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Department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8"/>
          <w:w w:val="101"/>
        </w:rPr>
        <w:t xml:space="preserve"> </w:t>
      </w:r>
      <w:r>
        <w:rPr>
          <w:sz w:val="15"/>
          <w:szCs w:val="15"/>
          <w:spacing w:val="-3"/>
        </w:rPr>
        <w:t>Military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Medical Academy, Cairo,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Egypt</w:t>
      </w:r>
    </w:p>
    <w:p>
      <w:pPr>
        <w:pStyle w:val="BodyText"/>
        <w:ind w:left="405" w:right="887" w:hanging="7"/>
        <w:spacing w:line="245" w:lineRule="auto"/>
        <w:rPr>
          <w:sz w:val="15"/>
          <w:szCs w:val="15"/>
        </w:rPr>
      </w:pPr>
      <w:r>
        <w:rPr>
          <w:sz w:val="10"/>
          <w:szCs w:val="10"/>
          <w:spacing w:val="-3"/>
          <w:position w:val="5"/>
        </w:rPr>
        <w:t>5</w:t>
      </w:r>
      <w:r>
        <w:rPr>
          <w:sz w:val="10"/>
          <w:szCs w:val="10"/>
          <w:spacing w:val="22"/>
          <w:w w:val="102"/>
          <w:position w:val="5"/>
        </w:rPr>
        <w:t xml:space="preserve"> </w:t>
      </w:r>
      <w:r>
        <w:rPr>
          <w:sz w:val="15"/>
          <w:szCs w:val="15"/>
          <w:spacing w:val="-3"/>
        </w:rPr>
        <w:t>Cardiology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Department,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Faculty of Medicine,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Damietta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University,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Damietta,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4"/>
        </w:rPr>
        <w:t>Egypt</w:t>
      </w:r>
    </w:p>
    <w:p>
      <w:pPr>
        <w:spacing w:line="1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6" w:line="204" w:lineRule="auto"/>
        <w:outlineLvl w:val="1"/>
        <w:rPr/>
      </w:pPr>
      <w:r>
        <w:rPr>
          <w:b/>
          <w:bCs/>
          <w:spacing w:val="11"/>
        </w:rPr>
        <w:t>Background</w:t>
      </w:r>
    </w:p>
    <w:p>
      <w:pPr>
        <w:ind w:right="38" w:firstLine="2"/>
        <w:spacing w:before="5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heart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(CHD)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 peripheral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artery dise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ase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(PAD) have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markedly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 subsequent   cardiovascular   events,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(MI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),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diovascular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(CVD),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lifestyle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hanges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 proven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lude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modifiable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factors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CHD  [elevated  low–density  lipop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rotein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(LDL) cholesterol, hypertension, smoking,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obesity, physi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cal  inactivity,  and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diabetes]  to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reduce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future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CVD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events,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benefi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ts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additive,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Moreover,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evi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dence–based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doses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high–intensity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statin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regardless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baseline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LDL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cholesterol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recommended,</w:t>
      </w:r>
    </w:p>
    <w:p>
      <w:pPr>
        <w:spacing w:line="263" w:lineRule="auto"/>
        <w:sectPr>
          <w:type w:val="continuous"/>
          <w:pgSz w:w="11906" w:h="15818"/>
          <w:pgMar w:top="587" w:right="1095" w:bottom="0" w:left="740" w:header="0" w:footer="0" w:gutter="0"/>
          <w:cols w:equalWidth="0" w:num="2">
            <w:col w:w="5261" w:space="100"/>
            <w:col w:w="4710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108"/>
        <w:rPr/>
      </w:pPr>
      <w:r/>
    </w:p>
    <w:p>
      <w:pPr>
        <w:sectPr>
          <w:type w:val="continuous"/>
          <w:pgSz w:w="11906" w:h="15818"/>
          <w:pgMar w:top="587" w:right="1095" w:bottom="0" w:left="740" w:header="0" w:footer="0" w:gutter="0"/>
          <w:cols w:equalWidth="0" w:num="1">
            <w:col w:w="10071" w:space="0"/>
          </w:cols>
        </w:sectPr>
        <w:rPr/>
      </w:pPr>
    </w:p>
    <w:p>
      <w:pPr>
        <w:ind w:firstLine="403"/>
        <w:spacing w:before="80" w:line="308" w:lineRule="exact"/>
        <w:rPr/>
      </w:pPr>
      <w:r>
        <w:rPr>
          <w:position w:val="-6"/>
        </w:rPr>
        <w:drawing>
          <wp:inline distT="0" distB="0" distL="0" distR="0">
            <wp:extent cx="200936" cy="19558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936" cy="1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60"/>
        <w:spacing w:before="49" w:line="32" w:lineRule="exact"/>
        <w:rPr/>
      </w:pPr>
      <w:r>
        <w:rPr/>
        <w:drawing>
          <wp:inline distT="0" distB="0" distL="0" distR="0">
            <wp:extent cx="164655" cy="202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655" cy="2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4" w:line="236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color w:val="002857"/>
          <w:spacing w:val="10"/>
        </w:rPr>
        <w:t>springeropen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60" w:line="225" w:lineRule="auto"/>
        <w:rPr>
          <w:sz w:val="14"/>
          <w:szCs w:val="14"/>
        </w:rPr>
      </w:pPr>
      <w:r>
        <w:rPr>
          <w:sz w:val="14"/>
          <w:szCs w:val="14"/>
          <w:spacing w:val="-4"/>
        </w:rPr>
        <w:t>©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-4"/>
        </w:rPr>
        <w:t>The Author(s) 2023. </w:t>
      </w:r>
      <w:r>
        <w:rPr>
          <w:sz w:val="14"/>
          <w:szCs w:val="14"/>
          <w:b/>
          <w:bCs/>
          <w:spacing w:val="-4"/>
        </w:rPr>
        <w:t>Open</w:t>
      </w:r>
      <w:r>
        <w:rPr>
          <w:sz w:val="14"/>
          <w:szCs w:val="14"/>
          <w:b/>
          <w:bCs/>
          <w:spacing w:val="-7"/>
        </w:rPr>
        <w:t xml:space="preserve"> </w:t>
      </w:r>
      <w:r>
        <w:rPr>
          <w:sz w:val="14"/>
          <w:szCs w:val="14"/>
          <w:b/>
          <w:bCs/>
          <w:spacing w:val="-4"/>
        </w:rPr>
        <w:t>Access</w:t>
      </w:r>
      <w:r>
        <w:rPr>
          <w:sz w:val="14"/>
          <w:szCs w:val="14"/>
          <w:b/>
          <w:bCs/>
          <w:spacing w:val="-16"/>
        </w:rPr>
        <w:t xml:space="preserve"> </w:t>
      </w:r>
      <w:r>
        <w:rPr>
          <w:sz w:val="14"/>
          <w:szCs w:val="14"/>
          <w:spacing w:val="-4"/>
        </w:rPr>
        <w:t>This article is l</w:t>
      </w:r>
      <w:r>
        <w:rPr>
          <w:sz w:val="14"/>
          <w:szCs w:val="14"/>
          <w:spacing w:val="-5"/>
        </w:rPr>
        <w:t>icensed under a Creative Commons Attribution 4.0 International License, which</w:t>
      </w:r>
    </w:p>
    <w:p>
      <w:pPr>
        <w:pStyle w:val="BodyText"/>
        <w:ind w:left="3" w:right="240" w:firstLine="4"/>
        <w:spacing w:before="1" w:line="224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permits use, sharing, adaptation, distribution and reproduction in any medium or format, as long as you give appropriate credit to the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4"/>
        </w:rPr>
        <w:t>original author(s) and the source, provide </w:t>
      </w:r>
      <w:r>
        <w:rPr>
          <w:sz w:val="14"/>
          <w:szCs w:val="14"/>
          <w:spacing w:val="-5"/>
        </w:rPr>
        <w:t>a link to the Creative Commons licence, and indicate if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-5"/>
        </w:rPr>
        <w:t>changes were made.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5"/>
        </w:rPr>
        <w:t>The images or</w:t>
      </w:r>
    </w:p>
    <w:p>
      <w:pPr>
        <w:pStyle w:val="BodyText"/>
        <w:ind w:right="159" w:firstLine="3"/>
        <w:spacing w:line="224" w:lineRule="auto"/>
        <w:rPr>
          <w:sz w:val="14"/>
          <w:szCs w:val="14"/>
        </w:rPr>
      </w:pPr>
      <w:r>
        <w:rPr>
          <w:sz w:val="14"/>
          <w:szCs w:val="14"/>
          <w:spacing w:val="-5"/>
        </w:rPr>
        <w:t>other third party material in this article are included in the article’s Creative Commons lice</w:t>
      </w:r>
      <w:r>
        <w:rPr>
          <w:sz w:val="14"/>
          <w:szCs w:val="14"/>
          <w:spacing w:val="-6"/>
        </w:rPr>
        <w:t>nce,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6"/>
        </w:rPr>
        <w:t>unless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6"/>
        </w:rPr>
        <w:t>indicated otherwise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6"/>
        </w:rPr>
        <w:t>in a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-6"/>
        </w:rPr>
        <w:t>credit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6"/>
        </w:rPr>
        <w:t>line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5"/>
        </w:rPr>
        <w:t>to the material. If material is not included in the article’s Creative Commons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5"/>
        </w:rPr>
        <w:t>licence </w:t>
      </w:r>
      <w:r>
        <w:rPr>
          <w:sz w:val="14"/>
          <w:szCs w:val="14"/>
          <w:spacing w:val="-6"/>
        </w:rPr>
        <w:t>and your intended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6"/>
        </w:rPr>
        <w:t>use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-6"/>
        </w:rPr>
        <w:t>is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6"/>
        </w:rPr>
        <w:t>not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-6"/>
        </w:rPr>
        <w:t>permitted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6"/>
        </w:rPr>
        <w:t>by statutory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4"/>
        </w:rPr>
        <w:t>regulation or exceeds the permitted u</w:t>
      </w:r>
      <w:r>
        <w:rPr>
          <w:sz w:val="14"/>
          <w:szCs w:val="14"/>
          <w:spacing w:val="-5"/>
        </w:rPr>
        <w:t>se, you will need to obtain permission directly from the copyright holder.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-5"/>
        </w:rPr>
        <w:t>To view a copy of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-5"/>
        </w:rPr>
        <w:t>this</w:t>
      </w:r>
      <w:r>
        <w:rPr>
          <w:sz w:val="14"/>
          <w:szCs w:val="14"/>
        </w:rPr>
        <w:t xml:space="preserve">     </w:t>
      </w:r>
      <w:r>
        <w:rPr>
          <w:sz w:val="14"/>
          <w:szCs w:val="14"/>
          <w:spacing w:val="-5"/>
        </w:rPr>
        <w:t>licence, visit</w:t>
      </w:r>
      <w:r>
        <w:rPr>
          <w:sz w:val="14"/>
          <w:szCs w:val="14"/>
          <w:spacing w:val="-8"/>
        </w:rPr>
        <w:t xml:space="preserve"> </w:t>
      </w:r>
      <w:hyperlink w:history="true" r:id="rId8">
        <w:r>
          <w:rPr>
            <w:sz w:val="14"/>
            <w:szCs w:val="14"/>
            <w:color w:val="0000FF"/>
            <w:spacing w:val="-5"/>
          </w:rPr>
          <w:t>http://creativecommons</w:t>
        </w:r>
        <w:r>
          <w:rPr>
            <w:sz w:val="14"/>
            <w:szCs w:val="14"/>
            <w:color w:val="0000FF"/>
            <w:spacing w:val="-6"/>
          </w:rPr>
          <w:t>.org/licenses/by/4.0/</w:t>
        </w:r>
      </w:hyperlink>
      <w:r>
        <w:rPr>
          <w:sz w:val="14"/>
          <w:szCs w:val="14"/>
          <w:spacing w:val="-6"/>
        </w:rPr>
        <w:t>.</w:t>
      </w:r>
    </w:p>
    <w:p>
      <w:pPr>
        <w:spacing w:line="224" w:lineRule="auto"/>
        <w:sectPr>
          <w:type w:val="continuous"/>
          <w:pgSz w:w="11906" w:h="15818"/>
          <w:pgMar w:top="587" w:right="1095" w:bottom="0" w:left="740" w:header="0" w:footer="0" w:gutter="0"/>
          <w:cols w:equalWidth="0" w:num="3">
            <w:col w:w="740" w:space="100"/>
            <w:col w:w="1934" w:space="100"/>
            <w:col w:w="7197" w:space="0"/>
          </w:cols>
        </w:sectPr>
        <w:rPr>
          <w:sz w:val="14"/>
          <w:szCs w:val="14"/>
        </w:rPr>
      </w:pP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p>
      <w:pPr>
        <w:sectPr>
          <w:headerReference w:type="default" r:id="rId9"/>
          <w:pgSz w:w="11906" w:h="15818"/>
          <w:pgMar w:top="858" w:right="1119" w:bottom="0" w:left="1132" w:header="612" w:footer="0" w:gutter="0"/>
          <w:cols w:equalWidth="0" w:num="1">
            <w:col w:w="9653" w:space="0"/>
          </w:cols>
        </w:sectPr>
        <w:rPr/>
      </w:pPr>
    </w:p>
    <w:p>
      <w:pPr>
        <w:ind w:right="182" w:firstLine="7"/>
        <w:spacing w:before="41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However,</w:t>
      </w:r>
      <w:r>
        <w:rPr>
          <w:rFonts w:ascii="Times New Roman" w:hAnsi="Times New Roman" w:eastAsia="Times New Roman" w:cs="Times New Roman"/>
          <w:sz w:val="19"/>
          <w:szCs w:val="19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burden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residual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remains,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  evolvement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  evidence–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medicine,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lot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recomme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ndations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additional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antithrombotic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medications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maximize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protection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those patients, Accordingly, 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Egyptian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Society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Car–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diology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(EgSC)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working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thrombosis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pre</w:t>
      </w:r>
      <w:r>
        <w:rPr>
          <w:rFonts w:ascii="Times New Roman" w:hAnsi="Times New Roman" w:eastAsia="Times New Roman" w:cs="Times New Roman"/>
          <w:sz w:val="19"/>
          <w:szCs w:val="1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vention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took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responsibility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providin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expert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consensus  on  the  current  recommendations  for  using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antithrombotic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medic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ations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maximize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protection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stable patients with established CVD,</w:t>
      </w:r>
    </w:p>
    <w:p>
      <w:pPr>
        <w:pStyle w:val="BodyText"/>
        <w:ind w:left="11"/>
        <w:spacing w:before="285" w:line="195" w:lineRule="auto"/>
        <w:outlineLvl w:val="1"/>
        <w:rPr/>
      </w:pPr>
      <w:r>
        <w:rPr>
          <w:b/>
          <w:bCs/>
          <w:spacing w:val="5"/>
        </w:rPr>
        <w:t>Main text</w:t>
      </w:r>
    </w:p>
    <w:p>
      <w:pPr>
        <w:pStyle w:val="BodyText"/>
        <w:ind w:left="14"/>
        <w:spacing w:before="7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Populations targeted by this report</w:t>
      </w:r>
    </w:p>
    <w:p>
      <w:pPr>
        <w:ind w:right="168" w:firstLine="9"/>
        <w:spacing w:before="28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cardiovas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cular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(CVD)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subsequent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CVD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events,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including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myocardial  infarction  (MI),  stroke,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death,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  high–risk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therapeutic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lifestyle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changes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physical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activity,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dietary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dification/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weight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loss,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smoking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cessation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proven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bene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fit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improve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beginning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within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matter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weeks,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addition,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adjunctive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therapies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proven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benefit include statins an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 aspirin, For the purpose of</w:t>
      </w:r>
      <w:r>
        <w:rPr>
          <w:rFonts w:ascii="Times New Roman" w:hAnsi="Times New Roman" w:eastAsia="Times New Roman" w:cs="Times New Roman"/>
          <w:sz w:val="19"/>
          <w:szCs w:val="19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report, we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addressing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 broad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group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 patien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ts who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already have signs or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symptoms of established CVD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 angina, transient ischemic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attack, or claudication,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report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broad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overview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approach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endorsed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EgSC working group of</w:t>
      </w:r>
      <w:r>
        <w:rPr>
          <w:rFonts w:ascii="Times New Roman" w:hAnsi="Times New Roman" w:eastAsia="Times New Roman" w:cs="Times New Roman"/>
          <w:sz w:val="19"/>
          <w:szCs w:val="19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thrombosis and prevention 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use of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additional antithrombotic medications for pre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vention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future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CVD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established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CVD,</w:t>
      </w:r>
    </w:p>
    <w:p>
      <w:pPr>
        <w:pStyle w:val="BodyText"/>
        <w:ind w:left="4"/>
        <w:spacing w:before="283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Antiplatelet therapy</w:t>
      </w:r>
    </w:p>
    <w:p>
      <w:pPr>
        <w:ind w:right="180" w:firstLine="8"/>
        <w:spacing w:before="22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   patients   with   establi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shed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atherosclerotic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CVD,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long–term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recommended,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ong–term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antiplatelet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therapy wit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reduces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sub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sequent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MI),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cardio</w:t>
      </w:r>
      <w:r>
        <w:rPr>
          <w:rFonts w:ascii="Times New Roman" w:hAnsi="Times New Roman" w:eastAsia="Times New Roman" w:cs="Times New Roman"/>
          <w:sz w:val="19"/>
          <w:szCs w:val="1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vascular  death  among  patients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with  chronic  coronary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syndromes</w:t>
      </w:r>
      <w:r>
        <w:rPr>
          <w:rFonts w:ascii="Times New Roman" w:hAnsi="Times New Roman" w:eastAsia="Times New Roman" w:cs="Times New Roman"/>
          <w:sz w:val="19"/>
          <w:szCs w:val="19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PAD,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unable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take aspirin and in those with a histor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y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bleeding, clopidogrel is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a reasonable alternative,</w:t>
      </w:r>
    </w:p>
    <w:p>
      <w:pPr>
        <w:ind w:left="3" w:right="182" w:firstLine="164"/>
        <w:spacing w:before="19" w:line="25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undergone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percutan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eous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coro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nary intervention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(PCI) with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stenti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ng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 those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had an acute coronary syndrome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(ACS),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4"/>
        </w:rPr>
        <w:t>2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Y</w:t>
      </w:r>
      <w:r>
        <w:rPr>
          <w:rFonts w:ascii="Times New Roman" w:hAnsi="Times New Roman" w:eastAsia="Times New Roman" w:cs="Times New Roman"/>
          <w:sz w:val="13"/>
          <w:szCs w:val="13"/>
          <w:spacing w:val="5"/>
          <w:position w:val="-4"/>
        </w:rPr>
        <w:t>12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receptor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blocker is added to aspi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rin for at least 6–12 months,</w:t>
      </w:r>
    </w:p>
    <w:p>
      <w:pPr>
        <w:ind w:left="1" w:right="182" w:firstLine="166"/>
        <w:spacing w:before="21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use of dual antiplatelet therapy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been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evalua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populations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ACS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who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have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THEMIS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trial 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[</w:t>
      </w:r>
      <w:hyperlink w:history="true" w:anchor="bookmark1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16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19,220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  chronic  coronary  syndrome  and  type  2  diabetes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mellitus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randomly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ticagrelor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60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placebo  twice  per  day,  All  patients  received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low–d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 once per day, Patients assigned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 random to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tica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grelor and aspirin had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10% lower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ischemic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CVD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events (cardiovascular death, MI, or str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oke) at 40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months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13" w:hanging="2"/>
        <w:spacing w:before="41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when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(7,7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8,5%;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hazard </w:t>
      </w:r>
      <w:r>
        <w:rPr>
          <w:rFonts w:ascii="Times New Roman" w:hAnsi="Times New Roman" w:eastAsia="Times New Roman" w:cs="Times New Roman"/>
          <w:sz w:val="19"/>
          <w:szCs w:val="19"/>
        </w:rPr>
        <w:t>ratio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 0,90,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0,81–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0,99) </w:t>
      </w:r>
      <w:r>
        <w:rPr>
          <w:rFonts w:ascii="Times New Roman" w:hAnsi="Times New Roman" w:eastAsia="Times New Roman" w:cs="Times New Roman"/>
          <w:sz w:val="19"/>
          <w:szCs w:val="19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highly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significant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 clinically important large increases of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major bleeding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(2,2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1,0%;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2,32, 95%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1,82–2,94)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intracranial </w:t>
      </w:r>
      <w:r>
        <w:rPr>
          <w:rFonts w:ascii="Times New Roman" w:hAnsi="Times New Roman" w:eastAsia="Times New Roman" w:cs="Times New Roman"/>
          <w:sz w:val="19"/>
          <w:szCs w:val="19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(0,7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0,5%;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HR 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1,71,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 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1,18–2,48),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 these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data, the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US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Food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Drug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Administra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  (FDA)  approved  dual  antiplatelet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herapy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population with or without diabetes, As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case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all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care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provider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must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weigh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benefits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occlusion against the risks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bleeding for each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their patients,</w:t>
      </w:r>
    </w:p>
    <w:p>
      <w:pPr>
        <w:ind w:firstLine="166"/>
        <w:spacing w:before="11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   a   prespecified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subgroup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THEMIS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THEMIS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[</w:t>
      </w:r>
      <w:hyperlink w:history="true" w:anchor="bookmark2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2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11,154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PCI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ticagrelor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, 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 15%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decreased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ischemic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CVD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compared with those assigned to aspirin and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placebo (7,3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8,6%;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0,85,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0,74–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0,97),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subgroup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assigned to ticagrelor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over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80%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increased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risks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>(2,0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1,1%),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Intracranial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occurred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>0,6%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both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groups,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subgroup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syndrome  and  type  2  diabetes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mellitus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PCI,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no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apparent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efit,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subgroup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analysis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contributes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formulation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hypothesis that patients with chronic cor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onary syndrome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 very high ischemic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sk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 low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 may have a net benefit with long–term dual antiplat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e</w:t>
      </w:r>
      <w:r>
        <w:rPr>
          <w:rFonts w:ascii="Times New Roman" w:hAnsi="Times New Roman" w:eastAsia="Times New Roman" w:cs="Times New Roman"/>
          <w:sz w:val="19"/>
          <w:szCs w:val="19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let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ticagrelor,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pro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viders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should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consider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possibilities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discussi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ons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 their patients,</w:t>
      </w:r>
    </w:p>
    <w:p>
      <w:pPr>
        <w:pStyle w:val="BodyText"/>
        <w:ind w:left="4"/>
        <w:spacing w:before="251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5"/>
          <w:position w:val="2"/>
        </w:rPr>
        <w:t>Anticoagulant therapy</w:t>
      </w:r>
    </w:p>
    <w:p>
      <w:pPr>
        <w:ind w:left="4" w:right="12" w:firstLine="4"/>
        <w:spacing w:before="24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antiplatelet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apy,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2,5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orally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may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considered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ome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atherosclerotic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CVD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bleeding,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COMPASS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trial,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which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detailed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below,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include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peripheral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disease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history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ischemic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multi–vessel  CAD,  incomplete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revasculariza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body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weight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&gt;</w:t>
      </w:r>
      <w:r>
        <w:rPr>
          <w:rFonts w:ascii="Times New Roman" w:hAnsi="Times New Roman" w:eastAsia="Times New Roman" w:cs="Times New Roman"/>
          <w:sz w:val="19"/>
          <w:szCs w:val="19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60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kg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>(132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pounds),</w:t>
      </w:r>
      <w:r>
        <w:rPr>
          <w:rFonts w:ascii="Times New Roman" w:hAnsi="Times New Roman" w:eastAsia="Times New Roman" w:cs="Times New Roman"/>
          <w:sz w:val="19"/>
          <w:szCs w:val="19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bypass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surgery,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ronic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kidney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disease,  or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multiple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prior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ischemic  even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5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substituting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adding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full–dose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anticoagulant therapy to aspirin therapy in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attempt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lower the risk of</w:t>
      </w:r>
      <w:r>
        <w:rPr>
          <w:rFonts w:ascii="Times New Roman" w:hAnsi="Times New Roman" w:eastAsia="Times New Roman" w:cs="Times New Roman"/>
          <w:sz w:val="19"/>
          <w:szCs w:val="19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subse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quent CVD events,</w:t>
      </w:r>
    </w:p>
    <w:p>
      <w:pPr>
        <w:ind w:left="3" w:right="10" w:firstLine="163"/>
        <w:spacing w:before="16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the  COMPASS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trial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[</w:t>
      </w:r>
      <w:hyperlink w:history="true" w:anchor="bookmark3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8"/>
          </w:rPr>
          <w:t>3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8"/>
        </w:rPr>
        <w:t>],  27,395 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sta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ble  CAD  or  peripheral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artery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disease  were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randomly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aspirin,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ne,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 aspirin alone with a mean follow–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up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23 months, 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rivaroxaban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combination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rm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2,5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orally</w:t>
      </w:r>
      <w:r>
        <w:rPr>
          <w:rFonts w:ascii="Times New Roman" w:hAnsi="Times New Roman" w:eastAsia="Times New Roman" w:cs="Times New Roman"/>
          <w:sz w:val="19"/>
          <w:szCs w:val="19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day;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rivaroxaban–only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arm,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dose was 5 mg orally twice per day, Compared wi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 those</w:t>
      </w:r>
    </w:p>
    <w:p>
      <w:pPr>
        <w:spacing w:line="261" w:lineRule="auto"/>
        <w:sectPr>
          <w:type w:val="continuous"/>
          <w:pgSz w:w="11906" w:h="15818"/>
          <w:pgMar w:top="858" w:right="1119" w:bottom="0" w:left="1132" w:header="612" w:footer="0" w:gutter="0"/>
          <w:cols w:equalWidth="0" w:num="2">
            <w:col w:w="4861" w:space="100"/>
            <w:col w:w="4693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55" w:line="24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3"/>
        </w:rPr>
        <w:t>Table</w:t>
      </w:r>
      <w:r>
        <w:rPr>
          <w:sz w:val="18"/>
          <w:szCs w:val="18"/>
          <w:b/>
          <w:bCs/>
          <w:spacing w:val="22"/>
          <w:w w:val="101"/>
        </w:rPr>
        <w:t xml:space="preserve"> </w:t>
      </w:r>
      <w:r>
        <w:rPr>
          <w:sz w:val="18"/>
          <w:szCs w:val="18"/>
          <w:b/>
          <w:bCs/>
          <w:spacing w:val="-3"/>
        </w:rPr>
        <w:t>1</w:t>
      </w:r>
      <w:r>
        <w:rPr>
          <w:sz w:val="18"/>
          <w:szCs w:val="18"/>
          <w:b/>
          <w:bCs/>
          <w:spacing w:val="10"/>
        </w:rPr>
        <w:t xml:space="preserve">  </w:t>
      </w:r>
      <w:r>
        <w:rPr>
          <w:sz w:val="18"/>
          <w:szCs w:val="18"/>
          <w:spacing w:val="-3"/>
        </w:rPr>
        <w:t>Major and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minor criteria 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bleeding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risk</w:t>
      </w:r>
    </w:p>
    <w:p>
      <w:pPr>
        <w:spacing w:line="69" w:lineRule="exact"/>
        <w:rPr/>
      </w:pPr>
      <w:r/>
    </w:p>
    <w:tbl>
      <w:tblPr>
        <w:tblStyle w:val="TableNormal"/>
        <w:tblW w:w="963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11"/>
        <w:gridCol w:w="4226"/>
      </w:tblGrid>
      <w:tr>
        <w:trPr>
          <w:trHeight w:val="318" w:hRule="atLeast"/>
        </w:trPr>
        <w:tc>
          <w:tcPr>
            <w:tcW w:w="54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"/>
              <w:spacing w:before="78" w:line="195" w:lineRule="auto"/>
              <w:rPr/>
            </w:pPr>
            <w:bookmarkStart w:name="bookmark4" w:id="1"/>
            <w:bookmarkEnd w:id="1"/>
            <w:r>
              <w:rPr>
                <w:b/>
                <w:bCs/>
                <w:spacing w:val="-2"/>
              </w:rPr>
              <w:t>Major</w:t>
            </w:r>
          </w:p>
        </w:tc>
        <w:tc>
          <w:tcPr>
            <w:tcW w:w="422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"/>
              <w:spacing w:before="78" w:line="188" w:lineRule="auto"/>
              <w:rPr/>
            </w:pPr>
            <w:r>
              <w:rPr>
                <w:b/>
                <w:bCs/>
                <w:spacing w:val="-1"/>
              </w:rPr>
              <w:t>Minor</w:t>
            </w:r>
          </w:p>
        </w:tc>
      </w:tr>
      <w:tr>
        <w:trPr>
          <w:trHeight w:val="291" w:hRule="atLeast"/>
        </w:trPr>
        <w:tc>
          <w:tcPr>
            <w:tcW w:w="5411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0"/>
              <w:spacing w:before="83" w:line="173" w:lineRule="auto"/>
              <w:rPr/>
            </w:pPr>
            <w:r>
              <w:rPr>
                <w:spacing w:val="-2"/>
              </w:rPr>
              <w:t>Age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≥</w:t>
            </w:r>
            <w:r>
              <w:rPr>
                <w:spacing w:val="-2"/>
              </w:rPr>
              <w:t>75 years</w:t>
            </w:r>
          </w:p>
        </w:tc>
      </w:tr>
      <w:tr>
        <w:trPr>
          <w:trHeight w:val="244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4"/>
              <w:spacing w:before="33" w:line="241" w:lineRule="auto"/>
              <w:rPr/>
            </w:pPr>
            <w:r>
              <w:rPr>
                <w:spacing w:val="-1"/>
              </w:rPr>
              <w:t>Anticipated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use of long-term or</w:t>
            </w:r>
            <w:r>
              <w:rPr>
                <w:spacing w:val="-2"/>
              </w:rPr>
              <w:t>al anticoagulation</w:t>
            </w:r>
          </w:p>
        </w:tc>
        <w:tc>
          <w:tcPr>
            <w:tcW w:w="4226" w:type="dxa"/>
            <w:vAlign w:val="top"/>
          </w:tcPr>
          <w:p>
            <w:pPr>
              <w:spacing w:line="234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6"/>
              <w:spacing w:before="31" w:line="241" w:lineRule="auto"/>
              <w:rPr/>
            </w:pPr>
            <w:r>
              <w:rPr>
                <w:spacing w:val="-1"/>
              </w:rPr>
              <w:t>Severe or end-stage CKD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1"/>
              </w:rPr>
              <w:t>(e</w:t>
            </w:r>
            <w:r>
              <w:rPr>
                <w:spacing w:val="-2"/>
              </w:rPr>
              <w:t>GFR &lt;30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mL/min)</w:t>
            </w:r>
          </w:p>
        </w:tc>
        <w:tc>
          <w:tcPr>
            <w:tcW w:w="4226" w:type="dxa"/>
            <w:vAlign w:val="top"/>
          </w:tcPr>
          <w:p>
            <w:pPr>
              <w:pStyle w:val="TableText"/>
              <w:ind w:left="125"/>
              <w:spacing w:before="32" w:line="242" w:lineRule="auto"/>
              <w:rPr/>
            </w:pPr>
            <w:r>
              <w:rPr>
                <w:spacing w:val="-3"/>
              </w:rPr>
              <w:t>Moderate CKD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(eGFR 30–59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mL/min)</w:t>
            </w:r>
          </w:p>
        </w:tc>
      </w:tr>
      <w:tr>
        <w:trPr>
          <w:trHeight w:val="242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2"/>
              <w:spacing w:before="31" w:line="241" w:lineRule="auto"/>
              <w:rPr/>
            </w:pPr>
            <w:r>
              <w:rPr>
                <w:spacing w:val="-1"/>
              </w:rPr>
              <w:t>Hemoglobin &lt; 11 g/dL</w:t>
            </w:r>
          </w:p>
        </w:tc>
        <w:tc>
          <w:tcPr>
            <w:tcW w:w="4226" w:type="dxa"/>
            <w:vAlign w:val="top"/>
          </w:tcPr>
          <w:p>
            <w:pPr>
              <w:pStyle w:val="TableText"/>
              <w:ind w:right="9"/>
              <w:spacing w:before="31" w:line="241" w:lineRule="auto"/>
              <w:jc w:val="right"/>
              <w:rPr/>
            </w:pPr>
            <w:r>
              <w:rPr>
                <w:spacing w:val="-2"/>
              </w:rPr>
              <w:t>Hemoglobin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2"/>
              </w:rPr>
              <w:t>11–12.9 g/dL for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men 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11–11.9 g/dL for women</w:t>
            </w:r>
          </w:p>
        </w:tc>
      </w:tr>
      <w:tr>
        <w:trPr>
          <w:trHeight w:val="905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6" w:right="111"/>
              <w:spacing w:before="31" w:line="231" w:lineRule="auto"/>
              <w:rPr/>
            </w:pPr>
            <w:r>
              <w:rPr>
                <w:spacing w:val="-2"/>
              </w:rPr>
              <w:t>Spontaneous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bleeding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requiring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2"/>
              </w:rPr>
              <w:t>hospitalization or transfusion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2"/>
              </w:rPr>
              <w:t>in the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past </w:t>
            </w:r>
            <w:r>
              <w:rPr>
                <w:spacing w:val="-3"/>
              </w:rPr>
              <w:t>6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months</w:t>
            </w:r>
            <w:r>
              <w:rPr/>
              <w:t xml:space="preserve"> </w:t>
            </w:r>
            <w:r>
              <w:rPr>
                <w:spacing w:val="-5"/>
              </w:rPr>
              <w:t>or at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any time,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5"/>
              </w:rPr>
              <w:t>if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recurrent</w:t>
            </w:r>
          </w:p>
          <w:p>
            <w:pPr>
              <w:pStyle w:val="TableText"/>
              <w:ind w:left="5" w:right="507" w:firstLine="4"/>
              <w:spacing w:before="25" w:line="236" w:lineRule="auto"/>
              <w:rPr/>
            </w:pPr>
            <w:r>
              <w:rPr>
                <w:spacing w:val="-3"/>
              </w:rPr>
              <w:t>Moderate or severe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baseline thrombocytopenia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3"/>
              </w:rPr>
              <w:t>(platelet count &lt; 1</w:t>
            </w:r>
            <w:r>
              <w:rPr>
                <w:spacing w:val="-4"/>
              </w:rPr>
              <w:t>00</w:t>
            </w:r>
            <w:r>
              <w:rPr>
                <w:spacing w:val="-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× </w:t>
            </w:r>
            <w:r>
              <w:rPr>
                <w:spacing w:val="-4"/>
              </w:rPr>
              <w:t>10</w:t>
            </w:r>
            <w:r>
              <w:rPr>
                <w:sz w:val="11"/>
                <w:szCs w:val="11"/>
                <w:spacing w:val="-4"/>
                <w:position w:val="6"/>
              </w:rPr>
              <w:t>9</w:t>
            </w:r>
            <w:r>
              <w:rPr>
                <w:spacing w:val="-4"/>
              </w:rPr>
              <w:t>/L)</w:t>
            </w:r>
            <w:r>
              <w:rPr/>
              <w:t xml:space="preserve"> </w:t>
            </w:r>
            <w:r>
              <w:rPr>
                <w:spacing w:val="-1"/>
              </w:rPr>
              <w:t>Chronic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bleeding diathesis</w:t>
            </w:r>
          </w:p>
        </w:tc>
        <w:tc>
          <w:tcPr>
            <w:tcW w:w="4226" w:type="dxa"/>
            <w:vAlign w:val="top"/>
          </w:tcPr>
          <w:p>
            <w:pPr>
              <w:pStyle w:val="TableText"/>
              <w:ind w:left="119" w:right="162" w:firstLine="3"/>
              <w:spacing w:before="31" w:line="231" w:lineRule="auto"/>
              <w:rPr/>
            </w:pPr>
            <w:r>
              <w:rPr>
                <w:spacing w:val="-2"/>
              </w:rPr>
              <w:t>Spontaneous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bleeding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requiring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hospitalization or transfusion</w:t>
            </w:r>
            <w:r>
              <w:rPr/>
              <w:t xml:space="preserve"> </w:t>
            </w:r>
            <w:r>
              <w:rPr>
                <w:spacing w:val="-3"/>
              </w:rPr>
              <w:t>within 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3"/>
              </w:rPr>
              <w:t>past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-3"/>
              </w:rPr>
              <w:t>12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months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meeting the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major criterion</w:t>
            </w:r>
          </w:p>
        </w:tc>
      </w:tr>
      <w:tr>
        <w:trPr>
          <w:trHeight w:val="242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2"/>
              <w:spacing w:before="32" w:line="241" w:lineRule="auto"/>
              <w:rPr/>
            </w:pPr>
            <w:r>
              <w:rPr>
                <w:spacing w:val="-3"/>
              </w:rPr>
              <w:t>Liver cirrhosis with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-3"/>
              </w:rPr>
              <w:t>portal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hypertension</w:t>
            </w:r>
          </w:p>
        </w:tc>
        <w:tc>
          <w:tcPr>
            <w:tcW w:w="4226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242" w:hRule="atLeast"/>
        </w:trPr>
        <w:tc>
          <w:tcPr>
            <w:tcW w:w="5411" w:type="dxa"/>
            <w:vAlign w:val="top"/>
          </w:tcPr>
          <w:p>
            <w:pPr>
              <w:spacing w:line="231" w:lineRule="exact"/>
              <w:rPr>
                <w:rFonts w:ascii="Arial"/>
                <w:sz w:val="20"/>
              </w:rPr>
            </w:pPr>
            <w:r/>
          </w:p>
        </w:tc>
        <w:tc>
          <w:tcPr>
            <w:tcW w:w="4226" w:type="dxa"/>
            <w:vAlign w:val="top"/>
          </w:tcPr>
          <w:p>
            <w:pPr>
              <w:pStyle w:val="TableText"/>
              <w:ind w:left="128"/>
              <w:spacing w:before="32" w:line="241" w:lineRule="auto"/>
              <w:rPr/>
            </w:pPr>
            <w:r>
              <w:rPr>
                <w:spacing w:val="-3"/>
              </w:rPr>
              <w:t>Long-term</w:t>
            </w:r>
            <w:r>
              <w:rPr>
                <w:spacing w:val="26"/>
              </w:rPr>
              <w:t xml:space="preserve"> </w:t>
            </w:r>
            <w:r>
              <w:rPr>
                <w:spacing w:val="-3"/>
              </w:rPr>
              <w:t>use of oral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NSAIDs or steroids</w:t>
            </w:r>
          </w:p>
        </w:tc>
      </w:tr>
      <w:tr>
        <w:trPr>
          <w:trHeight w:val="402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7" w:right="704" w:hanging="13"/>
              <w:spacing w:before="32" w:line="221" w:lineRule="auto"/>
              <w:rPr/>
            </w:pPr>
            <w:r>
              <w:rPr>
                <w:spacing w:val="-1"/>
              </w:rPr>
              <w:t>Active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malignancy*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(excluding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nonmelanoma skin cancer) within the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past</w:t>
            </w:r>
            <w:r>
              <w:rPr/>
              <w:t xml:space="preserve"> </w:t>
            </w:r>
            <w:r>
              <w:rPr>
                <w:spacing w:val="-5"/>
              </w:rPr>
              <w:t>12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months</w:t>
            </w:r>
          </w:p>
        </w:tc>
        <w:tc>
          <w:tcPr>
            <w:tcW w:w="4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1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2"/>
              <w:spacing w:before="52" w:line="241" w:lineRule="auto"/>
              <w:rPr/>
            </w:pPr>
            <w:r>
              <w:rPr>
                <w:spacing w:val="-3"/>
              </w:rPr>
              <w:t>Previous spontaneous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ICH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3"/>
              </w:rPr>
              <w:t>(at any time)</w:t>
            </w:r>
          </w:p>
        </w:tc>
        <w:tc>
          <w:tcPr>
            <w:tcW w:w="4226" w:type="dxa"/>
            <w:vAlign w:val="top"/>
          </w:tcPr>
          <w:p>
            <w:pPr>
              <w:pStyle w:val="TableText"/>
              <w:ind w:left="120"/>
              <w:spacing w:before="52" w:line="241" w:lineRule="auto"/>
              <w:rPr/>
            </w:pPr>
            <w:r>
              <w:rPr>
                <w:spacing w:val="-2"/>
              </w:rPr>
              <w:t>Any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2"/>
              </w:rPr>
              <w:t>ischemic stroke at any time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not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meeti</w:t>
            </w:r>
            <w:r>
              <w:rPr>
                <w:spacing w:val="-3"/>
              </w:rPr>
              <w:t>ng the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major criterion</w:t>
            </w:r>
          </w:p>
        </w:tc>
      </w:tr>
      <w:tr>
        <w:trPr>
          <w:trHeight w:val="254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2"/>
              <w:spacing w:before="33" w:line="241" w:lineRule="auto"/>
              <w:rPr/>
            </w:pPr>
            <w:r>
              <w:rPr>
                <w:spacing w:val="-3"/>
              </w:rPr>
              <w:t>Previous traumatic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ICH within the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past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12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m</w:t>
            </w:r>
            <w:r>
              <w:rPr>
                <w:spacing w:val="-4"/>
              </w:rPr>
              <w:t>onths</w:t>
            </w:r>
          </w:p>
        </w:tc>
        <w:tc>
          <w:tcPr>
            <w:tcW w:w="4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4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2"/>
              <w:spacing w:before="21" w:line="212" w:lineRule="auto"/>
              <w:rPr/>
            </w:pPr>
            <w:r>
              <w:rPr>
                <w:spacing w:val="-4"/>
              </w:rPr>
              <w:t>Presence of a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bAVM</w:t>
            </w:r>
          </w:p>
        </w:tc>
        <w:tc>
          <w:tcPr>
            <w:tcW w:w="4226" w:type="dxa"/>
            <w:vAlign w:val="top"/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509" w:hRule="atLeast"/>
        </w:trPr>
        <w:tc>
          <w:tcPr>
            <w:tcW w:w="5411" w:type="dxa"/>
            <w:vAlign w:val="top"/>
          </w:tcPr>
          <w:p>
            <w:pPr>
              <w:pStyle w:val="TableText"/>
              <w:ind w:left="12" w:right="1432" w:hanging="2"/>
              <w:spacing w:before="47" w:line="249" w:lineRule="auto"/>
              <w:rPr/>
            </w:pPr>
            <w:r>
              <w:rPr>
                <w:spacing w:val="-2"/>
              </w:rPr>
              <w:t>Moderate or severe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-2"/>
              </w:rPr>
              <w:t>ischemic stroke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-2"/>
                <w:position w:val="6"/>
              </w:rPr>
              <w:t>◊ </w:t>
            </w:r>
            <w:r>
              <w:rPr>
                <w:spacing w:val="-3"/>
              </w:rPr>
              <w:t>within the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past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6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months</w:t>
            </w:r>
            <w:r>
              <w:rPr/>
              <w:t xml:space="preserve"> </w:t>
            </w:r>
            <w:r>
              <w:rPr>
                <w:spacing w:val="-3"/>
              </w:rPr>
              <w:t>Nondeferrable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3"/>
              </w:rPr>
              <w:t>major surgery on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3"/>
              </w:rPr>
              <w:t>DAPT</w:t>
            </w:r>
          </w:p>
        </w:tc>
        <w:tc>
          <w:tcPr>
            <w:tcW w:w="42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541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"/>
              <w:spacing w:before="35" w:line="241" w:lineRule="auto"/>
              <w:rPr/>
            </w:pPr>
            <w:r>
              <w:rPr>
                <w:spacing w:val="-3"/>
              </w:rPr>
              <w:t>Recent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major surgery or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major trauma within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30 days</w:t>
            </w:r>
          </w:p>
        </w:tc>
        <w:tc>
          <w:tcPr>
            <w:tcW w:w="4226" w:type="dxa"/>
            <w:vAlign w:val="top"/>
            <w:tcBorders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" w:right="639" w:firstLine="1"/>
        <w:spacing w:before="47" w:line="246" w:lineRule="auto"/>
        <w:rPr>
          <w:sz w:val="14"/>
          <w:szCs w:val="14"/>
        </w:rPr>
      </w:pPr>
      <w:r>
        <w:rPr>
          <w:sz w:val="14"/>
          <w:szCs w:val="14"/>
          <w:i/>
          <w:iCs/>
        </w:rPr>
        <w:t>CKD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</w:rPr>
        <w:t>chronic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kidney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disease</w:t>
      </w:r>
      <w:r>
        <w:rPr>
          <w:sz w:val="14"/>
          <w:szCs w:val="14"/>
          <w:spacing w:val="2"/>
        </w:rPr>
        <w:t>, </w:t>
      </w:r>
      <w:r>
        <w:rPr>
          <w:sz w:val="14"/>
          <w:szCs w:val="14"/>
          <w:i/>
          <w:iCs/>
        </w:rPr>
        <w:t>eGFR</w:t>
      </w:r>
      <w:r>
        <w:rPr>
          <w:sz w:val="14"/>
          <w:szCs w:val="14"/>
          <w:i/>
          <w:iCs/>
          <w:spacing w:val="2"/>
        </w:rPr>
        <w:t xml:space="preserve"> </w:t>
      </w:r>
      <w:r>
        <w:rPr>
          <w:sz w:val="14"/>
          <w:szCs w:val="14"/>
        </w:rPr>
        <w:t>estimated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glomerular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filtration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rate</w:t>
      </w:r>
      <w:r>
        <w:rPr>
          <w:sz w:val="14"/>
          <w:szCs w:val="14"/>
          <w:spacing w:val="2"/>
        </w:rPr>
        <w:t>, </w:t>
      </w:r>
      <w:r>
        <w:rPr>
          <w:sz w:val="14"/>
          <w:szCs w:val="14"/>
          <w:i/>
          <w:iCs/>
        </w:rPr>
        <w:t>NSAID</w:t>
      </w:r>
      <w:r>
        <w:rPr>
          <w:sz w:val="14"/>
          <w:szCs w:val="14"/>
          <w:i/>
          <w:iCs/>
          <w:spacing w:val="7"/>
        </w:rPr>
        <w:t xml:space="preserve"> </w:t>
      </w:r>
      <w:r>
        <w:rPr>
          <w:sz w:val="14"/>
          <w:szCs w:val="14"/>
        </w:rPr>
        <w:t>nonsteroidal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anti</w:t>
      </w:r>
      <w:r>
        <w:rPr>
          <w:sz w:val="14"/>
          <w:szCs w:val="14"/>
          <w:spacing w:val="2"/>
        </w:rPr>
        <w:t>-</w:t>
      </w:r>
      <w:r>
        <w:rPr>
          <w:sz w:val="14"/>
          <w:szCs w:val="14"/>
        </w:rPr>
        <w:t>inflammatory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drug</w:t>
      </w:r>
      <w:r>
        <w:rPr>
          <w:sz w:val="14"/>
          <w:szCs w:val="14"/>
          <w:spacing w:val="2"/>
        </w:rPr>
        <w:t>, </w:t>
      </w:r>
      <w:r>
        <w:rPr>
          <w:sz w:val="14"/>
          <w:szCs w:val="14"/>
          <w:i/>
          <w:iCs/>
        </w:rPr>
        <w:t>ICH</w:t>
      </w:r>
      <w:r>
        <w:rPr>
          <w:sz w:val="14"/>
          <w:szCs w:val="14"/>
          <w:i/>
          <w:iCs/>
          <w:spacing w:val="5"/>
        </w:rPr>
        <w:t xml:space="preserve"> </w:t>
      </w:r>
      <w:r>
        <w:rPr>
          <w:sz w:val="14"/>
          <w:szCs w:val="14"/>
        </w:rPr>
        <w:t>intracranial</w:t>
      </w:r>
      <w:r>
        <w:rPr>
          <w:sz w:val="14"/>
          <w:szCs w:val="14"/>
          <w:spacing w:val="8"/>
          <w:w w:val="103"/>
        </w:rPr>
        <w:t xml:space="preserve"> </w:t>
      </w:r>
      <w:r>
        <w:rPr>
          <w:sz w:val="14"/>
          <w:szCs w:val="14"/>
        </w:rPr>
        <w:t>hemorrhage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i/>
          <w:iCs/>
        </w:rPr>
        <w:t>bAVM</w:t>
      </w:r>
      <w:r>
        <w:rPr>
          <w:sz w:val="14"/>
          <w:szCs w:val="14"/>
          <w:i/>
          <w:iCs/>
          <w:spacing w:val="8"/>
        </w:rPr>
        <w:t xml:space="preserve"> </w:t>
      </w:r>
      <w:r>
        <w:rPr>
          <w:sz w:val="14"/>
          <w:szCs w:val="14"/>
        </w:rPr>
        <w:t>brain </w:t>
      </w:r>
      <w:r>
        <w:rPr>
          <w:sz w:val="14"/>
          <w:szCs w:val="14"/>
        </w:rPr>
        <w:t>arteriovenous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malformation</w:t>
      </w:r>
      <w:r>
        <w:rPr>
          <w:sz w:val="14"/>
          <w:szCs w:val="14"/>
          <w:spacing w:val="7"/>
        </w:rPr>
        <w:t>, </w:t>
      </w:r>
      <w:r>
        <w:rPr>
          <w:sz w:val="14"/>
          <w:szCs w:val="14"/>
          <w:i/>
          <w:iCs/>
        </w:rPr>
        <w:t>DAPT</w:t>
      </w:r>
      <w:r>
        <w:rPr>
          <w:sz w:val="14"/>
          <w:szCs w:val="14"/>
          <w:i/>
          <w:iCs/>
          <w:spacing w:val="-3"/>
        </w:rPr>
        <w:t xml:space="preserve"> </w:t>
      </w:r>
      <w:r>
        <w:rPr>
          <w:sz w:val="14"/>
          <w:szCs w:val="14"/>
        </w:rPr>
        <w:t>dual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antiplatelet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therapy</w:t>
      </w:r>
      <w:r>
        <w:rPr>
          <w:sz w:val="14"/>
          <w:szCs w:val="14"/>
          <w:spacing w:val="7"/>
        </w:rPr>
        <w:t>, </w:t>
      </w:r>
      <w:r>
        <w:rPr>
          <w:sz w:val="14"/>
          <w:szCs w:val="14"/>
          <w:i/>
          <w:iCs/>
        </w:rPr>
        <w:t>PCI</w:t>
      </w:r>
      <w:r>
        <w:rPr>
          <w:sz w:val="14"/>
          <w:szCs w:val="14"/>
          <w:i/>
          <w:iCs/>
          <w:spacing w:val="7"/>
        </w:rPr>
        <w:t xml:space="preserve"> </w:t>
      </w:r>
      <w:r>
        <w:rPr>
          <w:sz w:val="14"/>
          <w:szCs w:val="14"/>
        </w:rPr>
        <w:t>percutaneous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intervention</w:t>
      </w:r>
    </w:p>
    <w:p>
      <w:pPr>
        <w:pStyle w:val="BodyText"/>
        <w:ind w:left="4"/>
        <w:spacing w:before="45" w:line="181" w:lineRule="exact"/>
        <w:rPr>
          <w:sz w:val="14"/>
          <w:szCs w:val="14"/>
        </w:rPr>
      </w:pPr>
      <w:r>
        <w:rPr>
          <w:sz w:val="14"/>
          <w:szCs w:val="14"/>
          <w:spacing w:val="7"/>
          <w:position w:val="2"/>
        </w:rPr>
        <w:t>*</w:t>
      </w:r>
      <w:r>
        <w:rPr>
          <w:sz w:val="14"/>
          <w:szCs w:val="14"/>
          <w:position w:val="2"/>
        </w:rPr>
        <w:t>Active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malignancy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is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defined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as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diagnosis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within</w:t>
      </w:r>
      <w:r>
        <w:rPr>
          <w:sz w:val="14"/>
          <w:szCs w:val="14"/>
          <w:spacing w:val="21"/>
          <w:w w:val="102"/>
          <w:position w:val="2"/>
        </w:rPr>
        <w:t xml:space="preserve"> </w:t>
      </w:r>
      <w:r>
        <w:rPr>
          <w:sz w:val="14"/>
          <w:szCs w:val="14"/>
          <w:spacing w:val="7"/>
          <w:position w:val="2"/>
        </w:rPr>
        <w:t>12 </w:t>
      </w:r>
      <w:r>
        <w:rPr>
          <w:sz w:val="14"/>
          <w:szCs w:val="14"/>
          <w:position w:val="2"/>
        </w:rPr>
        <w:t>months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and</w:t>
      </w:r>
      <w:r>
        <w:rPr>
          <w:sz w:val="14"/>
          <w:szCs w:val="14"/>
          <w:spacing w:val="7"/>
          <w:position w:val="2"/>
        </w:rPr>
        <w:t>/</w:t>
      </w:r>
      <w:r>
        <w:rPr>
          <w:sz w:val="14"/>
          <w:szCs w:val="14"/>
          <w:position w:val="2"/>
        </w:rPr>
        <w:t>or</w:t>
      </w:r>
      <w:r>
        <w:rPr>
          <w:sz w:val="14"/>
          <w:szCs w:val="14"/>
          <w:spacing w:val="3"/>
          <w:position w:val="2"/>
        </w:rPr>
        <w:t xml:space="preserve"> </w:t>
      </w:r>
      <w:r>
        <w:rPr>
          <w:sz w:val="14"/>
          <w:szCs w:val="14"/>
          <w:position w:val="2"/>
        </w:rPr>
        <w:t>ongoing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position w:val="2"/>
        </w:rPr>
        <w:t>requirement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for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position w:val="2"/>
        </w:rPr>
        <w:t>treatment</w:t>
      </w:r>
      <w:r>
        <w:rPr>
          <w:sz w:val="14"/>
          <w:szCs w:val="14"/>
          <w:spacing w:val="7"/>
          <w:position w:val="2"/>
        </w:rPr>
        <w:t xml:space="preserve"> (</w:t>
      </w:r>
      <w:r>
        <w:rPr>
          <w:sz w:val="14"/>
          <w:szCs w:val="14"/>
          <w:position w:val="2"/>
        </w:rPr>
        <w:t>including</w:t>
      </w:r>
      <w:r>
        <w:rPr>
          <w:sz w:val="14"/>
          <w:szCs w:val="14"/>
          <w:spacing w:val="3"/>
          <w:position w:val="2"/>
        </w:rPr>
        <w:t xml:space="preserve"> </w:t>
      </w:r>
      <w:r>
        <w:rPr>
          <w:sz w:val="14"/>
          <w:szCs w:val="14"/>
          <w:position w:val="2"/>
        </w:rPr>
        <w:t>surgery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position w:val="2"/>
        </w:rPr>
        <w:t>chemotherapy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3"/>
          <w:position w:val="2"/>
        </w:rPr>
        <w:t xml:space="preserve"> </w:t>
      </w:r>
      <w:r>
        <w:rPr>
          <w:sz w:val="14"/>
          <w:szCs w:val="14"/>
          <w:position w:val="2"/>
        </w:rPr>
        <w:t>or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position w:val="2"/>
        </w:rPr>
        <w:t>radiotherapy</w:t>
      </w:r>
      <w:r>
        <w:rPr>
          <w:sz w:val="14"/>
          <w:szCs w:val="14"/>
          <w:spacing w:val="7"/>
          <w:position w:val="2"/>
        </w:rPr>
        <w:t>)</w:t>
      </w:r>
    </w:p>
    <w:p>
      <w:pPr>
        <w:pStyle w:val="BodyText"/>
        <w:ind w:left="4"/>
        <w:spacing w:before="45" w:line="232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9"/>
          <w:szCs w:val="9"/>
          <w:spacing w:val="4"/>
          <w:position w:val="5"/>
        </w:rPr>
        <w:t>◊</w:t>
      </w:r>
      <w:r>
        <w:rPr>
          <w:rFonts w:ascii="Microsoft YaHei" w:hAnsi="Microsoft YaHei" w:eastAsia="Microsoft YaHei" w:cs="Microsoft YaHei"/>
          <w:sz w:val="9"/>
          <w:szCs w:val="9"/>
          <w:spacing w:val="13"/>
          <w:w w:val="102"/>
          <w:position w:val="5"/>
        </w:rPr>
        <w:t xml:space="preserve"> </w:t>
      </w:r>
      <w:r>
        <w:rPr>
          <w:sz w:val="14"/>
          <w:szCs w:val="14"/>
        </w:rPr>
        <w:t>National</w:t>
      </w:r>
      <w:r>
        <w:rPr>
          <w:sz w:val="14"/>
          <w:szCs w:val="14"/>
          <w:spacing w:val="8"/>
          <w:w w:val="101"/>
        </w:rPr>
        <w:t xml:space="preserve"> </w:t>
      </w:r>
      <w:r>
        <w:rPr>
          <w:sz w:val="14"/>
          <w:szCs w:val="14"/>
        </w:rPr>
        <w:t>Institutes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Health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Stroke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Scale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score</w:t>
      </w:r>
      <w:r>
        <w:rPr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≥</w:t>
      </w:r>
      <w:r>
        <w:rPr>
          <w:sz w:val="14"/>
          <w:szCs w:val="14"/>
          <w:spacing w:val="4"/>
        </w:rPr>
        <w:t>5</w:t>
      </w:r>
    </w:p>
    <w:p>
      <w:pPr>
        <w:spacing w:before="107"/>
        <w:rPr/>
      </w:pPr>
      <w:r/>
    </w:p>
    <w:p>
      <w:pPr>
        <w:sectPr>
          <w:headerReference w:type="default" r:id="rId10"/>
          <w:pgSz w:w="11906" w:h="15818"/>
          <w:pgMar w:top="858" w:right="1133" w:bottom="0" w:left="1133" w:header="612" w:footer="0" w:gutter="0"/>
          <w:cols w:equalWidth="0" w:num="1">
            <w:col w:w="9639" w:space="0"/>
          </w:cols>
        </w:sectPr>
        <w:rPr/>
      </w:pPr>
    </w:p>
    <w:p>
      <w:pPr>
        <w:ind w:left="2" w:right="181" w:firstLine="4"/>
        <w:spacing w:before="50" w:line="262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random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alone,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22%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decreases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(1,7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 2,2%;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0,78, 95%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0,64–0,96)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49%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decrease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ischemic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stroke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(0,7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1,4%;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0,51, 95%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0,38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–0,68), </w:t>
      </w:r>
      <w:r>
        <w:rPr>
          <w:rFonts w:ascii="Times New Roman" w:hAnsi="Times New Roman" w:eastAsia="Times New Roman" w:cs="Times New Roman"/>
          <w:sz w:val="19"/>
          <w:szCs w:val="19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also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possi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ble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nonsignificant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14%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reduction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MI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(1,9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2,2%;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0,86;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0,70–1,05), </w:t>
      </w:r>
      <w:r>
        <w:rPr>
          <w:rFonts w:ascii="Times New Roman" w:hAnsi="Times New Roman" w:eastAsia="Times New Roman" w:cs="Times New Roman"/>
          <w:sz w:val="19"/>
          <w:szCs w:val="19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expected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assigned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combination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had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70%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significant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rease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(3,1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1,9%;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1,70,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95%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CI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1,40–2,05), with the ga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strointestinal tract being the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common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site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major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bleeding,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 intracr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anial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hemorrhage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comparable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two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gr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oups,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Mortality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cardiovascular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outcomes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rivaroxaban–alone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aspirin–alone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groups,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but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there were more major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bleeding events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assigned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 rivaroxaban and aspirin,</w:t>
      </w:r>
    </w:p>
    <w:p>
      <w:pPr>
        <w:ind w:right="181" w:firstLine="165"/>
        <w:spacing w:before="17" w:line="262" w:lineRule="auto"/>
        <w:tabs>
          <w:tab w:val="left" w:pos="166"/>
        </w:tabs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  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prespecified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subgr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oup  analysis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  COM–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PASS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trial,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among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nearly</w:t>
      </w:r>
      <w:r>
        <w:rPr>
          <w:rFonts w:ascii="Times New Roman" w:hAnsi="Times New Roman" w:eastAsia="Times New Roman" w:cs="Times New Roman"/>
          <w:sz w:val="19"/>
          <w:szCs w:val="19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7500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participants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PAD,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reduced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composite</w:t>
      </w:r>
      <w:r>
        <w:rPr>
          <w:rFonts w:ascii="Times New Roman" w:hAnsi="Times New Roman" w:eastAsia="Times New Roman" w:cs="Times New Roman"/>
          <w:sz w:val="19"/>
          <w:szCs w:val="19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diovascular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death,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myocardial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infarc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tion,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stroke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com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pared</w:t>
      </w:r>
      <w:r>
        <w:rPr>
          <w:rFonts w:ascii="Times New Roman" w:hAnsi="Times New Roman" w:eastAsia="Times New Roman" w:cs="Times New Roman"/>
          <w:sz w:val="19"/>
          <w:szCs w:val="19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(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0,72,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95%  </w:t>
      </w:r>
      <w:r>
        <w:rPr>
          <w:rFonts w:ascii="Times New Roman" w:hAnsi="Times New Roman" w:eastAsia="Times New Roman" w:cs="Times New Roman"/>
          <w:sz w:val="19"/>
          <w:szCs w:val="19"/>
        </w:rPr>
        <w:t>CI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0,57–0,90)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along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adverse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limb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(1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2%;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0,54,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95% 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0,35–0,82),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benefit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PAD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DM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0,69, 95%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0,53–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0,91) </w:t>
      </w:r>
      <w:r>
        <w:rPr>
          <w:rFonts w:ascii="Times New Roman" w:hAnsi="Times New Roman" w:eastAsia="Times New Roman" w:cs="Times New Roman"/>
          <w:sz w:val="19"/>
          <w:szCs w:val="19"/>
        </w:rPr>
        <w:t>compared </w:t>
      </w:r>
      <w:r>
        <w:rPr>
          <w:rFonts w:ascii="Times New Roman" w:hAnsi="Times New Roman" w:eastAsia="Times New Roman" w:cs="Times New Roman"/>
          <w:sz w:val="19"/>
          <w:szCs w:val="19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those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DM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0,69, 95%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0,50–0,94)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[</w:t>
      </w:r>
      <w:hyperlink w:history="true" w:anchor="bookmark5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4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5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ab/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another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large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international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trial,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6564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nts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symptomatic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unde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rwent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successful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lower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"/>
        <w:spacing w:before="38" w:line="263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extremity revascularization within the prec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eding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10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days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were  randomly  assigned  to  rivaroxaban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2,5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mg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twice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daily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placebo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>aspirin  (VO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YAGER–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)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[</w:t>
      </w:r>
      <w:hyperlink w:history="true" w:anchor="bookmark6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7"/>
          </w:rPr>
          <w:t>5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7"/>
        </w:rPr>
        <w:t>],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Approximately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40%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VOYAGER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PAD trial had DM, Clopidogrel could be administere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 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up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6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after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revascul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arization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discretion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investigator and was used in 51%</w:t>
      </w:r>
      <w:r>
        <w:rPr>
          <w:rFonts w:ascii="Times New Roman" w:hAnsi="Times New Roman" w:eastAsia="Times New Roman" w:cs="Times New Roman"/>
          <w:sz w:val="19"/>
          <w:szCs w:val="19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participants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baseline,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median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28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months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follow–up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(inter–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quartile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range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22–34)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significantly reduced 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he primary efficacy outcome (com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posite outcome of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acute limb ischemia, major amputa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 vascular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causes,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yocardial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car–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diovascular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death)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placebo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plus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(17,3 </w:t>
      </w:r>
      <w:r>
        <w:rPr>
          <w:rFonts w:ascii="Times New Roman" w:hAnsi="Times New Roman" w:eastAsia="Times New Roman" w:cs="Times New Roman"/>
          <w:sz w:val="19"/>
          <w:szCs w:val="19"/>
        </w:rPr>
        <w:t>vs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19,9%; </w:t>
      </w:r>
      <w:r>
        <w:rPr>
          <w:rFonts w:ascii="Times New Roman" w:hAnsi="Times New Roman" w:eastAsia="Times New Roman" w:cs="Times New Roman"/>
          <w:sz w:val="19"/>
          <w:szCs w:val="19"/>
        </w:rPr>
        <w:t>HR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0,85, 95% </w:t>
      </w:r>
      <w:r>
        <w:rPr>
          <w:rFonts w:ascii="Times New Roman" w:hAnsi="Times New Roman" w:eastAsia="Times New Roman" w:cs="Times New Roman"/>
          <w:sz w:val="19"/>
          <w:szCs w:val="19"/>
        </w:rPr>
        <w:t>CI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0,79–0,96), </w:t>
      </w:r>
      <w:r>
        <w:rPr>
          <w:rFonts w:ascii="Times New Roman" w:hAnsi="Times New Roman" w:eastAsia="Times New Roman" w:cs="Times New Roman"/>
          <w:sz w:val="19"/>
          <w:szCs w:val="19"/>
        </w:rPr>
        <w:t>There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no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observed heterogenei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ty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treatment effect with rivaroxa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ban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participants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compared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without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diabetes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mellitus,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While</w:t>
      </w:r>
      <w:r>
        <w:rPr>
          <w:rFonts w:ascii="Times New Roman" w:hAnsi="Times New Roman" w:eastAsia="Times New Roman" w:cs="Times New Roman"/>
          <w:sz w:val="19"/>
          <w:szCs w:val="19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incidence</w:t>
      </w:r>
      <w:r>
        <w:rPr>
          <w:rFonts w:ascii="Times New Roman" w:hAnsi="Times New Roman" w:eastAsia="Times New Roman" w:cs="Times New Roman"/>
          <w:sz w:val="19"/>
          <w:szCs w:val="19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thrombolysis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myo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cardial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infarction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major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blee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ding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did</w:t>
      </w:r>
      <w:r>
        <w:rPr>
          <w:rFonts w:ascii="Times New Roman" w:hAnsi="Times New Roman" w:eastAsia="Times New Roman" w:cs="Times New Roman"/>
          <w:sz w:val="19"/>
          <w:szCs w:val="19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differ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between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groups, the incidence of</w:t>
      </w:r>
      <w:r>
        <w:rPr>
          <w:rFonts w:ascii="Times New Roman" w:hAnsi="Times New Roman" w:eastAsia="Times New Roman" w:cs="Times New Roman"/>
          <w:sz w:val="19"/>
          <w:szCs w:val="19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International Soc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iety on Throm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bosis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Haemostasis</w:t>
      </w:r>
      <w:r>
        <w:rPr>
          <w:rFonts w:ascii="Times New Roman" w:hAnsi="Times New Roman" w:eastAsia="Times New Roman" w:cs="Times New Roman"/>
          <w:sz w:val="19"/>
          <w:szCs w:val="19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bleeding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was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significantly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igher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rivaroxaban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alone</w:t>
      </w:r>
      <w:r>
        <w:rPr>
          <w:rFonts w:ascii="Times New Roman" w:hAnsi="Times New Roman" w:eastAsia="Times New Roman" w:cs="Times New Roman"/>
          <w:sz w:val="19"/>
          <w:szCs w:val="19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(6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vs, 4%; HR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1,42, 95%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CI</w:t>
      </w:r>
      <w:r>
        <w:rPr>
          <w:rFonts w:ascii="Times New Roman" w:hAnsi="Times New Roman" w:eastAsia="Times New Roman" w:cs="Times New Roman"/>
          <w:sz w:val="19"/>
          <w:szCs w:val="19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1,10–1,84),</w:t>
      </w:r>
    </w:p>
    <w:p>
      <w:pPr>
        <w:ind w:left="3" w:firstLine="164"/>
        <w:spacing w:before="17" w:line="260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role of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 in patients wit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hout established CVD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but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high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risk,</w:t>
      </w:r>
      <w:r>
        <w:rPr>
          <w:rFonts w:ascii="Times New Roman" w:hAnsi="Times New Roman" w:eastAsia="Times New Roman" w:cs="Times New Roman"/>
          <w:sz w:val="19"/>
          <w:szCs w:val="19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use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plu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anticoagulant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spe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cific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indication</w:t>
      </w:r>
      <w:r>
        <w:rPr>
          <w:rFonts w:ascii="Times New Roman" w:hAnsi="Times New Roman" w:eastAsia="Times New Roman" w:cs="Times New Roman"/>
          <w:sz w:val="19"/>
          <w:szCs w:val="19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antico</w:t>
      </w:r>
      <w:r>
        <w:rPr>
          <w:rFonts w:ascii="Times New Roman" w:hAnsi="Times New Roman" w:eastAsia="Times New Roman" w:cs="Times New Roman"/>
          <w:sz w:val="19"/>
          <w:szCs w:val="19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agulant,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atrial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fibrillation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veno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us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thrombo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embolic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disease,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optimal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antithrombotic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strategy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</w:p>
    <w:p>
      <w:pPr>
        <w:spacing w:line="260" w:lineRule="auto"/>
        <w:sectPr>
          <w:type w:val="continuous"/>
          <w:pgSz w:w="11906" w:h="15818"/>
          <w:pgMar w:top="858" w:right="1133" w:bottom="0" w:left="1133" w:header="612" w:footer="0" w:gutter="0"/>
          <w:cols w:equalWidth="0" w:num="2">
            <w:col w:w="4860" w:space="100"/>
            <w:col w:w="4679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3"/>
        <w:rPr/>
      </w:pPr>
      <w:r/>
    </w:p>
    <w:p>
      <w:pPr>
        <w:sectPr>
          <w:headerReference w:type="default" r:id="rId11"/>
          <w:pgSz w:w="11906" w:h="15818"/>
          <w:pgMar w:top="858" w:right="1132" w:bottom="0" w:left="1132" w:header="612" w:footer="0" w:gutter="0"/>
          <w:cols w:equalWidth="0" w:num="1">
            <w:col w:w="9641" w:space="0"/>
          </w:cols>
        </w:sectPr>
        <w:rPr/>
      </w:pPr>
    </w:p>
    <w:p>
      <w:pPr>
        <w:ind w:left="4" w:right="183" w:firstLine="1"/>
        <w:spacing w:before="43" w:line="259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other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reasons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anticoagulation,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such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atrial fibrillation, and the role of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anticoagulant therapy in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secondary prevention in patients with an ACS are beyond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the scope of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this report,</w:t>
      </w:r>
    </w:p>
    <w:p>
      <w:pPr>
        <w:pStyle w:val="BodyText"/>
        <w:ind w:left="3"/>
        <w:spacing w:before="251" w:line="225" w:lineRule="exact"/>
        <w:outlineLvl w:val="2"/>
        <w:rPr>
          <w:sz w:val="18"/>
          <w:szCs w:val="18"/>
        </w:rPr>
      </w:pPr>
      <w:r>
        <w:rPr>
          <w:sz w:val="18"/>
          <w:szCs w:val="18"/>
          <w:b/>
          <w:bCs/>
          <w:spacing w:val="4"/>
          <w:position w:val="2"/>
        </w:rPr>
        <w:t>Who are at high bleeding</w:t>
      </w:r>
      <w:r>
        <w:rPr>
          <w:sz w:val="18"/>
          <w:szCs w:val="18"/>
          <w:b/>
          <w:bCs/>
          <w:spacing w:val="9"/>
          <w:position w:val="2"/>
        </w:rPr>
        <w:t xml:space="preserve"> </w:t>
      </w:r>
      <w:r>
        <w:rPr>
          <w:sz w:val="18"/>
          <w:szCs w:val="18"/>
          <w:b/>
          <w:bCs/>
          <w:spacing w:val="4"/>
          <w:position w:val="2"/>
        </w:rPr>
        <w:t>risk?</w:t>
      </w:r>
    </w:p>
    <w:p>
      <w:pPr>
        <w:ind w:right="182" w:firstLine="9"/>
        <w:spacing w:before="24" w:line="262" w:lineRule="auto"/>
        <w:jc w:val="righ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Several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bleeding  ris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k  scores  have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been  developed  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validated,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mostly</w:t>
      </w:r>
      <w:r>
        <w:rPr>
          <w:rFonts w:ascii="Times New Roman" w:hAnsi="Times New Roman" w:eastAsia="Times New Roman" w:cs="Times New Roman"/>
          <w:sz w:val="19"/>
          <w:szCs w:val="19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receiving warfarin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atrial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fibrillation, However, the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authors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this report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cknowl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edge</w:t>
      </w:r>
      <w:r>
        <w:rPr>
          <w:rFonts w:ascii="Times New Roman" w:hAnsi="Times New Roman" w:eastAsia="Times New Roman" w:cs="Times New Roman"/>
          <w:sz w:val="19"/>
          <w:szCs w:val="19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that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these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scores</w:t>
      </w:r>
      <w:r>
        <w:rPr>
          <w:rFonts w:ascii="Times New Roman" w:hAnsi="Times New Roman" w:eastAsia="Times New Roman" w:cs="Times New Roman"/>
          <w:sz w:val="19"/>
          <w:szCs w:val="19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gen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erally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perform</w:t>
      </w:r>
      <w:r>
        <w:rPr>
          <w:rFonts w:ascii="Times New Roman" w:hAnsi="Times New Roman" w:eastAsia="Times New Roman" w:cs="Times New Roman"/>
          <w:sz w:val="19"/>
          <w:szCs w:val="19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signifi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cantly</w:t>
      </w:r>
      <w:r>
        <w:rPr>
          <w:rFonts w:ascii="Times New Roman" w:hAnsi="Times New Roman" w:eastAsia="Times New Roman" w:cs="Times New Roman"/>
          <w:sz w:val="19"/>
          <w:szCs w:val="19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better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than</w:t>
      </w:r>
      <w:r>
        <w:rPr>
          <w:rFonts w:ascii="Times New Roman" w:hAnsi="Times New Roman" w:eastAsia="Times New Roman" w:cs="Times New Roman"/>
          <w:sz w:val="19"/>
          <w:szCs w:val="19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proper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clinician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judgment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based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close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consideration</w:t>
      </w:r>
      <w:r>
        <w:rPr>
          <w:rFonts w:ascii="Times New Roman" w:hAnsi="Times New Roman" w:eastAsia="Times New Roman" w:cs="Times New Roman"/>
          <w:sz w:val="19"/>
          <w:szCs w:val="19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characteris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tics,</w:t>
      </w:r>
      <w:r>
        <w:rPr>
          <w:rFonts w:ascii="Times New Roman" w:hAnsi="Times New Roman" w:eastAsia="Times New Roman" w:cs="Times New Roman"/>
          <w:sz w:val="19"/>
          <w:szCs w:val="19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</w:t>
      </w:r>
      <w:r>
        <w:rPr>
          <w:rFonts w:ascii="Times New Roman" w:hAnsi="Times New Roman" w:eastAsia="Times New Roman" w:cs="Times New Roman"/>
          <w:sz w:val="19"/>
          <w:szCs w:val="19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example,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prospective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cohort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 515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patients,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subjec–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tive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estimates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bleed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ing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made</w:t>
      </w:r>
      <w:r>
        <w:rPr>
          <w:rFonts w:ascii="Times New Roman" w:hAnsi="Times New Roman" w:eastAsia="Times New Roman" w:cs="Times New Roman"/>
          <w:sz w:val="19"/>
          <w:szCs w:val="19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by</w:t>
      </w:r>
      <w:r>
        <w:rPr>
          <w:rFonts w:ascii="Times New Roman" w:hAnsi="Times New Roman" w:eastAsia="Times New Roman" w:cs="Times New Roman"/>
          <w:sz w:val="19"/>
          <w:szCs w:val="19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treating</w:t>
      </w:r>
      <w:r>
        <w:rPr>
          <w:rFonts w:ascii="Times New Roman" w:hAnsi="Times New Roman" w:eastAsia="Times New Roman" w:cs="Times New Roman"/>
          <w:sz w:val="19"/>
          <w:szCs w:val="19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cli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nicians  (mean  clinical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experience: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3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years)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had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similar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accuracy in predicting bleeding as use of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 risk score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[</w:t>
      </w:r>
      <w:hyperlink w:history="true" w:anchor="bookmark7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4"/>
          </w:rPr>
          <w:t>6</w:t>
        </w:r>
      </w:hyperlink>
      <w:r>
        <w:rPr>
          <w:rFonts w:ascii="Times New Roman" w:hAnsi="Times New Roman" w:eastAsia="Times New Roman" w:cs="Times New Roman"/>
          <w:sz w:val="19"/>
          <w:szCs w:val="19"/>
          <w:spacing w:val="4"/>
        </w:rPr>
        <w:t>],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We </w:t>
      </w:r>
      <w:r>
        <w:rPr>
          <w:rFonts w:ascii="Times New Roman" w:hAnsi="Times New Roman" w:eastAsia="Times New Roman" w:cs="Times New Roman"/>
          <w:sz w:val="19"/>
          <w:szCs w:val="19"/>
          <w:i/>
          <w:iCs/>
          <w:spacing w:val="10"/>
        </w:rPr>
        <w:t>recommend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using major and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minor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criteria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>of high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bleeding risk adopted from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COMPASS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trial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posed in Table </w:t>
      </w:r>
      <w:hyperlink w:history="true" w:anchor="bookmark4">
        <w:r>
          <w:rPr>
            <w:rFonts w:ascii="Times New Roman" w:hAnsi="Times New Roman" w:eastAsia="Times New Roman" w:cs="Times New Roman"/>
            <w:sz w:val="19"/>
            <w:szCs w:val="19"/>
            <w:color w:val="0000FF"/>
            <w:spacing w:val="5"/>
          </w:rPr>
          <w:t>1</w:t>
        </w:r>
      </w:hyperlink>
      <w:r>
        <w:rPr>
          <w:rFonts w:ascii="Times New Roman" w:hAnsi="Times New Roman" w:eastAsia="Times New Roman" w:cs="Times New Roman"/>
          <w:sz w:val="19"/>
          <w:szCs w:val="19"/>
          <w:color w:val="0000FF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 dec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iding whom to treat with an addi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tional</w:t>
      </w:r>
      <w:r>
        <w:rPr>
          <w:rFonts w:ascii="Times New Roman" w:hAnsi="Times New Roman" w:eastAsia="Times New Roman" w:cs="Times New Roman"/>
          <w:sz w:val="19"/>
          <w:szCs w:val="19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antithrombotic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medication</w:t>
      </w:r>
      <w:r>
        <w:rPr>
          <w:rFonts w:ascii="Times New Roman" w:hAnsi="Times New Roman" w:eastAsia="Times New Roman" w:cs="Times New Roman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able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with</w:t>
      </w:r>
    </w:p>
    <w:p>
      <w:pPr>
        <w:ind w:left="8"/>
        <w:spacing w:before="17" w:line="222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4"/>
          <w:position w:val="2"/>
        </w:rPr>
        <w:t>established CVD,</w:t>
      </w:r>
    </w:p>
    <w:p>
      <w:pPr>
        <w:pStyle w:val="BodyText"/>
        <w:ind w:left="8"/>
        <w:spacing w:before="284" w:line="196" w:lineRule="auto"/>
        <w:outlineLvl w:val="1"/>
        <w:rPr/>
      </w:pPr>
      <w:bookmarkStart w:name="bookmark1" w:id="2"/>
      <w:bookmarkEnd w:id="2"/>
      <w:r>
        <w:rPr>
          <w:b/>
          <w:bCs/>
          <w:spacing w:val="10"/>
        </w:rPr>
        <w:t>Conclusions</w:t>
      </w:r>
    </w:p>
    <w:p>
      <w:pPr>
        <w:ind w:left="3" w:right="181" w:firstLine="4"/>
        <w:spacing w:before="17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stable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patients  with   establishe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CVD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(including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those with PAD), in addition t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proper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lifestyle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measures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appropriate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statin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s,</w:t>
      </w:r>
      <w:r>
        <w:rPr>
          <w:rFonts w:ascii="Times New Roman" w:hAnsi="Times New Roman" w:eastAsia="Times New Roman" w:cs="Times New Roman"/>
          <w:sz w:val="19"/>
          <w:szCs w:val="19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recommend</w:t>
      </w:r>
      <w:r>
        <w:rPr>
          <w:rFonts w:ascii="Times New Roman" w:hAnsi="Times New Roman" w:eastAsia="Times New Roman" w:cs="Times New Roman"/>
          <w:sz w:val="19"/>
          <w:szCs w:val="19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long–term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bookmarkStart w:name="bookmark3" w:id="3"/>
      <w:bookmarkEnd w:id="3"/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aspirin therapy, Long–term antiplatelet therapy with aspi</w:t>
      </w:r>
      <w:r>
        <w:rPr>
          <w:rFonts w:ascii="Times New Roman" w:hAnsi="Times New Roman" w:eastAsia="Times New Roman" w:cs="Times New Roman"/>
          <w:sz w:val="19"/>
          <w:szCs w:val="19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rin</w:t>
      </w:r>
      <w:r>
        <w:rPr>
          <w:rFonts w:ascii="Times New Roman" w:hAnsi="Times New Roman" w:eastAsia="Times New Roman" w:cs="Times New Roman"/>
          <w:sz w:val="19"/>
          <w:szCs w:val="19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reduces</w:t>
      </w:r>
      <w:r>
        <w:rPr>
          <w:rFonts w:ascii="Times New Roman" w:hAnsi="Times New Roman" w:eastAsia="Times New Roman" w:cs="Times New Roman"/>
          <w:sz w:val="19"/>
          <w:szCs w:val="19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subsequent</w:t>
      </w:r>
      <w:r>
        <w:rPr>
          <w:rFonts w:ascii="Times New Roman" w:hAnsi="Times New Roman" w:eastAsia="Times New Roman" w:cs="Times New Roman"/>
          <w:sz w:val="19"/>
          <w:szCs w:val="19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MI,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stroke,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car–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bookmarkStart w:name="bookmark5" w:id="4"/>
      <w:bookmarkEnd w:id="4"/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diovascular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death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among patients with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chron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ic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syndromes</w:t>
      </w:r>
      <w:r>
        <w:rPr>
          <w:rFonts w:ascii="Times New Roman" w:hAnsi="Times New Roman" w:eastAsia="Times New Roman" w:cs="Times New Roman"/>
          <w:sz w:val="19"/>
          <w:szCs w:val="19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and/or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PAD,</w:t>
      </w:r>
      <w:r>
        <w:rPr>
          <w:rFonts w:ascii="Times New Roman" w:hAnsi="Times New Roman" w:eastAsia="Times New Roman" w:cs="Times New Roman"/>
          <w:sz w:val="19"/>
          <w:szCs w:val="19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patients</w:t>
      </w:r>
      <w:r>
        <w:rPr>
          <w:rFonts w:ascii="Times New Roman" w:hAnsi="Times New Roman" w:eastAsia="Times New Roman" w:cs="Times New Roman"/>
          <w:sz w:val="19"/>
          <w:szCs w:val="19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who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are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unable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to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take aspirin and in those with a hi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story of</w:t>
      </w:r>
      <w:r>
        <w:rPr>
          <w:rFonts w:ascii="Times New Roman" w:hAnsi="Times New Roman" w:eastAsia="Times New Roman" w:cs="Times New Roman"/>
          <w:sz w:val="19"/>
          <w:szCs w:val="19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gastrointestinal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bookmarkStart w:name="bookmark6" w:id="5"/>
      <w:bookmarkEnd w:id="5"/>
      <w:r>
        <w:rPr>
          <w:rFonts w:ascii="Times New Roman" w:hAnsi="Times New Roman" w:eastAsia="Times New Roman" w:cs="Times New Roman"/>
          <w:sz w:val="19"/>
          <w:szCs w:val="19"/>
          <w:spacing w:val="5"/>
        </w:rPr>
        <w:t>bleeding, clopidogre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 is a reasonable alternative,</w:t>
      </w:r>
    </w:p>
    <w:p>
      <w:pPr>
        <w:ind w:left="6" w:right="182" w:firstLine="161"/>
        <w:spacing w:before="17" w:line="261" w:lineRule="auto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most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patients with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chronic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coronary</w:t>
      </w:r>
      <w:r>
        <w:rPr>
          <w:rFonts w:ascii="Times New Roman" w:hAnsi="Times New Roman" w:eastAsia="Times New Roman" w:cs="Times New Roman"/>
          <w:sz w:val="19"/>
          <w:szCs w:val="19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synd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rome</w:t>
      </w:r>
      <w:r>
        <w:rPr>
          <w:rFonts w:ascii="Times New Roman" w:hAnsi="Times New Roman" w:eastAsia="Times New Roman" w:cs="Times New Roman"/>
          <w:sz w:val="19"/>
          <w:szCs w:val="19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on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bookmarkStart w:name="bookmark7" w:id="6"/>
      <w:bookmarkEnd w:id="6"/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antiplatelet</w:t>
      </w:r>
      <w:r>
        <w:rPr>
          <w:rFonts w:ascii="Times New Roman" w:hAnsi="Times New Roman" w:eastAsia="Times New Roman" w:cs="Times New Roman"/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therapy,</w:t>
      </w:r>
      <w:r>
        <w:rPr>
          <w:rFonts w:ascii="Times New Roman" w:hAnsi="Times New Roman" w:eastAsia="Times New Roman" w:cs="Times New Roman"/>
          <w:sz w:val="19"/>
          <w:szCs w:val="19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we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do</w:t>
      </w:r>
      <w:r>
        <w:rPr>
          <w:rFonts w:ascii="Times New Roman" w:hAnsi="Times New Roman" w:eastAsia="Times New Roman" w:cs="Times New Roman"/>
          <w:sz w:val="19"/>
          <w:szCs w:val="19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substitute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add</w:t>
      </w:r>
      <w:r>
        <w:rPr>
          <w:rFonts w:ascii="Times New Roman" w:hAnsi="Times New Roman" w:eastAsia="Times New Roman" w:cs="Times New Roman"/>
          <w:sz w:val="19"/>
          <w:szCs w:val="19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full</w:t>
      </w:r>
      <w:r>
        <w:rPr>
          <w:rFonts w:ascii="Times New Roman" w:hAnsi="Times New Roman" w:eastAsia="Times New Roman" w:cs="Times New Roman"/>
          <w:sz w:val="19"/>
          <w:szCs w:val="19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–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dose</w:t>
      </w:r>
      <w:r>
        <w:rPr>
          <w:rFonts w:ascii="Times New Roman" w:hAnsi="Times New Roman" w:eastAsia="Times New Roman" w:cs="Times New Roman"/>
          <w:sz w:val="19"/>
          <w:szCs w:val="19"/>
          <w:spacing w:val="6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oral</w:t>
      </w:r>
      <w:r>
        <w:rPr>
          <w:rFonts w:ascii="Times New Roman" w:hAnsi="Times New Roman" w:eastAsia="Times New Roman" w:cs="Times New Roman"/>
          <w:sz w:val="19"/>
          <w:szCs w:val="19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anticoagulant</w:t>
      </w:r>
      <w:r>
        <w:rPr>
          <w:rFonts w:ascii="Times New Roman" w:hAnsi="Times New Roman" w:eastAsia="Times New Roman" w:cs="Times New Roman"/>
          <w:sz w:val="19"/>
          <w:szCs w:val="19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therapy</w:t>
      </w:r>
      <w:r>
        <w:rPr>
          <w:rFonts w:ascii="Times New Roman" w:hAnsi="Times New Roman" w:eastAsia="Times New Roman" w:cs="Times New Roman"/>
          <w:sz w:val="19"/>
          <w:szCs w:val="19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to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therapy,</w:t>
      </w:r>
      <w:r>
        <w:rPr>
          <w:rFonts w:ascii="Times New Roman" w:hAnsi="Times New Roman" w:eastAsia="Times New Roman" w:cs="Times New Roman"/>
          <w:sz w:val="19"/>
          <w:szCs w:val="19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For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some stable atheroscl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erotic CVD patients who are at high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of cardiovascular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events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and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t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low</w:t>
      </w:r>
      <w:r>
        <w:rPr>
          <w:rFonts w:ascii="Times New Roman" w:hAnsi="Times New Roman" w:eastAsia="Times New Roman" w:cs="Times New Roman"/>
          <w:sz w:val="19"/>
          <w:szCs w:val="19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risk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of bleeding,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 regimen of rivaroxaban 2,5 mg</w:t>
      </w:r>
      <w:r>
        <w:rPr>
          <w:rFonts w:ascii="Times New Roman" w:hAnsi="Times New Roman" w:eastAsia="Times New Roman" w:cs="Times New Roman"/>
          <w:sz w:val="19"/>
          <w:szCs w:val="19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orally twice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per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day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>and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>aspirin should be considered,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46" w:line="192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Abbreviations</w:t>
      </w:r>
    </w:p>
    <w:p>
      <w:pPr>
        <w:pStyle w:val="BodyText"/>
        <w:ind w:left="6" w:right="2589" w:hanging="1"/>
        <w:spacing w:before="8" w:line="23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ACS              Acute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coronary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syndrome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CVD              Cardi</w:t>
      </w:r>
      <w:r>
        <w:rPr>
          <w:sz w:val="15"/>
          <w:szCs w:val="15"/>
          <w:spacing w:val="-2"/>
        </w:rPr>
        <w:t>ovascular disease</w:t>
      </w:r>
    </w:p>
    <w:p>
      <w:pPr>
        <w:pStyle w:val="BodyText"/>
        <w:ind w:left="13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EgSC</w:t>
      </w:r>
      <w:r>
        <w:rPr>
          <w:sz w:val="15"/>
          <w:szCs w:val="15"/>
          <w:spacing w:val="2"/>
        </w:rPr>
        <w:t xml:space="preserve">            </w:t>
      </w:r>
      <w:r>
        <w:rPr>
          <w:sz w:val="15"/>
          <w:szCs w:val="15"/>
          <w:spacing w:val="-1"/>
        </w:rPr>
        <w:t>Egyptian Society of Cardiology</w:t>
      </w:r>
    </w:p>
    <w:p>
      <w:pPr>
        <w:pStyle w:val="BodyText"/>
        <w:ind w:left="13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LDL               Low-density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lip</w:t>
      </w:r>
      <w:r>
        <w:rPr>
          <w:sz w:val="15"/>
          <w:szCs w:val="15"/>
          <w:spacing w:val="-2"/>
        </w:rPr>
        <w:t>oprotein</w:t>
      </w:r>
    </w:p>
    <w:p>
      <w:pPr>
        <w:pStyle w:val="BodyText"/>
        <w:ind w:left="10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MI                  Myocardial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infa</w:t>
      </w:r>
      <w:r>
        <w:rPr>
          <w:sz w:val="15"/>
          <w:szCs w:val="15"/>
          <w:spacing w:val="-4"/>
        </w:rPr>
        <w:t>rction</w:t>
      </w:r>
    </w:p>
    <w:p>
      <w:pPr>
        <w:pStyle w:val="BodyText"/>
        <w:ind w:left="13"/>
        <w:rPr>
          <w:sz w:val="15"/>
          <w:szCs w:val="15"/>
        </w:rPr>
      </w:pPr>
      <w:r>
        <w:rPr>
          <w:sz w:val="15"/>
          <w:szCs w:val="15"/>
          <w:spacing w:val="-2"/>
        </w:rPr>
        <w:t>PCI                Percutaneous coronary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intervention</w:t>
      </w:r>
    </w:p>
    <w:p>
      <w:pPr>
        <w:pStyle w:val="BodyText"/>
        <w:ind w:left="4"/>
        <w:spacing w:before="203" w:line="198" w:lineRule="auto"/>
        <w:outlineLvl w:val="1"/>
        <w:rPr>
          <w:sz w:val="15"/>
          <w:szCs w:val="15"/>
        </w:rPr>
      </w:pPr>
      <w:r>
        <w:rPr>
          <w:sz w:val="15"/>
          <w:szCs w:val="15"/>
          <w:b/>
          <w:bCs/>
          <w:spacing w:val="3"/>
        </w:rPr>
        <w:t>Acknowledgements</w:t>
      </w:r>
    </w:p>
    <w:p>
      <w:pPr>
        <w:pStyle w:val="BodyText"/>
        <w:ind w:left="3"/>
        <w:spacing w:before="2" w:line="24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We acknowledge the support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Egyptian Society of Cardiology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(EgSC)</w:t>
      </w:r>
    </w:p>
    <w:p>
      <w:pPr>
        <w:pStyle w:val="BodyText"/>
        <w:ind w:left="4"/>
        <w:spacing w:before="163" w:line="19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  <w:position w:val="1"/>
        </w:rPr>
        <w:t>Author contributions</w:t>
      </w:r>
    </w:p>
    <w:p>
      <w:pPr>
        <w:pStyle w:val="BodyText"/>
        <w:ind w:left="13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HK 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KS conceived and designed the consensus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2"/>
        </w:rPr>
        <w:t>nd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critically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revised the</w:t>
      </w:r>
    </w:p>
    <w:p>
      <w:pPr>
        <w:pStyle w:val="BodyText"/>
        <w:ind w:left="4" w:right="205" w:firstLine="8"/>
        <w:spacing w:before="1" w:line="22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manuscript. AB,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HM 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BZ were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major contributors 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initial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draft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writing. All authors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have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read and approved the final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manu</w:t>
      </w:r>
      <w:r>
        <w:rPr>
          <w:sz w:val="15"/>
          <w:szCs w:val="15"/>
          <w:spacing w:val="-3"/>
        </w:rPr>
        <w:t>script.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80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4"/>
        </w:rPr>
        <w:t>Funding</w:t>
      </w:r>
    </w:p>
    <w:p>
      <w:pPr>
        <w:pStyle w:val="BodyText"/>
        <w:ind w:left="12"/>
        <w:spacing w:before="2" w:line="24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No funding was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received.</w:t>
      </w:r>
    </w:p>
    <w:p>
      <w:pPr>
        <w:pStyle w:val="BodyText"/>
        <w:ind w:left="3"/>
        <w:spacing w:before="163" w:line="193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  <w:position w:val="2"/>
        </w:rPr>
        <w:t>Availability of data and </w:t>
      </w:r>
      <w:r>
        <w:rPr>
          <w:sz w:val="15"/>
          <w:szCs w:val="15"/>
          <w:b/>
          <w:bCs/>
          <w:spacing w:val="1"/>
          <w:position w:val="2"/>
        </w:rPr>
        <w:t>materials</w:t>
      </w:r>
    </w:p>
    <w:p>
      <w:pPr>
        <w:pStyle w:val="BodyText"/>
        <w:ind w:left="4"/>
        <w:rPr>
          <w:sz w:val="15"/>
          <w:szCs w:val="15"/>
        </w:rPr>
      </w:pPr>
      <w:r>
        <w:rPr>
          <w:sz w:val="15"/>
          <w:szCs w:val="15"/>
          <w:spacing w:val="-2"/>
        </w:rPr>
        <w:t>All data are available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upon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request from the corresponding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author(s).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55" w:line="19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Declarations</w:t>
      </w:r>
    </w:p>
    <w:p>
      <w:pPr>
        <w:pStyle w:val="BodyText"/>
        <w:ind w:left="10"/>
        <w:spacing w:before="166" w:line="193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  <w:position w:val="2"/>
        </w:rPr>
        <w:t>Ethics approval and consent to participate</w:t>
      </w:r>
    </w:p>
    <w:p>
      <w:pPr>
        <w:pStyle w:val="BodyText"/>
        <w:ind w:left="12"/>
        <w:spacing w:before="1"/>
        <w:rPr>
          <w:sz w:val="15"/>
          <w:szCs w:val="15"/>
        </w:rPr>
      </w:pPr>
      <w:r>
        <w:rPr>
          <w:sz w:val="15"/>
          <w:szCs w:val="15"/>
          <w:spacing w:val="-2"/>
        </w:rPr>
        <w:t>Not applicable.</w:t>
      </w:r>
    </w:p>
    <w:p>
      <w:pPr>
        <w:pStyle w:val="BodyText"/>
        <w:ind w:left="5"/>
        <w:spacing w:before="163" w:line="193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  <w:position w:val="2"/>
        </w:rPr>
        <w:t>Consent for publication</w:t>
      </w:r>
    </w:p>
    <w:p>
      <w:pPr>
        <w:pStyle w:val="BodyText"/>
        <w:ind w:left="12"/>
        <w:spacing w:before="1"/>
        <w:rPr>
          <w:sz w:val="15"/>
          <w:szCs w:val="15"/>
        </w:rPr>
      </w:pPr>
      <w:r>
        <w:rPr>
          <w:sz w:val="15"/>
          <w:szCs w:val="15"/>
          <w:spacing w:val="-2"/>
        </w:rPr>
        <w:t>Not applicable.</w:t>
      </w:r>
    </w:p>
    <w:p>
      <w:pPr>
        <w:pStyle w:val="BodyText"/>
        <w:ind w:left="5"/>
        <w:spacing w:before="163" w:line="193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2"/>
          <w:position w:val="2"/>
        </w:rPr>
        <w:t>Competing interests</w:t>
      </w:r>
    </w:p>
    <w:p>
      <w:pPr>
        <w:pStyle w:val="BodyText"/>
        <w:ind w:left="2" w:right="59" w:firstLine="9"/>
        <w:spacing w:before="2" w:line="243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Prof Hala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Mahfouz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Badran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is a co-author of 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3"/>
        </w:rPr>
        <w:t>report and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Editor-in-Chief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for the journal. She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has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not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handled this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manuscript.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Prof Ahmed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Bendary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2"/>
        </w:rPr>
        <w:t>a co-author of this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repo</w:t>
      </w:r>
      <w:r>
        <w:rPr>
          <w:sz w:val="15"/>
          <w:szCs w:val="15"/>
          <w:spacing w:val="-3"/>
        </w:rPr>
        <w:t>rt and an associate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editor for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the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journal.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3"/>
        </w:rPr>
        <w:t>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has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not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2"/>
        </w:rPr>
        <w:t>handled 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manuscript.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rest ofthe authors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have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no competing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interests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declare.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46" w:line="227" w:lineRule="auto"/>
        <w:rPr>
          <w:sz w:val="15"/>
          <w:szCs w:val="15"/>
        </w:rPr>
      </w:pPr>
      <w:r>
        <w:rPr>
          <w:sz w:val="15"/>
          <w:szCs w:val="15"/>
        </w:rPr>
        <w:t>Received: 8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</w:rPr>
        <w:t>November 2021   Accepted: 2 May 2</w:t>
      </w:r>
      <w:r>
        <w:rPr>
          <w:sz w:val="15"/>
          <w:szCs w:val="15"/>
          <w:spacing w:val="-1"/>
        </w:rPr>
        <w:t>023</w:t>
      </w:r>
    </w:p>
    <w:p>
      <w:pPr>
        <w:spacing w:before="1" w:line="207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spacing w:val="-21"/>
        </w:rPr>
        <w:t>published</w:t>
      </w:r>
      <w:r>
        <w:rPr>
          <w:rFonts w:ascii="Arial" w:hAnsi="Arial" w:eastAsia="Arial" w:cs="Arial"/>
          <w:sz w:val="21"/>
          <w:szCs w:val="21"/>
          <w:spacing w:val="-1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1"/>
        </w:rPr>
        <w:t>online:08May2023</w:t>
      </w:r>
      <w:r>
        <w:rPr>
          <w:rFonts w:ascii="Arial" w:hAnsi="Arial" w:eastAsia="Arial" w:cs="Arial"/>
          <w:sz w:val="21"/>
          <w:szCs w:val="21"/>
        </w:rPr>
        <w:t xml:space="preserve">         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47" w:line="194" w:lineRule="auto"/>
        <w:outlineLvl w:val="1"/>
        <w:rPr>
          <w:sz w:val="15"/>
          <w:szCs w:val="15"/>
        </w:rPr>
      </w:pPr>
      <w:bookmarkStart w:name="bookmark2" w:id="7"/>
      <w:bookmarkEnd w:id="7"/>
      <w:r>
        <w:rPr>
          <w:sz w:val="15"/>
          <w:szCs w:val="15"/>
          <w:b/>
          <w:bCs/>
        </w:rPr>
        <w:t>References</w:t>
      </w:r>
    </w:p>
    <w:p>
      <w:pPr>
        <w:pStyle w:val="BodyText"/>
        <w:ind w:left="305" w:right="140" w:hanging="268"/>
        <w:spacing w:before="8" w:line="236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1.     Steg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PG,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Bhatt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DL,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Simon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(2019)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Ticagrel</w:t>
      </w:r>
      <w:r>
        <w:rPr>
          <w:sz w:val="15"/>
          <w:szCs w:val="15"/>
          <w:spacing w:val="-4"/>
        </w:rPr>
        <w:t>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4"/>
        </w:rPr>
        <w:t>stable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coronary disease and diabetes.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Engl 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Med 381(14):1309–1320</w:t>
      </w:r>
    </w:p>
    <w:p>
      <w:pPr>
        <w:pStyle w:val="BodyText"/>
        <w:ind w:left="301" w:right="27" w:hanging="275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2.      Bhatt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DL, Steg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PG,</w:t>
      </w:r>
      <w:r>
        <w:rPr>
          <w:sz w:val="15"/>
          <w:szCs w:val="15"/>
          <w:spacing w:val="8"/>
          <w:w w:val="102"/>
        </w:rPr>
        <w:t xml:space="preserve"> </w:t>
      </w:r>
      <w:r>
        <w:rPr>
          <w:sz w:val="15"/>
          <w:szCs w:val="15"/>
          <w:spacing w:val="-3"/>
        </w:rPr>
        <w:t>Mehta SR et 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(2019)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Ticag</w:t>
      </w:r>
      <w:r>
        <w:rPr>
          <w:sz w:val="15"/>
          <w:szCs w:val="15"/>
          <w:spacing w:val="-4"/>
        </w:rPr>
        <w:t>relor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patients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4"/>
        </w:rPr>
        <w:t>with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4"/>
        </w:rPr>
        <w:t>diabe-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tes and chronic coronary syndrome with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history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of previous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percutane-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ous coronary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intervention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(THEMIS-PCI)</w:t>
      </w:r>
      <w:r>
        <w:rPr>
          <w:sz w:val="15"/>
          <w:szCs w:val="15"/>
          <w:spacing w:val="-3"/>
        </w:rPr>
        <w:t>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phase 3,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placebo-controlled,</w:t>
      </w:r>
      <w:r>
        <w:rPr>
          <w:sz w:val="15"/>
          <w:szCs w:val="15"/>
        </w:rPr>
        <w:t xml:space="preserve">     </w:t>
      </w:r>
      <w:r>
        <w:rPr>
          <w:sz w:val="15"/>
          <w:szCs w:val="15"/>
          <w:spacing w:val="-3"/>
        </w:rPr>
        <w:t>randomised trial.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3"/>
        </w:rPr>
        <w:t>Lancet 394(10204):1169–1180</w:t>
      </w:r>
    </w:p>
    <w:p>
      <w:pPr>
        <w:pStyle w:val="BodyText"/>
        <w:ind w:left="305" w:right="542" w:hanging="279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3.      Eikelboom JW, Connolly SJ,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3"/>
        </w:rPr>
        <w:t>Bosch J et 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(2017)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Rivaroxaban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or without aspirin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2"/>
        </w:rPr>
        <w:t>in stable </w:t>
      </w:r>
      <w:r>
        <w:rPr>
          <w:sz w:val="15"/>
          <w:szCs w:val="15"/>
          <w:spacing w:val="-3"/>
        </w:rPr>
        <w:t>cardiovascular disease.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Engl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377(14):1319–1330</w:t>
      </w:r>
    </w:p>
    <w:p>
      <w:pPr>
        <w:pStyle w:val="BodyText"/>
        <w:ind w:left="21"/>
        <w:spacing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4.     Anand SS,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3"/>
        </w:rPr>
        <w:t>Bosch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3"/>
        </w:rPr>
        <w:t>J,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3"/>
        </w:rPr>
        <w:t>Eikelboom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JW,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Connolly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al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3"/>
        </w:rPr>
        <w:t>(2018)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Rivaroxaban</w:t>
      </w:r>
    </w:p>
    <w:p>
      <w:pPr>
        <w:pStyle w:val="BodyText"/>
        <w:ind w:left="302" w:right="37"/>
        <w:spacing w:before="2" w:line="23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with or without aspirin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pa</w:t>
      </w:r>
      <w:r>
        <w:rPr>
          <w:sz w:val="15"/>
          <w:szCs w:val="15"/>
          <w:spacing w:val="-3"/>
        </w:rPr>
        <w:t>tients with stable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peripheral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carotid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3"/>
        </w:rPr>
        <w:t>artery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disease: an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-2"/>
        </w:rPr>
        <w:t>international,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randomised, double-blind,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placebo-control</w:t>
      </w:r>
      <w:r>
        <w:rPr>
          <w:sz w:val="15"/>
          <w:szCs w:val="15"/>
          <w:spacing w:val="-3"/>
        </w:rPr>
        <w:t>led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4"/>
        </w:rPr>
        <w:t>trial.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Lancet 391(10117):219–229</w:t>
      </w:r>
    </w:p>
    <w:p>
      <w:pPr>
        <w:pStyle w:val="BodyText"/>
        <w:ind w:left="306" w:right="593" w:hanging="280"/>
        <w:spacing w:before="3" w:line="235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5.      Bonaca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MP,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Bauersachs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RM, Anand</w:t>
      </w:r>
      <w:r>
        <w:rPr>
          <w:sz w:val="15"/>
          <w:szCs w:val="15"/>
          <w:spacing w:val="-5"/>
        </w:rPr>
        <w:t xml:space="preserve"> SS et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(2020)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5"/>
        </w:rPr>
        <w:t>Rivaroxaban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peripheral artery disease after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revascularizatio</w:t>
      </w:r>
      <w:r>
        <w:rPr>
          <w:sz w:val="15"/>
          <w:szCs w:val="15"/>
          <w:spacing w:val="-4"/>
        </w:rPr>
        <w:t>n.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4"/>
        </w:rPr>
        <w:t>Engl J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382(21):1994–2004</w:t>
      </w:r>
    </w:p>
    <w:p>
      <w:pPr>
        <w:pStyle w:val="BodyText"/>
        <w:ind w:left="309" w:right="40" w:hanging="284"/>
        <w:spacing w:before="1" w:line="23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6.      Donzé J,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Rodondi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3"/>
        </w:rPr>
        <w:t>N, Waeber G et 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(2012) Scores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4"/>
        </w:rPr>
        <w:t>predict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major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4"/>
        </w:rPr>
        <w:t>bleed-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risk during oral an</w:t>
      </w:r>
      <w:r>
        <w:rPr>
          <w:sz w:val="15"/>
          <w:szCs w:val="15"/>
          <w:spacing w:val="-2"/>
        </w:rPr>
        <w:t>ticoagulation therapy: 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prospective validation</w:t>
      </w:r>
    </w:p>
    <w:p>
      <w:pPr>
        <w:pStyle w:val="BodyText"/>
        <w:ind w:left="306"/>
        <w:rPr>
          <w:sz w:val="15"/>
          <w:szCs w:val="15"/>
        </w:rPr>
      </w:pPr>
      <w:r>
        <w:rPr>
          <w:sz w:val="15"/>
          <w:szCs w:val="15"/>
          <w:spacing w:val="-4"/>
        </w:rPr>
        <w:t>study. Am J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4"/>
        </w:rPr>
        <w:t>Med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125(11):1095–1102</w:t>
      </w:r>
    </w:p>
    <w:p>
      <w:pPr>
        <w:pStyle w:val="BodyText"/>
        <w:ind w:left="13"/>
        <w:spacing w:before="283" w:line="191" w:lineRule="auto"/>
        <w:rPr/>
      </w:pPr>
      <w:r>
        <w:rPr>
          <w:b/>
          <w:bCs/>
          <w:spacing w:val="6"/>
        </w:rPr>
        <w:t>Publisher’s Note</w:t>
      </w:r>
    </w:p>
    <w:p>
      <w:pPr>
        <w:pStyle w:val="BodyText"/>
        <w:ind w:left="11" w:right="214" w:hanging="5"/>
        <w:spacing w:line="23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Springer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Nature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remains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neutral with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regard </w:t>
      </w:r>
      <w:r>
        <w:rPr>
          <w:sz w:val="15"/>
          <w:szCs w:val="15"/>
          <w:spacing w:val="-3"/>
        </w:rPr>
        <w:t>to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jurisdictional claims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-3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pub-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lished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maps 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institutio</w:t>
      </w:r>
      <w:r>
        <w:rPr>
          <w:sz w:val="15"/>
          <w:szCs w:val="15"/>
          <w:spacing w:val="-3"/>
        </w:rPr>
        <w:t>nal affiliations.</w:t>
      </w:r>
    </w:p>
    <w:sectPr>
      <w:type w:val="continuous"/>
      <w:pgSz w:w="11906" w:h="15818"/>
      <w:pgMar w:top="858" w:right="1132" w:bottom="0" w:left="1132" w:header="612" w:footer="0" w:gutter="0"/>
      <w:cols w:equalWidth="0" w:num="2">
        <w:col w:w="4862" w:space="100"/>
        <w:col w:w="46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21" w:line="203" w:lineRule="exact"/>
      <w:rPr>
        <w:sz w:val="16"/>
        <w:szCs w:val="16"/>
      </w:rPr>
    </w:pPr>
    <w:r>
      <w:rPr>
        <w:sz w:val="16"/>
        <w:szCs w:val="16"/>
        <w:position w:val="2"/>
      </w:rPr>
      <w:t>Bendary </w:t>
    </w:r>
    <w:r>
      <w:rPr>
        <w:sz w:val="16"/>
        <w:szCs w:val="16"/>
        <w:i/>
        <w:iCs/>
        <w:position w:val="2"/>
      </w:rPr>
      <w:t>etal. The Egyptian Heart</w:t>
    </w:r>
    <w:r>
      <w:rPr>
        <w:sz w:val="16"/>
        <w:szCs w:val="16"/>
        <w:i/>
        <w:iCs/>
        <w:spacing w:val="-16"/>
        <w:position w:val="2"/>
      </w:rPr>
      <w:t xml:space="preserve"> </w:t>
    </w:r>
    <w:r>
      <w:rPr>
        <w:sz w:val="16"/>
        <w:szCs w:val="16"/>
        <w:i/>
        <w:iCs/>
        <w:position w:val="2"/>
      </w:rPr>
      <w:t>Journal         (2023) 75:40                                                        </w:t>
    </w:r>
    <w:r>
      <w:rPr>
        <w:sz w:val="16"/>
        <w:szCs w:val="16"/>
        <w:i/>
        <w:iCs/>
        <w:spacing w:val="-1"/>
        <w:position w:val="2"/>
      </w:rPr>
      <w:t xml:space="preserve">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5"/>
        <w:position w:val="2"/>
      </w:rPr>
      <w:t xml:space="preserve"> </w:t>
    </w:r>
    <w:r>
      <w:rPr>
        <w:sz w:val="16"/>
        <w:szCs w:val="16"/>
        <w:spacing w:val="-1"/>
        <w:position w:val="2"/>
      </w:rPr>
      <w:t>2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spacing w:val="-1"/>
        <w:position w:val="2"/>
      </w:rPr>
      <w:t>of 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203" w:lineRule="exact"/>
      <w:jc w:val="right"/>
      <w:rPr>
        <w:sz w:val="16"/>
        <w:szCs w:val="16"/>
      </w:rPr>
    </w:pPr>
    <w:r>
      <w:rPr>
        <w:sz w:val="16"/>
        <w:szCs w:val="16"/>
        <w:position w:val="2"/>
      </w:rPr>
      <w:t>Bendary </w:t>
    </w:r>
    <w:r>
      <w:rPr>
        <w:sz w:val="16"/>
        <w:szCs w:val="16"/>
        <w:i/>
        <w:iCs/>
        <w:position w:val="2"/>
      </w:rPr>
      <w:t>etal. The Egyptian Heart</w:t>
    </w:r>
    <w:r>
      <w:rPr>
        <w:sz w:val="16"/>
        <w:szCs w:val="16"/>
        <w:i/>
        <w:iCs/>
        <w:spacing w:val="-15"/>
        <w:position w:val="2"/>
      </w:rPr>
      <w:t xml:space="preserve"> </w:t>
    </w:r>
    <w:r>
      <w:rPr>
        <w:sz w:val="16"/>
        <w:szCs w:val="16"/>
        <w:i/>
        <w:iCs/>
        <w:position w:val="2"/>
      </w:rPr>
      <w:t>Journal         (2023) 75:40                                                     </w:t>
    </w:r>
    <w:r>
      <w:rPr>
        <w:sz w:val="16"/>
        <w:szCs w:val="16"/>
        <w:i/>
        <w:iCs/>
        <w:spacing w:val="-1"/>
        <w:position w:val="2"/>
      </w:rPr>
      <w:t xml:space="preserve">                                                                                           </w:t>
    </w:r>
    <w:r>
      <w:rPr>
        <w:sz w:val="16"/>
        <w:szCs w:val="16"/>
        <w:spacing w:val="-1"/>
        <w:position w:val="2"/>
      </w:rPr>
      <w:t>Page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spacing w:val="-1"/>
        <w:position w:val="2"/>
      </w:rPr>
      <w:t>3</w:t>
    </w:r>
    <w:r>
      <w:rPr>
        <w:sz w:val="16"/>
        <w:szCs w:val="16"/>
        <w:spacing w:val="4"/>
        <w:position w:val="2"/>
      </w:rPr>
      <w:t xml:space="preserve"> </w:t>
    </w:r>
    <w:r>
      <w:rPr>
        <w:sz w:val="16"/>
        <w:szCs w:val="16"/>
        <w:spacing w:val="-1"/>
        <w:position w:val="2"/>
      </w:rPr>
      <w:t>of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203" w:lineRule="exact"/>
      <w:jc w:val="right"/>
      <w:rPr>
        <w:sz w:val="16"/>
        <w:szCs w:val="16"/>
      </w:rPr>
    </w:pPr>
    <w:r>
      <w:rPr>
        <w:sz w:val="16"/>
        <w:szCs w:val="16"/>
        <w:position w:val="2"/>
      </w:rPr>
      <w:t>Bendary </w:t>
    </w:r>
    <w:r>
      <w:rPr>
        <w:sz w:val="16"/>
        <w:szCs w:val="16"/>
        <w:i/>
        <w:iCs/>
        <w:position w:val="2"/>
      </w:rPr>
      <w:t>etal. The Egyptian Heart</w:t>
    </w:r>
    <w:r>
      <w:rPr>
        <w:sz w:val="16"/>
        <w:szCs w:val="16"/>
        <w:i/>
        <w:iCs/>
        <w:spacing w:val="-15"/>
        <w:position w:val="2"/>
      </w:rPr>
      <w:t xml:space="preserve"> </w:t>
    </w:r>
    <w:r>
      <w:rPr>
        <w:sz w:val="16"/>
        <w:szCs w:val="16"/>
        <w:i/>
        <w:iCs/>
        <w:position w:val="2"/>
      </w:rPr>
      <w:t>Journal         (2023) 75:40                                                                 </w:t>
    </w:r>
    <w:r>
      <w:rPr>
        <w:sz w:val="16"/>
        <w:szCs w:val="16"/>
        <w:i/>
        <w:iCs/>
        <w:spacing w:val="-1"/>
        <w:position w:val="2"/>
      </w:rPr>
      <w:t xml:space="preserve">                                                                               </w:t>
    </w:r>
    <w:r>
      <w:rPr>
        <w:sz w:val="16"/>
        <w:szCs w:val="16"/>
        <w:spacing w:val="-1"/>
        <w:position w:val="2"/>
      </w:rPr>
      <w:t>Page 4 of 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hyperlink" Target="http://creativecommons.org/licenses/by/4.0/" TargetMode="Externa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hyperlink" Target="http://orcid.org/0000-0002-0161-3779" TargetMode="External"/><Relationship Id="rId3" Type="http://schemas.openxmlformats.org/officeDocument/2006/relationships/image" Target="media/image1.png"/><Relationship Id="rId2" Type="http://schemas.openxmlformats.org/officeDocument/2006/relationships/hyperlink" Target="http://crossmark.crossref.org/dialog/?doi=10.1186/s43044-023-00364-3&amp;domain=pdf" TargetMode="Externa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" Type="http://schemas.openxmlformats.org/officeDocument/2006/relationships/hyperlink" Target="https://doi.org/10.1186/s43044-023-00364-3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Boosting protection for patients with non-acute cardiovascular disease: a focus on antithrombotic regimen (a consensus expert opinion from the Egyptian Society of Cardiology working group of thrombosis and prevention)</dc:title>
  <dc:subject>The Egyptian Heart Journal, https://doi.org/10.1186/s43044-023-00364-3</dc:subject>
  <dc:creator>Ahmed Bendary</dc:creator>
  <cp:keywords>Rivaroxaban;Atherosclerosis;Risk;Egypt</cp:keywords>
  <dcterms:created xsi:type="dcterms:W3CDTF">2023-05-08T09:10:49Z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2025-10-29T09:36:20</vt:filetime>
  </property>
</Properties>
</file>