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72" w:line="224" w:lineRule="auto"/>
        <w:jc w:val="right"/>
        <w:rPr>
          <w:sz w:val="33"/>
          <w:szCs w:val="33"/>
        </w:rPr>
      </w:pPr>
      <w:r>
        <w:rPr>
          <w:sz w:val="33"/>
          <w:szCs w:val="33"/>
          <w:spacing w:val="-33"/>
        </w:rPr>
        <w:t>·</w:t>
      </w:r>
      <w:r>
        <w:rPr>
          <w:sz w:val="33"/>
          <w:szCs w:val="33"/>
          <w:spacing w:val="-88"/>
        </w:rPr>
        <w:t xml:space="preserve"> </w:t>
      </w:r>
      <w:r>
        <w:rPr>
          <w:sz w:val="33"/>
          <w:szCs w:val="33"/>
          <w:spacing w:val="-33"/>
        </w:rPr>
        <w:t>微共识</w:t>
      </w:r>
      <w:r>
        <w:rPr>
          <w:sz w:val="33"/>
          <w:szCs w:val="33"/>
          <w:spacing w:val="19"/>
        </w:rPr>
        <w:t xml:space="preserve"> </w:t>
      </w:r>
      <w:r>
        <w:rPr>
          <w:sz w:val="33"/>
          <w:szCs w:val="33"/>
          <w:spacing w:val="-33"/>
        </w:rPr>
        <w:t>·</w:t>
      </w:r>
    </w:p>
    <w:p>
      <w:pPr>
        <w:pStyle w:val="BodyText"/>
        <w:ind w:left="4039" w:right="765"/>
        <w:spacing w:before="297" w:line="228" w:lineRule="auto"/>
        <w:outlineLvl w:val="0"/>
        <w:rPr>
          <w:sz w:val="44"/>
          <w:szCs w:val="44"/>
        </w:rPr>
      </w:pPr>
      <w:r>
        <w:rPr>
          <w:sz w:val="44"/>
          <w:szCs w:val="44"/>
          <w:spacing w:val="33"/>
        </w:rPr>
        <w:t>高血压合并左心室肥厚诊治</w:t>
      </w:r>
      <w:r>
        <w:rPr>
          <w:sz w:val="44"/>
          <w:szCs w:val="44"/>
          <w:spacing w:val="2"/>
        </w:rPr>
        <w:t xml:space="preserve"> </w:t>
      </w:r>
      <w:r>
        <w:rPr>
          <w:sz w:val="44"/>
          <w:szCs w:val="44"/>
          <w:spacing w:val="29"/>
        </w:rPr>
        <w:t>专家共识</w:t>
      </w:r>
    </w:p>
    <w:p>
      <w:pPr>
        <w:spacing w:line="434" w:lineRule="auto"/>
        <w:rPr>
          <w:rFonts w:ascii="Arial"/>
          <w:sz w:val="21"/>
        </w:rPr>
      </w:pPr>
      <w:r/>
    </w:p>
    <w:p>
      <w:pPr>
        <w:ind w:left="4039"/>
        <w:spacing w:before="68" w:line="222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13"/>
        </w:rPr>
        <w:t>孙宁玲</w:t>
      </w:r>
      <w:r>
        <w:rPr>
          <w:rFonts w:ascii="KaiTi" w:hAnsi="KaiTi" w:eastAsia="KaiTi" w:cs="KaiTi"/>
          <w:sz w:val="21"/>
          <w:szCs w:val="21"/>
          <w:spacing w:val="13"/>
        </w:rPr>
        <w:t xml:space="preserve">   </w:t>
      </w:r>
      <w:r>
        <w:rPr>
          <w:rFonts w:ascii="KaiTi" w:hAnsi="KaiTi" w:eastAsia="KaiTi" w:cs="KaiTi"/>
          <w:sz w:val="21"/>
          <w:szCs w:val="21"/>
          <w:spacing w:val="13"/>
        </w:rPr>
        <w:t>施仲伟</w:t>
      </w:r>
      <w:r>
        <w:rPr>
          <w:rFonts w:ascii="SimSun" w:hAnsi="SimSun" w:eastAsia="SimSun" w:cs="SimSun"/>
          <w:sz w:val="21"/>
          <w:szCs w:val="21"/>
          <w:spacing w:val="13"/>
        </w:rPr>
        <w:t>²</w:t>
      </w:r>
      <w:r>
        <w:rPr>
          <w:rFonts w:ascii="KaiTi" w:hAnsi="KaiTi" w:eastAsia="KaiTi" w:cs="KaiTi"/>
          <w:sz w:val="21"/>
          <w:szCs w:val="21"/>
          <w:spacing w:val="13"/>
        </w:rPr>
        <w:t>霍勇</w:t>
      </w:r>
      <w:r>
        <w:rPr>
          <w:rFonts w:ascii="SimSun" w:hAnsi="SimSun" w:eastAsia="SimSun" w:cs="SimSun"/>
          <w:sz w:val="21"/>
          <w:szCs w:val="21"/>
          <w:spacing w:val="13"/>
        </w:rPr>
        <w:t>³</w:t>
      </w:r>
      <w:r>
        <w:rPr>
          <w:rFonts w:ascii="SimSun" w:hAnsi="SimSun" w:eastAsia="SimSun" w:cs="SimSun"/>
          <w:sz w:val="21"/>
          <w:szCs w:val="21"/>
          <w:spacing w:val="-78"/>
        </w:rPr>
        <w:t xml:space="preserve"> </w:t>
      </w:r>
      <w:r>
        <w:rPr>
          <w:rFonts w:ascii="KaiTi" w:hAnsi="KaiTi" w:eastAsia="KaiTi" w:cs="KaiTi"/>
          <w:sz w:val="21"/>
          <w:szCs w:val="21"/>
          <w:spacing w:val="13"/>
        </w:rPr>
        <w:t>高血压合并左心室肥厚诊治共</w:t>
      </w:r>
      <w:r>
        <w:rPr>
          <w:rFonts w:ascii="KaiTi" w:hAnsi="KaiTi" w:eastAsia="KaiTi" w:cs="KaiTi"/>
          <w:sz w:val="21"/>
          <w:szCs w:val="21"/>
          <w:spacing w:val="12"/>
        </w:rPr>
        <w:t>识专家组</w:t>
      </w:r>
    </w:p>
    <w:p>
      <w:pPr>
        <w:spacing w:before="231"/>
        <w:rPr/>
      </w:pPr>
      <w:r/>
    </w:p>
    <w:p>
      <w:pPr>
        <w:sectPr>
          <w:pgSz w:w="11910" w:h="16160"/>
          <w:pgMar w:top="819" w:right="1055" w:bottom="0" w:left="370" w:header="0" w:footer="0" w:gutter="0"/>
          <w:cols w:equalWidth="0" w:num="1">
            <w:col w:w="10485" w:space="0"/>
          </w:cols>
        </w:sectPr>
        <w:rPr/>
      </w:pPr>
    </w:p>
    <w:p>
      <w:pPr>
        <w:ind w:firstLine="840"/>
        <w:spacing w:before="52" w:line="2040" w:lineRule="exact"/>
        <w:rPr/>
      </w:pPr>
      <w:r>
        <w:rPr>
          <w:position w:val="-40"/>
        </w:rPr>
        <w:drawing>
          <wp:inline distT="0" distB="0" distL="0" distR="0">
            <wp:extent cx="1873242" cy="129542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3242" cy="129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70"/>
        <w:spacing w:before="123" w:line="21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spacing w:val="-13"/>
        </w:rPr>
        <w:t>孙宁玲</w:t>
      </w:r>
      <w:r>
        <w:rPr>
          <w:rFonts w:ascii="KaiTi" w:hAnsi="KaiTi" w:eastAsia="KaiTi" w:cs="KaiTi"/>
          <w:sz w:val="16"/>
          <w:szCs w:val="16"/>
          <w:spacing w:val="-13"/>
        </w:rPr>
        <w:t xml:space="preserve">               </w:t>
      </w:r>
      <w:r>
        <w:rPr>
          <w:rFonts w:ascii="KaiTi" w:hAnsi="KaiTi" w:eastAsia="KaiTi" w:cs="KaiTi"/>
          <w:sz w:val="16"/>
          <w:szCs w:val="16"/>
          <w:color w:val="404040"/>
          <w:spacing w:val="-13"/>
        </w:rPr>
        <w:t>施仲伟</w:t>
      </w:r>
    </w:p>
    <w:p>
      <w:pPr>
        <w:ind w:firstLine="840"/>
        <w:spacing w:line="2040" w:lineRule="exact"/>
        <w:rPr/>
      </w:pPr>
      <w:r>
        <w:rPr>
          <w:position w:val="-40"/>
        </w:rPr>
        <w:drawing>
          <wp:inline distT="0" distB="0" distL="0" distR="0">
            <wp:extent cx="939759" cy="1295424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9759" cy="129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19"/>
        <w:spacing w:before="143" w:line="22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405050"/>
          <w:spacing w:val="-2"/>
        </w:rPr>
        <w:t>霍勇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469879</wp:posOffset>
            </wp:positionH>
            <wp:positionV relativeFrom="paragraph">
              <wp:posOffset>138695</wp:posOffset>
            </wp:positionV>
            <wp:extent cx="2006575" cy="6362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6575" cy="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789" w:right="166"/>
        <w:spacing w:before="5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2"/>
        </w:rPr>
        <w:t>作者单位</w:t>
      </w:r>
      <w:r>
        <w:rPr>
          <w:rFonts w:ascii="KaiTi" w:hAnsi="KaiTi" w:eastAsia="KaiTi" w:cs="KaiTi"/>
          <w:sz w:val="16"/>
          <w:szCs w:val="16"/>
          <w:spacing w:val="-2"/>
        </w:rPr>
        <w:t>：</w:t>
      </w:r>
      <w:r>
        <w:rPr>
          <w:rFonts w:ascii="SimSun" w:hAnsi="SimSun" w:eastAsia="SimSun" w:cs="SimSun"/>
          <w:sz w:val="16"/>
          <w:szCs w:val="16"/>
          <w:spacing w:val="-2"/>
        </w:rPr>
        <w:t>¹</w:t>
      </w:r>
      <w:r>
        <w:rPr>
          <w:rFonts w:ascii="KaiTi" w:hAnsi="KaiTi" w:eastAsia="KaiTi" w:cs="KaiTi"/>
          <w:sz w:val="16"/>
          <w:szCs w:val="16"/>
          <w:spacing w:val="-2"/>
        </w:rPr>
        <w:t>北京大学人民医院高血压研究</w:t>
      </w:r>
      <w:r>
        <w:rPr>
          <w:rFonts w:ascii="KaiTi" w:hAnsi="KaiTi" w:eastAsia="KaiTi" w:cs="KaiTi"/>
          <w:sz w:val="16"/>
          <w:szCs w:val="16"/>
          <w:spacing w:val="12"/>
        </w:rPr>
        <w:t xml:space="preserve"> </w:t>
      </w:r>
      <w:r>
        <w:rPr>
          <w:rFonts w:ascii="KaiTi" w:hAnsi="KaiTi" w:eastAsia="KaiTi" w:cs="KaiTi"/>
          <w:sz w:val="16"/>
          <w:szCs w:val="16"/>
          <w:spacing w:val="4"/>
        </w:rPr>
        <w:t>室100044;</w:t>
      </w:r>
      <w:r>
        <w:rPr>
          <w:rFonts w:ascii="SimSun" w:hAnsi="SimSun" w:eastAsia="SimSun" w:cs="SimSun"/>
          <w:sz w:val="16"/>
          <w:szCs w:val="16"/>
          <w:spacing w:val="4"/>
        </w:rPr>
        <w:t>²</w:t>
      </w:r>
      <w:r>
        <w:rPr>
          <w:rFonts w:ascii="KaiTi" w:hAnsi="KaiTi" w:eastAsia="KaiTi" w:cs="KaiTi"/>
          <w:sz w:val="16"/>
          <w:szCs w:val="16"/>
          <w:spacing w:val="4"/>
        </w:rPr>
        <w:t>上海交通大学附属瑞金医院心</w:t>
      </w:r>
      <w:r>
        <w:rPr>
          <w:rFonts w:ascii="KaiTi" w:hAnsi="KaiTi" w:eastAsia="KaiTi" w:cs="KaiTi"/>
          <w:sz w:val="16"/>
          <w:szCs w:val="16"/>
          <w:spacing w:val="4"/>
        </w:rPr>
        <w:t xml:space="preserve"> </w:t>
      </w:r>
      <w:r>
        <w:rPr>
          <w:rFonts w:ascii="KaiTi" w:hAnsi="KaiTi" w:eastAsia="KaiTi" w:cs="KaiTi"/>
          <w:sz w:val="16"/>
          <w:szCs w:val="16"/>
          <w:spacing w:val="6"/>
        </w:rPr>
        <w:t>内科200025;</w:t>
      </w:r>
      <w:r>
        <w:rPr>
          <w:rFonts w:ascii="SimSun" w:hAnsi="SimSun" w:eastAsia="SimSun" w:cs="SimSun"/>
          <w:sz w:val="16"/>
          <w:szCs w:val="16"/>
          <w:spacing w:val="6"/>
        </w:rPr>
        <w:t>³</w:t>
      </w:r>
      <w:r>
        <w:rPr>
          <w:rFonts w:ascii="KaiTi" w:hAnsi="KaiTi" w:eastAsia="KaiTi" w:cs="KaiTi"/>
          <w:sz w:val="16"/>
          <w:szCs w:val="16"/>
          <w:spacing w:val="6"/>
        </w:rPr>
        <w:t>北京大学第一医院心内科</w:t>
      </w:r>
      <w:r>
        <w:rPr>
          <w:rFonts w:ascii="KaiTi" w:hAnsi="KaiTi" w:eastAsia="KaiTi" w:cs="KaiTi"/>
          <w:sz w:val="16"/>
          <w:szCs w:val="16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100034</w:t>
      </w:r>
    </w:p>
    <w:p>
      <w:pPr>
        <w:pStyle w:val="BodyText"/>
        <w:ind w:left="789" w:right="138"/>
        <w:spacing w:before="2" w:line="24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spacing w:val="-10"/>
        </w:rPr>
        <w:t>*前2位作者对本文有同等贡献，均为第一作者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5"/>
        </w:rPr>
        <w:t>通信作者：霍勇，</w:t>
      </w: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Email!huoyong@263.net.cn</w:t>
      </w:r>
    </w:p>
    <w:p>
      <w:pPr>
        <w:pStyle w:val="BodyText"/>
        <w:ind w:left="789"/>
        <w:spacing w:before="42" w:line="224" w:lineRule="auto"/>
        <w:rPr>
          <w:sz w:val="16"/>
          <w:szCs w:val="16"/>
        </w:rPr>
      </w:pPr>
      <w:r>
        <w:rPr>
          <w:sz w:val="16"/>
          <w:szCs w:val="16"/>
          <w:spacing w:val="-16"/>
        </w:rPr>
        <w:t>基金项目：无</w:t>
      </w:r>
    </w:p>
    <w:p>
      <w:pPr>
        <w:ind w:left="789" w:right="68"/>
        <w:spacing w:before="7" w:line="24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6"/>
        </w:rPr>
        <w:t>引</w:t>
      </w:r>
      <w:r>
        <w:rPr>
          <w:rFonts w:ascii="SimHei" w:hAnsi="SimHei" w:eastAsia="SimHei" w:cs="SimHei"/>
          <w:sz w:val="16"/>
          <w:szCs w:val="16"/>
          <w:spacing w:val="-24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6"/>
        </w:rPr>
        <w:t>用</w:t>
      </w:r>
      <w:r>
        <w:rPr>
          <w:rFonts w:ascii="SimHei" w:hAnsi="SimHei" w:eastAsia="SimHei" w:cs="SimHei"/>
          <w:sz w:val="16"/>
          <w:szCs w:val="16"/>
          <w:spacing w:val="-29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6"/>
        </w:rPr>
        <w:t>格</w:t>
      </w:r>
      <w:r>
        <w:rPr>
          <w:rFonts w:ascii="SimHei" w:hAnsi="SimHei" w:eastAsia="SimHei" w:cs="SimHei"/>
          <w:sz w:val="16"/>
          <w:szCs w:val="16"/>
          <w:spacing w:val="-25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6"/>
        </w:rPr>
        <w:t>式</w:t>
      </w:r>
      <w:r>
        <w:rPr>
          <w:rFonts w:ascii="KaiTi" w:hAnsi="KaiTi" w:eastAsia="KaiTi" w:cs="KaiTi"/>
          <w:sz w:val="16"/>
          <w:szCs w:val="16"/>
          <w:spacing w:val="6"/>
        </w:rPr>
        <w:t>：孙宁玲，施仲伟，霍勇，等.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38"/>
        </w:rPr>
        <w:t>高血压合并左心室肥厚诊治专家共</w:t>
      </w:r>
      <w:r>
        <w:rPr>
          <w:rFonts w:ascii="KaiTi" w:hAnsi="KaiTi" w:eastAsia="KaiTi" w:cs="KaiTi"/>
          <w:sz w:val="16"/>
          <w:szCs w:val="16"/>
          <w:spacing w:val="3"/>
        </w:rPr>
        <w:t xml:space="preserve">  </w:t>
      </w:r>
      <w:r>
        <w:rPr>
          <w:rFonts w:ascii="KaiTi" w:hAnsi="KaiTi" w:eastAsia="KaiTi" w:cs="KaiTi"/>
          <w:sz w:val="16"/>
          <w:szCs w:val="16"/>
          <w:spacing w:val="-10"/>
        </w:rPr>
        <w:t>识</w:t>
      </w:r>
      <w:r>
        <w:rPr>
          <w:rFonts w:ascii="KaiTi" w:hAnsi="KaiTi" w:eastAsia="KaiTi" w:cs="KaiTi"/>
          <w:sz w:val="16"/>
          <w:szCs w:val="16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>[J/OL].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 </w:t>
      </w:r>
      <w:r>
        <w:rPr>
          <w:rFonts w:ascii="KaiTi" w:hAnsi="KaiTi" w:eastAsia="KaiTi" w:cs="KaiTi"/>
          <w:sz w:val="16"/>
          <w:szCs w:val="16"/>
          <w:spacing w:val="-10"/>
        </w:rPr>
        <w:t>中</w:t>
      </w:r>
      <w:r>
        <w:rPr>
          <w:rFonts w:ascii="KaiTi" w:hAnsi="KaiTi" w:eastAsia="KaiTi" w:cs="KaiTi"/>
          <w:sz w:val="16"/>
          <w:szCs w:val="16"/>
          <w:spacing w:val="-10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0"/>
        </w:rPr>
        <w:t>华</w:t>
      </w:r>
      <w:r>
        <w:rPr>
          <w:rFonts w:ascii="KaiTi" w:hAnsi="KaiTi" w:eastAsia="KaiTi" w:cs="KaiTi"/>
          <w:sz w:val="16"/>
          <w:szCs w:val="16"/>
          <w:spacing w:val="-11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0"/>
        </w:rPr>
        <w:t>心</w:t>
      </w:r>
      <w:r>
        <w:rPr>
          <w:rFonts w:ascii="KaiTi" w:hAnsi="KaiTi" w:eastAsia="KaiTi" w:cs="KaiTi"/>
          <w:sz w:val="16"/>
          <w:szCs w:val="16"/>
          <w:spacing w:val="-22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0"/>
        </w:rPr>
        <w:t>血</w:t>
      </w:r>
      <w:r>
        <w:rPr>
          <w:rFonts w:ascii="KaiTi" w:hAnsi="KaiTi" w:eastAsia="KaiTi" w:cs="KaiTi"/>
          <w:sz w:val="16"/>
          <w:szCs w:val="16"/>
          <w:spacing w:val="-11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0"/>
        </w:rPr>
        <w:t>管</w:t>
      </w:r>
      <w:r>
        <w:rPr>
          <w:rFonts w:ascii="KaiTi" w:hAnsi="KaiTi" w:eastAsia="KaiTi" w:cs="KaiTi"/>
          <w:sz w:val="16"/>
          <w:szCs w:val="16"/>
          <w:spacing w:val="-17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0"/>
        </w:rPr>
        <w:t>病</w:t>
      </w:r>
      <w:r>
        <w:rPr>
          <w:rFonts w:ascii="KaiTi" w:hAnsi="KaiTi" w:eastAsia="KaiTi" w:cs="KaiTi"/>
          <w:sz w:val="16"/>
          <w:szCs w:val="16"/>
          <w:spacing w:val="-14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0"/>
        </w:rPr>
        <w:t>杂</w:t>
      </w:r>
      <w:r>
        <w:rPr>
          <w:rFonts w:ascii="KaiTi" w:hAnsi="KaiTi" w:eastAsia="KaiTi" w:cs="KaiTi"/>
          <w:sz w:val="16"/>
          <w:szCs w:val="16"/>
          <w:spacing w:val="-10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0"/>
        </w:rPr>
        <w:t>志</w:t>
      </w:r>
      <w:r>
        <w:rPr>
          <w:rFonts w:ascii="KaiTi" w:hAnsi="KaiTi" w:eastAsia="KaiTi" w:cs="KaiTi"/>
          <w:sz w:val="16"/>
          <w:szCs w:val="16"/>
          <w:spacing w:val="-10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0"/>
        </w:rPr>
        <w:t>(</w:t>
      </w:r>
      <w:r>
        <w:rPr>
          <w:rFonts w:ascii="KaiTi" w:hAnsi="KaiTi" w:eastAsia="KaiTi" w:cs="KaiTi"/>
          <w:sz w:val="16"/>
          <w:szCs w:val="16"/>
          <w:spacing w:val="-10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0"/>
        </w:rPr>
        <w:t>网</w:t>
      </w:r>
      <w:r>
        <w:rPr>
          <w:rFonts w:ascii="KaiTi" w:hAnsi="KaiTi" w:eastAsia="KaiTi" w:cs="KaiTi"/>
          <w:sz w:val="16"/>
          <w:szCs w:val="16"/>
          <w:spacing w:val="-10"/>
        </w:rPr>
        <w:t xml:space="preserve"> </w:t>
      </w:r>
      <w:r>
        <w:rPr>
          <w:rFonts w:ascii="KaiTi" w:hAnsi="KaiTi" w:eastAsia="KaiTi" w:cs="KaiTi"/>
          <w:sz w:val="16"/>
          <w:szCs w:val="16"/>
          <w:spacing w:val="-10"/>
        </w:rPr>
        <w:t>络</w:t>
      </w:r>
      <w:r>
        <w:rPr>
          <w:rFonts w:ascii="KaiTi" w:hAnsi="KaiTi" w:eastAsia="KaiTi" w:cs="KaiTi"/>
          <w:sz w:val="16"/>
          <w:szCs w:val="16"/>
        </w:rPr>
        <w:t xml:space="preserve">  </w:t>
      </w:r>
      <w:r>
        <w:rPr>
          <w:rFonts w:ascii="KaiTi" w:hAnsi="KaiTi" w:eastAsia="KaiTi" w:cs="KaiTi"/>
          <w:sz w:val="16"/>
          <w:szCs w:val="16"/>
          <w:spacing w:val="-3"/>
        </w:rPr>
        <w:t>版),2019,2:</w:t>
      </w:r>
      <w:r>
        <w:rPr>
          <w:rFonts w:ascii="SimSun" w:hAnsi="SimSun" w:eastAsia="SimSun" w:cs="SimSun"/>
          <w:sz w:val="16"/>
          <w:szCs w:val="16"/>
          <w:spacing w:val="-3"/>
        </w:rPr>
        <w:t>e1000025(2019-11-</w:t>
      </w:r>
      <w:r>
        <w:rPr>
          <w:rFonts w:ascii="SimSun" w:hAnsi="SimSun" w:eastAsia="SimSun" w:cs="SimSun"/>
          <w:sz w:val="16"/>
          <w:szCs w:val="16"/>
          <w:spacing w:val="-4"/>
        </w:rPr>
        <w:t>12).</w:t>
      </w:r>
      <w:hyperlink w:history="true" r:id="rId4">
        <w:r>
          <w:rPr>
            <w:rFonts w:ascii="SimSun" w:hAnsi="SimSun" w:eastAsia="SimSun" w:cs="SimSun"/>
            <w:sz w:val="16"/>
            <w:szCs w:val="16"/>
            <w:spacing w:val="-4"/>
          </w:rPr>
          <w:t>http://</w:t>
        </w:r>
      </w:hyperlink>
      <w:r>
        <w:rPr>
          <w:rFonts w:ascii="SimSun" w:hAnsi="SimSun" w:eastAsia="SimSun" w:cs="SimSun"/>
          <w:sz w:val="16"/>
          <w:szCs w:val="16"/>
        </w:rPr>
        <w:t xml:space="preserve">  </w:t>
      </w:r>
      <w:hyperlink w:history="true" r:id="rId5">
        <w:r>
          <w:rPr>
            <w:rFonts w:ascii="Times New Roman" w:hAnsi="Times New Roman" w:eastAsia="Times New Roman" w:cs="Times New Roman"/>
            <w:sz w:val="21"/>
            <w:szCs w:val="21"/>
            <w:spacing w:val="-3"/>
          </w:rPr>
          <w:t>www.cvjc.org.cn/index.ph</w:t>
        </w:r>
        <w:r>
          <w:rPr>
            <w:rFonts w:ascii="Times New Roman" w:hAnsi="Times New Roman" w:eastAsia="Times New Roman" w:cs="Times New Roman"/>
            <w:sz w:val="21"/>
            <w:szCs w:val="21"/>
            <w:spacing w:val="-4"/>
          </w:rPr>
          <w:t>p/Column/</w:t>
        </w:r>
      </w:hyperlink>
      <w:r>
        <w:rPr>
          <w:rFonts w:ascii="Times New Roman" w:hAnsi="Times New Roman" w:eastAsia="Times New Roman" w:cs="Times New Roman"/>
          <w:sz w:val="21"/>
          <w:szCs w:val="2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columncon/article_id/189.DOI:10.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3760/cma.</w:t>
      </w:r>
    </w:p>
    <w:p>
      <w:pPr>
        <w:ind w:left="789" w:right="1219"/>
        <w:spacing w:before="82" w:line="277" w:lineRule="auto"/>
        <w:rPr>
          <w:rFonts w:ascii="KaiTi" w:hAnsi="KaiTi" w:eastAsia="KaiTi" w:cs="KaiTi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5"/>
        </w:rPr>
        <w:t>j.issn.2096-1588.2019.1000025.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SimHei" w:hAnsi="SimHei" w:eastAsia="SimHei" w:cs="SimHei"/>
          <w:sz w:val="16"/>
          <w:szCs w:val="16"/>
        </w:rPr>
        <w:t>本文编辑：</w:t>
      </w:r>
      <w:r>
        <w:rPr>
          <w:rFonts w:ascii="KaiTi" w:hAnsi="KaiTi" w:eastAsia="KaiTi" w:cs="KaiTi"/>
          <w:sz w:val="16"/>
          <w:szCs w:val="16"/>
        </w:rPr>
        <w:t>史红</w:t>
      </w:r>
    </w:p>
    <w:p>
      <w:pPr>
        <w:ind w:left="789"/>
        <w:spacing w:before="1" w:line="22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1"/>
        </w:rPr>
        <w:t>收稿日期：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2019-09-22</w:t>
      </w:r>
    </w:p>
    <w:p>
      <w:pPr>
        <w:ind w:left="789"/>
        <w:spacing w:before="27" w:line="22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1"/>
        </w:rPr>
        <w:t>录用日期：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2019-10-24</w:t>
      </w:r>
    </w:p>
    <w:p>
      <w:pPr>
        <w:ind w:left="789"/>
        <w:spacing w:before="5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469879</wp:posOffset>
            </wp:positionH>
            <wp:positionV relativeFrom="paragraph">
              <wp:posOffset>229937</wp:posOffset>
            </wp:positionV>
            <wp:extent cx="6146782" cy="636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6782" cy="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6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>10.3760/cmaj.issn.2096-1588.2019.1000025</w:t>
      </w:r>
    </w:p>
    <w:p>
      <w:pPr>
        <w:spacing w:line="21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"/>
        <w:spacing w:before="102" w:line="236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803040"/>
          <w:spacing w:val="-14"/>
          <w:position w:val="2"/>
        </w:rPr>
        <w:t>●</w:t>
      </w:r>
      <w:r>
        <w:rPr>
          <w:rFonts w:ascii="SimHei" w:hAnsi="SimHei" w:eastAsia="SimHei" w:cs="SimHei"/>
          <w:sz w:val="21"/>
          <w:szCs w:val="21"/>
          <w:color w:val="803040"/>
          <w:spacing w:val="6"/>
          <w:position w:val="2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4"/>
          <w:position w:val="-1"/>
        </w:rPr>
        <w:t>引</w:t>
      </w:r>
      <w:r>
        <w:rPr>
          <w:rFonts w:ascii="SimHei" w:hAnsi="SimHei" w:eastAsia="SimHei" w:cs="SimHei"/>
          <w:sz w:val="21"/>
          <w:szCs w:val="21"/>
          <w:spacing w:val="30"/>
          <w:position w:val="-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4"/>
          <w:position w:val="-1"/>
        </w:rPr>
        <w:t>言</w:t>
      </w:r>
    </w:p>
    <w:p>
      <w:pPr>
        <w:pStyle w:val="BodyText"/>
        <w:ind w:left="10" w:right="25" w:firstLine="419"/>
        <w:spacing w:before="131" w:line="294" w:lineRule="auto"/>
        <w:rPr/>
      </w:pPr>
      <w:r>
        <w:rPr>
          <w:sz w:val="16"/>
          <w:szCs w:val="16"/>
          <w:spacing w:val="-4"/>
        </w:rPr>
        <w:t>左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-4"/>
        </w:rPr>
        <w:t>心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-4"/>
        </w:rPr>
        <w:t>室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-4"/>
        </w:rPr>
        <w:t>肥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-4"/>
        </w:rPr>
        <w:t>厚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(left            ventricular             hypertrophy,LVH)</w:t>
      </w:r>
      <w:r>
        <w:rPr>
          <w:sz w:val="16"/>
          <w:szCs w:val="16"/>
          <w:spacing w:val="-5"/>
        </w:rPr>
        <w:t>是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-5"/>
        </w:rPr>
        <w:t>一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-5"/>
        </w:rPr>
        <w:t>种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-5"/>
        </w:rPr>
        <w:t>心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-5"/>
        </w:rPr>
        <w:t>室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-5"/>
        </w:rPr>
        <w:t>壁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-5"/>
        </w:rPr>
        <w:t>增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-5"/>
        </w:rPr>
        <w:t>厚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5"/>
        </w:rPr>
        <w:t>、</w:t>
      </w:r>
      <w:r>
        <w:rPr>
          <w:sz w:val="16"/>
          <w:szCs w:val="16"/>
        </w:rPr>
        <w:t xml:space="preserve"> </w:t>
      </w:r>
      <w:r>
        <w:rPr>
          <w:spacing w:val="6"/>
        </w:rPr>
        <w:t>心肌重量增加和心肌重塑的心肌变化现象。高血压是导致</w:t>
      </w:r>
      <w:r>
        <w:rPr>
          <w:rFonts w:ascii="SimSun" w:hAnsi="SimSun" w:eastAsia="SimSun" w:cs="SimSun"/>
        </w:rPr>
        <w:t>LVH</w:t>
      </w:r>
      <w:r>
        <w:rPr>
          <w:rFonts w:ascii="SimSun" w:hAnsi="SimSun" w:eastAsia="SimSun" w:cs="SimSun"/>
          <w:spacing w:val="80"/>
        </w:rPr>
        <w:t xml:space="preserve"> </w:t>
      </w:r>
      <w:r>
        <w:rPr>
          <w:spacing w:val="6"/>
        </w:rPr>
        <w:t>的最</w:t>
      </w:r>
      <w:r>
        <w:rPr/>
        <w:t xml:space="preserve">  </w:t>
      </w:r>
      <w:r>
        <w:rPr/>
        <w:t>重要原因，此外，老年人、肥胖、遗传、饮酒和高盐膳食等也是</w:t>
      </w:r>
      <w:r>
        <w:rPr>
          <w:rFonts w:ascii="SimSun" w:hAnsi="SimSun" w:eastAsia="SimSun" w:cs="SimSun"/>
        </w:rPr>
        <w:t>LVH</w:t>
      </w:r>
      <w:r>
        <w:rPr>
          <w:rFonts w:ascii="SimSun" w:hAnsi="SimSun" w:eastAsia="SimSun" w:cs="SimSun"/>
          <w:spacing w:val="4"/>
        </w:rPr>
        <w:t xml:space="preserve">   </w:t>
      </w:r>
      <w:r>
        <w:rPr>
          <w:spacing w:val="-2"/>
        </w:rPr>
        <w:t>的危险因素1</w:t>
      </w:r>
      <w:r>
        <w:rPr>
          <w:rFonts w:ascii="SimSun" w:hAnsi="SimSun" w:eastAsia="SimSun" w:cs="SimSun"/>
          <w:spacing w:val="-2"/>
        </w:rPr>
        <w:t>¹</w:t>
      </w:r>
      <w:r>
        <w:rPr>
          <w:spacing w:val="-2"/>
        </w:rPr>
        <w:t>-5。我国一项基层社区横断面调查结果显示，42.7%的高</w:t>
      </w:r>
      <w:r>
        <w:rPr>
          <w:spacing w:val="1"/>
        </w:rPr>
        <w:t xml:space="preserve"> </w:t>
      </w:r>
      <w:r>
        <w:rPr>
          <w:spacing w:val="3"/>
        </w:rPr>
        <w:t>血压患者伴有</w:t>
      </w:r>
      <w:r>
        <w:rPr>
          <w:rFonts w:ascii="Times New Roman" w:hAnsi="Times New Roman" w:eastAsia="Times New Roman" w:cs="Times New Roman"/>
        </w:rPr>
        <w:t>LVH</w:t>
      </w:r>
      <w:r>
        <w:rPr>
          <w:rFonts w:ascii="Times New Roman" w:hAnsi="Times New Roman" w:eastAsia="Times New Roman" w:cs="Times New Roman"/>
          <w:spacing w:val="3"/>
        </w:rPr>
        <w:t>⁶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SimSun" w:hAnsi="SimSun" w:eastAsia="SimSun" w:cs="SimSun"/>
          <w:spacing w:val="3"/>
        </w:rPr>
        <w:t>。</w:t>
      </w:r>
      <w:r>
        <w:rPr>
          <w:spacing w:val="3"/>
        </w:rPr>
        <w:t>高</w:t>
      </w:r>
      <w:r>
        <w:rPr>
          <w:spacing w:val="-36"/>
        </w:rPr>
        <w:t xml:space="preserve"> </w:t>
      </w:r>
      <w:r>
        <w:rPr>
          <w:spacing w:val="3"/>
        </w:rPr>
        <w:t>血</w:t>
      </w:r>
      <w:r>
        <w:rPr>
          <w:spacing w:val="-39"/>
        </w:rPr>
        <w:t xml:space="preserve"> </w:t>
      </w:r>
      <w:r>
        <w:rPr>
          <w:spacing w:val="3"/>
        </w:rPr>
        <w:t>压</w:t>
      </w:r>
      <w:r>
        <w:rPr>
          <w:spacing w:val="-40"/>
        </w:rPr>
        <w:t xml:space="preserve"> </w:t>
      </w:r>
      <w:r>
        <w:rPr>
          <w:spacing w:val="3"/>
        </w:rPr>
        <w:t>和</w:t>
      </w:r>
      <w:r>
        <w:rPr>
          <w:rFonts w:ascii="Times New Roman" w:hAnsi="Times New Roman" w:eastAsia="Times New Roman" w:cs="Times New Roman"/>
        </w:rPr>
        <w:t>LVH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3"/>
        </w:rPr>
        <w:t>都是心脑血管疾病的独立危险</w:t>
      </w:r>
      <w:r>
        <w:rPr/>
        <w:t xml:space="preserve"> </w:t>
      </w:r>
      <w:r>
        <w:rPr>
          <w:spacing w:val="-7"/>
        </w:rPr>
        <w:t>因</w:t>
      </w:r>
      <w:r>
        <w:rPr>
          <w:spacing w:val="-23"/>
        </w:rPr>
        <w:t xml:space="preserve"> </w:t>
      </w:r>
      <w:r>
        <w:rPr>
          <w:spacing w:val="-7"/>
        </w:rPr>
        <w:t>素</w:t>
      </w:r>
      <w:r>
        <w:rPr>
          <w:spacing w:val="-48"/>
        </w:rPr>
        <w:t xml:space="preserve"> </w:t>
      </w:r>
      <w:r>
        <w:rPr>
          <w:spacing w:val="-7"/>
        </w:rPr>
        <w:t>，</w:t>
      </w:r>
      <w:r>
        <w:rPr>
          <w:rFonts w:ascii="Times New Roman" w:hAnsi="Times New Roman" w:eastAsia="Times New Roman" w:cs="Times New Roman"/>
          <w:spacing w:val="-7"/>
        </w:rPr>
        <w:t>LVH  </w:t>
      </w:r>
      <w:r>
        <w:rPr>
          <w:spacing w:val="-7"/>
        </w:rPr>
        <w:t>显著增加高血压患者的冠状动脉粥样硬化</w:t>
      </w:r>
      <w:r>
        <w:rPr>
          <w:spacing w:val="-8"/>
        </w:rPr>
        <w:t>性心脏病、心力</w:t>
      </w:r>
      <w:r>
        <w:rPr/>
        <w:t xml:space="preserve">  </w:t>
      </w:r>
      <w:r>
        <w:rPr>
          <w:spacing w:val="2"/>
        </w:rPr>
        <w:t>衰竭、卒中和死亡风险7-8。反之，有效管理血压和逆转</w:t>
      </w:r>
      <w:r>
        <w:rPr>
          <w:rFonts w:ascii="SimSun" w:hAnsi="SimSun" w:eastAsia="SimSun" w:cs="SimSun"/>
        </w:rPr>
        <w:t>LVH</w:t>
      </w:r>
      <w:r>
        <w:rPr>
          <w:rFonts w:ascii="SimSun" w:hAnsi="SimSun" w:eastAsia="SimSun" w:cs="SimSun"/>
          <w:spacing w:val="2"/>
        </w:rPr>
        <w:t>,  </w:t>
      </w:r>
      <w:r>
        <w:rPr>
          <w:spacing w:val="2"/>
        </w:rPr>
        <w:t>能</w:t>
      </w:r>
      <w:r>
        <w:rPr>
          <w:spacing w:val="-30"/>
        </w:rPr>
        <w:t xml:space="preserve"> </w:t>
      </w:r>
      <w:r>
        <w:rPr>
          <w:spacing w:val="2"/>
        </w:rPr>
        <w:t>显</w:t>
      </w:r>
      <w:r>
        <w:rPr/>
        <w:t xml:space="preserve">  </w:t>
      </w:r>
      <w:r>
        <w:rPr>
          <w:spacing w:val="-4"/>
        </w:rPr>
        <w:t>著降低心血管事件及死亡风险9-101。本共识提供简化的</w:t>
      </w:r>
      <w:r>
        <w:rPr>
          <w:rFonts w:ascii="Times New Roman" w:hAnsi="Times New Roman" w:eastAsia="Times New Roman" w:cs="Times New Roman"/>
          <w:spacing w:val="-4"/>
        </w:rPr>
        <w:t>L</w:t>
      </w:r>
      <w:r>
        <w:rPr>
          <w:rFonts w:ascii="Times New Roman" w:hAnsi="Times New Roman" w:eastAsia="Times New Roman" w:cs="Times New Roman"/>
          <w:spacing w:val="-5"/>
        </w:rPr>
        <w:t>VH </w:t>
      </w:r>
      <w:r>
        <w:rPr>
          <w:spacing w:val="-5"/>
        </w:rPr>
        <w:t>筛查和诊</w:t>
      </w:r>
      <w:r>
        <w:rPr/>
        <w:t xml:space="preserve">  </w:t>
      </w:r>
      <w:r>
        <w:rPr>
          <w:spacing w:val="-1"/>
        </w:rPr>
        <w:t>断流程，目的是推动高血压合并</w:t>
      </w:r>
      <w:r>
        <w:rPr>
          <w:rFonts w:ascii="SimSun" w:hAnsi="SimSun" w:eastAsia="SimSun" w:cs="SimSun"/>
          <w:spacing w:val="-1"/>
        </w:rPr>
        <w:t>LVH</w:t>
      </w:r>
      <w:r>
        <w:rPr>
          <w:rFonts w:ascii="SimSun" w:hAnsi="SimSun" w:eastAsia="SimSun" w:cs="SimSun"/>
          <w:spacing w:val="110"/>
        </w:rPr>
        <w:t xml:space="preserve"> </w:t>
      </w:r>
      <w:r>
        <w:rPr>
          <w:spacing w:val="-1"/>
        </w:rPr>
        <w:t>的规范化管理。</w:t>
      </w:r>
    </w:p>
    <w:p>
      <w:pPr>
        <w:ind w:left="10"/>
        <w:spacing w:before="223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2"/>
        </w:rPr>
        <w:t>●</w:t>
      </w:r>
      <w:r>
        <w:rPr>
          <w:rFonts w:ascii="SimHei" w:hAnsi="SimHei" w:eastAsia="SimHei" w:cs="SimHei"/>
          <w:sz w:val="21"/>
          <w:szCs w:val="21"/>
          <w:spacing w:val="8"/>
        </w:rPr>
        <w:t xml:space="preserve"> 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左</w:t>
      </w:r>
      <w:r>
        <w:rPr>
          <w:rFonts w:ascii="SimHei" w:hAnsi="SimHei" w:eastAsia="SimHei" w:cs="SimHei"/>
          <w:sz w:val="21"/>
          <w:szCs w:val="21"/>
          <w:spacing w:val="-2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心</w:t>
      </w:r>
      <w:r>
        <w:rPr>
          <w:rFonts w:ascii="SimHei" w:hAnsi="SimHei" w:eastAsia="SimHei" w:cs="SimHei"/>
          <w:sz w:val="21"/>
          <w:szCs w:val="21"/>
          <w:spacing w:val="-28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室</w:t>
      </w:r>
      <w:r>
        <w:rPr>
          <w:rFonts w:ascii="SimHei" w:hAnsi="SimHei" w:eastAsia="SimHei" w:cs="SimHei"/>
          <w:sz w:val="21"/>
          <w:szCs w:val="21"/>
          <w:spacing w:val="-3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肥</w:t>
      </w:r>
      <w:r>
        <w:rPr>
          <w:rFonts w:ascii="SimHei" w:hAnsi="SimHei" w:eastAsia="SimHei" w:cs="SimHei"/>
          <w:sz w:val="21"/>
          <w:szCs w:val="21"/>
          <w:spacing w:val="-3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厚</w:t>
      </w:r>
      <w:r>
        <w:rPr>
          <w:rFonts w:ascii="SimHei" w:hAnsi="SimHei" w:eastAsia="SimHei" w:cs="SimHei"/>
          <w:sz w:val="21"/>
          <w:szCs w:val="21"/>
          <w:spacing w:val="-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的</w:t>
      </w:r>
      <w:r>
        <w:rPr>
          <w:rFonts w:ascii="SimHei" w:hAnsi="SimHei" w:eastAsia="SimHei" w:cs="SimHei"/>
          <w:sz w:val="21"/>
          <w:szCs w:val="21"/>
          <w:spacing w:val="-32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筛</w:t>
      </w:r>
      <w:r>
        <w:rPr>
          <w:rFonts w:ascii="SimHei" w:hAnsi="SimHei" w:eastAsia="SimHei" w:cs="SimHei"/>
          <w:sz w:val="21"/>
          <w:szCs w:val="21"/>
          <w:spacing w:val="-3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12"/>
        </w:rPr>
        <w:t>查</w:t>
      </w:r>
    </w:p>
    <w:p>
      <w:pPr>
        <w:pStyle w:val="BodyText"/>
        <w:ind w:left="429"/>
        <w:spacing w:before="160" w:line="222" w:lineRule="auto"/>
        <w:rPr/>
      </w:pPr>
      <w:r>
        <w:rPr>
          <w:spacing w:val="-13"/>
        </w:rPr>
        <w:t>一</w:t>
      </w:r>
      <w:r>
        <w:rPr>
          <w:spacing w:val="-45"/>
        </w:rPr>
        <w:t xml:space="preserve"> </w:t>
      </w:r>
      <w:r>
        <w:rPr>
          <w:spacing w:val="-13"/>
        </w:rPr>
        <w:t>、适用人群</w:t>
      </w:r>
    </w:p>
    <w:p>
      <w:pPr>
        <w:pStyle w:val="BodyText"/>
        <w:ind w:left="10" w:right="103" w:firstLine="419"/>
        <w:spacing w:before="76" w:line="290" w:lineRule="auto"/>
        <w:jc w:val="both"/>
        <w:rPr/>
      </w:pPr>
      <w:r>
        <w:rPr>
          <w:spacing w:val="4"/>
        </w:rPr>
        <w:t>所有确诊的高血压患者均应进行</w:t>
      </w:r>
      <w:r>
        <w:rPr>
          <w:rFonts w:ascii="Times New Roman" w:hAnsi="Times New Roman" w:eastAsia="Times New Roman" w:cs="Times New Roman"/>
        </w:rPr>
        <w:t>LVH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筛查。鉴于</w:t>
      </w:r>
      <w:r>
        <w:rPr>
          <w:rFonts w:ascii="Times New Roman" w:hAnsi="Times New Roman" w:eastAsia="Times New Roman" w:cs="Times New Roman"/>
        </w:rPr>
        <w:t>LVH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在高血压</w:t>
      </w:r>
      <w:r>
        <w:rPr>
          <w:spacing w:val="17"/>
        </w:rPr>
        <w:t xml:space="preserve"> </w:t>
      </w:r>
      <w:r>
        <w:rPr>
          <w:spacing w:val="1"/>
        </w:rPr>
        <w:t>发病后的不同时间内都有一定的发生率，血压未有效控制会促发或加</w:t>
      </w:r>
      <w:r>
        <w:rPr>
          <w:spacing w:val="10"/>
        </w:rPr>
        <w:t xml:space="preserve"> </w:t>
      </w:r>
      <w:r>
        <w:rPr>
          <w:spacing w:val="3"/>
        </w:rPr>
        <w:t>重</w:t>
      </w:r>
      <w:r>
        <w:rPr>
          <w:rFonts w:ascii="SimSun" w:hAnsi="SimSun" w:eastAsia="SimSun" w:cs="SimSun"/>
        </w:rPr>
        <w:t>LVH</w:t>
      </w:r>
      <w:r>
        <w:rPr>
          <w:rFonts w:ascii="SimSun" w:hAnsi="SimSun" w:eastAsia="SimSun" w:cs="SimSun"/>
          <w:spacing w:val="97"/>
        </w:rPr>
        <w:t xml:space="preserve"> </w:t>
      </w:r>
      <w:r>
        <w:rPr>
          <w:spacing w:val="3"/>
        </w:rPr>
        <w:t>的进展，因此所有明确诊断为高血压的患</w:t>
      </w:r>
      <w:r>
        <w:rPr>
          <w:spacing w:val="2"/>
        </w:rPr>
        <w:t>者均应进行</w:t>
      </w:r>
      <w:r>
        <w:rPr>
          <w:rFonts w:ascii="SimSun" w:hAnsi="SimSun" w:eastAsia="SimSun" w:cs="SimSun"/>
        </w:rPr>
        <w:t>LVH</w:t>
      </w:r>
      <w:r>
        <w:rPr>
          <w:rFonts w:ascii="SimSun" w:hAnsi="SimSun" w:eastAsia="SimSun" w:cs="SimSun"/>
          <w:spacing w:val="46"/>
        </w:rPr>
        <w:t xml:space="preserve"> </w:t>
      </w:r>
      <w:r>
        <w:rPr>
          <w:spacing w:val="2"/>
        </w:rPr>
        <w:t>筛</w:t>
      </w:r>
      <w:r>
        <w:rPr/>
        <w:t xml:space="preserve"> </w:t>
      </w:r>
      <w:r>
        <w:rPr>
          <w:spacing w:val="-1"/>
        </w:rPr>
        <w:t>查，血压控制不佳的患者更应作为</w:t>
      </w:r>
      <w:r>
        <w:rPr>
          <w:rFonts w:ascii="SimSun" w:hAnsi="SimSun" w:eastAsia="SimSun" w:cs="SimSun"/>
          <w:spacing w:val="-1"/>
        </w:rPr>
        <w:t>LVH</w:t>
      </w:r>
      <w:r>
        <w:rPr>
          <w:rFonts w:ascii="SimSun" w:hAnsi="SimSun" w:eastAsia="SimSun" w:cs="SimSun"/>
          <w:spacing w:val="101"/>
        </w:rPr>
        <w:t xml:space="preserve"> </w:t>
      </w:r>
      <w:r>
        <w:rPr>
          <w:spacing w:val="-1"/>
        </w:rPr>
        <w:t>的重点筛查人群。</w:t>
      </w:r>
    </w:p>
    <w:p>
      <w:pPr>
        <w:pStyle w:val="BodyText"/>
        <w:ind w:left="429"/>
        <w:spacing w:before="22" w:line="222" w:lineRule="auto"/>
        <w:rPr/>
      </w:pPr>
      <w:r>
        <w:rPr>
          <w:spacing w:val="-13"/>
        </w:rPr>
        <w:t>二</w:t>
      </w:r>
      <w:r>
        <w:rPr>
          <w:spacing w:val="-45"/>
        </w:rPr>
        <w:t xml:space="preserve"> </w:t>
      </w:r>
      <w:r>
        <w:rPr>
          <w:spacing w:val="-13"/>
        </w:rPr>
        <w:t>、筛查方法</w:t>
      </w:r>
    </w:p>
    <w:p>
      <w:pPr>
        <w:pStyle w:val="BodyText"/>
        <w:ind w:firstLine="429"/>
        <w:spacing w:before="87" w:line="286" w:lineRule="auto"/>
        <w:jc w:val="both"/>
        <w:rPr/>
      </w:pPr>
      <w:r>
        <w:rPr>
          <w:spacing w:val="5"/>
        </w:rPr>
        <w:t>心电图</w:t>
      </w:r>
      <w:r>
        <w:rPr>
          <w:rFonts w:ascii="Times New Roman" w:hAnsi="Times New Roman" w:eastAsia="Times New Roman" w:cs="Times New Roman"/>
          <w:spacing w:val="5"/>
        </w:rPr>
        <w:t>(</w:t>
      </w:r>
      <w:r>
        <w:rPr>
          <w:rFonts w:ascii="Times New Roman" w:hAnsi="Times New Roman" w:eastAsia="Times New Roman" w:cs="Times New Roman"/>
        </w:rPr>
        <w:t>electrocardiogram</w:t>
      </w:r>
      <w:r>
        <w:rPr>
          <w:rFonts w:ascii="Times New Roman" w:hAnsi="Times New Roman" w:eastAsia="Times New Roman" w:cs="Times New Roman"/>
          <w:spacing w:val="5"/>
        </w:rPr>
        <w:t>,</w:t>
      </w:r>
      <w:r>
        <w:rPr>
          <w:rFonts w:ascii="Times New Roman" w:hAnsi="Times New Roman" w:eastAsia="Times New Roman" w:cs="Times New Roman"/>
        </w:rPr>
        <w:t>ECG</w:t>
      </w:r>
      <w:r>
        <w:rPr>
          <w:rFonts w:ascii="Times New Roman" w:hAnsi="Times New Roman" w:eastAsia="Times New Roman" w:cs="Times New Roman"/>
          <w:spacing w:val="5"/>
        </w:rPr>
        <w:t>)     </w:t>
      </w:r>
      <w:r>
        <w:rPr>
          <w:spacing w:val="5"/>
        </w:rPr>
        <w:t>应作为</w:t>
      </w:r>
      <w:r>
        <w:rPr>
          <w:rFonts w:ascii="Times New Roman" w:hAnsi="Times New Roman" w:eastAsia="Times New Roman" w:cs="Times New Roman"/>
        </w:rPr>
        <w:t>LVH</w:t>
      </w:r>
      <w:r>
        <w:rPr>
          <w:rFonts w:ascii="Times New Roman" w:hAnsi="Times New Roman" w:eastAsia="Times New Roman" w:cs="Times New Roman"/>
          <w:spacing w:val="10"/>
        </w:rPr>
        <w:t xml:space="preserve"> </w:t>
      </w:r>
      <w:r>
        <w:rPr>
          <w:rFonts w:ascii="SimSun" w:hAnsi="SimSun" w:eastAsia="SimSun" w:cs="SimSun"/>
          <w:spacing w:val="5"/>
        </w:rPr>
        <w:t>筛查的首选</w:t>
      </w:r>
      <w:r>
        <w:rPr>
          <w:rFonts w:ascii="SimSun" w:hAnsi="SimSun" w:eastAsia="SimSun" w:cs="SimSun"/>
          <w:spacing w:val="4"/>
        </w:rPr>
        <w:t>工具。</w:t>
      </w:r>
      <w:r>
        <w:rPr>
          <w:rFonts w:ascii="SimSun" w:hAnsi="SimSun" w:eastAsia="SimSun" w:cs="SimSun"/>
        </w:rPr>
        <w:t xml:space="preserve"> </w:t>
      </w:r>
      <w:r>
        <w:rPr>
          <w:spacing w:val="13"/>
        </w:rPr>
        <w:t>心电图用于诊断</w:t>
      </w:r>
      <w:r>
        <w:rPr>
          <w:rFonts w:ascii="Times New Roman" w:hAnsi="Times New Roman" w:eastAsia="Times New Roman" w:cs="Times New Roman"/>
        </w:rPr>
        <w:t>LVH</w:t>
      </w:r>
      <w:r>
        <w:rPr>
          <w:spacing w:val="13"/>
        </w:rPr>
        <w:t>已逾70年1。心电图操作简单，价格低廉，且</w:t>
      </w:r>
      <w:r>
        <w:rPr>
          <w:spacing w:val="1"/>
        </w:rPr>
        <w:t xml:space="preserve">  </w:t>
      </w:r>
      <w:r>
        <w:rPr>
          <w:spacing w:val="18"/>
        </w:rPr>
        <w:t>用于非选择性高血压人群时，虽然敏感度不高(大多&lt;30%),但特</w:t>
      </w:r>
      <w:r>
        <w:rPr>
          <w:spacing w:val="5"/>
        </w:rPr>
        <w:t xml:space="preserve">  </w:t>
      </w:r>
      <w:r>
        <w:rPr>
          <w:spacing w:val="2"/>
        </w:rPr>
        <w:t>异度高达90%以上，故假阳性率较低，适用于</w:t>
      </w:r>
      <w:r>
        <w:rPr>
          <w:rFonts w:ascii="Times New Roman" w:hAnsi="Times New Roman" w:eastAsia="Times New Roman" w:cs="Times New Roman"/>
        </w:rPr>
        <w:t>LVH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spacing w:val="2"/>
        </w:rPr>
        <w:t>的初步筛查12-13。</w:t>
      </w:r>
    </w:p>
    <w:p>
      <w:pPr>
        <w:pStyle w:val="BodyText"/>
        <w:ind w:left="429"/>
        <w:spacing w:before="37" w:line="221" w:lineRule="auto"/>
        <w:rPr/>
      </w:pPr>
      <w:r>
        <w:rPr>
          <w:spacing w:val="-4"/>
        </w:rPr>
        <w:t>三</w:t>
      </w:r>
      <w:r>
        <w:rPr>
          <w:spacing w:val="-41"/>
        </w:rPr>
        <w:t xml:space="preserve"> </w:t>
      </w:r>
      <w:r>
        <w:rPr>
          <w:spacing w:val="-4"/>
        </w:rPr>
        <w:t>、</w:t>
      </w:r>
      <w:r>
        <w:rPr>
          <w:rFonts w:ascii="SimSun" w:hAnsi="SimSun" w:eastAsia="SimSun" w:cs="SimSun"/>
          <w:spacing w:val="-4"/>
        </w:rPr>
        <w:t>LVH</w:t>
      </w:r>
      <w:r>
        <w:rPr>
          <w:rFonts w:ascii="SimSun" w:hAnsi="SimSun" w:eastAsia="SimSun" w:cs="SimSun"/>
          <w:spacing w:val="86"/>
        </w:rPr>
        <w:t xml:space="preserve"> </w:t>
      </w:r>
      <w:r>
        <w:rPr>
          <w:spacing w:val="-4"/>
        </w:rPr>
        <w:t>的心电图筛查指标与诊断标准1415</w:t>
      </w:r>
    </w:p>
    <w:p>
      <w:pPr>
        <w:pStyle w:val="BodyText"/>
        <w:ind w:left="10" w:right="87" w:firstLine="419"/>
        <w:spacing w:before="69" w:line="285" w:lineRule="auto"/>
        <w:jc w:val="both"/>
        <w:rPr/>
      </w:pPr>
      <w:r>
        <w:rPr>
          <w:spacing w:val="7"/>
        </w:rPr>
        <w:t>心电图上</w:t>
      </w:r>
      <w:r>
        <w:rPr>
          <w:rFonts w:ascii="Times New Roman" w:hAnsi="Times New Roman" w:eastAsia="Times New Roman" w:cs="Times New Roman"/>
        </w:rPr>
        <w:t>Sv</w:t>
      </w:r>
      <w:r>
        <w:rPr>
          <w:rFonts w:ascii="Times New Roman" w:hAnsi="Times New Roman" w:eastAsia="Times New Roman" w:cs="Times New Roman"/>
          <w:spacing w:val="7"/>
        </w:rPr>
        <w:t>₁+</w:t>
      </w:r>
      <w:r>
        <w:rPr>
          <w:rFonts w:ascii="Times New Roman" w:hAnsi="Times New Roman" w:eastAsia="Times New Roman" w:cs="Times New Roman"/>
        </w:rPr>
        <w:t>Rv</w:t>
      </w:r>
      <w:r>
        <w:rPr>
          <w:rFonts w:ascii="Times New Roman" w:hAnsi="Times New Roman" w:eastAsia="Times New Roman" w:cs="Times New Roman"/>
          <w:spacing w:val="7"/>
        </w:rPr>
        <w:t>₅&gt;3.5</w:t>
      </w:r>
      <w:r>
        <w:rPr>
          <w:rFonts w:ascii="Times New Roman" w:hAnsi="Times New Roman" w:eastAsia="Times New Roman" w:cs="Times New Roman"/>
        </w:rPr>
        <w:t>mV</w:t>
      </w:r>
      <w:r>
        <w:rPr>
          <w:rFonts w:ascii="Times New Roman" w:hAnsi="Times New Roman" w:eastAsia="Times New Roman" w:cs="Times New Roman"/>
          <w:spacing w:val="7"/>
        </w:rPr>
        <w:t>(</w:t>
      </w:r>
      <w:r>
        <w:rPr>
          <w:rFonts w:ascii="Times New Roman" w:hAnsi="Times New Roman" w:eastAsia="Times New Roman" w:cs="Times New Roman"/>
        </w:rPr>
        <w:t>Sokolow</w:t>
      </w:r>
      <w:r>
        <w:rPr>
          <w:rFonts w:ascii="Times New Roman" w:hAnsi="Times New Roman" w:eastAsia="Times New Roman" w:cs="Times New Roman"/>
          <w:spacing w:val="7"/>
        </w:rPr>
        <w:t>-</w:t>
      </w:r>
      <w:r>
        <w:rPr>
          <w:rFonts w:ascii="Times New Roman" w:hAnsi="Times New Roman" w:eastAsia="Times New Roman" w:cs="Times New Roman"/>
        </w:rPr>
        <w:t>Lyo</w:t>
      </w:r>
      <w:r>
        <w:rPr>
          <w:rFonts w:ascii="Times New Roman" w:hAnsi="Times New Roman" w:eastAsia="Times New Roman" w:cs="Times New Roman"/>
          <w:spacing w:val="7"/>
        </w:rPr>
        <w:t xml:space="preserve">      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7"/>
        </w:rPr>
        <w:t>电压指数)是</w:t>
      </w:r>
      <w:r>
        <w:rPr>
          <w:spacing w:val="6"/>
        </w:rPr>
        <w:t>最常用</w:t>
      </w:r>
      <w:r>
        <w:rPr/>
        <w:t xml:space="preserve"> </w:t>
      </w:r>
      <w:r>
        <w:rPr>
          <w:spacing w:val="1"/>
        </w:rPr>
        <w:t>的</w:t>
      </w:r>
      <w:r>
        <w:rPr>
          <w:rFonts w:ascii="SimSun" w:hAnsi="SimSun" w:eastAsia="SimSun" w:cs="SimSun"/>
        </w:rPr>
        <w:t>LVH</w:t>
      </w:r>
      <w:r>
        <w:rPr>
          <w:rFonts w:ascii="SimSun" w:hAnsi="SimSun" w:eastAsia="SimSun" w:cs="SimSun"/>
          <w:spacing w:val="1"/>
        </w:rPr>
        <w:t xml:space="preserve">  </w:t>
      </w:r>
      <w:r>
        <w:rPr>
          <w:spacing w:val="1"/>
        </w:rPr>
        <w:t>初筛指标，也可采用</w:t>
      </w:r>
      <w:r>
        <w:rPr>
          <w:spacing w:val="-51"/>
        </w:rPr>
        <w:t xml:space="preserve"> </w:t>
      </w:r>
      <w:r>
        <w:rPr>
          <w:rFonts w:ascii="SimSun" w:hAnsi="SimSun" w:eastAsia="SimSun" w:cs="SimSun"/>
        </w:rPr>
        <w:t>RavL</w:t>
      </w:r>
      <w:r>
        <w:rPr>
          <w:rFonts w:ascii="SimSun" w:hAnsi="SimSun" w:eastAsia="SimSun" w:cs="SimSun"/>
          <w:spacing w:val="1"/>
        </w:rPr>
        <w:t>≥1.1</w:t>
      </w:r>
      <w:r>
        <w:rPr>
          <w:rFonts w:ascii="SimSun" w:hAnsi="SimSun" w:eastAsia="SimSun" w:cs="SimSun"/>
        </w:rPr>
        <w:t>mV</w:t>
      </w:r>
      <w:r>
        <w:rPr>
          <w:rFonts w:ascii="SimSun" w:hAnsi="SimSun" w:eastAsia="SimSun" w:cs="SimSun"/>
          <w:spacing w:val="1"/>
        </w:rPr>
        <w:t>,</w:t>
      </w:r>
      <w:r>
        <w:rPr>
          <w:rFonts w:ascii="SimSun" w:hAnsi="SimSun" w:eastAsia="SimSun" w:cs="SimSun"/>
        </w:rPr>
        <w:t>Cornell</w:t>
      </w:r>
      <w:r>
        <w:rPr>
          <w:rFonts w:ascii="SimSun" w:hAnsi="SimSun" w:eastAsia="SimSun" w:cs="SimSun"/>
          <w:spacing w:val="1"/>
        </w:rPr>
        <w:t xml:space="preserve">    </w:t>
      </w:r>
      <w:r>
        <w:rPr>
          <w:spacing w:val="1"/>
        </w:rPr>
        <w:t>电</w:t>
      </w:r>
      <w:r>
        <w:rPr>
          <w:spacing w:val="-40"/>
        </w:rPr>
        <w:t xml:space="preserve"> </w:t>
      </w:r>
      <w:r>
        <w:rPr>
          <w:spacing w:val="1"/>
        </w:rPr>
        <w:t>压</w:t>
      </w:r>
      <w:r>
        <w:rPr>
          <w:spacing w:val="-47"/>
        </w:rPr>
        <w:t xml:space="preserve"> </w:t>
      </w:r>
      <w:r>
        <w:rPr>
          <w:spacing w:val="1"/>
        </w:rPr>
        <w:t>-</w:t>
      </w:r>
      <w:r>
        <w:rPr>
          <w:spacing w:val="-25"/>
        </w:rPr>
        <w:t xml:space="preserve"> </w:t>
      </w:r>
      <w:r>
        <w:rPr>
          <w:spacing w:val="1"/>
        </w:rPr>
        <w:t>时</w:t>
      </w:r>
      <w:r>
        <w:rPr>
          <w:spacing w:val="-19"/>
        </w:rPr>
        <w:t xml:space="preserve"> </w:t>
      </w:r>
      <w:r>
        <w:rPr>
          <w:spacing w:val="1"/>
        </w:rPr>
        <w:t>间</w:t>
      </w:r>
      <w:r>
        <w:rPr/>
        <w:t xml:space="preserve"> </w:t>
      </w:r>
      <w:r>
        <w:rPr>
          <w:spacing w:val="1"/>
        </w:rPr>
        <w:t>乘积&gt;244</w:t>
      </w:r>
      <w:r>
        <w:rPr>
          <w:spacing w:val="30"/>
        </w:rPr>
        <w:t xml:space="preserve"> </w:t>
      </w:r>
      <w:r>
        <w:rPr>
          <w:rFonts w:ascii="Times New Roman" w:hAnsi="Times New Roman" w:eastAsia="Times New Roman" w:cs="Times New Roman"/>
        </w:rPr>
        <w:t>mV</w:t>
      </w:r>
      <w:r>
        <w:rPr>
          <w:rFonts w:ascii="Times New Roman" w:hAnsi="Times New Roman" w:eastAsia="Times New Roman" w:cs="Times New Roman"/>
          <w:spacing w:val="1"/>
        </w:rPr>
        <w:t>·</w:t>
      </w:r>
      <w:r>
        <w:rPr>
          <w:rFonts w:ascii="Times New Roman" w:hAnsi="Times New Roman" w:eastAsia="Times New Roman" w:cs="Times New Roman"/>
        </w:rPr>
        <w:t>ms</w:t>
      </w:r>
      <w:r>
        <w:rPr>
          <w:rFonts w:ascii="Times New Roman" w:hAnsi="Times New Roman" w:eastAsia="Times New Roman" w:cs="Times New Roman"/>
          <w:spacing w:val="1"/>
        </w:rPr>
        <w:t>,    </w:t>
      </w:r>
      <w:r>
        <w:rPr>
          <w:spacing w:val="1"/>
        </w:rPr>
        <w:t>或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</w:rPr>
        <w:t>Sv</w:t>
      </w:r>
      <w:r>
        <w:rPr>
          <w:rFonts w:ascii="Times New Roman" w:hAnsi="Times New Roman" w:eastAsia="Times New Roman" w:cs="Times New Roman"/>
          <w:spacing w:val="1"/>
        </w:rPr>
        <w:t>₃+</w:t>
      </w:r>
      <w:r>
        <w:rPr>
          <w:rFonts w:ascii="Times New Roman" w:hAnsi="Times New Roman" w:eastAsia="Times New Roman" w:cs="Times New Roman"/>
        </w:rPr>
        <w:t>RavL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</w:rPr>
        <w:t>Cornell</w:t>
      </w:r>
      <w:r>
        <w:rPr>
          <w:rFonts w:ascii="Times New Roman" w:hAnsi="Times New Roman" w:eastAsia="Times New Roman" w:cs="Times New Roman"/>
          <w:spacing w:val="1"/>
        </w:rPr>
        <w:t xml:space="preserve">     </w:t>
      </w:r>
      <w:r>
        <w:rPr/>
        <w:t>电压指数)&gt;2.8</w:t>
      </w:r>
      <w:r>
        <w:rPr>
          <w:spacing w:val="35"/>
        </w:rPr>
        <w:t xml:space="preserve"> </w:t>
      </w:r>
      <w:r>
        <w:rPr>
          <w:rFonts w:ascii="Times New Roman" w:hAnsi="Times New Roman" w:eastAsia="Times New Roman" w:cs="Times New Roman"/>
        </w:rPr>
        <w:t>mV</w:t>
      </w:r>
      <w:r>
        <w:rPr>
          <w:rFonts w:ascii="Times New Roman" w:hAnsi="Times New Roman" w:eastAsia="Times New Roman" w:cs="Times New Roman"/>
          <w:spacing w:val="44"/>
          <w:w w:val="101"/>
        </w:rPr>
        <w:t xml:space="preserve"> </w:t>
      </w:r>
      <w:r>
        <w:rPr/>
        <w:t>(</w:t>
      </w:r>
      <w:r>
        <w:rPr>
          <w:spacing w:val="30"/>
        </w:rPr>
        <w:t xml:space="preserve"> </w:t>
      </w:r>
      <w:r>
        <w:rPr/>
        <w:t>男</w:t>
      </w:r>
      <w:r>
        <w:rPr/>
        <w:t xml:space="preserve"> </w:t>
      </w:r>
      <w:r>
        <w:rPr>
          <w:spacing w:val="17"/>
        </w:rPr>
        <w:t>性)、&gt;2.0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</w:rPr>
        <w:t>mV</w:t>
      </w:r>
      <w:r>
        <w:rPr>
          <w:rFonts w:ascii="SimSun" w:hAnsi="SimSun" w:eastAsia="SimSun" w:cs="SimSun"/>
          <w:spacing w:val="70"/>
        </w:rPr>
        <w:t xml:space="preserve"> </w:t>
      </w:r>
      <w:r>
        <w:rPr>
          <w:spacing w:val="17"/>
        </w:rPr>
        <w:t>(女性)。上述4项指标中有</w:t>
      </w:r>
      <w:r>
        <w:rPr>
          <w:spacing w:val="-60"/>
        </w:rPr>
        <w:t xml:space="preserve"> </w:t>
      </w:r>
      <w:r>
        <w:rPr>
          <w:spacing w:val="17"/>
        </w:rPr>
        <w:t>一</w:t>
      </w:r>
      <w:r>
        <w:rPr>
          <w:spacing w:val="-63"/>
        </w:rPr>
        <w:t xml:space="preserve"> </w:t>
      </w:r>
      <w:r>
        <w:rPr>
          <w:spacing w:val="17"/>
        </w:rPr>
        <w:t>项阳性，即可初步</w:t>
      </w:r>
      <w:r>
        <w:rPr/>
        <w:t xml:space="preserve"> </w:t>
      </w:r>
      <w:r>
        <w:rPr>
          <w:spacing w:val="15"/>
        </w:rPr>
        <w:t>考虑</w:t>
      </w:r>
      <w:r>
        <w:rPr>
          <w:rFonts w:ascii="Times New Roman" w:hAnsi="Times New Roman" w:eastAsia="Times New Roman" w:cs="Times New Roman"/>
        </w:rPr>
        <w:t>LVH</w:t>
      </w:r>
      <w:r>
        <w:rPr>
          <w:rFonts w:ascii="Times New Roman" w:hAnsi="Times New Roman" w:eastAsia="Times New Roman" w:cs="Times New Roman"/>
          <w:spacing w:val="49"/>
          <w:w w:val="101"/>
        </w:rPr>
        <w:t xml:space="preserve"> </w:t>
      </w:r>
      <w:r>
        <w:rPr>
          <w:spacing w:val="15"/>
        </w:rPr>
        <w:t>的诊断；2项或多项指标呈阳性，其诊断</w:t>
      </w:r>
      <w:r>
        <w:rPr>
          <w:rFonts w:ascii="Times New Roman" w:hAnsi="Times New Roman" w:eastAsia="Times New Roman" w:cs="Times New Roman"/>
        </w:rPr>
        <w:t>LVH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15"/>
        </w:rPr>
        <w:t>的可靠性</w:t>
      </w:r>
      <w:r>
        <w:rPr/>
        <w:t xml:space="preserve"> </w:t>
      </w:r>
      <w:r>
        <w:rPr>
          <w:spacing w:val="12"/>
        </w:rPr>
        <w:t>提高。这些诊断标准适用于窦性心律或合并心房颤动的患者16,但</w:t>
      </w:r>
      <w:r>
        <w:rPr>
          <w:spacing w:val="9"/>
        </w:rPr>
        <w:t xml:space="preserve"> </w:t>
      </w:r>
      <w:r>
        <w:rPr>
          <w:spacing w:val="9"/>
        </w:rPr>
        <w:t>应谨慎用于合并左前分支阻滞或左束支传导阻滞的患者7。</w:t>
      </w:r>
    </w:p>
    <w:p>
      <w:pPr>
        <w:pStyle w:val="BodyText"/>
        <w:ind w:left="10" w:right="106" w:firstLine="419"/>
        <w:spacing w:before="3" w:line="332" w:lineRule="auto"/>
        <w:jc w:val="both"/>
        <w:rPr>
          <w:sz w:val="16"/>
          <w:szCs w:val="16"/>
        </w:rPr>
      </w:pPr>
      <w:r>
        <w:rPr>
          <w:spacing w:val="1"/>
        </w:rPr>
        <w:t>心电图不能直接观察左心室解剖结构，并且心电图指标阴性不能</w:t>
      </w:r>
      <w:r>
        <w:rPr>
          <w:spacing w:val="9"/>
        </w:rPr>
        <w:t xml:space="preserve"> </w:t>
      </w:r>
      <w:r>
        <w:rPr>
          <w:spacing w:val="6"/>
        </w:rPr>
        <w:t>排除</w:t>
      </w:r>
      <w:r>
        <w:rPr>
          <w:rFonts w:ascii="Times New Roman" w:hAnsi="Times New Roman" w:eastAsia="Times New Roman" w:cs="Times New Roman"/>
        </w:rPr>
        <w:t>LVH</w:t>
      </w:r>
      <w:r>
        <w:rPr>
          <w:rFonts w:ascii="SimSun" w:hAnsi="SimSun" w:eastAsia="SimSun" w:cs="SimSun"/>
          <w:spacing w:val="6"/>
        </w:rPr>
        <w:t>。</w:t>
      </w:r>
      <w:r>
        <w:rPr>
          <w:spacing w:val="6"/>
        </w:rPr>
        <w:t>因此，对心电图初筛提示</w:t>
      </w:r>
      <w:r>
        <w:rPr>
          <w:rFonts w:ascii="Times New Roman" w:hAnsi="Times New Roman" w:eastAsia="Times New Roman" w:cs="Times New Roman"/>
        </w:rPr>
        <w:t>LVH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者，应通过心脏超声等影</w:t>
      </w:r>
      <w:r>
        <w:rPr>
          <w:spacing w:val="12"/>
        </w:rPr>
        <w:t xml:space="preserve"> </w:t>
      </w:r>
      <w:r>
        <w:rPr>
          <w:sz w:val="16"/>
          <w:szCs w:val="16"/>
          <w:spacing w:val="-11"/>
        </w:rPr>
        <w:t>像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1"/>
        </w:rPr>
        <w:t>学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1"/>
        </w:rPr>
        <w:t>检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1"/>
        </w:rPr>
        <w:t>查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1"/>
        </w:rPr>
        <w:t>进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1"/>
        </w:rPr>
        <w:t>一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1"/>
        </w:rPr>
        <w:t>步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1"/>
        </w:rPr>
        <w:t>明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1"/>
        </w:rPr>
        <w:t>确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1"/>
        </w:rPr>
        <w:t>诊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1"/>
        </w:rPr>
        <w:t>断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1"/>
        </w:rPr>
        <w:t>(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1"/>
        </w:rPr>
        <w:t>图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1"/>
        </w:rPr>
        <w:t>1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1"/>
        </w:rPr>
        <w:t>)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1"/>
        </w:rPr>
        <w:t>。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1"/>
        </w:rPr>
        <w:t>基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1"/>
        </w:rPr>
        <w:t>层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1"/>
        </w:rPr>
        <w:t>医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1"/>
        </w:rPr>
        <w:t>疗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1"/>
        </w:rPr>
        <w:t>机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1"/>
        </w:rPr>
        <w:t>构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1"/>
        </w:rPr>
        <w:t>如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1"/>
        </w:rPr>
        <w:t>缺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1"/>
        </w:rPr>
        <w:t>乏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1"/>
        </w:rPr>
        <w:t>超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1"/>
        </w:rPr>
        <w:t>声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1"/>
        </w:rPr>
        <w:t>设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1"/>
        </w:rPr>
        <w:t>备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1"/>
        </w:rPr>
        <w:t>，</w:t>
      </w:r>
    </w:p>
    <w:p>
      <w:pPr>
        <w:spacing w:line="332" w:lineRule="auto"/>
        <w:sectPr>
          <w:type w:val="continuous"/>
          <w:pgSz w:w="11910" w:h="16160"/>
          <w:pgMar w:top="819" w:right="1055" w:bottom="0" w:left="370" w:header="0" w:footer="0" w:gutter="0"/>
          <w:cols w:equalWidth="0" w:num="2">
            <w:col w:w="3930" w:space="100"/>
            <w:col w:w="6455" w:space="0"/>
          </w:cols>
        </w:sectPr>
        <w:rPr>
          <w:sz w:val="16"/>
          <w:szCs w:val="16"/>
        </w:rPr>
      </w:pPr>
    </w:p>
    <w:p>
      <w:pPr>
        <w:pStyle w:val="BodyText"/>
        <w:ind w:left="749"/>
        <w:spacing w:before="105" w:line="22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463527</wp:posOffset>
            </wp:positionH>
            <wp:positionV relativeFrom="paragraph">
              <wp:posOffset>-8730634</wp:posOffset>
            </wp:positionV>
            <wp:extent cx="6140429" cy="6362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0429" cy="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463527</wp:posOffset>
            </wp:positionH>
            <wp:positionV relativeFrom="paragraph">
              <wp:posOffset>-9029142</wp:posOffset>
            </wp:positionV>
            <wp:extent cx="1009640" cy="26033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9640" cy="260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  <w:spacing w:val="14"/>
        </w:rPr>
        <w:t>中华心血管病杂志(网络版)2019年第2卷</w:t>
      </w:r>
      <w:r>
        <w:rPr>
          <w:sz w:val="16"/>
          <w:szCs w:val="16"/>
          <w:spacing w:val="1"/>
        </w:rPr>
        <w:t xml:space="preserve">                                                            </w:t>
      </w:r>
      <w:r>
        <w:rPr>
          <w:sz w:val="16"/>
          <w:szCs w:val="16"/>
        </w:rPr>
        <w:t xml:space="preserve">                 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>1/5</w:t>
      </w:r>
    </w:p>
    <w:p>
      <w:pPr>
        <w:pStyle w:val="BodyText"/>
        <w:spacing w:before="254"/>
        <w:rPr>
          <w:rFonts w:ascii="Times New Roman" w:hAnsi="Times New Roman" w:eastAsia="Times New Roman" w:cs="Times New Roman"/>
        </w:rPr>
      </w:pPr>
      <w:r>
        <w:rPr>
          <w:sz w:val="10"/>
          <w:szCs w:val="10"/>
          <w:position w:val="-7"/>
        </w:rPr>
        <w:drawing>
          <wp:inline distT="0" distB="0" distL="0" distR="0">
            <wp:extent cx="171449" cy="184093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49" cy="18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  <w:spacing w:val="1"/>
          <w:position w:val="-2"/>
        </w:rPr>
        <w:t>中桑醫辛令会品法</w:t>
      </w:r>
      <w:r>
        <w:rPr>
          <w:sz w:val="10"/>
          <w:szCs w:val="10"/>
          <w:spacing w:val="1"/>
          <w:position w:val="-2"/>
        </w:rPr>
        <w:t xml:space="preserve">                                                                                                                                        </w:t>
      </w:r>
      <w:r>
        <w:rPr>
          <w:sz w:val="10"/>
          <w:szCs w:val="10"/>
          <w:position w:val="-2"/>
        </w:rPr>
        <w:t xml:space="preserve">           </w:t>
      </w:r>
      <w:r>
        <w:rPr>
          <w:rFonts w:ascii="Times New Roman" w:hAnsi="Times New Roman" w:eastAsia="Times New Roman" w:cs="Times New Roman"/>
          <w:color w:val="C09080"/>
        </w:rPr>
        <w:t>xvdWRWZXJzaW9uI</w:t>
      </w:r>
    </w:p>
    <w:p>
      <w:pPr>
        <w:sectPr>
          <w:type w:val="continuous"/>
          <w:pgSz w:w="11910" w:h="16160"/>
          <w:pgMar w:top="819" w:right="1055" w:bottom="0" w:left="370" w:header="0" w:footer="0" w:gutter="0"/>
          <w:cols w:equalWidth="0" w:num="1">
            <w:col w:w="10485" w:space="0"/>
          </w:cols>
        </w:sectPr>
        <w:rPr>
          <w:rFonts w:ascii="Times New Roman" w:hAnsi="Times New Roman" w:eastAsia="Times New Roman" w:cs="Times New Roman"/>
        </w:rPr>
      </w:pPr>
    </w:p>
    <w:p>
      <w:pPr>
        <w:spacing w:line="170" w:lineRule="exact"/>
        <w:rPr/>
      </w:pPr>
      <w:r/>
    </w:p>
    <w:p>
      <w:pPr>
        <w:spacing w:line="170" w:lineRule="exact"/>
        <w:sectPr>
          <w:headerReference w:type="default" r:id="rId10"/>
          <w:pgSz w:w="11910" w:h="16160"/>
          <w:pgMar w:top="1317" w:right="1089" w:bottom="0" w:left="370" w:header="997" w:footer="0" w:gutter="0"/>
          <w:cols w:equalWidth="0" w:num="1">
            <w:col w:w="10451" w:space="0"/>
          </w:cols>
        </w:sectPr>
        <w:rPr/>
      </w:pPr>
    </w:p>
    <w:p>
      <w:pPr>
        <w:pStyle w:val="BodyText"/>
        <w:ind w:left="729"/>
        <w:spacing w:before="83" w:line="219" w:lineRule="auto"/>
        <w:rPr>
          <w:sz w:val="18"/>
          <w:szCs w:val="18"/>
        </w:rPr>
      </w:pPr>
      <w:r>
        <w:rPr>
          <w:sz w:val="18"/>
          <w:szCs w:val="18"/>
          <w:spacing w:val="28"/>
        </w:rPr>
        <w:t>建议转至上级医院进行超声心动图检查。</w:t>
      </w:r>
    </w:p>
    <w:p>
      <w:pPr>
        <w:ind w:left="799"/>
        <w:spacing w:before="229" w:line="221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6"/>
        </w:rPr>
        <w:t>●</w:t>
      </w:r>
      <w:r>
        <w:rPr>
          <w:rFonts w:ascii="SimHei" w:hAnsi="SimHei" w:eastAsia="SimHei" w:cs="SimHei"/>
          <w:sz w:val="26"/>
          <w:szCs w:val="26"/>
          <w:spacing w:val="77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6"/>
        </w:rPr>
        <w:t>左心室肥厚的超声心动图诊断</w:t>
      </w:r>
    </w:p>
    <w:p>
      <w:pPr>
        <w:pStyle w:val="BodyText"/>
        <w:ind w:left="1159"/>
        <w:spacing w:before="210" w:line="222" w:lineRule="auto"/>
        <w:rPr>
          <w:sz w:val="18"/>
          <w:szCs w:val="18"/>
        </w:rPr>
      </w:pPr>
      <w:r>
        <w:rPr>
          <w:sz w:val="18"/>
          <w:szCs w:val="18"/>
          <w:spacing w:val="21"/>
        </w:rPr>
        <w:t>一</w:t>
      </w:r>
      <w:r>
        <w:rPr>
          <w:sz w:val="18"/>
          <w:szCs w:val="18"/>
          <w:spacing w:val="-45"/>
        </w:rPr>
        <w:t xml:space="preserve"> </w:t>
      </w:r>
      <w:r>
        <w:rPr>
          <w:sz w:val="18"/>
          <w:szCs w:val="18"/>
          <w:spacing w:val="21"/>
        </w:rPr>
        <w:t>、适用人群</w:t>
      </w:r>
    </w:p>
    <w:p>
      <w:pPr>
        <w:pStyle w:val="BodyText"/>
        <w:ind w:left="729" w:right="400" w:firstLine="429"/>
        <w:spacing w:before="75" w:line="340" w:lineRule="auto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spacing w:val="-14"/>
        </w:rPr>
        <w:t>心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4"/>
        </w:rPr>
        <w:t>电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4"/>
        </w:rPr>
        <w:t>图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14"/>
        </w:rPr>
        <w:t>初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4"/>
        </w:rPr>
        <w:t>筛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14"/>
        </w:rPr>
        <w:t>提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14"/>
        </w:rPr>
        <w:t>示</w:t>
      </w:r>
      <w:r>
        <w:rPr>
          <w:sz w:val="18"/>
          <w:szCs w:val="18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4"/>
        </w:rPr>
        <w:t>LVH   </w:t>
      </w:r>
      <w:r>
        <w:rPr>
          <w:sz w:val="18"/>
          <w:szCs w:val="18"/>
          <w:spacing w:val="-14"/>
        </w:rPr>
        <w:t>的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14"/>
        </w:rPr>
        <w:t>高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14"/>
        </w:rPr>
        <w:t>血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-14"/>
        </w:rPr>
        <w:t>压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4"/>
        </w:rPr>
        <w:t>患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14"/>
        </w:rPr>
        <w:t>者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4"/>
        </w:rPr>
        <w:t>，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14"/>
        </w:rPr>
        <w:t>以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14"/>
        </w:rPr>
        <w:t>及</w:t>
      </w:r>
      <w:r>
        <w:rPr>
          <w:sz w:val="18"/>
          <w:szCs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ECG</w:t>
      </w:r>
      <w:r>
        <w:rPr>
          <w:rFonts w:ascii="Times New Roman" w:hAnsi="Times New Roman" w:eastAsia="Times New Roman" w:cs="Times New Roman"/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3"/>
        </w:rPr>
        <w:t>初筛未提示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LVH  </w:t>
      </w:r>
      <w:r>
        <w:rPr>
          <w:sz w:val="18"/>
          <w:szCs w:val="18"/>
          <w:spacing w:val="-3"/>
        </w:rPr>
        <w:t>但</w:t>
      </w:r>
      <w:r>
        <w:rPr>
          <w:sz w:val="18"/>
          <w:szCs w:val="18"/>
          <w:spacing w:val="-31"/>
        </w:rPr>
        <w:t xml:space="preserve"> </w:t>
      </w:r>
      <w:r>
        <w:rPr>
          <w:sz w:val="18"/>
          <w:szCs w:val="18"/>
          <w:spacing w:val="-3"/>
        </w:rPr>
        <w:t>高</w:t>
      </w:r>
      <w:r>
        <w:rPr>
          <w:sz w:val="18"/>
          <w:szCs w:val="18"/>
          <w:spacing w:val="-33"/>
        </w:rPr>
        <w:t xml:space="preserve"> </w:t>
      </w:r>
      <w:r>
        <w:rPr>
          <w:sz w:val="18"/>
          <w:szCs w:val="18"/>
          <w:spacing w:val="-3"/>
        </w:rPr>
        <w:t>血</w:t>
      </w:r>
      <w:r>
        <w:rPr>
          <w:sz w:val="18"/>
          <w:szCs w:val="18"/>
          <w:spacing w:val="-36"/>
        </w:rPr>
        <w:t xml:space="preserve"> </w:t>
      </w:r>
      <w:r>
        <w:rPr>
          <w:sz w:val="18"/>
          <w:szCs w:val="18"/>
          <w:spacing w:val="-3"/>
        </w:rPr>
        <w:t>压</w:t>
      </w:r>
      <w:r>
        <w:rPr>
          <w:sz w:val="18"/>
          <w:szCs w:val="18"/>
          <w:spacing w:val="-36"/>
        </w:rPr>
        <w:t xml:space="preserve"> </w:t>
      </w:r>
      <w:r>
        <w:rPr>
          <w:sz w:val="18"/>
          <w:szCs w:val="18"/>
          <w:spacing w:val="-3"/>
        </w:rPr>
        <w:t>病</w:t>
      </w:r>
      <w:r>
        <w:rPr>
          <w:sz w:val="18"/>
          <w:szCs w:val="18"/>
          <w:spacing w:val="-35"/>
        </w:rPr>
        <w:t xml:space="preserve"> </w:t>
      </w:r>
      <w:r>
        <w:rPr>
          <w:sz w:val="18"/>
          <w:szCs w:val="18"/>
          <w:spacing w:val="-3"/>
        </w:rPr>
        <w:t>程</w:t>
      </w:r>
      <w:r>
        <w:rPr>
          <w:sz w:val="18"/>
          <w:szCs w:val="18"/>
          <w:spacing w:val="-36"/>
        </w:rPr>
        <w:t xml:space="preserve"> </w:t>
      </w:r>
      <w:r>
        <w:rPr>
          <w:sz w:val="18"/>
          <w:szCs w:val="18"/>
          <w:spacing w:val="-3"/>
        </w:rPr>
        <w:t>较</w:t>
      </w:r>
      <w:r>
        <w:rPr>
          <w:sz w:val="18"/>
          <w:szCs w:val="18"/>
          <w:spacing w:val="-36"/>
        </w:rPr>
        <w:t xml:space="preserve"> </w:t>
      </w:r>
      <w:r>
        <w:rPr>
          <w:sz w:val="18"/>
          <w:szCs w:val="18"/>
          <w:spacing w:val="-3"/>
        </w:rPr>
        <w:t>长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3"/>
        </w:rPr>
        <w:t>(</w:t>
      </w:r>
      <w:r>
        <w:rPr>
          <w:sz w:val="18"/>
          <w:szCs w:val="18"/>
          <w:spacing w:val="-38"/>
        </w:rPr>
        <w:t xml:space="preserve"> </w:t>
      </w:r>
      <w:r>
        <w:rPr>
          <w:sz w:val="18"/>
          <w:szCs w:val="18"/>
          <w:spacing w:val="-3"/>
        </w:rPr>
        <w:t>&gt;</w:t>
      </w:r>
      <w:r>
        <w:rPr>
          <w:sz w:val="18"/>
          <w:szCs w:val="18"/>
          <w:spacing w:val="-38"/>
        </w:rPr>
        <w:t xml:space="preserve"> </w:t>
      </w:r>
      <w:r>
        <w:rPr>
          <w:sz w:val="18"/>
          <w:szCs w:val="18"/>
          <w:spacing w:val="-3"/>
        </w:rPr>
        <w:t>5</w:t>
      </w:r>
      <w:r>
        <w:rPr>
          <w:sz w:val="18"/>
          <w:szCs w:val="18"/>
          <w:spacing w:val="-33"/>
        </w:rPr>
        <w:t xml:space="preserve"> </w:t>
      </w:r>
      <w:r>
        <w:rPr>
          <w:sz w:val="18"/>
          <w:szCs w:val="18"/>
          <w:spacing w:val="-3"/>
        </w:rPr>
        <w:t>年</w:t>
      </w:r>
      <w:r>
        <w:rPr>
          <w:sz w:val="18"/>
          <w:szCs w:val="18"/>
          <w:spacing w:val="-41"/>
        </w:rPr>
        <w:t xml:space="preserve"> </w:t>
      </w:r>
      <w:r>
        <w:rPr>
          <w:sz w:val="18"/>
          <w:szCs w:val="18"/>
          <w:spacing w:val="-3"/>
        </w:rPr>
        <w:t>)</w:t>
      </w:r>
      <w:r>
        <w:rPr>
          <w:sz w:val="18"/>
          <w:szCs w:val="18"/>
          <w:spacing w:val="-48"/>
        </w:rPr>
        <w:t xml:space="preserve"> </w:t>
      </w:r>
      <w:r>
        <w:rPr>
          <w:sz w:val="18"/>
          <w:szCs w:val="18"/>
          <w:spacing w:val="-3"/>
        </w:rPr>
        <w:t>、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6"/>
        </w:rPr>
        <w:t>伴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16"/>
        </w:rPr>
        <w:t>有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-16"/>
        </w:rPr>
        <w:t>其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-16"/>
        </w:rPr>
        <w:t>他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16"/>
        </w:rPr>
        <w:t>危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16"/>
        </w:rPr>
        <w:t>险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6"/>
        </w:rPr>
        <w:t>因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16"/>
        </w:rPr>
        <w:t>素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6"/>
        </w:rPr>
        <w:t>(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-16"/>
        </w:rPr>
        <w:t>如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16"/>
        </w:rPr>
        <w:t>年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16"/>
        </w:rPr>
        <w:t>龄</w:t>
      </w:r>
      <w:r>
        <w:rPr>
          <w:sz w:val="18"/>
          <w:szCs w:val="18"/>
          <w:spacing w:val="-30"/>
        </w:rPr>
        <w:t xml:space="preserve"> </w:t>
      </w:r>
      <w:r>
        <w:rPr>
          <w:sz w:val="18"/>
          <w:szCs w:val="18"/>
          <w:spacing w:val="-16"/>
        </w:rPr>
        <w:t>&gt;</w:t>
      </w:r>
      <w:r>
        <w:rPr>
          <w:sz w:val="18"/>
          <w:szCs w:val="18"/>
          <w:spacing w:val="-31"/>
        </w:rPr>
        <w:t xml:space="preserve"> </w:t>
      </w:r>
      <w:r>
        <w:rPr>
          <w:sz w:val="18"/>
          <w:szCs w:val="18"/>
          <w:spacing w:val="-16"/>
        </w:rPr>
        <w:t>5</w:t>
      </w:r>
      <w:r>
        <w:rPr>
          <w:sz w:val="18"/>
          <w:szCs w:val="18"/>
          <w:spacing w:val="-31"/>
        </w:rPr>
        <w:t xml:space="preserve"> </w:t>
      </w:r>
      <w:r>
        <w:rPr>
          <w:sz w:val="18"/>
          <w:szCs w:val="18"/>
          <w:spacing w:val="-16"/>
        </w:rPr>
        <w:t>5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16"/>
        </w:rPr>
        <w:t>岁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6"/>
        </w:rPr>
        <w:t>，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-16"/>
        </w:rPr>
        <w:t>肥</w:t>
      </w:r>
      <w:r>
        <w:rPr>
          <w:sz w:val="18"/>
          <w:szCs w:val="18"/>
          <w:spacing w:val="-30"/>
        </w:rPr>
        <w:t xml:space="preserve"> </w:t>
      </w:r>
      <w:r>
        <w:rPr>
          <w:sz w:val="18"/>
          <w:szCs w:val="18"/>
          <w:spacing w:val="-16"/>
        </w:rPr>
        <w:t>胖</w:t>
      </w:r>
      <w:r>
        <w:rPr>
          <w:sz w:val="18"/>
          <w:szCs w:val="18"/>
          <w:spacing w:val="-34"/>
        </w:rPr>
        <w:t xml:space="preserve"> </w:t>
      </w:r>
      <w:r>
        <w:rPr>
          <w:sz w:val="18"/>
          <w:szCs w:val="18"/>
          <w:spacing w:val="-16"/>
        </w:rPr>
        <w:t>)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6"/>
        </w:rPr>
        <w:t>、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16"/>
        </w:rPr>
        <w:t>合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34"/>
        </w:rPr>
        <w:t>并靶器官损害或心血管疾病的高血压患者，均推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33"/>
        </w:rPr>
        <w:t>荐进行超声心动图检查。超声心动图是诊断</w:t>
      </w:r>
      <w:r>
        <w:rPr>
          <w:sz w:val="18"/>
          <w:szCs w:val="18"/>
          <w:spacing w:val="-44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LVH</w:t>
      </w:r>
    </w:p>
    <w:p>
      <w:pPr>
        <w:pStyle w:val="BodyText"/>
        <w:ind w:left="729"/>
        <w:spacing w:before="1" w:line="220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的主要方法，还有助于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LVH</w:t>
      </w:r>
      <w:r>
        <w:rPr>
          <w:sz w:val="22"/>
          <w:szCs w:val="22"/>
          <w:spacing w:val="-6"/>
        </w:rPr>
        <w:t>的病因诊断。</w:t>
      </w:r>
    </w:p>
    <w:p>
      <w:pPr>
        <w:pStyle w:val="BodyText"/>
        <w:ind w:left="1159"/>
        <w:spacing w:before="105" w:line="221" w:lineRule="auto"/>
        <w:rPr>
          <w:sz w:val="18"/>
          <w:szCs w:val="18"/>
        </w:rPr>
      </w:pPr>
      <w:r>
        <w:rPr>
          <w:sz w:val="18"/>
          <w:szCs w:val="18"/>
          <w:spacing w:val="14"/>
        </w:rPr>
        <w:t>二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4"/>
        </w:rPr>
        <w:t>、诊断标准</w:t>
      </w:r>
    </w:p>
    <w:p>
      <w:pPr>
        <w:pStyle w:val="BodyText"/>
        <w:ind w:left="729" w:right="460" w:firstLine="429"/>
        <w:spacing w:before="146" w:line="337" w:lineRule="auto"/>
        <w:jc w:val="both"/>
        <w:rPr>
          <w:sz w:val="18"/>
          <w:szCs w:val="18"/>
        </w:rPr>
      </w:pPr>
      <w:r>
        <w:rPr>
          <w:sz w:val="18"/>
          <w:szCs w:val="18"/>
          <w:spacing w:val="15"/>
        </w:rPr>
        <w:t>左心室质量指数</w:t>
      </w:r>
      <w:r>
        <w:rPr>
          <w:rFonts w:ascii="SimSun" w:hAnsi="SimSun" w:eastAsia="SimSun" w:cs="SimSun"/>
          <w:sz w:val="18"/>
          <w:szCs w:val="18"/>
          <w:spacing w:val="15"/>
        </w:rPr>
        <w:t>(</w:t>
      </w:r>
      <w:r>
        <w:rPr>
          <w:rFonts w:ascii="SimSun" w:hAnsi="SimSun" w:eastAsia="SimSun" w:cs="SimSun"/>
          <w:sz w:val="18"/>
          <w:szCs w:val="18"/>
        </w:rPr>
        <w:t>left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ventricular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mass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index</w:t>
      </w:r>
      <w:r>
        <w:rPr>
          <w:rFonts w:ascii="SimSun" w:hAnsi="SimSun" w:eastAsia="SimSun" w:cs="SimSun"/>
          <w:sz w:val="18"/>
          <w:szCs w:val="18"/>
          <w:spacing w:val="15"/>
        </w:rPr>
        <w:t>,</w:t>
      </w:r>
      <w:r>
        <w:rPr>
          <w:rFonts w:ascii="SimSun" w:hAnsi="SimSun" w:eastAsia="SimSun" w:cs="SimSun"/>
          <w:sz w:val="18"/>
          <w:szCs w:val="18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LVMI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)    </w:t>
      </w:r>
      <w:r>
        <w:rPr>
          <w:sz w:val="18"/>
          <w:szCs w:val="18"/>
          <w:spacing w:val="15"/>
        </w:rPr>
        <w:t>是超声心动图诊断</w:t>
      </w:r>
      <w:r>
        <w:rPr>
          <w:sz w:val="18"/>
          <w:szCs w:val="18"/>
          <w:spacing w:val="-5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LVH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15"/>
        </w:rPr>
        <w:t>的主要指</w:t>
      </w:r>
      <w:r>
        <w:rPr>
          <w:sz w:val="18"/>
          <w:szCs w:val="18"/>
          <w:spacing w:val="14"/>
        </w:rPr>
        <w:t>标14-15。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5"/>
        </w:rPr>
        <w:t>临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15"/>
        </w:rPr>
        <w:t>床</w:t>
      </w:r>
      <w:r>
        <w:rPr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-15"/>
        </w:rPr>
        <w:t>实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15"/>
        </w:rPr>
        <w:t>践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5"/>
        </w:rPr>
        <w:t>中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15"/>
        </w:rPr>
        <w:t>最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5"/>
        </w:rPr>
        <w:t>常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-15"/>
        </w:rPr>
        <w:t>采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15"/>
        </w:rPr>
        <w:t>用</w:t>
      </w:r>
      <w:r>
        <w:rPr>
          <w:sz w:val="18"/>
          <w:szCs w:val="18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>M  </w:t>
      </w:r>
      <w:r>
        <w:rPr>
          <w:sz w:val="18"/>
          <w:szCs w:val="18"/>
          <w:spacing w:val="-15"/>
        </w:rPr>
        <w:t>型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-15"/>
        </w:rPr>
        <w:t>超</w:t>
      </w:r>
      <w:r>
        <w:rPr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-15"/>
        </w:rPr>
        <w:t>声</w:t>
      </w:r>
      <w:r>
        <w:rPr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-15"/>
        </w:rPr>
        <w:t>心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15"/>
        </w:rPr>
        <w:t>动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5"/>
        </w:rPr>
        <w:t>图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15"/>
        </w:rPr>
        <w:t>，</w:t>
      </w:r>
      <w:r>
        <w:rPr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-15"/>
        </w:rPr>
        <w:t>首</w:t>
      </w:r>
      <w:r>
        <w:rPr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-15"/>
        </w:rPr>
        <w:t>先</w:t>
      </w:r>
      <w:r>
        <w:rPr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-15"/>
        </w:rPr>
        <w:t>测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量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7"/>
        </w:rPr>
        <w:t>舒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7"/>
        </w:rPr>
        <w:t>张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7"/>
        </w:rPr>
        <w:t>末</w:t>
      </w:r>
      <w:r>
        <w:rPr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-7"/>
        </w:rPr>
        <w:t>期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7"/>
        </w:rPr>
        <w:t>左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7"/>
        </w:rPr>
        <w:t>心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7"/>
        </w:rPr>
        <w:t>室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7"/>
        </w:rPr>
        <w:t>内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7"/>
        </w:rPr>
        <w:t>径</w:t>
      </w:r>
      <w:r>
        <w:rPr>
          <w:rFonts w:ascii="SimSun" w:hAnsi="SimSun" w:eastAsia="SimSun" w:cs="SimSun"/>
          <w:sz w:val="18"/>
          <w:szCs w:val="18"/>
          <w:spacing w:val="-7"/>
        </w:rPr>
        <w:t>(left </w:t>
      </w:r>
      <w:r>
        <w:rPr>
          <w:rFonts w:ascii="SimSun" w:hAnsi="SimSun" w:eastAsia="SimSun" w:cs="SimSun"/>
          <w:sz w:val="18"/>
          <w:szCs w:val="18"/>
          <w:spacing w:val="-8"/>
        </w:rPr>
        <w:t>ventricular internal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diameter,LVID)、     </w:t>
      </w:r>
      <w:r>
        <w:rPr>
          <w:sz w:val="18"/>
          <w:szCs w:val="18"/>
          <w:spacing w:val="-5"/>
        </w:rPr>
        <w:t>室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间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隔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厚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度</w:t>
      </w:r>
      <w:r>
        <w:rPr>
          <w:rFonts w:ascii="SimSun" w:hAnsi="SimSun" w:eastAsia="SimSun" w:cs="SimSun"/>
          <w:sz w:val="18"/>
          <w:szCs w:val="18"/>
          <w:spacing w:val="-5"/>
        </w:rPr>
        <w:t>(inte</w:t>
      </w:r>
      <w:r>
        <w:rPr>
          <w:rFonts w:ascii="SimSun" w:hAnsi="SimSun" w:eastAsia="SimSun" w:cs="SimSun"/>
          <w:sz w:val="18"/>
          <w:szCs w:val="18"/>
          <w:spacing w:val="-6"/>
        </w:rPr>
        <w:t>rventricular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septal   thickness,IVST)</w:t>
      </w:r>
      <w:r>
        <w:rPr>
          <w:rFonts w:ascii="SimSun" w:hAnsi="SimSun" w:eastAsia="SimSun" w:cs="SimSun"/>
          <w:sz w:val="18"/>
          <w:szCs w:val="18"/>
          <w:spacing w:val="-32"/>
        </w:rPr>
        <w:t xml:space="preserve"> </w:t>
      </w:r>
      <w:r>
        <w:rPr>
          <w:sz w:val="18"/>
          <w:szCs w:val="18"/>
          <w:spacing w:val="-5"/>
        </w:rPr>
        <w:t>和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-5"/>
        </w:rPr>
        <w:t>左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-5"/>
        </w:rPr>
        <w:t>心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-5"/>
        </w:rPr>
        <w:t>室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-5"/>
        </w:rPr>
        <w:t>后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-5"/>
        </w:rPr>
        <w:t>壁</w:t>
      </w:r>
      <w:r>
        <w:rPr>
          <w:sz w:val="18"/>
          <w:szCs w:val="18"/>
          <w:spacing w:val="-5"/>
        </w:rPr>
        <w:t xml:space="preserve"> </w:t>
      </w:r>
      <w:r>
        <w:rPr>
          <w:sz w:val="18"/>
          <w:szCs w:val="18"/>
          <w:spacing w:val="-5"/>
        </w:rPr>
        <w:t>厚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度</w:t>
      </w:r>
      <w:r>
        <w:rPr>
          <w:rFonts w:ascii="SimSun" w:hAnsi="SimSun" w:eastAsia="SimSun" w:cs="SimSun"/>
          <w:sz w:val="18"/>
          <w:szCs w:val="18"/>
          <w:spacing w:val="-5"/>
        </w:rPr>
        <w:t>(left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ventricular       post</w:t>
      </w:r>
      <w:r>
        <w:rPr>
          <w:rFonts w:ascii="Arial" w:hAnsi="Arial" w:eastAsia="Arial" w:cs="Arial"/>
          <w:sz w:val="18"/>
          <w:szCs w:val="18"/>
          <w:spacing w:val="-1"/>
        </w:rPr>
        <w:t>erior       wallthickness,LVPWT), </w:t>
      </w:r>
      <w:r>
        <w:rPr>
          <w:sz w:val="18"/>
          <w:szCs w:val="18"/>
          <w:spacing w:val="-1"/>
        </w:rPr>
        <w:t>然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1"/>
        </w:rPr>
        <w:t>后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9"/>
        </w:rPr>
        <w:t>计算左心室质量</w:t>
      </w:r>
      <w:r>
        <w:rPr>
          <w:rFonts w:ascii="SimSun" w:hAnsi="SimSun" w:eastAsia="SimSun" w:cs="SimSun"/>
          <w:sz w:val="18"/>
          <w:szCs w:val="18"/>
          <w:spacing w:val="19"/>
        </w:rPr>
        <w:t>(</w:t>
      </w:r>
      <w:r>
        <w:rPr>
          <w:rFonts w:ascii="SimSun" w:hAnsi="SimSun" w:eastAsia="SimSun" w:cs="SimSun"/>
          <w:sz w:val="18"/>
          <w:szCs w:val="18"/>
        </w:rPr>
        <w:t>left</w:t>
      </w:r>
      <w:r>
        <w:rPr>
          <w:rFonts w:ascii="SimSun" w:hAnsi="SimSun" w:eastAsia="SimSun" w:cs="SimSun"/>
          <w:sz w:val="18"/>
          <w:szCs w:val="18"/>
          <w:spacing w:val="23"/>
        </w:rPr>
        <w:t xml:space="preserve">   </w:t>
      </w:r>
      <w:r>
        <w:rPr>
          <w:rFonts w:ascii="SimSun" w:hAnsi="SimSun" w:eastAsia="SimSun" w:cs="SimSun"/>
          <w:sz w:val="18"/>
          <w:szCs w:val="18"/>
        </w:rPr>
        <w:t>ventricular</w:t>
      </w:r>
      <w:r>
        <w:rPr>
          <w:rFonts w:ascii="SimSun" w:hAnsi="SimSun" w:eastAsia="SimSun" w:cs="SimSun"/>
          <w:sz w:val="18"/>
          <w:szCs w:val="18"/>
          <w:spacing w:val="22"/>
        </w:rPr>
        <w:t xml:space="preserve">   </w:t>
      </w:r>
      <w:r>
        <w:rPr>
          <w:rFonts w:ascii="SimSun" w:hAnsi="SimSun" w:eastAsia="SimSun" w:cs="SimSun"/>
          <w:sz w:val="18"/>
          <w:szCs w:val="18"/>
        </w:rPr>
        <w:t>mass</w:t>
      </w:r>
      <w:r>
        <w:rPr>
          <w:rFonts w:ascii="SimSun" w:hAnsi="SimSun" w:eastAsia="SimSun" w:cs="SimSun"/>
          <w:sz w:val="18"/>
          <w:szCs w:val="18"/>
          <w:spacing w:val="19"/>
        </w:rPr>
        <w:t>,</w:t>
      </w:r>
      <w:r>
        <w:rPr>
          <w:rFonts w:ascii="SimSun" w:hAnsi="SimSun" w:eastAsia="SimSun" w:cs="SimSun"/>
          <w:sz w:val="18"/>
          <w:szCs w:val="18"/>
        </w:rPr>
        <w:t>LVM</w:t>
      </w:r>
      <w:r>
        <w:rPr>
          <w:rFonts w:ascii="SimSun" w:hAnsi="SimSun" w:eastAsia="SimSun" w:cs="SimSun"/>
          <w:sz w:val="18"/>
          <w:szCs w:val="18"/>
          <w:spacing w:val="19"/>
        </w:rPr>
        <w:t>),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LVM</w:t>
      </w:r>
      <w:r>
        <w:rPr>
          <w:rFonts w:ascii="Times New Roman" w:hAnsi="Times New Roman" w:eastAsia="Times New Roman" w:cs="Times New Roman"/>
          <w:sz w:val="18"/>
          <w:szCs w:val="18"/>
          <w:spacing w:val="22"/>
        </w:rPr>
        <w:t xml:space="preserve">  </w:t>
      </w:r>
      <w:r>
        <w:rPr>
          <w:sz w:val="18"/>
          <w:szCs w:val="18"/>
          <w:spacing w:val="22"/>
        </w:rPr>
        <w:t>计算公式如下：</w:t>
      </w:r>
    </w:p>
    <w:p>
      <w:pPr>
        <w:ind w:left="1090"/>
        <w:spacing w:before="232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LVM(g)=1.04×[(LVID+IVST+LVPWT)³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-LVID³]×</w:t>
      </w:r>
    </w:p>
    <w:p>
      <w:pPr>
        <w:ind w:left="729"/>
        <w:spacing w:before="74" w:line="18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0.8+0.6</w:t>
      </w:r>
    </w:p>
    <w:p>
      <w:pPr>
        <w:pStyle w:val="BodyText"/>
        <w:ind w:left="1159"/>
        <w:spacing w:before="250" w:line="21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LVM   </w:t>
      </w:r>
      <w:r>
        <w:rPr>
          <w:sz w:val="18"/>
          <w:szCs w:val="18"/>
          <w:spacing w:val="-2"/>
        </w:rPr>
        <w:t>用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2"/>
        </w:rPr>
        <w:t>体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2"/>
        </w:rPr>
        <w:t>表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2"/>
        </w:rPr>
        <w:t>面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2"/>
        </w:rPr>
        <w:t>积</w:t>
      </w:r>
      <w:r>
        <w:rPr>
          <w:sz w:val="18"/>
          <w:szCs w:val="18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(body      surface       a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rea,BSA)</w:t>
      </w:r>
    </w:p>
    <w:p>
      <w:pPr>
        <w:spacing w:line="3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7" w:line="212" w:lineRule="auto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spacing w:val="8"/>
        </w:rPr>
        <w:t>校正后得到</w:t>
      </w:r>
      <w:r>
        <w:rPr>
          <w:rFonts w:ascii="Times New Roman" w:hAnsi="Times New Roman" w:eastAsia="Times New Roman" w:cs="Times New Roman"/>
          <w:sz w:val="18"/>
          <w:szCs w:val="18"/>
        </w:rPr>
        <w:t>LVMI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,    </w:t>
      </w:r>
      <w:r>
        <w:rPr>
          <w:sz w:val="18"/>
          <w:szCs w:val="18"/>
          <w:spacing w:val="8"/>
        </w:rPr>
        <w:t>即</w:t>
      </w:r>
      <w:r>
        <w:rPr>
          <w:sz w:val="18"/>
          <w:szCs w:val="18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LVMI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(g/m²)=</w:t>
      </w:r>
      <w:r>
        <w:rPr>
          <w:rFonts w:ascii="Times New Roman" w:hAnsi="Times New Roman" w:eastAsia="Times New Roman" w:cs="Times New Roman"/>
          <w:sz w:val="18"/>
          <w:szCs w:val="18"/>
        </w:rPr>
        <w:t>LVM</w:t>
      </w:r>
      <w:r>
        <w:rPr>
          <w:rFonts w:ascii="Times New Roman" w:hAnsi="Times New Roman" w:eastAsia="Times New Roman" w:cs="Times New Roman"/>
          <w:sz w:val="18"/>
          <w:szCs w:val="18"/>
          <w:spacing w:val="8"/>
        </w:rPr>
        <w:t>/</w:t>
      </w:r>
      <w:r>
        <w:rPr>
          <w:rFonts w:ascii="Times New Roman" w:hAnsi="Times New Roman" w:eastAsia="Times New Roman" w:cs="Times New Roman"/>
          <w:sz w:val="18"/>
          <w:szCs w:val="18"/>
        </w:rPr>
        <w:t>BSA</w:t>
      </w:r>
      <w:r>
        <w:rPr>
          <w:rFonts w:ascii="SimSun" w:hAnsi="SimSun" w:eastAsia="SimSun" w:cs="SimSun"/>
          <w:sz w:val="18"/>
          <w:szCs w:val="18"/>
          <w:spacing w:val="8"/>
        </w:rPr>
        <w:t>。</w:t>
      </w:r>
    </w:p>
    <w:p>
      <w:pPr>
        <w:pStyle w:val="BodyText"/>
        <w:ind w:right="90"/>
        <w:spacing w:before="111" w:line="265" w:lineRule="auto"/>
        <w:rPr>
          <w:rFonts w:ascii="SimSun" w:hAnsi="SimSun" w:eastAsia="SimSun" w:cs="SimSun"/>
          <w:sz w:val="26"/>
          <w:szCs w:val="26"/>
        </w:rPr>
      </w:pP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LVMI </w:t>
      </w:r>
      <w:r>
        <w:rPr>
          <w:sz w:val="22"/>
          <w:szCs w:val="22"/>
          <w:spacing w:val="-3"/>
        </w:rPr>
        <w:t>诊断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LVH </w:t>
      </w:r>
      <w:r>
        <w:rPr>
          <w:sz w:val="22"/>
          <w:szCs w:val="22"/>
          <w:spacing w:val="-3"/>
        </w:rPr>
        <w:t>的标准为男性≥115</w:t>
      </w:r>
      <w:r>
        <w:rPr>
          <w:sz w:val="22"/>
          <w:szCs w:val="22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g/m²</w:t>
      </w:r>
      <w:r>
        <w:rPr>
          <w:rFonts w:ascii="SimSun" w:hAnsi="SimSun" w:eastAsia="SimSun" w:cs="SimSun"/>
          <w:sz w:val="22"/>
          <w:szCs w:val="22"/>
          <w:spacing w:val="-4"/>
        </w:rPr>
        <w:t>、</w:t>
      </w:r>
      <w:r>
        <w:rPr>
          <w:sz w:val="22"/>
          <w:szCs w:val="22"/>
          <w:spacing w:val="-4"/>
        </w:rPr>
        <w:t>女性</w:t>
      </w:r>
      <w:r>
        <w:rPr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≥95g/m²</w:t>
      </w:r>
      <w:r>
        <w:rPr>
          <w:rFonts w:ascii="SimSun" w:hAnsi="SimSun" w:eastAsia="SimSun" w:cs="SimSun"/>
          <w:sz w:val="26"/>
          <w:szCs w:val="26"/>
          <w:spacing w:val="-1"/>
        </w:rPr>
        <w:t>。</w:t>
      </w:r>
    </w:p>
    <w:p>
      <w:pPr>
        <w:pStyle w:val="BodyText"/>
        <w:ind w:right="75" w:firstLine="429"/>
        <w:spacing w:line="336" w:lineRule="auto"/>
        <w:rPr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IVST</w:t>
      </w:r>
      <w:r>
        <w:rPr>
          <w:rFonts w:ascii="Times New Roman" w:hAnsi="Times New Roman" w:eastAsia="Times New Roman" w:cs="Times New Roman"/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20"/>
        </w:rPr>
        <w:t>或</w:t>
      </w:r>
      <w:r>
        <w:rPr>
          <w:sz w:val="18"/>
          <w:szCs w:val="18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LVPWT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20"/>
        </w:rPr>
        <w:t>增加可作为诊断</w:t>
      </w:r>
      <w:r>
        <w:rPr>
          <w:rFonts w:ascii="Times New Roman" w:hAnsi="Times New Roman" w:eastAsia="Times New Roman" w:cs="Times New Roman"/>
          <w:sz w:val="18"/>
          <w:szCs w:val="18"/>
        </w:rPr>
        <w:t>LVH</w:t>
      </w:r>
      <w:r>
        <w:rPr>
          <w:rFonts w:ascii="Times New Roman" w:hAnsi="Times New Roman" w:eastAsia="Times New Roman" w:cs="Times New Roman"/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20"/>
        </w:rPr>
        <w:t>的参考指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16"/>
        </w:rPr>
        <w:t>标，诊断标准为男性&gt;11</w:t>
      </w:r>
      <w:r>
        <w:rPr>
          <w:rFonts w:ascii="Times New Roman" w:hAnsi="Times New Roman" w:eastAsia="Times New Roman" w:cs="Times New Roman"/>
          <w:sz w:val="18"/>
          <w:szCs w:val="18"/>
        </w:rPr>
        <w:t>mm</w:t>
      </w:r>
      <w:r>
        <w:rPr>
          <w:rFonts w:ascii="Times New Roman" w:hAnsi="Times New Roman" w:eastAsia="Times New Roman" w:cs="Times New Roman"/>
          <w:sz w:val="18"/>
          <w:szCs w:val="18"/>
          <w:spacing w:val="-2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16"/>
        </w:rPr>
        <w:t>、</w:t>
      </w:r>
      <w:r>
        <w:rPr>
          <w:rFonts w:ascii="SimSun" w:hAnsi="SimSun" w:eastAsia="SimSun" w:cs="SimSun"/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16"/>
        </w:rPr>
        <w:t>女性&gt;10.5</w:t>
      </w:r>
      <w:r>
        <w:rPr>
          <w:rFonts w:ascii="Times New Roman" w:hAnsi="Times New Roman" w:eastAsia="Times New Roman" w:cs="Times New Roman"/>
          <w:sz w:val="18"/>
          <w:szCs w:val="18"/>
        </w:rPr>
        <w:t>mm</w:t>
      </w:r>
      <w:r>
        <w:rPr>
          <w:rFonts w:ascii="Times New Roman" w:hAnsi="Times New Roman" w:eastAsia="Times New Roman" w:cs="Times New Roman"/>
          <w:sz w:val="18"/>
          <w:szCs w:val="18"/>
          <w:spacing w:val="16"/>
        </w:rPr>
        <w:t>18</w:t>
      </w:r>
      <w:r>
        <w:rPr>
          <w:rFonts w:ascii="Times New Roman" w:hAnsi="Times New Roman" w:eastAsia="Times New Roman" w:cs="Times New Roman"/>
          <w:sz w:val="18"/>
          <w:szCs w:val="18"/>
          <w:spacing w:val="15"/>
        </w:rPr>
        <w:t>-19</w:t>
      </w:r>
      <w:r>
        <w:rPr>
          <w:rFonts w:ascii="SimSun" w:hAnsi="SimSun" w:eastAsia="SimSun" w:cs="SimSun"/>
          <w:sz w:val="18"/>
          <w:szCs w:val="18"/>
          <w:spacing w:val="15"/>
        </w:rPr>
        <w:t>。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sz w:val="18"/>
          <w:szCs w:val="18"/>
          <w:spacing w:val="35"/>
        </w:rPr>
        <w:t>本共识建议超声心动图检查时应常规测量患者的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9"/>
        </w:rPr>
        <w:t>身高和体重，以便计算</w:t>
      </w:r>
      <w:r>
        <w:rPr>
          <w:sz w:val="18"/>
          <w:szCs w:val="18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BSA</w:t>
      </w:r>
      <w:r>
        <w:rPr>
          <w:rFonts w:ascii="SimSun" w:hAnsi="SimSun" w:eastAsia="SimSun" w:cs="SimSun"/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9"/>
        </w:rPr>
        <w:t>和</w:t>
      </w:r>
      <w:r>
        <w:rPr>
          <w:sz w:val="18"/>
          <w:szCs w:val="18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LVMI</w:t>
      </w:r>
      <w:r>
        <w:rPr>
          <w:rFonts w:ascii="SimSun" w:hAnsi="SimSun" w:eastAsia="SimSun" w:cs="SimSun"/>
          <w:sz w:val="18"/>
          <w:szCs w:val="18"/>
          <w:spacing w:val="27"/>
          <w:w w:val="101"/>
        </w:rPr>
        <w:t xml:space="preserve">  </w:t>
      </w:r>
      <w:r>
        <w:rPr>
          <w:sz w:val="18"/>
          <w:szCs w:val="18"/>
          <w:spacing w:val="9"/>
        </w:rPr>
        <w:t>(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9"/>
        </w:rPr>
        <w:t>图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9"/>
        </w:rPr>
        <w:t>1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9"/>
        </w:rPr>
        <w:t>)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9"/>
        </w:rPr>
        <w:t>。</w:t>
      </w:r>
    </w:p>
    <w:p>
      <w:pPr>
        <w:pStyle w:val="BodyText"/>
        <w:ind w:right="66" w:firstLine="429"/>
        <w:spacing w:before="2" w:line="343" w:lineRule="auto"/>
        <w:rPr>
          <w:sz w:val="18"/>
          <w:szCs w:val="18"/>
        </w:rPr>
      </w:pPr>
      <w:r>
        <w:rPr>
          <w:sz w:val="18"/>
          <w:szCs w:val="18"/>
          <w:spacing w:val="22"/>
        </w:rPr>
        <w:t>对超声心动图不能明确诊断的</w:t>
      </w:r>
      <w:r>
        <w:rPr>
          <w:rFonts w:ascii="SimSun" w:hAnsi="SimSun" w:eastAsia="SimSun" w:cs="SimSun"/>
          <w:sz w:val="18"/>
          <w:szCs w:val="18"/>
        </w:rPr>
        <w:t>LVH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22"/>
        </w:rPr>
        <w:t>或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22"/>
        </w:rPr>
        <w:t>临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22"/>
        </w:rPr>
        <w:t>床</w:t>
      </w:r>
      <w:r>
        <w:rPr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22"/>
        </w:rPr>
        <w:t>解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25"/>
        </w:rPr>
        <w:t>释不清的</w:t>
      </w:r>
      <w:r>
        <w:rPr>
          <w:rFonts w:ascii="Times New Roman" w:hAnsi="Times New Roman" w:eastAsia="Times New Roman" w:cs="Times New Roman"/>
          <w:sz w:val="18"/>
          <w:szCs w:val="18"/>
        </w:rPr>
        <w:t>LVH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>,  </w:t>
      </w:r>
      <w:r>
        <w:rPr>
          <w:sz w:val="18"/>
          <w:szCs w:val="18"/>
          <w:spacing w:val="25"/>
        </w:rPr>
        <w:t>可行心脏磁共振成像</w:t>
      </w:r>
      <w:r>
        <w:rPr>
          <w:rFonts w:ascii="Times New Roman" w:hAnsi="Times New Roman" w:eastAsia="Times New Roman" w:cs="Times New Roman"/>
          <w:sz w:val="18"/>
          <w:szCs w:val="18"/>
          <w:spacing w:val="25"/>
        </w:rPr>
        <w:t>(</w:t>
      </w:r>
      <w:r>
        <w:rPr>
          <w:rFonts w:ascii="Times New Roman" w:hAnsi="Times New Roman" w:eastAsia="Times New Roman" w:cs="Times New Roman"/>
          <w:sz w:val="18"/>
          <w:szCs w:val="18"/>
        </w:rPr>
        <w:t>cardiovascular     </w:t>
      </w:r>
      <w:r>
        <w:rPr>
          <w:rFonts w:ascii="SimSun" w:hAnsi="SimSun" w:eastAsia="SimSun" w:cs="SimSun"/>
          <w:sz w:val="18"/>
          <w:szCs w:val="18"/>
        </w:rPr>
        <w:t>magnetic</w:t>
      </w:r>
      <w:r>
        <w:rPr>
          <w:rFonts w:ascii="SimSun" w:hAnsi="SimSun" w:eastAsia="SimSun" w:cs="SimSun"/>
          <w:sz w:val="18"/>
          <w:szCs w:val="18"/>
          <w:spacing w:val="16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>resonance</w:t>
      </w:r>
      <w:r>
        <w:rPr>
          <w:rFonts w:ascii="SimSun" w:hAnsi="SimSun" w:eastAsia="SimSun" w:cs="SimSun"/>
          <w:sz w:val="18"/>
          <w:szCs w:val="18"/>
          <w:spacing w:val="23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>imaging</w:t>
      </w:r>
      <w:r>
        <w:rPr>
          <w:rFonts w:ascii="SimSun" w:hAnsi="SimSun" w:eastAsia="SimSun" w:cs="SimSun"/>
          <w:sz w:val="18"/>
          <w:szCs w:val="18"/>
          <w:spacing w:val="16"/>
        </w:rPr>
        <w:t>,</w:t>
      </w:r>
      <w:r>
        <w:rPr>
          <w:rFonts w:ascii="SimSun" w:hAnsi="SimSun" w:eastAsia="SimSun" w:cs="SimSun"/>
          <w:sz w:val="18"/>
          <w:szCs w:val="18"/>
        </w:rPr>
        <w:t>CMRI</w:t>
      </w:r>
      <w:r>
        <w:rPr>
          <w:rFonts w:ascii="SimSun" w:hAnsi="SimSun" w:eastAsia="SimSun" w:cs="SimSun"/>
          <w:sz w:val="18"/>
          <w:szCs w:val="18"/>
          <w:spacing w:val="16"/>
        </w:rPr>
        <w:t>)</w:t>
      </w:r>
      <w:r>
        <w:rPr>
          <w:sz w:val="18"/>
          <w:szCs w:val="18"/>
          <w:spacing w:val="16"/>
        </w:rPr>
        <w:t>检查以帮助鉴别</w:t>
      </w:r>
    </w:p>
    <w:p>
      <w:pPr>
        <w:pStyle w:val="BodyText"/>
        <w:spacing w:before="14" w:line="221" w:lineRule="auto"/>
        <w:rPr>
          <w:sz w:val="18"/>
          <w:szCs w:val="18"/>
        </w:rPr>
      </w:pPr>
      <w:r>
        <w:rPr>
          <w:sz w:val="18"/>
          <w:szCs w:val="18"/>
          <w:color w:val="605060"/>
          <w:spacing w:val="-11"/>
        </w:rPr>
        <w:t>诊</w:t>
      </w:r>
      <w:r>
        <w:rPr>
          <w:sz w:val="18"/>
          <w:szCs w:val="18"/>
          <w:color w:val="605060"/>
          <w:spacing w:val="-12"/>
        </w:rPr>
        <w:t xml:space="preserve"> </w:t>
      </w:r>
      <w:r>
        <w:rPr>
          <w:sz w:val="18"/>
          <w:szCs w:val="18"/>
          <w:color w:val="605060"/>
          <w:spacing w:val="-11"/>
        </w:rPr>
        <w:t>断</w:t>
      </w:r>
      <w:r>
        <w:rPr>
          <w:sz w:val="18"/>
          <w:szCs w:val="18"/>
          <w:color w:val="605060"/>
          <w:spacing w:val="-33"/>
        </w:rPr>
        <w:t xml:space="preserve"> </w:t>
      </w:r>
      <w:r>
        <w:rPr>
          <w:sz w:val="18"/>
          <w:szCs w:val="18"/>
          <w:color w:val="605060"/>
          <w:spacing w:val="-11"/>
        </w:rPr>
        <w:t>。</w:t>
      </w:r>
    </w:p>
    <w:p>
      <w:pPr>
        <w:ind w:left="3" w:right="82" w:hanging="3"/>
        <w:spacing w:before="253" w:line="211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5"/>
        </w:rPr>
        <w:t>●_</w:t>
      </w:r>
      <w:r>
        <w:rPr>
          <w:rFonts w:ascii="SimHei" w:hAnsi="SimHei" w:eastAsia="SimHei" w:cs="SimHei"/>
          <w:sz w:val="26"/>
          <w:szCs w:val="26"/>
          <w:spacing w:val="-20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5"/>
        </w:rPr>
        <w:t>高血压合并左心室肥厚的治疗与治</w:t>
      </w:r>
      <w:r>
        <w:rPr>
          <w:rFonts w:ascii="SimHei" w:hAnsi="SimHei" w:eastAsia="SimHei" w:cs="SimHei"/>
          <w:sz w:val="26"/>
          <w:szCs w:val="26"/>
        </w:rPr>
        <w:t xml:space="preserve"> </w:t>
      </w:r>
      <w:r>
        <w:rPr>
          <w:rFonts w:ascii="SimHei" w:hAnsi="SimHei" w:eastAsia="SimHei" w:cs="SimHei"/>
          <w:sz w:val="26"/>
          <w:szCs w:val="26"/>
          <w:b/>
          <w:bCs/>
          <w:spacing w:val="-5"/>
        </w:rPr>
        <w:t>疗目标</w:t>
      </w:r>
    </w:p>
    <w:p>
      <w:pPr>
        <w:pStyle w:val="BodyText"/>
        <w:ind w:right="90" w:firstLine="429"/>
        <w:spacing w:before="119" w:line="313" w:lineRule="auto"/>
        <w:rPr>
          <w:rFonts w:ascii="SimSun" w:hAnsi="SimSun" w:eastAsia="SimSun" w:cs="SimSun"/>
          <w:sz w:val="18"/>
          <w:szCs w:val="18"/>
        </w:rPr>
      </w:pPr>
      <w:r>
        <w:rPr>
          <w:sz w:val="22"/>
          <w:szCs w:val="22"/>
          <w:spacing w:val="-6"/>
        </w:rPr>
        <w:t>高血压是导致</w:t>
      </w:r>
      <w:r>
        <w:rPr>
          <w:rFonts w:ascii="Times New Roman" w:hAnsi="Times New Roman" w:eastAsia="Times New Roman" w:cs="Times New Roman"/>
          <w:sz w:val="22"/>
          <w:szCs w:val="22"/>
          <w:spacing w:val="-6"/>
        </w:rPr>
        <w:t>LVH</w:t>
      </w:r>
      <w:r>
        <w:rPr>
          <w:sz w:val="22"/>
          <w:szCs w:val="22"/>
          <w:spacing w:val="-6"/>
        </w:rPr>
        <w:t>发生的最主要危险因素，</w:t>
      </w:r>
      <w:r>
        <w:rPr>
          <w:sz w:val="22"/>
          <w:szCs w:val="22"/>
          <w:spacing w:val="16"/>
        </w:rPr>
        <w:t xml:space="preserve"> </w:t>
      </w:r>
      <w:r>
        <w:rPr>
          <w:sz w:val="18"/>
          <w:szCs w:val="18"/>
          <w:spacing w:val="31"/>
        </w:rPr>
        <w:t>因此积极管理高血压可以有效预防或逆转</w:t>
      </w:r>
      <w:r>
        <w:rPr>
          <w:sz w:val="18"/>
          <w:szCs w:val="18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LVH</w:t>
      </w:r>
      <w:r>
        <w:rPr>
          <w:rFonts w:ascii="SimSun" w:hAnsi="SimSun" w:eastAsia="SimSun" w:cs="SimSun"/>
          <w:sz w:val="18"/>
          <w:szCs w:val="18"/>
          <w:spacing w:val="31"/>
        </w:rPr>
        <w:t>。</w:t>
      </w:r>
    </w:p>
    <w:p>
      <w:pPr>
        <w:pStyle w:val="BodyText"/>
        <w:ind w:right="77"/>
        <w:spacing w:before="2" w:line="325" w:lineRule="auto"/>
        <w:rPr>
          <w:rFonts w:ascii="SimSun" w:hAnsi="SimSun" w:eastAsia="SimSun" w:cs="SimSun"/>
          <w:sz w:val="18"/>
          <w:szCs w:val="18"/>
        </w:rPr>
      </w:pPr>
      <w:r>
        <w:rPr>
          <w:sz w:val="22"/>
          <w:szCs w:val="22"/>
          <w:spacing w:val="18"/>
        </w:rPr>
        <w:t>高血压合并左心室肥厚患者的降压目标值为</w:t>
      </w:r>
      <w:r>
        <w:rPr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3"/>
        </w:rPr>
        <w:t>&lt;140/90</w:t>
      </w:r>
      <w:r>
        <w:rPr>
          <w:rFonts w:ascii="SimSun" w:hAnsi="SimSun" w:eastAsia="SimSun" w:cs="SimSun"/>
          <w:sz w:val="18"/>
          <w:szCs w:val="18"/>
          <w:spacing w:val="10"/>
        </w:rPr>
        <w:t xml:space="preserve">      </w:t>
      </w:r>
      <w:r>
        <w:rPr>
          <w:rFonts w:ascii="SimSun" w:hAnsi="SimSun" w:eastAsia="SimSun" w:cs="SimSun"/>
          <w:sz w:val="18"/>
          <w:szCs w:val="18"/>
        </w:rPr>
        <w:t>mmHg</w:t>
      </w:r>
      <w:r>
        <w:rPr>
          <w:rFonts w:ascii="SimSun" w:hAnsi="SimSun" w:eastAsia="SimSun" w:cs="SimSun"/>
          <w:sz w:val="18"/>
          <w:szCs w:val="18"/>
          <w:spacing w:val="3"/>
        </w:rPr>
        <w:t>(1</w:t>
      </w:r>
      <w:r>
        <w:rPr>
          <w:rFonts w:ascii="SimSun" w:hAnsi="SimSun" w:eastAsia="SimSun" w:cs="SimSun"/>
          <w:sz w:val="18"/>
          <w:szCs w:val="18"/>
        </w:rPr>
        <w:t>mmHg</w:t>
      </w:r>
      <w:r>
        <w:rPr>
          <w:rFonts w:ascii="SimSun" w:hAnsi="SimSun" w:eastAsia="SimSun" w:cs="SimSun"/>
          <w:sz w:val="18"/>
          <w:szCs w:val="18"/>
          <w:spacing w:val="3"/>
        </w:rPr>
        <w:t>=0.133</w:t>
      </w:r>
      <w:r>
        <w:rPr>
          <w:rFonts w:ascii="SimSun" w:hAnsi="SimSun" w:eastAsia="SimSun" w:cs="SimSun"/>
          <w:sz w:val="18"/>
          <w:szCs w:val="18"/>
          <w:spacing w:val="11"/>
        </w:rPr>
        <w:t xml:space="preserve">      </w:t>
      </w:r>
      <w:r>
        <w:rPr>
          <w:rFonts w:ascii="SimSun" w:hAnsi="SimSun" w:eastAsia="SimSun" w:cs="SimSun"/>
          <w:sz w:val="18"/>
          <w:szCs w:val="18"/>
        </w:rPr>
        <w:t>kPa</w:t>
      </w:r>
      <w:r>
        <w:rPr>
          <w:rFonts w:ascii="SimSun" w:hAnsi="SimSun" w:eastAsia="SimSun" w:cs="SimSun"/>
          <w:sz w:val="18"/>
          <w:szCs w:val="18"/>
          <w:spacing w:val="3"/>
        </w:rPr>
        <w:t>),</w:t>
      </w:r>
      <w:r>
        <w:rPr>
          <w:sz w:val="18"/>
          <w:szCs w:val="18"/>
          <w:spacing w:val="3"/>
        </w:rPr>
        <w:t>能耐受者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17"/>
        </w:rPr>
        <w:t>可进一步降至&lt;130/80</w:t>
      </w:r>
      <w:r>
        <w:rPr>
          <w:sz w:val="18"/>
          <w:szCs w:val="18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mmHg</w:t>
      </w:r>
      <w:r>
        <w:rPr>
          <w:rFonts w:ascii="SimSun" w:hAnsi="SimSun" w:eastAsia="SimSun" w:cs="SimSun"/>
          <w:sz w:val="18"/>
          <w:szCs w:val="18"/>
          <w:spacing w:val="17"/>
        </w:rPr>
        <w:t>。</w:t>
      </w:r>
    </w:p>
    <w:p>
      <w:pPr>
        <w:pStyle w:val="BodyText"/>
        <w:ind w:left="429"/>
        <w:spacing w:before="9" w:line="223" w:lineRule="auto"/>
        <w:rPr>
          <w:sz w:val="18"/>
          <w:szCs w:val="18"/>
        </w:rPr>
      </w:pPr>
      <w:r>
        <w:rPr>
          <w:sz w:val="18"/>
          <w:szCs w:val="18"/>
          <w:spacing w:val="14"/>
        </w:rPr>
        <w:t>一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14"/>
        </w:rPr>
        <w:t>、改变生活方式</w:t>
      </w:r>
    </w:p>
    <w:p>
      <w:pPr>
        <w:pStyle w:val="BodyText"/>
        <w:ind w:firstLine="429"/>
        <w:spacing w:before="81" w:line="358" w:lineRule="auto"/>
        <w:rPr>
          <w:sz w:val="18"/>
          <w:szCs w:val="18"/>
        </w:rPr>
      </w:pPr>
      <w:r>
        <w:rPr>
          <w:sz w:val="18"/>
          <w:szCs w:val="18"/>
          <w:spacing w:val="23"/>
        </w:rPr>
        <w:t>所有高血压伴</w:t>
      </w:r>
      <w:r>
        <w:rPr>
          <w:rFonts w:ascii="Times New Roman" w:hAnsi="Times New Roman" w:eastAsia="Times New Roman" w:cs="Times New Roman"/>
          <w:sz w:val="18"/>
          <w:szCs w:val="18"/>
        </w:rPr>
        <w:t>LVH</w:t>
      </w:r>
      <w:r>
        <w:rPr>
          <w:rFonts w:ascii="Times New Roman" w:hAnsi="Times New Roman" w:eastAsia="Times New Roman" w:cs="Times New Roman"/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23"/>
        </w:rPr>
        <w:t>患者均应遵循标准生活方式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6"/>
        </w:rPr>
        <w:t>的干预，包括减盐(&lt;6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>g/d)</w:t>
      </w:r>
      <w:r>
        <w:rPr>
          <w:rFonts w:ascii="Times New Roman" w:hAnsi="Times New Roman" w:eastAsia="Times New Roman" w:cs="Times New Roman"/>
          <w:sz w:val="18"/>
          <w:szCs w:val="18"/>
          <w:spacing w:val="-1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6"/>
        </w:rPr>
        <w:t>、</w:t>
      </w:r>
      <w:r>
        <w:rPr>
          <w:rFonts w:ascii="SimSun" w:hAnsi="SimSun" w:eastAsia="SimSun" w:cs="SimSun"/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6"/>
        </w:rPr>
        <w:t>运动、减重、控烟、限酒。</w:t>
      </w:r>
    </w:p>
    <w:p>
      <w:pPr>
        <w:pStyle w:val="BodyText"/>
        <w:ind w:left="429"/>
        <w:spacing w:before="1" w:line="220" w:lineRule="auto"/>
        <w:rPr>
          <w:sz w:val="18"/>
          <w:szCs w:val="18"/>
        </w:rPr>
      </w:pPr>
      <w:r>
        <w:rPr>
          <w:sz w:val="18"/>
          <w:szCs w:val="18"/>
          <w:spacing w:val="15"/>
        </w:rPr>
        <w:t>二</w:t>
      </w:r>
      <w:r>
        <w:rPr>
          <w:sz w:val="18"/>
          <w:szCs w:val="18"/>
          <w:spacing w:val="65"/>
        </w:rPr>
        <w:t xml:space="preserve"> </w:t>
      </w:r>
      <w:r>
        <w:rPr>
          <w:sz w:val="18"/>
          <w:szCs w:val="18"/>
          <w:spacing w:val="15"/>
        </w:rPr>
        <w:t>、降压药物种类的选择</w:t>
      </w:r>
    </w:p>
    <w:p>
      <w:pPr>
        <w:pStyle w:val="BodyText"/>
        <w:ind w:left="429"/>
        <w:spacing w:before="103" w:line="219" w:lineRule="auto"/>
        <w:rPr>
          <w:sz w:val="18"/>
          <w:szCs w:val="18"/>
        </w:rPr>
      </w:pPr>
      <w:r>
        <w:rPr>
          <w:sz w:val="18"/>
          <w:szCs w:val="18"/>
          <w:spacing w:val="-10"/>
        </w:rPr>
        <w:t>5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0"/>
        </w:rPr>
        <w:t>大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10"/>
        </w:rPr>
        <w:t>类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0"/>
        </w:rPr>
        <w:t>降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10"/>
        </w:rPr>
        <w:t>压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0"/>
        </w:rPr>
        <w:t>药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0"/>
        </w:rPr>
        <w:t>物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0"/>
        </w:rPr>
        <w:t>均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0"/>
        </w:rPr>
        <w:t>能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10"/>
        </w:rPr>
        <w:t>逆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10"/>
        </w:rPr>
        <w:t>转</w:t>
      </w:r>
      <w:r>
        <w:rPr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0"/>
        </w:rPr>
        <w:t>LVH,   </w:t>
      </w:r>
      <w:r>
        <w:rPr>
          <w:sz w:val="18"/>
          <w:szCs w:val="18"/>
          <w:spacing w:val="-10"/>
        </w:rPr>
        <w:t>但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0"/>
        </w:rPr>
        <w:t>不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0"/>
        </w:rPr>
        <w:t>同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10"/>
        </w:rPr>
        <w:t>类</w:t>
      </w:r>
    </w:p>
    <w:p>
      <w:pPr>
        <w:spacing w:line="219" w:lineRule="auto"/>
        <w:sectPr>
          <w:type w:val="continuous"/>
          <w:pgSz w:w="11910" w:h="16160"/>
          <w:pgMar w:top="1317" w:right="1089" w:bottom="0" w:left="370" w:header="997" w:footer="0" w:gutter="0"/>
          <w:cols w:equalWidth="0" w:num="2">
            <w:col w:w="5740" w:space="100"/>
            <w:col w:w="4611" w:space="0"/>
          </w:cols>
        </w:sectPr>
        <w:rPr>
          <w:sz w:val="18"/>
          <w:szCs w:val="18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ind w:firstLine="1969"/>
        <w:spacing w:line="4460" w:lineRule="exact"/>
        <w:rPr/>
      </w:pPr>
      <w:r>
        <w:rPr>
          <w:position w:val="-89"/>
        </w:rPr>
        <w:pict>
          <v:group id="_x0000_s2" style="mso-position-vertical-relative:line;mso-position-horizontal-relative:char;width:360.55pt;height:223pt;" filled="false" stroked="false" coordsize="7210,4460" coordorigin="0,0">
            <v:shape id="_x0000_s4" style="position:absolute;left:0;top:0;width:7210;height:4460;" filled="false" stroked="false" type="#_x0000_t75">
              <v:imagedata o:title="" r:id="rId11"/>
            </v:shape>
            <v:shape id="_x0000_s6" style="position:absolute;left:110;top:137;width:7077;height:4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49"/>
                      <w:spacing w:before="20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7"/>
                      </w:rPr>
                      <w:t>所有高血压确诊患者</w:t>
                    </w:r>
                  </w:p>
                  <w:p>
                    <w:pPr>
                      <w:ind w:left="2480"/>
                      <w:spacing w:before="205" w:line="219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"/>
                      </w:rPr>
                      <w:t>心电图筛查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LVH</w:t>
                    </w:r>
                  </w:p>
                  <w:p>
                    <w:pPr>
                      <w:ind w:left="1619" w:right="2570"/>
                      <w:spacing w:before="19" w:line="253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"/>
                      </w:rPr>
                      <w:t>4项指标中有1项阳性即可考虑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LVH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"/>
                      </w:rPr>
                      <w:t>的诊断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</w:rPr>
                      <w:t>1.S₁+R₅&gt;3.5mV;</w:t>
                    </w:r>
                  </w:p>
                  <w:p>
                    <w:pPr>
                      <w:ind w:left="1619"/>
                      <w:spacing w:before="9" w:line="18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2.R≥1.1mV;</w:t>
                    </w:r>
                  </w:p>
                  <w:p>
                    <w:pPr>
                      <w:ind w:left="1619"/>
                      <w:spacing w:before="48" w:line="212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3.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>Cornell</w:t>
                    </w:r>
                    <w:r>
                      <w:rPr>
                        <w:rFonts w:ascii="SimSun" w:hAnsi="SimSun" w:eastAsia="SimSun" w:cs="SimSun"/>
                        <w:sz w:val="15"/>
                        <w:szCs w:val="15"/>
                        <w:spacing w:val="9"/>
                      </w:rPr>
                      <w:t>电压-时间乘积&gt;244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>mV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·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>ms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;</w:t>
                    </w:r>
                  </w:p>
                  <w:p>
                    <w:pPr>
                      <w:ind w:left="1619"/>
                      <w:spacing w:before="19" w:line="219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2"/>
                      </w:rPr>
                      <w:t>4.S₃+R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2"/>
                      </w:rPr>
                      <w:t>男性&gt;2.8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2"/>
                      </w:rPr>
                      <w:t>mV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2"/>
                      </w:rPr>
                      <w:t>、女性&gt;2.0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2"/>
                      </w:rPr>
                      <w:t>mV</w:t>
                    </w:r>
                  </w:p>
                  <w:p>
                    <w:pPr>
                      <w:ind w:left="4900"/>
                      <w:spacing w:before="166" w:line="222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</w:rPr>
                      <w:t>是</w:t>
                    </w:r>
                  </w:p>
                  <w:p>
                    <w:pPr>
                      <w:spacing w:line="26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059"/>
                      <w:spacing w:before="52" w:line="219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超声心动图诊断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LVH</w:t>
                    </w:r>
                  </w:p>
                  <w:p>
                    <w:pPr>
                      <w:ind w:left="3040"/>
                      <w:spacing w:before="2" w:line="212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诊断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LVH:LVMI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男性≥115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g/m²,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女性≥95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g/m²</w:t>
                    </w:r>
                  </w:p>
                  <w:p>
                    <w:pPr>
                      <w:ind w:left="3040"/>
                      <w:spacing w:before="34" w:line="212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4"/>
                      </w:rPr>
                      <w:t>考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3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4"/>
                      </w:rPr>
                      <w:t>虑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LVH:IVST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4"/>
                      </w:rPr>
                      <w:t>或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LVPWT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4"/>
                      </w:rPr>
                      <w:t>男性&gt;11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mm,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4"/>
                      </w:rPr>
                      <w:t>女性&gt;10.5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mm</w:t>
                    </w:r>
                  </w:p>
                  <w:p>
                    <w:pPr>
                      <w:ind w:left="3509"/>
                      <w:spacing w:before="258" w:line="223" w:lineRule="auto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18"/>
                      </w:rPr>
                      <w:t>否「</w:t>
                    </w:r>
                  </w:p>
                  <w:p>
                    <w:pPr>
                      <w:ind w:left="20"/>
                      <w:spacing w:before="43" w:line="229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6"/>
                        <w:position w:val="1"/>
                      </w:rPr>
                      <w:t>每6~12个月复查心电图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11"/>
                        <w:position w:val="1"/>
                      </w:rPr>
                      <w:t xml:space="preserve">     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6"/>
                      </w:rPr>
                      <w:t>每6~12个月复查心电图和超声心动图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1"/>
                      </w:rPr>
                      <w:t xml:space="preserve">    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6"/>
                        <w:position w:val="1"/>
                      </w:rPr>
                      <w:t>确诊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6"/>
                        <w:position w:val="1"/>
                      </w:rPr>
                      <w:t>LVH</w:t>
                    </w:r>
                  </w:p>
                  <w:p>
                    <w:pPr>
                      <w:ind w:right="20"/>
                      <w:spacing w:before="66" w:line="219" w:lineRule="auto"/>
                      <w:jc w:val="righ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6"/>
                      </w:rPr>
                      <w:t>鉴别诊断</w:t>
                    </w:r>
                  </w:p>
                  <w:p>
                    <w:pPr>
                      <w:ind w:left="5429"/>
                      <w:spacing w:before="87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1"/>
                      </w:rPr>
                      <w:t>心脏磁共振成像</w:t>
                    </w:r>
                  </w:p>
                </w:txbxContent>
              </v:textbox>
            </v:shape>
            <v:shape id="_x0000_s8" style="position:absolute;left:1280;top:2447;width:1438;height:8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5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7"/>
                      </w:rPr>
                      <w:t>1.高血压病程&gt;5年</w:t>
                    </w:r>
                  </w:p>
                  <w:p>
                    <w:pPr>
                      <w:spacing w:line="194" w:lineRule="auto"/>
                      <w:jc w:val="righ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9"/>
                        <w:w w:val="97"/>
                      </w:rPr>
                      <w:t>2.伴有其他危险因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9"/>
                        <w:w w:val="97"/>
                      </w:rPr>
                      <w:t>素</w:t>
                    </w:r>
                  </w:p>
                  <w:p>
                    <w:pPr>
                      <w:ind w:left="20"/>
                      <w:spacing w:line="215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8"/>
                      </w:rPr>
                      <w:t>3.合并靶器官损害</w:t>
                    </w:r>
                  </w:p>
                  <w:p>
                    <w:pPr>
                      <w:ind w:left="20"/>
                      <w:spacing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7"/>
                      </w:rPr>
                      <w:t>4.心血管疾病</w:t>
                    </w:r>
                  </w:p>
                </w:txbxContent>
              </v:textbox>
            </v:shape>
            <v:shape id="_x0000_s10" style="position:absolute;left:70;top:2447;width:1069;height:4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90"/>
                      <w:spacing w:before="20" w:line="25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4"/>
                        <w:w w:val="97"/>
                      </w:rPr>
                      <w:t>单纯高血压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1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9"/>
                      </w:rPr>
                      <w:t>且病程较短者</w:t>
                    </w:r>
                  </w:p>
                </w:txbxContent>
              </v:textbox>
            </v:shape>
            <v:shape id="_x0000_s12" style="position:absolute;left:1090;top:2036;width:340;height:2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22" w:lineRule="auto"/>
                      <w:jc w:val="right"/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r>
                      <w:rPr>
                        <w:rFonts w:ascii="SimHei" w:hAnsi="SimHei" w:eastAsia="SimHei" w:cs="SimHei"/>
                        <w:sz w:val="18"/>
                        <w:szCs w:val="18"/>
                        <w:spacing w:val="-11"/>
                        <w:w w:val="89"/>
                      </w:rPr>
                      <w:t>否厂</w:t>
                    </w:r>
                  </w:p>
                </w:txbxContent>
              </v:textbox>
            </v:shape>
            <v:shape id="_x0000_s14" style="position:absolute;left:6100;top:3270;width:211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3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</w:rPr>
                      <w:t>是</w:t>
                    </w:r>
                  </w:p>
                </w:txbxContent>
              </v:textbox>
            </v:shape>
          </v:group>
        </w:pict>
      </w:r>
    </w:p>
    <w:p>
      <w:pPr>
        <w:ind w:left="2159"/>
        <w:spacing w:before="296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5"/>
          <w:w w:val="96"/>
        </w:rPr>
        <w:t>注：</w:t>
      </w:r>
      <w:r>
        <w:rPr>
          <w:rFonts w:ascii="Times New Roman" w:hAnsi="Times New Roman" w:eastAsia="Times New Roman" w:cs="Times New Roman"/>
          <w:sz w:val="18"/>
          <w:szCs w:val="18"/>
          <w:spacing w:val="-15"/>
          <w:w w:val="96"/>
        </w:rPr>
        <w:t>LVH</w:t>
      </w:r>
      <w:r>
        <w:rPr>
          <w:rFonts w:ascii="SimSun" w:hAnsi="SimSun" w:eastAsia="SimSun" w:cs="SimSun"/>
          <w:sz w:val="18"/>
          <w:szCs w:val="18"/>
          <w:spacing w:val="-15"/>
          <w:w w:val="96"/>
        </w:rPr>
        <w:t>为左心室肥厚；</w:t>
      </w:r>
      <w:r>
        <w:rPr>
          <w:rFonts w:ascii="Times New Roman" w:hAnsi="Times New Roman" w:eastAsia="Times New Roman" w:cs="Times New Roman"/>
          <w:sz w:val="18"/>
          <w:szCs w:val="18"/>
          <w:spacing w:val="-15"/>
          <w:w w:val="96"/>
        </w:rPr>
        <w:t>LVMI</w:t>
      </w:r>
      <w:r>
        <w:rPr>
          <w:rFonts w:ascii="SimSun" w:hAnsi="SimSun" w:eastAsia="SimSun" w:cs="SimSun"/>
          <w:sz w:val="18"/>
          <w:szCs w:val="18"/>
          <w:spacing w:val="-15"/>
          <w:w w:val="96"/>
        </w:rPr>
        <w:t>为左心室质量指数；</w:t>
      </w:r>
      <w:r>
        <w:rPr>
          <w:rFonts w:ascii="Times New Roman" w:hAnsi="Times New Roman" w:eastAsia="Times New Roman" w:cs="Times New Roman"/>
          <w:sz w:val="18"/>
          <w:szCs w:val="18"/>
          <w:spacing w:val="-15"/>
          <w:w w:val="96"/>
        </w:rPr>
        <w:t>IVST</w:t>
      </w:r>
      <w:r>
        <w:rPr>
          <w:rFonts w:ascii="SimSun" w:hAnsi="SimSun" w:eastAsia="SimSun" w:cs="SimSun"/>
          <w:sz w:val="18"/>
          <w:szCs w:val="18"/>
          <w:spacing w:val="-15"/>
          <w:w w:val="96"/>
        </w:rPr>
        <w:t>为室间隔厚度；</w:t>
      </w:r>
      <w:r>
        <w:rPr>
          <w:rFonts w:ascii="Times New Roman" w:hAnsi="Times New Roman" w:eastAsia="Times New Roman" w:cs="Times New Roman"/>
          <w:sz w:val="18"/>
          <w:szCs w:val="18"/>
          <w:spacing w:val="-15"/>
          <w:w w:val="96"/>
        </w:rPr>
        <w:t>LVPWT</w:t>
      </w:r>
      <w:r>
        <w:rPr>
          <w:rFonts w:ascii="Times New Roman" w:hAnsi="Times New Roman" w:eastAsia="Times New Roman" w:cs="Times New Roman"/>
          <w:sz w:val="18"/>
          <w:szCs w:val="18"/>
          <w:spacing w:val="-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5"/>
          <w:w w:val="96"/>
        </w:rPr>
        <w:t>为左心室后壁厚度</w:t>
      </w:r>
    </w:p>
    <w:p>
      <w:pPr>
        <w:ind w:left="3812"/>
        <w:spacing w:before="65" w:line="222" w:lineRule="auto"/>
        <w:rPr>
          <w:rFonts w:ascii="SimSun" w:hAnsi="SimSun" w:eastAsia="SimSun" w:cs="SimSun"/>
          <w:sz w:val="18"/>
          <w:szCs w:val="18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469879</wp:posOffset>
            </wp:positionH>
            <wp:positionV relativeFrom="paragraph">
              <wp:posOffset>285643</wp:posOffset>
            </wp:positionV>
            <wp:extent cx="6140429" cy="635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0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8"/>
          <w:szCs w:val="18"/>
          <w:b/>
          <w:bCs/>
          <w:spacing w:val="-18"/>
        </w:rPr>
        <w:t>图</w:t>
      </w:r>
      <w:r>
        <w:rPr>
          <w:rFonts w:ascii="SimHei" w:hAnsi="SimHei" w:eastAsia="SimHei" w:cs="SimHei"/>
          <w:sz w:val="18"/>
          <w:szCs w:val="18"/>
          <w:spacing w:val="-19"/>
        </w:rPr>
        <w:t xml:space="preserve"> </w:t>
      </w:r>
      <w:r>
        <w:rPr>
          <w:rFonts w:ascii="SimHei" w:hAnsi="SimHei" w:eastAsia="SimHei" w:cs="SimHei"/>
          <w:sz w:val="18"/>
          <w:szCs w:val="18"/>
          <w:b/>
          <w:bCs/>
          <w:spacing w:val="-18"/>
        </w:rPr>
        <w:t>1</w:t>
      </w:r>
      <w:r>
        <w:rPr>
          <w:rFonts w:ascii="SimHei" w:hAnsi="SimHei" w:eastAsia="SimHei" w:cs="SimHei"/>
          <w:sz w:val="18"/>
          <w:szCs w:val="18"/>
          <w:spacing w:val="56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8"/>
        </w:rPr>
        <w:t>高血压患者左心室肥厚临床筛查及诊断路径</w:t>
      </w:r>
    </w:p>
    <w:p>
      <w:pPr>
        <w:ind w:left="729"/>
        <w:spacing w:before="277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2/5                                      </w:t>
      </w:r>
      <w:r>
        <w:rPr>
          <w:rFonts w:ascii="Times New Roman" w:hAnsi="Times New Roman" w:eastAsia="Times New Roman" w:cs="Times New Roman"/>
          <w:sz w:val="18"/>
          <w:szCs w:val="18"/>
        </w:rPr>
        <w:t xml:space="preserve">                                                                                                     </w:t>
      </w:r>
      <w:r>
        <w:rPr>
          <w:rFonts w:ascii="SimSun" w:hAnsi="SimSun" w:eastAsia="SimSun" w:cs="SimSun"/>
          <w:sz w:val="18"/>
          <w:szCs w:val="18"/>
        </w:rPr>
        <w:t>中华心血管病杂志(网络版)2019年第2卷</w:t>
      </w:r>
    </w:p>
    <w:p>
      <w:pPr>
        <w:pStyle w:val="BodyText"/>
        <w:spacing w:before="249"/>
        <w:rPr>
          <w:sz w:val="10"/>
          <w:szCs w:val="10"/>
        </w:rPr>
      </w:pPr>
      <w:r>
        <w:rPr>
          <w:sz w:val="10"/>
          <w:szCs w:val="10"/>
          <w:position w:val="-14"/>
        </w:rPr>
        <w:drawing>
          <wp:inline distT="0" distB="0" distL="0" distR="0">
            <wp:extent cx="177802" cy="184093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2" cy="18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  <w:spacing w:val="9"/>
        </w:rPr>
        <w:t>冲桑岳考命品法</w:t>
      </w:r>
    </w:p>
    <w:p>
      <w:pPr>
        <w:sectPr>
          <w:type w:val="continuous"/>
          <w:pgSz w:w="11910" w:h="16160"/>
          <w:pgMar w:top="1317" w:right="1089" w:bottom="0" w:left="370" w:header="997" w:footer="0" w:gutter="0"/>
          <w:cols w:equalWidth="0" w:num="1">
            <w:col w:w="10451" w:space="0"/>
          </w:cols>
        </w:sectPr>
        <w:rPr>
          <w:sz w:val="10"/>
          <w:szCs w:val="10"/>
        </w:rPr>
      </w:pPr>
    </w:p>
    <w:p>
      <w:pPr>
        <w:spacing w:line="159" w:lineRule="exact"/>
        <w:rPr/>
      </w:pPr>
      <w:r/>
    </w:p>
    <w:p>
      <w:pPr>
        <w:spacing w:line="159" w:lineRule="exact"/>
        <w:sectPr>
          <w:headerReference w:type="default" r:id="rId14"/>
          <w:pgSz w:w="11910" w:h="16160"/>
          <w:pgMar w:top="1321" w:right="1085" w:bottom="0" w:left="370" w:header="965" w:footer="0" w:gutter="0"/>
          <w:cols w:equalWidth="0" w:num="1">
            <w:col w:w="10455" w:space="0"/>
          </w:cols>
        </w:sectPr>
        <w:rPr/>
      </w:pPr>
    </w:p>
    <w:p>
      <w:pPr>
        <w:pStyle w:val="BodyText"/>
        <w:ind w:left="749" w:right="425"/>
        <w:spacing w:before="42" w:line="291" w:lineRule="auto"/>
        <w:tabs>
          <w:tab w:val="left" w:pos="830"/>
        </w:tabs>
        <w:rPr>
          <w:rFonts w:ascii="Times New Roman" w:hAnsi="Times New Roman" w:eastAsia="Times New Roman" w:cs="Times New Roman"/>
        </w:rPr>
      </w:pPr>
      <w:r>
        <w:rPr>
          <w:spacing w:val="16"/>
        </w:rPr>
        <w:t>别药物的作用强度存在显著差异。荟萃分析显</w:t>
      </w:r>
      <w:r>
        <w:rPr>
          <w:spacing w:val="2"/>
        </w:rPr>
        <w:t xml:space="preserve"> </w:t>
      </w:r>
      <w:r>
        <w:rPr>
          <w:spacing w:val="5"/>
        </w:rPr>
        <w:t>示，血管紧张素受体拮抗剂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(</w:t>
      </w:r>
      <w:r>
        <w:rPr>
          <w:rFonts w:ascii="Times New Roman" w:hAnsi="Times New Roman" w:eastAsia="Times New Roman" w:cs="Times New Roman"/>
        </w:rPr>
        <w:t>angiotensin</w:t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rFonts w:ascii="Times New Roman" w:hAnsi="Times New Roman" w:eastAsia="Times New Roman" w:cs="Times New Roman"/>
        </w:rPr>
        <w:t>receptor </w:t>
      </w:r>
      <w:r>
        <w:rPr>
          <w:rFonts w:ascii="Times New Roman" w:hAnsi="Times New Roman" w:eastAsia="Times New Roman" w:cs="Times New Roman"/>
          <w:spacing w:val="-2"/>
        </w:rPr>
        <w:t>blocker,ARB)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rFonts w:ascii="SimSun" w:hAnsi="SimSun" w:eastAsia="SimSun" w:cs="SimSun"/>
          <w:spacing w:val="-2"/>
        </w:rPr>
        <w:t>、</w:t>
      </w:r>
      <w:r>
        <w:rPr>
          <w:rFonts w:ascii="SimSun" w:hAnsi="SimSun" w:eastAsia="SimSun" w:cs="SimSun"/>
          <w:spacing w:val="13"/>
        </w:rPr>
        <w:t xml:space="preserve">   </w:t>
      </w:r>
      <w:r>
        <w:rPr>
          <w:spacing w:val="-2"/>
        </w:rPr>
        <w:t>钙</w:t>
      </w:r>
      <w:r>
        <w:rPr>
          <w:spacing w:val="59"/>
        </w:rPr>
        <w:t xml:space="preserve"> </w:t>
      </w:r>
      <w:r>
        <w:rPr>
          <w:spacing w:val="-2"/>
        </w:rPr>
        <w:t>拮</w:t>
      </w:r>
      <w:r>
        <w:rPr>
          <w:spacing w:val="57"/>
        </w:rPr>
        <w:t xml:space="preserve"> </w:t>
      </w:r>
      <w:r>
        <w:rPr>
          <w:spacing w:val="-2"/>
        </w:rPr>
        <w:t>抗</w:t>
      </w:r>
      <w:r>
        <w:rPr>
          <w:spacing w:val="56"/>
        </w:rPr>
        <w:t xml:space="preserve"> </w:t>
      </w:r>
      <w:r>
        <w:rPr>
          <w:spacing w:val="-2"/>
        </w:rPr>
        <w:t>剂</w:t>
      </w:r>
      <w:r>
        <w:rPr>
          <w:rFonts w:ascii="Times New Roman" w:hAnsi="Times New Roman" w:eastAsia="Times New Roman" w:cs="Times New Roman"/>
          <w:spacing w:val="-2"/>
        </w:rPr>
        <w:t>(calcium  channel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blocker,CCB)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rFonts w:ascii="SimSun" w:hAnsi="SimSun" w:eastAsia="SimSun" w:cs="SimSun"/>
          <w:spacing w:val="-8"/>
        </w:rPr>
        <w:t>、  </w:t>
      </w:r>
      <w:r>
        <w:rPr>
          <w:spacing w:val="-8"/>
        </w:rPr>
        <w:t>血</w:t>
      </w:r>
      <w:r>
        <w:rPr>
          <w:spacing w:val="-23"/>
        </w:rPr>
        <w:t xml:space="preserve"> </w:t>
      </w:r>
      <w:r>
        <w:rPr>
          <w:spacing w:val="-8"/>
        </w:rPr>
        <w:t>管</w:t>
      </w:r>
      <w:r>
        <w:rPr>
          <w:spacing w:val="-29"/>
        </w:rPr>
        <w:t xml:space="preserve"> </w:t>
      </w:r>
      <w:r>
        <w:rPr>
          <w:spacing w:val="-8"/>
        </w:rPr>
        <w:t>紧</w:t>
      </w:r>
      <w:r>
        <w:rPr>
          <w:spacing w:val="-32"/>
        </w:rPr>
        <w:t xml:space="preserve"> </w:t>
      </w:r>
      <w:r>
        <w:rPr>
          <w:spacing w:val="-8"/>
        </w:rPr>
        <w:t>张</w:t>
      </w:r>
      <w:r>
        <w:rPr>
          <w:spacing w:val="-23"/>
        </w:rPr>
        <w:t xml:space="preserve"> </w:t>
      </w:r>
      <w:r>
        <w:rPr>
          <w:spacing w:val="-8"/>
        </w:rPr>
        <w:t>素</w:t>
      </w:r>
      <w:r>
        <w:rPr>
          <w:spacing w:val="-32"/>
        </w:rPr>
        <w:t xml:space="preserve"> </w:t>
      </w:r>
      <w:r>
        <w:rPr>
          <w:spacing w:val="-8"/>
        </w:rPr>
        <w:t>转</w:t>
      </w:r>
      <w:r>
        <w:rPr>
          <w:spacing w:val="-34"/>
        </w:rPr>
        <w:t xml:space="preserve"> </w:t>
      </w:r>
      <w:r>
        <w:rPr>
          <w:spacing w:val="-8"/>
        </w:rPr>
        <w:t>换</w:t>
      </w:r>
      <w:r>
        <w:rPr>
          <w:spacing w:val="-35"/>
        </w:rPr>
        <w:t xml:space="preserve"> </w:t>
      </w:r>
      <w:r>
        <w:rPr>
          <w:spacing w:val="-8"/>
        </w:rPr>
        <w:t>酶</w:t>
      </w:r>
      <w:r>
        <w:rPr>
          <w:spacing w:val="-35"/>
        </w:rPr>
        <w:t xml:space="preserve"> </w:t>
      </w:r>
      <w:r>
        <w:rPr>
          <w:spacing w:val="-8"/>
        </w:rPr>
        <w:t>抑</w:t>
      </w:r>
      <w:r>
        <w:rPr>
          <w:spacing w:val="-34"/>
        </w:rPr>
        <w:t xml:space="preserve"> </w:t>
      </w:r>
      <w:r>
        <w:rPr>
          <w:spacing w:val="-8"/>
        </w:rPr>
        <w:t>制</w:t>
      </w:r>
      <w:r>
        <w:rPr>
          <w:spacing w:val="-34"/>
        </w:rPr>
        <w:t xml:space="preserve"> </w:t>
      </w:r>
      <w:r>
        <w:rPr>
          <w:spacing w:val="-8"/>
        </w:rPr>
        <w:t>剂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(angiotensin      converting      </w:t>
      </w:r>
      <w:r>
        <w:rPr>
          <w:rFonts w:ascii="Times New Roman" w:hAnsi="Times New Roman" w:eastAsia="Times New Roman" w:cs="Times New Roman"/>
          <w:spacing w:val="-1"/>
        </w:rPr>
        <w:t>enzyme      inhibitors,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SimSun" w:hAnsi="SimSun" w:eastAsia="SimSun" w:cs="SimSun"/>
        </w:rPr>
        <w:t>ACEI</w:t>
      </w:r>
      <w:r>
        <w:rPr>
          <w:rFonts w:ascii="SimSun" w:hAnsi="SimSun" w:eastAsia="SimSun" w:cs="SimSun"/>
          <w:spacing w:val="11"/>
        </w:rPr>
        <w:t>)、</w:t>
      </w:r>
      <w:r>
        <w:rPr>
          <w:rFonts w:ascii="SimSun" w:hAnsi="SimSun" w:eastAsia="SimSun" w:cs="SimSun"/>
          <w:spacing w:val="56"/>
        </w:rPr>
        <w:t xml:space="preserve"> </w:t>
      </w:r>
      <w:r>
        <w:rPr>
          <w:spacing w:val="11"/>
        </w:rPr>
        <w:t>利尿剂和β受体阻滞剂分别可使</w:t>
      </w:r>
      <w:r>
        <w:rPr/>
        <w:t>L</w:t>
      </w:r>
      <w:r>
        <w:rPr>
          <w:rFonts w:ascii="Times New Roman" w:hAnsi="Times New Roman" w:eastAsia="Times New Roman" w:cs="Times New Roman"/>
        </w:rPr>
        <w:t>VMI </w:t>
      </w:r>
      <w:r>
        <w:rPr>
          <w:spacing w:val="18"/>
        </w:rPr>
        <w:t>下降13%、11%、10%、8%和6%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18"/>
        </w:rPr>
        <w:t>(P=0.004</w:t>
      </w:r>
      <w:r>
        <w:rPr>
          <w:rFonts w:ascii="Times New Roman" w:hAnsi="Times New Roman" w:eastAsia="Times New Roman" w:cs="Times New Roman"/>
          <w:spacing w:val="17"/>
        </w:rPr>
        <w:t>),</w:t>
      </w:r>
    </w:p>
    <w:p>
      <w:pPr>
        <w:pStyle w:val="BodyText"/>
        <w:ind w:left="729" w:right="415" w:firstLine="20"/>
        <w:spacing w:before="33" w:line="297" w:lineRule="auto"/>
        <w:rPr>
          <w:rFonts w:ascii="SimSun" w:hAnsi="SimSun" w:eastAsia="SimSun" w:cs="SimSun"/>
        </w:rPr>
      </w:pPr>
      <w:r>
        <w:rPr>
          <w:rFonts w:ascii="Times New Roman" w:hAnsi="Times New Roman" w:eastAsia="Times New Roman" w:cs="Times New Roman"/>
        </w:rPr>
        <w:t>ARB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逆转</w:t>
      </w:r>
      <w:r>
        <w:rPr>
          <w:rFonts w:ascii="Times New Roman" w:hAnsi="Times New Roman" w:eastAsia="Times New Roman" w:cs="Times New Roman"/>
        </w:rPr>
        <w:t>LVH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3"/>
        </w:rPr>
        <w:t>的作用相对最强[20。因此，高血</w:t>
      </w:r>
      <w:r>
        <w:rPr/>
        <w:t xml:space="preserve"> </w:t>
      </w:r>
      <w:r>
        <w:rPr>
          <w:spacing w:val="17"/>
        </w:rPr>
        <w:t>压合并</w:t>
      </w:r>
      <w:r>
        <w:rPr>
          <w:rFonts w:ascii="Times New Roman" w:hAnsi="Times New Roman" w:eastAsia="Times New Roman" w:cs="Times New Roman"/>
        </w:rPr>
        <w:t>LVH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17"/>
        </w:rPr>
        <w:t>患者优先推荐</w:t>
      </w:r>
      <w:r>
        <w:rPr>
          <w:rFonts w:ascii="Times New Roman" w:hAnsi="Times New Roman" w:eastAsia="Times New Roman" w:cs="Times New Roman"/>
        </w:rPr>
        <w:t>ARB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17"/>
        </w:rPr>
        <w:t>类药物(图2)。</w:t>
      </w:r>
      <w:r>
        <w:rPr>
          <w:spacing w:val="17"/>
        </w:rPr>
        <w:t xml:space="preserve"> </w:t>
      </w:r>
      <w:r>
        <w:rPr>
          <w:spacing w:val="6"/>
        </w:rPr>
        <w:t>多项循证研究结果显示，坎地沙坦和氯沙坦不仅</w:t>
      </w:r>
      <w:r>
        <w:rPr>
          <w:spacing w:val="5"/>
        </w:rPr>
        <w:t xml:space="preserve"> </w:t>
      </w:r>
      <w:r>
        <w:rPr>
          <w:spacing w:val="6"/>
        </w:rPr>
        <w:t>能显著降低血压，而且能显著降低高血压患者的</w:t>
      </w:r>
      <w:r>
        <w:rPr>
          <w:spacing w:val="1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LVMI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rFonts w:ascii="SimSun" w:hAnsi="SimSun" w:eastAsia="SimSun" w:cs="SimSun"/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LVID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>
          <w:rFonts w:ascii="SimSun" w:hAnsi="SimSun" w:eastAsia="SimSun" w:cs="SimSun"/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LVPWT</w:t>
      </w:r>
      <w:r>
        <w:rPr>
          <w:spacing w:val="-4"/>
        </w:rPr>
        <w:t>及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IVST²1-24</w:t>
      </w:r>
      <w:r>
        <w:rPr>
          <w:rFonts w:ascii="SimSun" w:hAnsi="SimSun" w:eastAsia="SimSun" w:cs="SimSun"/>
          <w:spacing w:val="-4"/>
        </w:rPr>
        <w:t>。</w:t>
      </w:r>
    </w:p>
    <w:p>
      <w:pPr>
        <w:pStyle w:val="BodyText"/>
        <w:ind w:left="749" w:right="433" w:firstLine="409"/>
        <w:spacing w:before="1" w:line="280" w:lineRule="auto"/>
        <w:rPr>
          <w:sz w:val="16"/>
          <w:szCs w:val="16"/>
        </w:rPr>
      </w:pPr>
      <w:r>
        <w:rPr>
          <w:rFonts w:ascii="Times New Roman" w:hAnsi="Times New Roman" w:eastAsia="Times New Roman" w:cs="Times New Roman"/>
          <w:spacing w:val="-2"/>
        </w:rPr>
        <w:t>1.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2"/>
        </w:rPr>
        <w:t>优先推荐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ARB </w:t>
      </w:r>
      <w:r>
        <w:rPr>
          <w:spacing w:val="-2"/>
        </w:rPr>
        <w:t>类药物，并应用至足剂量：</w:t>
      </w:r>
      <w:r>
        <w:rPr/>
        <w:t xml:space="preserve"> </w:t>
      </w:r>
      <w:r>
        <w:rPr>
          <w:spacing w:val="6"/>
        </w:rPr>
        <w:t>宜选用降压更强效、可平稳控制24</w:t>
      </w:r>
      <w:r>
        <w:rPr>
          <w:rFonts w:ascii="Times New Roman" w:hAnsi="Times New Roman" w:eastAsia="Times New Roman" w:cs="Times New Roman"/>
          <w:spacing w:val="6"/>
        </w:rPr>
        <w:t>h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6"/>
        </w:rPr>
        <w:t>血压、能更</w:t>
      </w:r>
      <w:r>
        <w:rPr/>
        <w:t xml:space="preserve"> </w:t>
      </w:r>
      <w:r>
        <w:rPr>
          <w:spacing w:val="12"/>
        </w:rPr>
        <w:t>多预防或逆转</w:t>
      </w:r>
      <w:r>
        <w:rPr>
          <w:rFonts w:ascii="Times New Roman" w:hAnsi="Times New Roman" w:eastAsia="Times New Roman" w:cs="Times New Roman"/>
        </w:rPr>
        <w:t>LVH</w:t>
      </w:r>
      <w:r>
        <w:rPr>
          <w:spacing w:val="12"/>
        </w:rPr>
        <w:t>和减少心血管事件的</w:t>
      </w:r>
      <w:r>
        <w:rPr>
          <w:rFonts w:ascii="Times New Roman" w:hAnsi="Times New Roman" w:eastAsia="Times New Roman" w:cs="Times New Roman"/>
        </w:rPr>
        <w:t>ARB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12"/>
        </w:rPr>
        <w:t>类</w:t>
      </w:r>
      <w:r>
        <w:rPr/>
        <w:t xml:space="preserve"> </w:t>
      </w:r>
      <w:r>
        <w:rPr>
          <w:sz w:val="16"/>
          <w:szCs w:val="16"/>
          <w:spacing w:val="24"/>
        </w:rPr>
        <w:t>药物125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24"/>
        </w:rPr>
        <w:t>-</w:t>
      </w:r>
      <w:r>
        <w:rPr>
          <w:sz w:val="16"/>
          <w:szCs w:val="16"/>
          <w:spacing w:val="-38"/>
        </w:rPr>
        <w:t xml:space="preserve"> </w:t>
      </w:r>
      <w:r>
        <w:rPr>
          <w:sz w:val="16"/>
          <w:szCs w:val="16"/>
          <w:spacing w:val="24"/>
        </w:rPr>
        <w:t>27,并足剂量使用。</w:t>
      </w:r>
    </w:p>
    <w:p>
      <w:pPr>
        <w:pStyle w:val="BodyText"/>
        <w:ind w:left="749" w:right="439" w:firstLine="409"/>
        <w:spacing w:before="107" w:line="269" w:lineRule="auto"/>
        <w:rPr/>
      </w:pPr>
      <w:r>
        <w:rPr>
          <w:rFonts w:ascii="SimSun" w:hAnsi="SimSun" w:eastAsia="SimSun" w:cs="SimSun"/>
          <w:spacing w:val="1"/>
        </w:rPr>
        <w:t>2.</w:t>
      </w:r>
      <w:r>
        <w:rPr>
          <w:spacing w:val="1"/>
        </w:rPr>
        <w:t>联合降压治疗：在足剂量使用</w:t>
      </w:r>
      <w:r>
        <w:rPr>
          <w:rFonts w:ascii="SimSun" w:hAnsi="SimSun" w:eastAsia="SimSun" w:cs="SimSun"/>
        </w:rPr>
        <w:t>ARB</w:t>
      </w:r>
      <w:r>
        <w:rPr>
          <w:rFonts w:ascii="SimSun" w:hAnsi="SimSun" w:eastAsia="SimSun" w:cs="SimSun"/>
          <w:spacing w:val="94"/>
        </w:rPr>
        <w:t xml:space="preserve"> </w:t>
      </w:r>
      <w:r>
        <w:rPr>
          <w:spacing w:val="1"/>
        </w:rPr>
        <w:t>类药物</w:t>
      </w:r>
      <w:r>
        <w:rPr/>
        <w:t xml:space="preserve"> </w:t>
      </w:r>
      <w:r>
        <w:rPr>
          <w:spacing w:val="5"/>
        </w:rPr>
        <w:t>治疗后，血压未达标或考虑进一步降低时，可联</w:t>
      </w:r>
      <w:r>
        <w:rPr>
          <w:spacing w:val="3"/>
        </w:rPr>
        <w:t xml:space="preserve"> </w:t>
      </w:r>
      <w:r>
        <w:rPr>
          <w:spacing w:val="-2"/>
        </w:rPr>
        <w:t>合长效钙拮抗剂或利尿剂。</w:t>
      </w:r>
    </w:p>
    <w:p>
      <w:pPr>
        <w:pStyle w:val="BodyText"/>
        <w:ind w:left="749" w:right="428" w:firstLine="409"/>
        <w:spacing w:before="75" w:line="265" w:lineRule="auto"/>
        <w:rPr/>
      </w:pPr>
      <w:r>
        <w:rPr>
          <w:rFonts w:ascii="SimSun" w:hAnsi="SimSun" w:eastAsia="SimSun" w:cs="SimSun"/>
          <w:spacing w:val="6"/>
        </w:rPr>
        <w:t>3.</w:t>
      </w:r>
      <w:r>
        <w:rPr>
          <w:spacing w:val="6"/>
        </w:rPr>
        <w:t>对左心室收缩功能异常的患者，应考虑加</w:t>
      </w:r>
      <w:r>
        <w:rPr>
          <w:spacing w:val="10"/>
        </w:rPr>
        <w:t xml:space="preserve"> </w:t>
      </w:r>
      <w:r>
        <w:rPr>
          <w:spacing w:val="1"/>
        </w:rPr>
        <w:t>用β受体阻滞剂和醛固酮拮抗剂。</w:t>
      </w:r>
    </w:p>
    <w:p>
      <w:pPr>
        <w:pStyle w:val="BodyText"/>
        <w:ind w:left="749" w:right="400" w:firstLine="409"/>
        <w:spacing w:before="67" w:line="241" w:lineRule="auto"/>
        <w:rPr/>
      </w:pPr>
      <w:r>
        <w:rPr>
          <w:rFonts w:ascii="Times New Roman" w:hAnsi="Times New Roman" w:eastAsia="Times New Roman" w:cs="Times New Roman"/>
          <w:spacing w:val="13"/>
        </w:rPr>
        <w:t>4.</w:t>
      </w:r>
      <w:r>
        <w:rPr>
          <w:spacing w:val="13"/>
        </w:rPr>
        <w:t>对静息心率&gt;80次</w:t>
      </w:r>
      <w:r>
        <w:rPr>
          <w:rFonts w:ascii="Times New Roman" w:hAnsi="Times New Roman" w:eastAsia="Times New Roman" w:cs="Times New Roman"/>
        </w:rPr>
        <w:t>min</w:t>
      </w:r>
      <w:r>
        <w:rPr>
          <w:rFonts w:ascii="Times New Roman" w:hAnsi="Times New Roman" w:eastAsia="Times New Roman" w:cs="Times New Roman"/>
          <w:spacing w:val="13"/>
        </w:rPr>
        <w:t>, </w:t>
      </w:r>
      <w:r>
        <w:rPr>
          <w:spacing w:val="13"/>
        </w:rPr>
        <w:t>或动态心率&gt;75次/</w:t>
      </w:r>
      <w:r>
        <w:rPr>
          <w:spacing w:val="4"/>
        </w:rPr>
        <w:t xml:space="preserve"> </w:t>
      </w:r>
      <w:r>
        <w:rPr>
          <w:rFonts w:ascii="SimSun" w:hAnsi="SimSun" w:eastAsia="SimSun" w:cs="SimSun"/>
        </w:rPr>
        <w:t>min</w:t>
      </w:r>
      <w:r>
        <w:rPr>
          <w:spacing w:val="12"/>
        </w:rPr>
        <w:t>(</w:t>
      </w:r>
      <w:r>
        <w:rPr>
          <w:spacing w:val="-28"/>
        </w:rPr>
        <w:t xml:space="preserve"> </w:t>
      </w:r>
      <w:r>
        <w:rPr>
          <w:spacing w:val="12"/>
        </w:rPr>
        <w:t>指</w:t>
      </w:r>
      <w:r>
        <w:rPr>
          <w:spacing w:val="-36"/>
        </w:rPr>
        <w:t xml:space="preserve"> </w:t>
      </w:r>
      <w:r>
        <w:rPr>
          <w:spacing w:val="12"/>
        </w:rPr>
        <w:t>2</w:t>
      </w:r>
      <w:r>
        <w:rPr>
          <w:spacing w:val="-39"/>
        </w:rPr>
        <w:t xml:space="preserve"> </w:t>
      </w:r>
      <w:r>
        <w:rPr>
          <w:spacing w:val="12"/>
        </w:rPr>
        <w:t>4</w:t>
      </w:r>
      <w:r>
        <w:rPr>
          <w:rFonts w:ascii="SimSun" w:hAnsi="SimSun" w:eastAsia="SimSun" w:cs="SimSun"/>
          <w:spacing w:val="12"/>
        </w:rPr>
        <w:t>h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spacing w:val="12"/>
        </w:rPr>
        <w:t>平均心率)、或者快心室率心房颤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20"/>
        <w:spacing w:before="62" w:line="290" w:lineRule="auto"/>
        <w:rPr/>
      </w:pPr>
      <w:r>
        <w:rPr/>
        <w:t>动的高血压合并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</w:rPr>
        <w:t>LVH </w:t>
      </w:r>
      <w:r>
        <w:rPr/>
        <w:t>患者，可联合使用高度心脏</w:t>
      </w:r>
      <w:r>
        <w:rPr/>
        <w:t xml:space="preserve"> </w:t>
      </w:r>
      <w:r>
        <w:rPr>
          <w:spacing w:val="2"/>
        </w:rPr>
        <w:t>选择性、亲脂性高的β</w:t>
      </w:r>
      <w:r>
        <w:rPr>
          <w:rFonts w:ascii="Calibri" w:hAnsi="Calibri" w:eastAsia="Calibri" w:cs="Calibri"/>
          <w:spacing w:val="2"/>
        </w:rPr>
        <w:t>₁</w:t>
      </w:r>
      <w:r>
        <w:rPr>
          <w:rFonts w:ascii="Calibri" w:hAnsi="Calibri" w:eastAsia="Calibri" w:cs="Calibri"/>
          <w:spacing w:val="-14"/>
        </w:rPr>
        <w:t xml:space="preserve"> </w:t>
      </w:r>
      <w:r>
        <w:rPr>
          <w:spacing w:val="2"/>
        </w:rPr>
        <w:t>受体阻滞剂。</w:t>
      </w:r>
    </w:p>
    <w:p>
      <w:pPr>
        <w:ind w:left="3" w:right="56" w:hanging="3"/>
        <w:spacing w:before="82" w:line="278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8"/>
          <w:szCs w:val="28"/>
          <w:spacing w:val="-17"/>
        </w:rPr>
        <w:t>●</w:t>
      </w:r>
      <w:r>
        <w:rPr>
          <w:rFonts w:ascii="SimHei" w:hAnsi="SimHei" w:eastAsia="SimHei" w:cs="SimHei"/>
          <w:sz w:val="28"/>
          <w:szCs w:val="28"/>
          <w:spacing w:val="27"/>
        </w:rPr>
        <w:t xml:space="preserve">  </w:t>
      </w:r>
      <w:r>
        <w:rPr>
          <w:rFonts w:ascii="SimHei" w:hAnsi="SimHei" w:eastAsia="SimHei" w:cs="SimHei"/>
          <w:sz w:val="28"/>
          <w:szCs w:val="28"/>
          <w:b/>
          <w:bCs/>
          <w:spacing w:val="-17"/>
        </w:rPr>
        <w:t>高血压合并左心室肥厚患者需坚持</w:t>
      </w:r>
      <w:r>
        <w:rPr>
          <w:rFonts w:ascii="SimHei" w:hAnsi="SimHei" w:eastAsia="SimHei" w:cs="SimHei"/>
          <w:sz w:val="28"/>
          <w:szCs w:val="28"/>
          <w:spacing w:val="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50"/>
        </w:rPr>
        <w:t>长期降压治疗并定期随访</w:t>
      </w:r>
    </w:p>
    <w:p>
      <w:pPr>
        <w:pStyle w:val="BodyText"/>
        <w:ind w:firstLine="459"/>
        <w:spacing w:before="104" w:line="290" w:lineRule="auto"/>
        <w:jc w:val="both"/>
        <w:rPr/>
      </w:pPr>
      <w:r>
        <w:rPr>
          <w:spacing w:val="-3"/>
        </w:rPr>
        <w:t>高血压合并</w:t>
      </w:r>
      <w:r>
        <w:rPr>
          <w:rFonts w:ascii="Times New Roman" w:hAnsi="Times New Roman" w:eastAsia="Times New Roman" w:cs="Times New Roman"/>
          <w:spacing w:val="-3"/>
        </w:rPr>
        <w:t>LVH</w:t>
      </w:r>
      <w:r>
        <w:rPr>
          <w:spacing w:val="-3"/>
        </w:rPr>
        <w:t>的患者应长期坚持降压治疗，</w:t>
      </w:r>
      <w:r>
        <w:rPr>
          <w:spacing w:val="17"/>
        </w:rPr>
        <w:t xml:space="preserve"> </w:t>
      </w:r>
      <w:r>
        <w:rPr>
          <w:spacing w:val="-4"/>
        </w:rPr>
        <w:t>并定期随访。随诊间隔时间须根据患者的心血管总</w:t>
      </w:r>
      <w:r>
        <w:rPr>
          <w:spacing w:val="1"/>
        </w:rPr>
        <w:t xml:space="preserve">  </w:t>
      </w:r>
      <w:r>
        <w:rPr>
          <w:spacing w:val="-4"/>
        </w:rPr>
        <w:t>体风险及血压水平决定。对血压达标且病情</w:t>
      </w:r>
      <w:r>
        <w:rPr>
          <w:spacing w:val="-5"/>
        </w:rPr>
        <w:t>稳定的</w:t>
      </w:r>
      <w:r>
        <w:rPr/>
        <w:t xml:space="preserve">  </w:t>
      </w:r>
      <w:r>
        <w:rPr>
          <w:spacing w:val="10"/>
        </w:rPr>
        <w:t>患者，每1～3个月随诊1次，并定期或不定</w:t>
      </w:r>
      <w:r>
        <w:rPr>
          <w:spacing w:val="9"/>
        </w:rPr>
        <w:t>期进</w:t>
      </w:r>
      <w:r>
        <w:rPr/>
        <w:t xml:space="preserve">  </w:t>
      </w:r>
      <w:r>
        <w:rPr>
          <w:spacing w:val="-5"/>
        </w:rPr>
        <w:t>行血糖、血脂、肾功能、尿常规、心电图和超声心</w:t>
      </w:r>
      <w:r>
        <w:rPr>
          <w:spacing w:val="8"/>
        </w:rPr>
        <w:t xml:space="preserve">  </w:t>
      </w:r>
      <w:r>
        <w:rPr>
          <w:spacing w:val="10"/>
        </w:rPr>
        <w:t>动图检查。心电图和超声心动图可每6～12个月</w:t>
      </w:r>
      <w:r>
        <w:rPr>
          <w:spacing w:val="9"/>
        </w:rPr>
        <w:t xml:space="preserve">  </w:t>
      </w:r>
      <w:r>
        <w:rPr>
          <w:spacing w:val="10"/>
        </w:rPr>
        <w:t>随访1次，观察</w:t>
      </w:r>
      <w:r>
        <w:rPr>
          <w:rFonts w:ascii="Times New Roman" w:hAnsi="Times New Roman" w:eastAsia="Times New Roman" w:cs="Times New Roman"/>
        </w:rPr>
        <w:t>LVH</w:t>
      </w:r>
      <w:r>
        <w:rPr>
          <w:spacing w:val="10"/>
        </w:rPr>
        <w:t>的改善情况。高危患者或血</w:t>
      </w:r>
      <w:r>
        <w:rPr>
          <w:spacing w:val="7"/>
        </w:rPr>
        <w:t xml:space="preserve">  </w:t>
      </w:r>
      <w:r>
        <w:rPr>
          <w:spacing w:val="1"/>
        </w:rPr>
        <w:t>压未达标患者可考虑缩短随诊及检查的间隔时间。</w:t>
      </w:r>
      <w:r>
        <w:rPr>
          <w:spacing w:val="1"/>
        </w:rPr>
        <w:t xml:space="preserve"> </w:t>
      </w:r>
      <w:r>
        <w:rPr>
          <w:spacing w:val="15"/>
        </w:rPr>
        <w:t>若患者已治疗6个月，使用了至少3种足剂量的</w:t>
      </w:r>
      <w:r>
        <w:rPr>
          <w:spacing w:val="7"/>
        </w:rPr>
        <w:t xml:space="preserve">  </w:t>
      </w:r>
      <w:r>
        <w:rPr>
          <w:spacing w:val="5"/>
        </w:rPr>
        <w:t>降压药而血压仍未达标，应考虑将患者转至高血</w:t>
      </w:r>
      <w:r>
        <w:rPr>
          <w:spacing w:val="3"/>
        </w:rPr>
        <w:t xml:space="preserve">  </w:t>
      </w:r>
      <w:r>
        <w:rPr>
          <w:spacing w:val="-2"/>
        </w:rPr>
        <w:t>压专科门诊或上级医院治疗。</w:t>
      </w:r>
    </w:p>
    <w:p>
      <w:pPr>
        <w:ind w:left="90"/>
        <w:spacing w:before="239" w:line="22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903030"/>
          <w:spacing w:val="-21"/>
        </w:rPr>
        <w:t>●</w:t>
      </w:r>
      <w:r>
        <w:rPr>
          <w:rFonts w:ascii="SimHei" w:hAnsi="SimHei" w:eastAsia="SimHei" w:cs="SimHei"/>
          <w:sz w:val="21"/>
          <w:szCs w:val="21"/>
          <w:color w:val="903030"/>
          <w:spacing w:val="9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1"/>
        </w:rPr>
        <w:t>小</w:t>
      </w:r>
      <w:r>
        <w:rPr>
          <w:rFonts w:ascii="SimHei" w:hAnsi="SimHei" w:eastAsia="SimHei" w:cs="SimHei"/>
          <w:sz w:val="21"/>
          <w:szCs w:val="21"/>
          <w:spacing w:val="3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21"/>
        </w:rPr>
        <w:t>结</w:t>
      </w:r>
    </w:p>
    <w:p>
      <w:pPr>
        <w:pStyle w:val="BodyText"/>
        <w:ind w:left="459"/>
        <w:spacing w:before="185" w:line="22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"/>
        </w:rPr>
        <w:t>1.</w:t>
      </w:r>
      <w:r>
        <w:rPr>
          <w:spacing w:val="-1"/>
        </w:rPr>
        <w:t>所有高血压患者均应筛查</w:t>
      </w:r>
      <w:r>
        <w:rPr>
          <w:rFonts w:ascii="SimSun" w:hAnsi="SimSun" w:eastAsia="SimSun" w:cs="SimSun"/>
          <w:spacing w:val="-1"/>
        </w:rPr>
        <w:t>LVH。</w:t>
      </w:r>
    </w:p>
    <w:p>
      <w:pPr>
        <w:pStyle w:val="BodyText"/>
        <w:ind w:right="41" w:firstLine="459"/>
        <w:spacing w:before="64" w:line="264" w:lineRule="auto"/>
        <w:rPr/>
      </w:pPr>
      <w:r>
        <w:rPr>
          <w:rFonts w:ascii="Times New Roman" w:hAnsi="Times New Roman" w:eastAsia="Times New Roman" w:cs="Times New Roman"/>
          <w:spacing w:val="4"/>
        </w:rPr>
        <w:t>2.</w:t>
      </w:r>
      <w:r>
        <w:rPr>
          <w:rFonts w:ascii="Times New Roman" w:hAnsi="Times New Roman" w:eastAsia="Times New Roman" w:cs="Times New Roman"/>
        </w:rPr>
        <w:t>ECG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作为</w:t>
      </w:r>
      <w:r>
        <w:rPr>
          <w:rFonts w:ascii="Times New Roman" w:hAnsi="Times New Roman" w:eastAsia="Times New Roman" w:cs="Times New Roman"/>
        </w:rPr>
        <w:t>LVH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主要筛查手段，超声心动图</w:t>
      </w:r>
      <w:r>
        <w:rPr>
          <w:spacing w:val="16"/>
        </w:rPr>
        <w:t xml:space="preserve"> </w:t>
      </w:r>
      <w:r>
        <w:rPr>
          <w:spacing w:val="17"/>
        </w:rPr>
        <w:t>作为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</w:rPr>
        <w:t>LVH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17"/>
        </w:rPr>
        <w:t>主要诊断工具(图1)。</w:t>
      </w:r>
    </w:p>
    <w:p>
      <w:pPr>
        <w:pStyle w:val="BodyText"/>
        <w:ind w:right="91" w:firstLine="459"/>
        <w:spacing w:before="70" w:line="251" w:lineRule="auto"/>
        <w:rPr/>
      </w:pPr>
      <w:r>
        <w:rPr>
          <w:rFonts w:ascii="Times New Roman" w:hAnsi="Times New Roman" w:eastAsia="Times New Roman" w:cs="Times New Roman"/>
          <w:spacing w:val="1"/>
        </w:rPr>
        <w:t>3.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1"/>
        </w:rPr>
        <w:t>高血压合并</w:t>
      </w:r>
      <w:r>
        <w:rPr>
          <w:rFonts w:ascii="Times New Roman" w:hAnsi="Times New Roman" w:eastAsia="Times New Roman" w:cs="Times New Roman"/>
        </w:rPr>
        <w:t>LVH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的患者须进行全程生活方</w:t>
      </w:r>
      <w:r>
        <w:rPr/>
        <w:t xml:space="preserve"> </w:t>
      </w:r>
      <w:r>
        <w:rPr>
          <w:spacing w:val="-1"/>
        </w:rPr>
        <w:t>式干预，优先推荐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ARB</w:t>
      </w:r>
      <w:r>
        <w:rPr>
          <w:rFonts w:ascii="Times New Roman" w:hAnsi="Times New Roman" w:eastAsia="Times New Roman" w:cs="Times New Roman"/>
          <w:spacing w:val="18"/>
          <w:w w:val="101"/>
        </w:rPr>
        <w:t xml:space="preserve"> </w:t>
      </w:r>
      <w:r>
        <w:rPr>
          <w:spacing w:val="-1"/>
        </w:rPr>
        <w:t>并用至足剂量；对血压不</w:t>
      </w:r>
    </w:p>
    <w:p>
      <w:pPr>
        <w:spacing w:line="251" w:lineRule="auto"/>
        <w:sectPr>
          <w:type w:val="continuous"/>
          <w:pgSz w:w="11910" w:h="16160"/>
          <w:pgMar w:top="1321" w:right="1085" w:bottom="0" w:left="370" w:header="965" w:footer="0" w:gutter="0"/>
          <w:cols w:equalWidth="0" w:num="2">
            <w:col w:w="5710" w:space="100"/>
            <w:col w:w="4645" w:space="0"/>
          </w:cols>
        </w:sectPr>
        <w:rPr/>
      </w:pPr>
    </w:p>
    <w:p>
      <w:pPr>
        <w:spacing w:line="275" w:lineRule="auto"/>
        <w:rPr>
          <w:rFonts w:ascii="Arial"/>
          <w:sz w:val="21"/>
        </w:rPr>
      </w:pPr>
      <w:r/>
    </w:p>
    <w:p>
      <w:pPr>
        <w:ind w:firstLine="1669"/>
        <w:spacing w:line="4720" w:lineRule="exact"/>
        <w:rPr/>
      </w:pPr>
      <w:r>
        <w:rPr>
          <w:position w:val="-94"/>
        </w:rPr>
        <w:pict>
          <v:group id="_x0000_s16" style="mso-position-vertical-relative:line;mso-position-horizontal-relative:char;width:390.55pt;height:236.05pt;" filled="false" stroked="false" coordsize="7810,4721" coordorigin="0,0">
            <v:shape id="_x0000_s18" style="position:absolute;left:0;top:0;width:7810;height:4721;" filled="false" stroked="false" type="#_x0000_t75">
              <v:imagedata o:title="" r:id="rId15"/>
            </v:shape>
            <v:shape id="_x0000_s20" style="position:absolute;left:1660;top:105;width:5637;height:44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50"/>
                      <w:spacing w:before="19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1"/>
                      </w:rPr>
                      <w:t>高血压伴左心室肥厚患者</w:t>
                    </w:r>
                  </w:p>
                  <w:p>
                    <w:pPr>
                      <w:spacing w:line="31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90"/>
                      <w:spacing w:before="52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3"/>
                      </w:rPr>
                      <w:t>强化生活方式干预</w:t>
                    </w:r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00"/>
                      <w:spacing w:before="52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7"/>
                      </w:rPr>
                      <w:t>降压药物治疗：优先推荐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7"/>
                      </w:rPr>
                      <w:t>ARB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7"/>
                      </w:rPr>
                      <w:t>类药物，并用至足剂量</w:t>
                    </w:r>
                  </w:p>
                  <w:p>
                    <w:pPr>
                      <w:spacing w:line="29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70"/>
                      <w:spacing w:before="52" w:line="212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0"/>
                      </w:rPr>
                      <w:t>血压达标：&lt;140/90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0"/>
                      </w:rPr>
                      <w:t>mmHg</w:t>
                    </w:r>
                  </w:p>
                  <w:p>
                    <w:pPr>
                      <w:spacing w:before="48"/>
                      <w:rPr/>
                    </w:pPr>
                    <w:r/>
                  </w:p>
                  <w:tbl>
                    <w:tblPr>
                      <w:tblStyle w:val="TableNormal"/>
                      <w:tblW w:w="4077" w:type="dxa"/>
                      <w:tblInd w:w="20" w:type="dxa"/>
                      <w:tblLayout w:type="fixed"/>
                    </w:tblPr>
                    <w:tblGrid>
                      <w:gridCol w:w="2252"/>
                      <w:gridCol w:w="1825"/>
                    </w:tblGrid>
                    <w:tr>
                      <w:trPr>
                        <w:trHeight w:val="1502" w:hRule="atLeast"/>
                      </w:trPr>
                      <w:tc>
                        <w:tcPr>
                          <w:tcW w:w="2252" w:type="dxa"/>
                          <w:vAlign w:val="top"/>
                        </w:tcPr>
                        <w:p>
                          <w:pPr>
                            <w:ind w:left="519"/>
                            <w:spacing w:line="222" w:lineRule="auto"/>
                            <w:rPr>
                              <w:rFonts w:ascii="SimHei" w:hAnsi="SimHei" w:eastAsia="SimHei" w:cs="SimHei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28"/>
                              <w:szCs w:val="28"/>
                            </w:rPr>
                            <w:t>是</w:t>
                          </w:r>
                        </w:p>
                        <w:p>
                          <w:pPr>
                            <w:spacing w:line="32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right="206"/>
                            <w:spacing w:before="52" w:line="237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3"/>
                            </w:rPr>
                            <w:t>伴左心室收缩功能异常患者+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6"/>
                            </w:rPr>
                            <w:t>β受体阻滞剂+</w:t>
                          </w:r>
                        </w:p>
                        <w:p>
                          <w:pPr>
                            <w:spacing w:line="218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3"/>
                            </w:rPr>
                            <w:t>醛固酮拮抗剂</w:t>
                          </w:r>
                        </w:p>
                      </w:tc>
                      <w:tc>
                        <w:tcPr>
                          <w:tcW w:w="1825" w:type="dxa"/>
                          <w:vAlign w:val="top"/>
                        </w:tcPr>
                        <w:p>
                          <w:pPr>
                            <w:spacing w:line="32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2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7"/>
                            <w:spacing w:before="52" w:line="212" w:lineRule="auto"/>
                            <w:rPr>
                              <w:rFonts w:ascii="Times New Roman" w:hAnsi="Times New Roman" w:eastAsia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1"/>
                            </w:rPr>
                            <w:t>静息心率&gt;80次/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6"/>
                              <w:szCs w:val="16"/>
                              <w:spacing w:val="-1"/>
                            </w:rPr>
                            <w:t>min,</w:t>
                          </w:r>
                        </w:p>
                        <w:p>
                          <w:pPr>
                            <w:ind w:left="207"/>
                            <w:spacing w:before="16" w:line="222" w:lineRule="auto"/>
                            <w:rPr>
                              <w:rFonts w:ascii="SimSun" w:hAnsi="SimSun" w:eastAsia="SimSun" w:cs="SimSu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4"/>
                            </w:rPr>
                            <w:t>或动态心率&gt;75次/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6"/>
                              <w:szCs w:val="16"/>
                            </w:rPr>
                            <w:t>min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6"/>
                              <w:szCs w:val="16"/>
                              <w:spacing w:val="4"/>
                            </w:rPr>
                            <w:t>,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16"/>
                              <w:szCs w:val="16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2"/>
                            </w:rPr>
                            <w:t>或快心室率心房颤动+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1"/>
                            </w:rPr>
                            <w:t xml:space="preserve">  </w:t>
                          </w:r>
                          <w:r>
                            <w:rPr>
                              <w:rFonts w:ascii="SimSun" w:hAnsi="SimSun" w:eastAsia="SimSun" w:cs="SimSun"/>
                              <w:sz w:val="16"/>
                              <w:szCs w:val="16"/>
                              <w:spacing w:val="-11"/>
                            </w:rPr>
                            <w:t>β,受体阻滞剂</w:t>
                          </w:r>
                        </w:p>
                      </w:tc>
                    </w:tr>
                  </w:tbl>
                  <w:p>
                    <w:pPr>
                      <w:ind w:right="20"/>
                      <w:spacing w:before="153" w:line="219" w:lineRule="auto"/>
                      <w:jc w:val="right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ARB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类药物+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C+D</w:t>
                    </w:r>
                  </w:p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40"/>
                      <w:spacing w:before="52" w:line="212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4"/>
                      </w:rPr>
                      <w:t>血压&lt;140/90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mmHg,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4"/>
                      </w:rPr>
                      <w:t>能耐受患者&lt;130/80 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4"/>
                      </w:rPr>
                      <w:t>mmHg</w:t>
                    </w:r>
                  </w:p>
                </w:txbxContent>
              </v:textbox>
            </v:shape>
            <v:shape id="_x0000_s22" style="position:absolute;left:6070;top:2906;width:1193;height:4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42" w:lineRule="auto"/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ARB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1"/>
                      </w:rPr>
                      <w:t>类药物+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1"/>
                      </w:rPr>
                      <w:t>C,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 xml:space="preserve">   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或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ARB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2"/>
                      </w:rPr>
                      <w:t>类药物+</w:t>
                    </w: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  <w:spacing w:val="-2"/>
                      </w:rPr>
                      <w:t>D</w:t>
                    </w:r>
                  </w:p>
                </w:txbxContent>
              </v:textbox>
            </v:shape>
            <v:shape id="_x0000_s24" style="position:absolute;left:30;top:3016;width:1566;height:2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6"/>
                        <w:szCs w:val="16"/>
                      </w:rPr>
                      <w:t>ARB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11"/>
                      </w:rPr>
                      <w:t>类药物维持治疗</w:t>
                    </w:r>
                  </w:p>
                </w:txbxContent>
              </v:textbox>
            </v:shape>
            <v:shape id="_x0000_s26" style="position:absolute;left:6520;top:3466;width:1276;height:2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12"/>
                      </w:rPr>
                      <w:t>—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4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12"/>
                      </w:rPr>
                      <w:t>血压仍未达标</w:t>
                    </w:r>
                  </w:p>
                </w:txbxContent>
              </v:textbox>
            </v:shape>
            <v:shape id="_x0000_s28" style="position:absolute;left:6570;top:2237;width:193;height:2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3" w:lineRule="auto"/>
                      <w:rPr>
                        <w:rFonts w:ascii="SimHei" w:hAnsi="SimHei" w:eastAsia="SimHei" w:cs="SimHei"/>
                        <w:sz w:val="16"/>
                        <w:szCs w:val="16"/>
                      </w:rPr>
                    </w:pPr>
                    <w:r>
                      <w:rPr>
                        <w:rFonts w:ascii="SimHei" w:hAnsi="SimHei" w:eastAsia="SimHei" w:cs="SimHei"/>
                        <w:sz w:val="16"/>
                        <w:szCs w:val="16"/>
                      </w:rPr>
                      <w:t>否</w:t>
                    </w:r>
                  </w:p>
                </w:txbxContent>
              </v:textbox>
            </v:shape>
          </v:group>
        </w:pict>
      </w:r>
    </w:p>
    <w:p>
      <w:pPr>
        <w:ind w:left="1699"/>
        <w:spacing w:before="278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t>注：</w:t>
      </w:r>
      <w:r>
        <w:rPr>
          <w:rFonts w:ascii="Times New Roman" w:hAnsi="Times New Roman" w:eastAsia="Times New Roman" w:cs="Times New Roman"/>
          <w:sz w:val="16"/>
          <w:szCs w:val="16"/>
        </w:rPr>
        <w:t>ARB</w:t>
      </w:r>
      <w:r>
        <w:rPr>
          <w:rFonts w:ascii="Times New Roman" w:hAnsi="Times New Roman" w:eastAsia="Times New Roman" w:cs="Times New Roman"/>
          <w:sz w:val="16"/>
          <w:szCs w:val="16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为血管紧张素受体拮抗剂；</w:t>
      </w:r>
      <w:r>
        <w:rPr>
          <w:rFonts w:ascii="Times New Roman" w:hAnsi="Times New Roman" w:eastAsia="Times New Roman" w:cs="Times New Roman"/>
          <w:sz w:val="16"/>
          <w:szCs w:val="16"/>
        </w:rPr>
        <w:t>C </w:t>
      </w:r>
      <w:r>
        <w:rPr>
          <w:rFonts w:ascii="SimSun" w:hAnsi="SimSun" w:eastAsia="SimSun" w:cs="SimSun"/>
          <w:sz w:val="16"/>
          <w:szCs w:val="16"/>
        </w:rPr>
        <w:t>为长效二氢吡啶类钙拮抗剂；</w:t>
      </w:r>
      <w:r>
        <w:rPr>
          <w:rFonts w:ascii="Times New Roman" w:hAnsi="Times New Roman" w:eastAsia="Times New Roman" w:cs="Times New Roman"/>
          <w:sz w:val="16"/>
          <w:szCs w:val="16"/>
        </w:rPr>
        <w:t>D </w:t>
      </w:r>
      <w:r>
        <w:rPr>
          <w:rFonts w:ascii="SimSun" w:hAnsi="SimSun" w:eastAsia="SimSun" w:cs="SimSun"/>
          <w:sz w:val="16"/>
          <w:szCs w:val="16"/>
        </w:rPr>
        <w:t>为利尿剂；1</w:t>
      </w:r>
      <w:r>
        <w:rPr>
          <w:rFonts w:ascii="Times New Roman" w:hAnsi="Times New Roman" w:eastAsia="Times New Roman" w:cs="Times New Roman"/>
          <w:sz w:val="16"/>
          <w:szCs w:val="16"/>
        </w:rPr>
        <w:t>mmHg=0.133  kPa</w:t>
      </w:r>
    </w:p>
    <w:p>
      <w:pPr>
        <w:ind w:left="4032"/>
        <w:spacing w:before="152" w:line="222" w:lineRule="auto"/>
        <w:rPr>
          <w:rFonts w:ascii="SimSun" w:hAnsi="SimSun" w:eastAsia="SimSun" w:cs="SimSun"/>
          <w:sz w:val="16"/>
          <w:szCs w:val="16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469879</wp:posOffset>
            </wp:positionH>
            <wp:positionV relativeFrom="paragraph">
              <wp:posOffset>328697</wp:posOffset>
            </wp:positionV>
            <wp:extent cx="6140429" cy="635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0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  <w:b/>
          <w:bCs/>
          <w:spacing w:val="-2"/>
        </w:rPr>
        <w:t>图</w:t>
      </w:r>
      <w:r>
        <w:rPr>
          <w:rFonts w:ascii="SimHei" w:hAnsi="SimHei" w:eastAsia="SimHei" w:cs="SimHei"/>
          <w:sz w:val="16"/>
          <w:szCs w:val="16"/>
          <w:spacing w:val="-2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2"/>
        </w:rPr>
        <w:t>2</w:t>
      </w:r>
      <w:r>
        <w:rPr>
          <w:rFonts w:ascii="SimHei" w:hAnsi="SimHei" w:eastAsia="SimHei" w:cs="SimHei"/>
          <w:sz w:val="16"/>
          <w:szCs w:val="16"/>
          <w:spacing w:val="7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高血压合并左心室肥厚患者的临床治疗路径</w:t>
      </w:r>
    </w:p>
    <w:p>
      <w:pPr>
        <w:ind w:left="749"/>
        <w:spacing w:before="283" w:line="205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16"/>
          <w:szCs w:val="16"/>
          <w:spacing w:val="13"/>
        </w:rPr>
        <w:t>中华心血管病杂志(网络版)2019年第2卷</w:t>
      </w:r>
      <w:r>
        <w:rPr>
          <w:rFonts w:ascii="SimSun" w:hAnsi="SimSun" w:eastAsia="SimSun" w:cs="SimSun"/>
          <w:sz w:val="16"/>
          <w:szCs w:val="16"/>
          <w:spacing w:val="1"/>
        </w:rPr>
        <w:t xml:space="preserve">                                                           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>3/5</w:t>
      </w:r>
    </w:p>
    <w:p>
      <w:pPr>
        <w:pStyle w:val="BodyText"/>
        <w:spacing w:before="254"/>
        <w:rPr>
          <w:sz w:val="16"/>
          <w:szCs w:val="16"/>
        </w:rPr>
      </w:pPr>
      <w:r>
        <w:rPr>
          <w:sz w:val="16"/>
          <w:szCs w:val="16"/>
          <w:position w:val="-6"/>
        </w:rPr>
        <w:drawing>
          <wp:inline distT="0" distB="0" distL="0" distR="0">
            <wp:extent cx="177802" cy="184093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2" cy="18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spacing w:val="-14"/>
        </w:rPr>
        <w:t>中桑亭个嘉</w:t>
      </w:r>
      <w:r>
        <w:rPr>
          <w:sz w:val="16"/>
          <w:szCs w:val="16"/>
          <w:color w:val="806070"/>
          <w:spacing w:val="-14"/>
        </w:rPr>
        <w:t>版权所</w:t>
      </w:r>
    </w:p>
    <w:p>
      <w:pPr>
        <w:sectPr>
          <w:type w:val="continuous"/>
          <w:pgSz w:w="11910" w:h="16160"/>
          <w:pgMar w:top="1321" w:right="1085" w:bottom="0" w:left="370" w:header="965" w:footer="0" w:gutter="0"/>
          <w:cols w:equalWidth="0" w:num="1">
            <w:col w:w="10455" w:space="0"/>
          </w:cols>
        </w:sectPr>
        <w:rPr>
          <w:sz w:val="16"/>
          <w:szCs w:val="16"/>
        </w:rPr>
      </w:pPr>
    </w:p>
    <w:p>
      <w:pPr>
        <w:spacing w:line="122" w:lineRule="exact"/>
        <w:rPr/>
      </w:pPr>
      <w:r/>
    </w:p>
    <w:p>
      <w:pPr>
        <w:spacing w:line="122" w:lineRule="exact"/>
        <w:sectPr>
          <w:headerReference w:type="default" r:id="rId18"/>
          <w:pgSz w:w="11910" w:h="16160"/>
          <w:pgMar w:top="1339" w:right="1110" w:bottom="0" w:left="370" w:header="930" w:footer="0" w:gutter="0"/>
          <w:cols w:equalWidth="0" w:num="1">
            <w:col w:w="10430" w:space="0"/>
          </w:cols>
        </w:sectPr>
        <w:rPr/>
      </w:pPr>
    </w:p>
    <w:p>
      <w:pPr>
        <w:pStyle w:val="BodyText"/>
        <w:ind w:left="739" w:right="374"/>
        <w:spacing w:before="42" w:line="290" w:lineRule="auto"/>
        <w:rPr/>
      </w:pPr>
      <w:r>
        <w:rPr>
          <w:spacing w:val="6"/>
        </w:rPr>
        <w:t>能达标者可联合利尿剂或</w:t>
      </w:r>
      <w:r>
        <w:rPr>
          <w:rFonts w:ascii="SimSun" w:hAnsi="SimSun" w:eastAsia="SimSun" w:cs="SimSun"/>
        </w:rPr>
        <w:t>CCB</w:t>
      </w:r>
      <w:r>
        <w:rPr>
          <w:rFonts w:ascii="SimSun" w:hAnsi="SimSun" w:eastAsia="SimSun" w:cs="SimSun"/>
          <w:spacing w:val="6"/>
        </w:rPr>
        <w:t>,  </w:t>
      </w:r>
      <w:r>
        <w:rPr>
          <w:spacing w:val="6"/>
        </w:rPr>
        <w:t>必要时也可使用</w:t>
      </w:r>
      <w:r>
        <w:rPr/>
        <w:t xml:space="preserve">  </w:t>
      </w:r>
      <w:r>
        <w:rPr>
          <w:rFonts w:ascii="SimSun" w:hAnsi="SimSun" w:eastAsia="SimSun" w:cs="SimSun"/>
        </w:rPr>
        <w:t>ARB</w:t>
      </w:r>
      <w:r>
        <w:rPr>
          <w:rFonts w:ascii="SimSun" w:hAnsi="SimSun" w:eastAsia="SimSun" w:cs="SimSun"/>
          <w:spacing w:val="11"/>
        </w:rPr>
        <w:t>、</w:t>
      </w:r>
      <w:r>
        <w:rPr>
          <w:rFonts w:ascii="SimSun" w:hAnsi="SimSun" w:eastAsia="SimSun" w:cs="SimSun"/>
        </w:rPr>
        <w:t>CCB</w:t>
      </w:r>
      <w:r>
        <w:rPr>
          <w:rFonts w:ascii="SimSun" w:hAnsi="SimSun" w:eastAsia="SimSun" w:cs="SimSun"/>
          <w:spacing w:val="110"/>
        </w:rPr>
        <w:t xml:space="preserve"> </w:t>
      </w:r>
      <w:r>
        <w:rPr>
          <w:spacing w:val="11"/>
        </w:rPr>
        <w:t>和利尿剂3种药物联合的方案(图2)。</w:t>
      </w:r>
    </w:p>
    <w:p>
      <w:pPr>
        <w:pStyle w:val="BodyText"/>
        <w:ind w:left="739" w:right="463" w:firstLine="419"/>
        <w:spacing w:before="1" w:line="255" w:lineRule="auto"/>
        <w:rPr>
          <w:rFonts w:ascii="SimSun" w:hAnsi="SimSun" w:eastAsia="SimSun" w:cs="SimSun"/>
        </w:rPr>
      </w:pPr>
      <w:r>
        <w:rPr>
          <w:rFonts w:ascii="Times New Roman" w:hAnsi="Times New Roman" w:eastAsia="Times New Roman" w:cs="Times New Roman"/>
          <w:spacing w:val="13"/>
        </w:rPr>
        <w:t>4.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13"/>
        </w:rPr>
        <w:t>高血压合并</w:t>
      </w:r>
      <w:r>
        <w:rPr>
          <w:rFonts w:ascii="Times New Roman" w:hAnsi="Times New Roman" w:eastAsia="Times New Roman" w:cs="Times New Roman"/>
        </w:rPr>
        <w:t>LVH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13"/>
        </w:rPr>
        <w:t>患者的降压目标为血压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2"/>
        </w:rPr>
        <w:t>&lt;140/90mmHg,</w:t>
      </w:r>
      <w:r>
        <w:rPr>
          <w:rFonts w:ascii="Times New Roman" w:hAnsi="Times New Roman" w:eastAsia="Times New Roman" w:cs="Times New Roman"/>
          <w:spacing w:val="21"/>
        </w:rPr>
        <w:t xml:space="preserve">  </w:t>
      </w:r>
      <w:r>
        <w:rPr>
          <w:spacing w:val="-2"/>
        </w:rPr>
        <w:t>能耐受者血压&lt;130/80</w:t>
      </w:r>
      <w:r>
        <w:rPr>
          <w:spacing w:val="-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mmHg</w:t>
      </w:r>
      <w:r>
        <w:rPr>
          <w:rFonts w:ascii="SimSun" w:hAnsi="SimSun" w:eastAsia="SimSun" w:cs="SimSun"/>
          <w:spacing w:val="-3"/>
        </w:rPr>
        <w:t>。</w:t>
      </w:r>
    </w:p>
    <w:p>
      <w:pPr>
        <w:pStyle w:val="BodyText"/>
        <w:ind w:left="739" w:right="448" w:firstLine="419"/>
        <w:spacing w:before="120" w:line="265" w:lineRule="auto"/>
        <w:rPr/>
      </w:pPr>
      <w:r>
        <w:rPr>
          <w:rFonts w:ascii="SimSun" w:hAnsi="SimSun" w:eastAsia="SimSun" w:cs="SimSun"/>
          <w:sz w:val="17"/>
          <w:szCs w:val="17"/>
          <w:spacing w:val="-13"/>
        </w:rPr>
        <w:t>5.</w:t>
      </w:r>
      <w:r>
        <w:rPr>
          <w:sz w:val="17"/>
          <w:szCs w:val="17"/>
          <w:spacing w:val="-13"/>
        </w:rPr>
        <w:t>血</w:t>
      </w:r>
      <w:r>
        <w:rPr>
          <w:sz w:val="17"/>
          <w:szCs w:val="17"/>
          <w:spacing w:val="-32"/>
        </w:rPr>
        <w:t xml:space="preserve"> </w:t>
      </w:r>
      <w:r>
        <w:rPr>
          <w:sz w:val="17"/>
          <w:szCs w:val="17"/>
          <w:spacing w:val="-13"/>
        </w:rPr>
        <w:t>压</w:t>
      </w:r>
      <w:r>
        <w:rPr>
          <w:sz w:val="17"/>
          <w:szCs w:val="17"/>
          <w:spacing w:val="-31"/>
        </w:rPr>
        <w:t xml:space="preserve"> </w:t>
      </w:r>
      <w:r>
        <w:rPr>
          <w:sz w:val="17"/>
          <w:szCs w:val="17"/>
          <w:spacing w:val="-13"/>
        </w:rPr>
        <w:t>达</w:t>
      </w:r>
      <w:r>
        <w:rPr>
          <w:sz w:val="17"/>
          <w:szCs w:val="17"/>
          <w:spacing w:val="-33"/>
        </w:rPr>
        <w:t xml:space="preserve"> </w:t>
      </w:r>
      <w:r>
        <w:rPr>
          <w:sz w:val="17"/>
          <w:szCs w:val="17"/>
          <w:spacing w:val="-13"/>
        </w:rPr>
        <w:t>标</w:t>
      </w:r>
      <w:r>
        <w:rPr>
          <w:sz w:val="17"/>
          <w:szCs w:val="17"/>
          <w:spacing w:val="-32"/>
        </w:rPr>
        <w:t xml:space="preserve"> </w:t>
      </w:r>
      <w:r>
        <w:rPr>
          <w:sz w:val="17"/>
          <w:szCs w:val="17"/>
          <w:spacing w:val="-13"/>
        </w:rPr>
        <w:t>后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3"/>
        </w:rPr>
        <w:t>每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3"/>
        </w:rPr>
        <w:t>1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3"/>
        </w:rPr>
        <w:t>～</w:t>
      </w:r>
      <w:r>
        <w:rPr>
          <w:sz w:val="17"/>
          <w:szCs w:val="17"/>
          <w:spacing w:val="-35"/>
        </w:rPr>
        <w:t xml:space="preserve"> </w:t>
      </w:r>
      <w:r>
        <w:rPr>
          <w:sz w:val="17"/>
          <w:szCs w:val="17"/>
          <w:spacing w:val="-13"/>
        </w:rPr>
        <w:t>3</w:t>
      </w:r>
      <w:r>
        <w:rPr>
          <w:sz w:val="17"/>
          <w:szCs w:val="17"/>
          <w:spacing w:val="-32"/>
        </w:rPr>
        <w:t xml:space="preserve"> </w:t>
      </w:r>
      <w:r>
        <w:rPr>
          <w:sz w:val="17"/>
          <w:szCs w:val="17"/>
          <w:spacing w:val="-13"/>
        </w:rPr>
        <w:t>个</w:t>
      </w:r>
      <w:r>
        <w:rPr>
          <w:sz w:val="17"/>
          <w:szCs w:val="17"/>
          <w:spacing w:val="-24"/>
        </w:rPr>
        <w:t xml:space="preserve"> </w:t>
      </w:r>
      <w:r>
        <w:rPr>
          <w:sz w:val="17"/>
          <w:szCs w:val="17"/>
          <w:spacing w:val="-13"/>
        </w:rPr>
        <w:t>月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13"/>
        </w:rPr>
        <w:t>随</w:t>
      </w:r>
      <w:r>
        <w:rPr>
          <w:sz w:val="17"/>
          <w:szCs w:val="17"/>
          <w:spacing w:val="-31"/>
        </w:rPr>
        <w:t xml:space="preserve"> </w:t>
      </w:r>
      <w:r>
        <w:rPr>
          <w:sz w:val="17"/>
          <w:szCs w:val="17"/>
          <w:spacing w:val="-13"/>
        </w:rPr>
        <w:t>访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13"/>
        </w:rPr>
        <w:t>血</w:t>
      </w:r>
      <w:r>
        <w:rPr>
          <w:sz w:val="17"/>
          <w:szCs w:val="17"/>
          <w:spacing w:val="-33"/>
        </w:rPr>
        <w:t xml:space="preserve"> </w:t>
      </w:r>
      <w:r>
        <w:rPr>
          <w:sz w:val="17"/>
          <w:szCs w:val="17"/>
          <w:spacing w:val="-13"/>
        </w:rPr>
        <w:t>压</w:t>
      </w:r>
      <w:r>
        <w:rPr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13"/>
        </w:rPr>
        <w:t>，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3"/>
        </w:rPr>
        <w:t>每</w:t>
      </w:r>
      <w:r>
        <w:rPr>
          <w:sz w:val="17"/>
          <w:szCs w:val="17"/>
          <w:spacing w:val="-37"/>
        </w:rPr>
        <w:t xml:space="preserve"> </w:t>
      </w:r>
      <w:r>
        <w:rPr>
          <w:sz w:val="17"/>
          <w:szCs w:val="17"/>
          <w:spacing w:val="-13"/>
        </w:rPr>
        <w:t>6</w:t>
      </w:r>
      <w:r>
        <w:rPr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3"/>
        </w:rPr>
        <w:t>～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-13"/>
        </w:rPr>
        <w:t>1</w:t>
      </w:r>
      <w:r>
        <w:rPr>
          <w:sz w:val="17"/>
          <w:szCs w:val="17"/>
          <w:spacing w:val="-36"/>
        </w:rPr>
        <w:t xml:space="preserve"> </w:t>
      </w:r>
      <w:r>
        <w:rPr>
          <w:sz w:val="17"/>
          <w:szCs w:val="17"/>
          <w:spacing w:val="-13"/>
        </w:rPr>
        <w:t>2</w:t>
      </w:r>
      <w:r>
        <w:rPr>
          <w:sz w:val="17"/>
          <w:szCs w:val="17"/>
        </w:rPr>
        <w:t xml:space="preserve"> </w:t>
      </w:r>
      <w:r>
        <w:rPr>
          <w:spacing w:val="7"/>
        </w:rPr>
        <w:t>个月随访1次</w:t>
      </w:r>
      <w:r>
        <w:rPr>
          <w:rFonts w:ascii="SimSun" w:hAnsi="SimSun" w:eastAsia="SimSun" w:cs="SimSun"/>
        </w:rPr>
        <w:t>ECG</w:t>
      </w:r>
      <w:r>
        <w:rPr>
          <w:rFonts w:ascii="SimSun" w:hAnsi="SimSun" w:eastAsia="SimSun" w:cs="SimSun"/>
          <w:spacing w:val="80"/>
        </w:rPr>
        <w:t xml:space="preserve"> </w:t>
      </w:r>
      <w:r>
        <w:rPr>
          <w:spacing w:val="7"/>
        </w:rPr>
        <w:t>或超声心动图。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742"/>
        <w:spacing w:before="55" w:line="222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b/>
          <w:bCs/>
          <w:spacing w:val="17"/>
        </w:rPr>
        <w:t>参与共识讨论的专家组成员</w:t>
      </w:r>
      <w:r>
        <w:rPr>
          <w:sz w:val="17"/>
          <w:szCs w:val="17"/>
          <w:spacing w:val="17"/>
        </w:rPr>
        <w:t>(按姓氏拼音排序</w:t>
      </w:r>
      <w:r>
        <w:rPr>
          <w:sz w:val="17"/>
          <w:szCs w:val="17"/>
          <w:spacing w:val="16"/>
        </w:rPr>
        <w:t>):</w:t>
      </w:r>
    </w:p>
    <w:p>
      <w:pPr>
        <w:ind w:left="739" w:right="454" w:firstLine="419"/>
        <w:spacing w:before="93" w:line="261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spacing w:val="-16"/>
        </w:rPr>
        <w:t>崔</w:t>
      </w:r>
      <w:r>
        <w:rPr>
          <w:rFonts w:ascii="KaiTi" w:hAnsi="KaiTi" w:eastAsia="KaiTi" w:cs="KaiTi"/>
          <w:sz w:val="17"/>
          <w:szCs w:val="17"/>
          <w:spacing w:val="-18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6"/>
        </w:rPr>
        <w:t>兆</w:t>
      </w:r>
      <w:r>
        <w:rPr>
          <w:rFonts w:ascii="KaiTi" w:hAnsi="KaiTi" w:eastAsia="KaiTi" w:cs="KaiTi"/>
          <w:sz w:val="17"/>
          <w:szCs w:val="17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6"/>
        </w:rPr>
        <w:t>强</w:t>
      </w:r>
      <w:r>
        <w:rPr>
          <w:rFonts w:ascii="KaiTi" w:hAnsi="KaiTi" w:eastAsia="KaiTi" w:cs="KaiTi"/>
          <w:sz w:val="17"/>
          <w:szCs w:val="17"/>
          <w:spacing w:val="-16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6"/>
        </w:rPr>
        <w:t>(</w:t>
      </w:r>
      <w:r>
        <w:rPr>
          <w:rFonts w:ascii="KaiTi" w:hAnsi="KaiTi" w:eastAsia="KaiTi" w:cs="KaiTi"/>
          <w:sz w:val="17"/>
          <w:szCs w:val="17"/>
          <w:spacing w:val="-24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6"/>
        </w:rPr>
        <w:t>复</w:t>
      </w:r>
      <w:r>
        <w:rPr>
          <w:rFonts w:ascii="KaiTi" w:hAnsi="KaiTi" w:eastAsia="KaiTi" w:cs="KaiTi"/>
          <w:sz w:val="17"/>
          <w:szCs w:val="17"/>
          <w:spacing w:val="-34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6"/>
        </w:rPr>
        <w:t>旦</w:t>
      </w:r>
      <w:r>
        <w:rPr>
          <w:rFonts w:ascii="KaiTi" w:hAnsi="KaiTi" w:eastAsia="KaiTi" w:cs="KaiTi"/>
          <w:sz w:val="17"/>
          <w:szCs w:val="17"/>
          <w:spacing w:val="-16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6"/>
        </w:rPr>
        <w:t>大</w:t>
      </w:r>
      <w:r>
        <w:rPr>
          <w:rFonts w:ascii="KaiTi" w:hAnsi="KaiTi" w:eastAsia="KaiTi" w:cs="KaiTi"/>
          <w:sz w:val="17"/>
          <w:szCs w:val="17"/>
          <w:spacing w:val="-24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6"/>
        </w:rPr>
        <w:t>学</w:t>
      </w:r>
      <w:r>
        <w:rPr>
          <w:rFonts w:ascii="KaiTi" w:hAnsi="KaiTi" w:eastAsia="KaiTi" w:cs="KaiTi"/>
          <w:sz w:val="17"/>
          <w:szCs w:val="17"/>
          <w:spacing w:val="-21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6"/>
        </w:rPr>
        <w:t>附</w:t>
      </w:r>
      <w:r>
        <w:rPr>
          <w:rFonts w:ascii="KaiTi" w:hAnsi="KaiTi" w:eastAsia="KaiTi" w:cs="KaiTi"/>
          <w:sz w:val="17"/>
          <w:szCs w:val="17"/>
          <w:spacing w:val="-39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6"/>
        </w:rPr>
        <w:t>属</w:t>
      </w:r>
      <w:r>
        <w:rPr>
          <w:rFonts w:ascii="KaiTi" w:hAnsi="KaiTi" w:eastAsia="KaiTi" w:cs="KaiTi"/>
          <w:sz w:val="17"/>
          <w:szCs w:val="17"/>
          <w:spacing w:val="-16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6"/>
        </w:rPr>
        <w:t>中</w:t>
      </w:r>
      <w:r>
        <w:rPr>
          <w:rFonts w:ascii="KaiTi" w:hAnsi="KaiTi" w:eastAsia="KaiTi" w:cs="KaiTi"/>
          <w:sz w:val="17"/>
          <w:szCs w:val="17"/>
          <w:spacing w:val="-21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6"/>
        </w:rPr>
        <w:t>山</w:t>
      </w:r>
      <w:r>
        <w:rPr>
          <w:rFonts w:ascii="KaiTi" w:hAnsi="KaiTi" w:eastAsia="KaiTi" w:cs="KaiTi"/>
          <w:sz w:val="17"/>
          <w:szCs w:val="17"/>
          <w:spacing w:val="-16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6"/>
        </w:rPr>
        <w:t>医</w:t>
      </w:r>
      <w:r>
        <w:rPr>
          <w:rFonts w:ascii="KaiTi" w:hAnsi="KaiTi" w:eastAsia="KaiTi" w:cs="KaiTi"/>
          <w:sz w:val="17"/>
          <w:szCs w:val="17"/>
          <w:spacing w:val="-21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6"/>
        </w:rPr>
        <w:t>院</w:t>
      </w:r>
      <w:r>
        <w:rPr>
          <w:rFonts w:ascii="KaiTi" w:hAnsi="KaiTi" w:eastAsia="KaiTi" w:cs="KaiTi"/>
          <w:sz w:val="17"/>
          <w:szCs w:val="17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6"/>
        </w:rPr>
        <w:t>)</w:t>
      </w:r>
      <w:r>
        <w:rPr>
          <w:rFonts w:ascii="KaiTi" w:hAnsi="KaiTi" w:eastAsia="KaiTi" w:cs="KaiTi"/>
          <w:sz w:val="17"/>
          <w:szCs w:val="17"/>
          <w:spacing w:val="-13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6"/>
        </w:rPr>
        <w:t>;</w:t>
      </w:r>
      <w:r>
        <w:rPr>
          <w:rFonts w:ascii="KaiTi" w:hAnsi="KaiTi" w:eastAsia="KaiTi" w:cs="KaiTi"/>
          <w:sz w:val="17"/>
          <w:szCs w:val="17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6"/>
        </w:rPr>
        <w:t>董</w:t>
      </w:r>
      <w:r>
        <w:rPr>
          <w:rFonts w:ascii="KaiTi" w:hAnsi="KaiTi" w:eastAsia="KaiTi" w:cs="KaiTi"/>
          <w:sz w:val="17"/>
          <w:szCs w:val="17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6"/>
        </w:rPr>
        <w:t>吁</w:t>
      </w:r>
      <w:r>
        <w:rPr>
          <w:rFonts w:ascii="KaiTi" w:hAnsi="KaiTi" w:eastAsia="KaiTi" w:cs="KaiTi"/>
          <w:sz w:val="17"/>
          <w:szCs w:val="17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6"/>
        </w:rPr>
        <w:t>钢</w:t>
      </w:r>
      <w:r>
        <w:rPr>
          <w:rFonts w:ascii="KaiTi" w:hAnsi="KaiTi" w:eastAsia="KaiTi" w:cs="KaiTi"/>
          <w:sz w:val="17"/>
          <w:szCs w:val="17"/>
          <w:spacing w:val="-16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6"/>
        </w:rPr>
        <w:t>(</w:t>
      </w:r>
      <w:r>
        <w:rPr>
          <w:rFonts w:ascii="KaiTi" w:hAnsi="KaiTi" w:eastAsia="KaiTi" w:cs="KaiTi"/>
          <w:sz w:val="17"/>
          <w:szCs w:val="17"/>
          <w:spacing w:val="-16"/>
        </w:rPr>
        <w:t xml:space="preserve"> </w:t>
      </w:r>
      <w:r>
        <w:rPr>
          <w:rFonts w:ascii="KaiTi" w:hAnsi="KaiTi" w:eastAsia="KaiTi" w:cs="KaiTi"/>
          <w:sz w:val="17"/>
          <w:szCs w:val="17"/>
          <w:spacing w:val="-16"/>
        </w:rPr>
        <w:t>中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24"/>
        </w:rPr>
        <w:t>山大学附属第</w:t>
      </w:r>
      <w:r>
        <w:rPr>
          <w:rFonts w:ascii="KaiTi" w:hAnsi="KaiTi" w:eastAsia="KaiTi" w:cs="KaiTi"/>
          <w:sz w:val="17"/>
          <w:szCs w:val="17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spacing w:val="24"/>
        </w:rPr>
        <w:t>一</w:t>
      </w:r>
      <w:r>
        <w:rPr>
          <w:rFonts w:ascii="KaiTi" w:hAnsi="KaiTi" w:eastAsia="KaiTi" w:cs="KaiTi"/>
          <w:sz w:val="17"/>
          <w:szCs w:val="17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spacing w:val="24"/>
        </w:rPr>
        <w:t>医院);冯颖青(广东省人民医院);葛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33"/>
        </w:rPr>
        <w:t>均波(复旦大学附属中山医院);胡申江(浙江</w:t>
      </w:r>
      <w:r>
        <w:rPr>
          <w:rFonts w:ascii="KaiTi" w:hAnsi="KaiTi" w:eastAsia="KaiTi" w:cs="KaiTi"/>
          <w:sz w:val="17"/>
          <w:szCs w:val="17"/>
          <w:spacing w:val="32"/>
        </w:rPr>
        <w:t>大学附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23"/>
        </w:rPr>
        <w:t>属第</w:t>
      </w:r>
      <w:r>
        <w:rPr>
          <w:rFonts w:ascii="KaiTi" w:hAnsi="KaiTi" w:eastAsia="KaiTi" w:cs="KaiTi"/>
          <w:sz w:val="17"/>
          <w:szCs w:val="17"/>
          <w:spacing w:val="-40"/>
        </w:rPr>
        <w:t xml:space="preserve"> </w:t>
      </w:r>
      <w:r>
        <w:rPr>
          <w:rFonts w:ascii="KaiTi" w:hAnsi="KaiTi" w:eastAsia="KaiTi" w:cs="KaiTi"/>
          <w:sz w:val="17"/>
          <w:szCs w:val="17"/>
          <w:spacing w:val="23"/>
        </w:rPr>
        <w:t>一</w:t>
      </w:r>
      <w:r>
        <w:rPr>
          <w:rFonts w:ascii="KaiTi" w:hAnsi="KaiTi" w:eastAsia="KaiTi" w:cs="KaiTi"/>
          <w:sz w:val="17"/>
          <w:szCs w:val="17"/>
          <w:spacing w:val="-23"/>
        </w:rPr>
        <w:t xml:space="preserve"> </w:t>
      </w:r>
      <w:r>
        <w:rPr>
          <w:rFonts w:ascii="KaiTi" w:hAnsi="KaiTi" w:eastAsia="KaiTi" w:cs="KaiTi"/>
          <w:sz w:val="17"/>
          <w:szCs w:val="17"/>
          <w:spacing w:val="23"/>
        </w:rPr>
        <w:t>医院);霍勇(北京大学第</w:t>
      </w:r>
      <w:r>
        <w:rPr>
          <w:rFonts w:ascii="KaiTi" w:hAnsi="KaiTi" w:eastAsia="KaiTi" w:cs="KaiTi"/>
          <w:sz w:val="17"/>
          <w:szCs w:val="17"/>
          <w:spacing w:val="-43"/>
        </w:rPr>
        <w:t xml:space="preserve"> </w:t>
      </w:r>
      <w:r>
        <w:rPr>
          <w:rFonts w:ascii="KaiTi" w:hAnsi="KaiTi" w:eastAsia="KaiTi" w:cs="KaiTi"/>
          <w:sz w:val="17"/>
          <w:szCs w:val="17"/>
          <w:spacing w:val="23"/>
        </w:rPr>
        <w:t>一</w:t>
      </w:r>
      <w:r>
        <w:rPr>
          <w:rFonts w:ascii="KaiTi" w:hAnsi="KaiTi" w:eastAsia="KaiTi" w:cs="KaiTi"/>
          <w:sz w:val="17"/>
          <w:szCs w:val="17"/>
          <w:spacing w:val="-22"/>
        </w:rPr>
        <w:t xml:space="preserve"> </w:t>
      </w:r>
      <w:r>
        <w:rPr>
          <w:rFonts w:ascii="KaiTi" w:hAnsi="KaiTi" w:eastAsia="KaiTi" w:cs="KaiTi"/>
          <w:sz w:val="17"/>
          <w:szCs w:val="17"/>
          <w:spacing w:val="23"/>
        </w:rPr>
        <w:t>医院);卢新政(江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31"/>
        </w:rPr>
        <w:t>苏省人民医院);李勇(上海华山医院);钱菊英(复旦</w:t>
      </w:r>
      <w:r>
        <w:rPr>
          <w:rFonts w:ascii="KaiTi" w:hAnsi="KaiTi" w:eastAsia="KaiTi" w:cs="KaiTi"/>
          <w:sz w:val="17"/>
          <w:szCs w:val="17"/>
          <w:spacing w:val="12"/>
        </w:rPr>
        <w:t xml:space="preserve"> </w:t>
      </w:r>
      <w:r>
        <w:rPr>
          <w:rFonts w:ascii="KaiTi" w:hAnsi="KaiTi" w:eastAsia="KaiTi" w:cs="KaiTi"/>
          <w:sz w:val="17"/>
          <w:szCs w:val="17"/>
          <w:spacing w:val="28"/>
        </w:rPr>
        <w:t>大学附属中山医院);孙宁玲(北京大学人民医院);施</w:t>
      </w:r>
      <w:r>
        <w:rPr>
          <w:rFonts w:ascii="KaiTi" w:hAnsi="KaiTi" w:eastAsia="KaiTi" w:cs="KaiTi"/>
          <w:sz w:val="17"/>
          <w:szCs w:val="17"/>
        </w:rPr>
        <w:t xml:space="preserve"> </w:t>
      </w:r>
      <w:r>
        <w:rPr>
          <w:rFonts w:ascii="KaiTi" w:hAnsi="KaiTi" w:eastAsia="KaiTi" w:cs="KaiTi"/>
          <w:sz w:val="17"/>
          <w:szCs w:val="17"/>
          <w:spacing w:val="22"/>
        </w:rPr>
        <w:t>仲伟(上海交通大学附属瑞金医院);汪芳(北京医院);</w:t>
      </w:r>
      <w:r>
        <w:rPr>
          <w:rFonts w:ascii="KaiTi" w:hAnsi="KaiTi" w:eastAsia="KaiTi" w:cs="KaiTi"/>
          <w:sz w:val="17"/>
          <w:szCs w:val="17"/>
          <w:spacing w:val="10"/>
        </w:rPr>
        <w:t xml:space="preserve"> </w:t>
      </w:r>
      <w:r>
        <w:rPr>
          <w:rFonts w:ascii="KaiTi" w:hAnsi="KaiTi" w:eastAsia="KaiTi" w:cs="KaiTi"/>
          <w:sz w:val="17"/>
          <w:szCs w:val="17"/>
          <w:spacing w:val="25"/>
        </w:rPr>
        <w:t>王继光(上海交通大学附属瑞金医院);谢良地(福建医</w:t>
      </w:r>
      <w:r>
        <w:rPr>
          <w:rFonts w:ascii="KaiTi" w:hAnsi="KaiTi" w:eastAsia="KaiTi" w:cs="KaiTi"/>
          <w:sz w:val="17"/>
          <w:szCs w:val="17"/>
          <w:spacing w:val="1"/>
        </w:rPr>
        <w:t xml:space="preserve"> </w:t>
      </w:r>
      <w:r>
        <w:rPr>
          <w:rFonts w:ascii="KaiTi" w:hAnsi="KaiTi" w:eastAsia="KaiTi" w:cs="KaiTi"/>
          <w:sz w:val="17"/>
          <w:szCs w:val="17"/>
          <w:spacing w:val="21"/>
        </w:rPr>
        <w:t>科大学附属第</w:t>
      </w:r>
      <w:r>
        <w:rPr>
          <w:rFonts w:ascii="KaiTi" w:hAnsi="KaiTi" w:eastAsia="KaiTi" w:cs="KaiTi"/>
          <w:sz w:val="17"/>
          <w:szCs w:val="17"/>
          <w:spacing w:val="-39"/>
        </w:rPr>
        <w:t xml:space="preserve"> </w:t>
      </w:r>
      <w:r>
        <w:rPr>
          <w:rFonts w:ascii="KaiTi" w:hAnsi="KaiTi" w:eastAsia="KaiTi" w:cs="KaiTi"/>
          <w:sz w:val="17"/>
          <w:szCs w:val="17"/>
          <w:spacing w:val="21"/>
        </w:rPr>
        <w:t>一</w:t>
      </w:r>
      <w:r>
        <w:rPr>
          <w:rFonts w:ascii="KaiTi" w:hAnsi="KaiTi" w:eastAsia="KaiTi" w:cs="KaiTi"/>
          <w:sz w:val="17"/>
          <w:szCs w:val="17"/>
          <w:spacing w:val="-29"/>
        </w:rPr>
        <w:t xml:space="preserve"> </w:t>
      </w:r>
      <w:r>
        <w:rPr>
          <w:rFonts w:ascii="KaiTi" w:hAnsi="KaiTi" w:eastAsia="KaiTi" w:cs="KaiTi"/>
          <w:sz w:val="17"/>
          <w:szCs w:val="17"/>
          <w:spacing w:val="21"/>
        </w:rPr>
        <w:t>医院);张新军(四川大学华西医院);</w:t>
      </w:r>
      <w:r>
        <w:rPr>
          <w:rFonts w:ascii="KaiTi" w:hAnsi="KaiTi" w:eastAsia="KaiTi" w:cs="KaiTi"/>
          <w:sz w:val="17"/>
          <w:szCs w:val="17"/>
        </w:rPr>
        <w:t xml:space="preserve">  </w:t>
      </w:r>
      <w:r>
        <w:rPr>
          <w:rFonts w:ascii="KaiTi" w:hAnsi="KaiTi" w:eastAsia="KaiTi" w:cs="KaiTi"/>
          <w:sz w:val="17"/>
          <w:szCs w:val="17"/>
          <w:spacing w:val="16"/>
        </w:rPr>
        <w:t>周亚峰(苏州大学附属第一医院)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2382"/>
        <w:spacing w:before="5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8"/>
        </w:rPr>
        <w:t>参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-8"/>
        </w:rPr>
        <w:t>考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-8"/>
        </w:rPr>
        <w:t>文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 </w:t>
      </w:r>
      <w:r>
        <w:rPr>
          <w:rFonts w:ascii="SimSun" w:hAnsi="SimSun" w:eastAsia="SimSun" w:cs="SimSun"/>
          <w:sz w:val="17"/>
          <w:szCs w:val="17"/>
          <w:b/>
          <w:bCs/>
          <w:spacing w:val="-8"/>
        </w:rPr>
        <w:t>献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left="1159" w:right="460" w:hanging="339"/>
        <w:spacing w:before="49" w:line="27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[1]    Toba  A,Kariya  T,Aoyama  R,et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l.Impact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  age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left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ventricular geometry and diastolic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 xml:space="preserve"> function in elderly patients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with treated hypertension[J].Blood Press,2017,26(5):264-271.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DOI:10.1080/08037051.2017.1306422.</w:t>
      </w:r>
    </w:p>
    <w:p>
      <w:pPr>
        <w:ind w:left="1159" w:right="460" w:hanging="339"/>
        <w:spacing w:before="92" w:line="25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[2]    Avelar   E,Clowar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TV,Walker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JM,et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al.Left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ventricular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hypertrophy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severe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obesity:interactions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am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ong  blood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pressure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</w:rPr>
        <w:t>nocturnal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   </w:t>
      </w:r>
      <w:r>
        <w:rPr>
          <w:rFonts w:ascii="Times New Roman" w:hAnsi="Times New Roman" w:eastAsia="Times New Roman" w:cs="Times New Roman"/>
          <w:sz w:val="17"/>
          <w:szCs w:val="17"/>
        </w:rPr>
        <w:t>hypoxemia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   </w:t>
      </w:r>
      <w:r>
        <w:rPr>
          <w:rFonts w:ascii="Times New Roman" w:hAnsi="Times New Roman" w:eastAsia="Times New Roman" w:cs="Times New Roman"/>
          <w:sz w:val="17"/>
          <w:szCs w:val="17"/>
        </w:rPr>
        <w:t>body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  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mass[J]. </w:t>
      </w:r>
      <w:r>
        <w:rPr>
          <w:rFonts w:ascii="Times New Roman" w:hAnsi="Times New Roman" w:eastAsia="Times New Roman" w:cs="Times New Roman"/>
          <w:sz w:val="17"/>
          <w:szCs w:val="17"/>
        </w:rPr>
        <w:t>Hypertension,2007,49(1):34-39.DOI:10.1161/01.</w:t>
      </w:r>
    </w:p>
    <w:p>
      <w:pPr>
        <w:ind w:left="1159"/>
        <w:spacing w:before="112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HYP.0000251711.92482.14.</w:t>
      </w:r>
    </w:p>
    <w:p>
      <w:pPr>
        <w:ind w:left="1159" w:right="447" w:hanging="339"/>
        <w:spacing w:before="90" w:line="26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[3]    Diamond   JA,Phillips   RA.Hyper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tensive   heart   disease[J].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Hypertens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              </w:t>
      </w:r>
      <w:r>
        <w:rPr>
          <w:rFonts w:ascii="Times New Roman" w:hAnsi="Times New Roman" w:eastAsia="Times New Roman" w:cs="Times New Roman"/>
          <w:sz w:val="17"/>
          <w:szCs w:val="17"/>
        </w:rPr>
        <w:t>Res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,2005,2</w:t>
      </w:r>
      <w:r>
        <w:rPr>
          <w:rFonts w:ascii="Times New Roman" w:hAnsi="Times New Roman" w:eastAsia="Times New Roman" w:cs="Times New Roman"/>
          <w:sz w:val="17"/>
          <w:szCs w:val="17"/>
        </w:rPr>
        <w:t>8(3):191-202.DOI:10.1291/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hypres.28.191.</w:t>
      </w:r>
    </w:p>
    <w:p>
      <w:pPr>
        <w:ind w:left="1159" w:right="471" w:hanging="339"/>
        <w:spacing w:before="84" w:line="26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[4]    Yang Y,Zhang N,Huang W,et al.The relationship of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alcohol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consumption with left ventricular mas</w:t>
      </w:r>
      <w:r>
        <w:rPr>
          <w:rFonts w:ascii="Times New Roman" w:hAnsi="Times New Roman" w:eastAsia="Times New Roman" w:cs="Times New Roman"/>
          <w:sz w:val="17"/>
          <w:szCs w:val="17"/>
          <w:spacing w:val="-5"/>
        </w:rPr>
        <w:t>s in people 35 years old or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older in rural areas of</w:t>
      </w:r>
      <w:r>
        <w:rPr>
          <w:rFonts w:ascii="Times New Roman" w:hAnsi="Times New Roman" w:eastAsia="Times New Roman" w:cs="Times New Roman"/>
          <w:sz w:val="17"/>
          <w:szCs w:val="17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Western China[J]JAm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Soc Hype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rtens,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2017,11(4):220-226.DOI:10.1016/j.jash.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2017.02.002.</w:t>
      </w:r>
    </w:p>
    <w:p>
      <w:pPr>
        <w:ind w:left="1159" w:right="454" w:hanging="339"/>
        <w:spacing w:before="83" w:line="26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[5]    Le   Corvoisier   P,Adamy   C,Sambin   L,et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al.The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cardiac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renin-angiotensin  sys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tem</w:t>
      </w:r>
      <w:r>
        <w:rPr>
          <w:rFonts w:ascii="Times New Roman" w:hAnsi="Times New Roman" w:eastAsia="Times New Roman" w:cs="Times New Roman"/>
          <w:sz w:val="17"/>
          <w:szCs w:val="17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is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responsible</w:t>
      </w:r>
      <w:r>
        <w:rPr>
          <w:rFonts w:ascii="Times New Roman" w:hAnsi="Times New Roman" w:eastAsia="Times New Roman" w:cs="Times New Roman"/>
          <w:sz w:val="17"/>
          <w:szCs w:val="17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high-salt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diet-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induced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left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ventricular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hyp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ertrophy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mice[J].Eur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Heart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Fail,2010,12(11):1171-1178.DOI:10.1093/eurjhf/hfq146.</w:t>
      </w:r>
    </w:p>
    <w:p>
      <w:pPr>
        <w:ind w:left="1159" w:right="454" w:hanging="339"/>
        <w:spacing w:before="84" w:line="269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[6]    Wang  SX,Xue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H,Zou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YB,et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al.Prevalence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factors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for left ventricular hypertrophy and left ventricular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 xml:space="preserve"> geometric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abnormality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ents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hypertension</w:t>
      </w:r>
      <w:r>
        <w:rPr>
          <w:rFonts w:ascii="Times New Roman" w:hAnsi="Times New Roman" w:eastAsia="Times New Roman" w:cs="Times New Roman"/>
          <w:sz w:val="17"/>
          <w:szCs w:val="17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among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Han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Chinese[J].Chin MedJ(Engl),2012,125(1):21-26.</w:t>
      </w:r>
    </w:p>
    <w:p>
      <w:pPr>
        <w:ind w:left="1159" w:right="460" w:hanging="339"/>
        <w:spacing w:before="84" w:line="26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[7]    Devereux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RB.Therapeu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tic</w:t>
      </w:r>
      <w:r>
        <w:rPr>
          <w:rFonts w:ascii="Times New Roman" w:hAnsi="Times New Roman" w:eastAsia="Times New Roman" w:cs="Times New Roman"/>
          <w:sz w:val="17"/>
          <w:szCs w:val="17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options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minimizing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left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ventricular hypertrophy[J].Am Hea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rt J,2000,139(1 Pt 2):S9-14.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DOI:10.1067/mhj.2000.10290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2.</w:t>
      </w:r>
    </w:p>
    <w:p>
      <w:pPr>
        <w:ind w:left="1159" w:right="454" w:hanging="339"/>
        <w:spacing w:before="85" w:line="26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469879</wp:posOffset>
            </wp:positionH>
            <wp:positionV relativeFrom="paragraph">
              <wp:posOffset>711733</wp:posOffset>
            </wp:positionV>
            <wp:extent cx="6140429" cy="6350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04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[8]    Bang CN,Soliman EZ,Simpson LM,et</w:t>
      </w:r>
      <w:r>
        <w:rPr>
          <w:rFonts w:ascii="Times New Roman" w:hAnsi="Times New Roman" w:eastAsia="Times New Roman" w:cs="Times New Roman"/>
          <w:sz w:val="17"/>
          <w:szCs w:val="17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al.Elect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rocardiographic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left ventricular hypertrophy predicts cardiovascular morbidity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and mortality in hypertensive patients:the ALLHAT study[J].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39" w:right="50"/>
        <w:spacing w:before="50" w:line="291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Am     J     Hypertens,2017,30(9):914-922.DOI:10.1093/ajh/ </w:t>
      </w:r>
      <w:r>
        <w:rPr>
          <w:rFonts w:ascii="Times New Roman" w:hAnsi="Times New Roman" w:eastAsia="Times New Roman" w:cs="Times New Roman"/>
          <w:sz w:val="17"/>
          <w:szCs w:val="17"/>
        </w:rPr>
        <w:t>hpx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067.</w:t>
      </w:r>
    </w:p>
    <w:p>
      <w:pPr>
        <w:ind w:left="439" w:right="45" w:hanging="359"/>
        <w:spacing w:before="17" w:line="27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[9]    Yasuno  S,Ueshima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 K,Oba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K,et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al.Clinical</w:t>
      </w:r>
      <w:r>
        <w:rPr>
          <w:rFonts w:ascii="Times New Roman" w:hAnsi="Times New Roman" w:eastAsia="Times New Roman" w:cs="Times New Roman"/>
          <w:sz w:val="17"/>
          <w:szCs w:val="17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significance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left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ventricular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hyper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trophy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changes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left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ventricular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mass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high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-</w:t>
      </w:r>
      <w:r>
        <w:rPr>
          <w:rFonts w:ascii="Times New Roman" w:hAnsi="Times New Roman" w:eastAsia="Times New Roman" w:cs="Times New Roman"/>
          <w:sz w:val="17"/>
          <w:szCs w:val="17"/>
        </w:rPr>
        <w:t>risk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hypertensive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:</w:t>
      </w:r>
      <w:r>
        <w:rPr>
          <w:rFonts w:ascii="Times New Roman" w:hAnsi="Times New Roman" w:eastAsia="Times New Roman" w:cs="Times New Roman"/>
          <w:sz w:val="17"/>
          <w:szCs w:val="17"/>
        </w:rPr>
        <w:t>a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subanalysis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Candesartan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Antihypertensive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Survival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Evaluation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Japan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trial[J].J      Hypertens,2009,27(8):1705-1712.DOI:10.1097/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HJH.0b013e32832c6968.</w:t>
      </w:r>
    </w:p>
    <w:p>
      <w:pPr>
        <w:ind w:left="439" w:right="30" w:hanging="439"/>
        <w:spacing w:before="91" w:line="26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[10]    Bang      CN,Devereux      RB,Okin      PM.Regression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     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electrocardiographic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left ventricular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hypertrophy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or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strain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associated with lower incidence of</w:t>
      </w:r>
      <w:r>
        <w:rPr>
          <w:rFonts w:ascii="Times New Roman" w:hAnsi="Times New Roman" w:eastAsia="Times New Roman" w:cs="Times New Roman"/>
          <w:sz w:val="17"/>
          <w:szCs w:val="17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cardiovascular morbidity 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mortality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hypertensive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independent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blood </w:t>
      </w:r>
      <w:r>
        <w:rPr>
          <w:rFonts w:ascii="Times New Roman" w:hAnsi="Times New Roman" w:eastAsia="Times New Roman" w:cs="Times New Roman"/>
          <w:sz w:val="17"/>
          <w:szCs w:val="17"/>
        </w:rPr>
        <w:t>pressure   reduction-A    LIFE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review[J].J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</w:rPr>
        <w:t>Electrocardio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2014,47(5):630-635.DOI:10.1016/j.j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electrocard.2014.07.003.</w:t>
      </w:r>
    </w:p>
    <w:p>
      <w:pPr>
        <w:ind w:left="439" w:right="41" w:hanging="439"/>
        <w:spacing w:before="73" w:line="26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[11]    Sokolow   M,Lyon   TP.The   ventr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icular   complex   in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left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ventricular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hypertrophy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as</w:t>
      </w:r>
      <w:r>
        <w:rPr>
          <w:rFonts w:ascii="Times New Roman" w:hAnsi="Times New Roman" w:eastAsia="Times New Roman" w:cs="Times New Roman"/>
          <w:sz w:val="17"/>
          <w:szCs w:val="17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obtained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un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ipolar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precordial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limb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leads.1949[J].Ann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Noni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nvasive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Electrocardiol,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2001,6(4):343-368.</w:t>
      </w:r>
    </w:p>
    <w:p>
      <w:pPr>
        <w:ind w:left="439" w:right="30" w:hanging="439"/>
        <w:spacing w:before="174" w:line="24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[12]    Schillaci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G,Battista  F,Pucci   G.A  rev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iew   of  the  role   of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electrocardiography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diagnosis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of  left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ventric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ular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hypertrophy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hypertension[J]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.J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Electrocardiol,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2012,45(6):617-623.DOI:10.1016/j.j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electrocard.2012.08.051.</w:t>
      </w:r>
    </w:p>
    <w:p>
      <w:pPr>
        <w:ind w:left="439" w:right="42" w:hanging="439"/>
        <w:spacing w:before="66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4"/>
        </w:rPr>
        <w:t>[13]施仲伟，龚兰生，胡厚达，等.左心室</w:t>
      </w:r>
      <w:r>
        <w:rPr>
          <w:rFonts w:ascii="SimSun" w:hAnsi="SimSun" w:eastAsia="SimSun" w:cs="SimSun"/>
          <w:sz w:val="17"/>
          <w:szCs w:val="17"/>
          <w:spacing w:val="-5"/>
        </w:rPr>
        <w:t>肥大心电图诊断标准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的超声心动图对照评价</w:t>
      </w:r>
      <w:r>
        <w:rPr>
          <w:rFonts w:ascii="Times New Roman" w:hAnsi="Times New Roman" w:eastAsia="Times New Roman" w:cs="Times New Roman"/>
          <w:sz w:val="17"/>
          <w:szCs w:val="17"/>
          <w:spacing w:val="-11"/>
        </w:rPr>
        <w:t>[J].</w:t>
      </w:r>
      <w:r>
        <w:rPr>
          <w:rFonts w:ascii="Times New Roman" w:hAnsi="Times New Roman" w:eastAsia="Times New Roman" w:cs="Times New Roman"/>
          <w:sz w:val="17"/>
          <w:szCs w:val="17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</w:rPr>
        <w:t>上海医学，1987</w:t>
      </w:r>
      <w:r>
        <w:rPr>
          <w:rFonts w:ascii="SimSun" w:hAnsi="SimSun" w:eastAsia="SimSun" w:cs="SimSun"/>
          <w:sz w:val="17"/>
          <w:szCs w:val="17"/>
          <w:spacing w:val="-12"/>
        </w:rPr>
        <w:t>(9):504-506.</w:t>
      </w:r>
    </w:p>
    <w:p>
      <w:pPr>
        <w:ind w:left="439" w:right="41" w:hanging="439"/>
        <w:spacing w:before="60" w:line="267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[14]    Williams   B,Mancia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G,Spiering</w:t>
      </w:r>
      <w:r>
        <w:rPr>
          <w:rFonts w:ascii="Times New Roman" w:hAnsi="Times New Roman" w:eastAsia="Times New Roman" w:cs="Times New Roman"/>
          <w:sz w:val="17"/>
          <w:szCs w:val="17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W,et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al.2018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ESC/ESH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Guidelines</w:t>
      </w:r>
      <w:r>
        <w:rPr>
          <w:rFonts w:ascii="Times New Roman" w:hAnsi="Times New Roman" w:eastAsia="Times New Roman" w:cs="Times New Roman"/>
          <w:sz w:val="17"/>
          <w:szCs w:val="17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management</w:t>
      </w:r>
      <w:r>
        <w:rPr>
          <w:rFonts w:ascii="Times New Roman" w:hAnsi="Times New Roman" w:eastAsia="Times New Roman" w:cs="Times New Roman"/>
          <w:sz w:val="17"/>
          <w:szCs w:val="17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arterial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hypertension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.</w:t>
      </w:r>
      <w:r>
        <w:rPr>
          <w:rFonts w:ascii="Times New Roman" w:hAnsi="Times New Roman" w:eastAsia="Times New Roman" w:cs="Times New Roman"/>
          <w:sz w:val="17"/>
          <w:szCs w:val="17"/>
        </w:rPr>
        <w:t>The </w:t>
      </w:r>
      <w:r>
        <w:rPr>
          <w:rFonts w:ascii="Times New Roman" w:hAnsi="Times New Roman" w:eastAsia="Times New Roman" w:cs="Times New Roman"/>
          <w:sz w:val="17"/>
          <w:szCs w:val="17"/>
        </w:rPr>
        <w:t>Task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Force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management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 arterial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hypertension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European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Society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 Cardiology(ESC)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and the</w:t>
      </w:r>
      <w:r>
        <w:rPr>
          <w:rFonts w:ascii="Times New Roman" w:hAnsi="Times New Roman" w:eastAsia="Times New Roman" w:cs="Times New Roman"/>
          <w:sz w:val="17"/>
          <w:szCs w:val="17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European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Society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of  Hypertension(ESH)[J].G   Ital   Cardiol(Rom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e),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2018,19(11):3-73.DOI:10.1714/3026.302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45.</w:t>
      </w:r>
    </w:p>
    <w:p>
      <w:pPr>
        <w:ind w:left="439" w:right="12" w:hanging="439"/>
        <w:spacing w:before="167" w:line="254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6"/>
        </w:rPr>
        <w:t>[15]</w:t>
      </w:r>
      <w:r>
        <w:rPr>
          <w:rFonts w:ascii="SimSun" w:hAnsi="SimSun" w:eastAsia="SimSun" w:cs="SimSun"/>
          <w:sz w:val="17"/>
          <w:szCs w:val="17"/>
          <w:spacing w:val="73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6"/>
        </w:rPr>
        <w:t>中国高血压防治指南修订委员会，高血压联盟(中国)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7"/>
        </w:rPr>
        <w:t>中华医学会心血管病学分会，中国医师协会高血压专</w:t>
      </w:r>
      <w:r>
        <w:rPr>
          <w:rFonts w:ascii="SimSun" w:hAnsi="SimSun" w:eastAsia="SimSun" w:cs="SimSun"/>
          <w:sz w:val="17"/>
          <w:szCs w:val="17"/>
          <w:spacing w:val="1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业委员会，等.</w:t>
      </w:r>
      <w:r>
        <w:rPr>
          <w:rFonts w:ascii="SimSun" w:hAnsi="SimSun" w:eastAsia="SimSun" w:cs="SimSun"/>
          <w:sz w:val="17"/>
          <w:szCs w:val="17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0"/>
        </w:rPr>
        <w:t>中国高血压防治指南(2018年修订版)</w:t>
      </w:r>
      <w:r>
        <w:rPr>
          <w:rFonts w:ascii="SimSun" w:hAnsi="SimSun" w:eastAsia="SimSun" w:cs="SimSu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[J]. </w:t>
      </w:r>
      <w:r>
        <w:rPr>
          <w:rFonts w:ascii="SimSun" w:hAnsi="SimSun" w:eastAsia="SimSun" w:cs="SimSun"/>
          <w:sz w:val="17"/>
          <w:szCs w:val="17"/>
          <w:spacing w:val="1"/>
        </w:rPr>
        <w:t>中国心血管杂志，2019,24(1):24-56.</w:t>
      </w:r>
      <w:r>
        <w:rPr>
          <w:rFonts w:ascii="Times New Roman" w:hAnsi="Times New Roman" w:eastAsia="Times New Roman" w:cs="Times New Roman"/>
          <w:sz w:val="17"/>
          <w:szCs w:val="17"/>
        </w:rPr>
        <w:t>DOI</w:t>
      </w:r>
      <w:r>
        <w:rPr>
          <w:rFonts w:ascii="Times New Roman" w:hAnsi="Times New Roman" w:eastAsia="Times New Roman" w:cs="Times New Roman"/>
          <w:sz w:val="17"/>
          <w:szCs w:val="17"/>
          <w:spacing w:val="1"/>
        </w:rPr>
        <w:t>:10.3969/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j.issn.1007-5410.2019.01.002.</w:t>
      </w:r>
    </w:p>
    <w:p>
      <w:pPr>
        <w:ind w:left="439" w:right="46" w:hanging="439"/>
        <w:spacing w:before="75" w:line="245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[16]    Angeli F,Verdecchia P,Cavallini C,et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al.Electrocardiography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diagnosis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left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ventric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ular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hypertrophy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hypertensive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patients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with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atr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ial</w:t>
      </w:r>
      <w:r>
        <w:rPr>
          <w:rFonts w:ascii="Times New Roman" w:hAnsi="Times New Roman" w:eastAsia="Times New Roman" w:cs="Times New Roman"/>
          <w:sz w:val="17"/>
          <w:szCs w:val="17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fibrillation[J].Int</w:t>
      </w:r>
      <w:r>
        <w:rPr>
          <w:rFonts w:ascii="Times New Roman" w:hAnsi="Times New Roman" w:eastAsia="Times New Roman" w:cs="Times New Roman"/>
          <w:sz w:val="17"/>
          <w:szCs w:val="17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J</w:t>
      </w:r>
      <w:r>
        <w:rPr>
          <w:rFonts w:ascii="Times New Roman" w:hAnsi="Times New Roman" w:eastAsia="Times New Roman" w:cs="Times New Roman"/>
          <w:sz w:val="17"/>
          <w:szCs w:val="17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Cardiol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Hypertens,2019,1:100004.DOI:10.1061/j.ijchy.2019.100004.</w:t>
      </w:r>
    </w:p>
    <w:p>
      <w:pPr>
        <w:ind w:left="439" w:right="40" w:hanging="439"/>
        <w:spacing w:before="77" w:line="27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[17]    Hancock  EW,Deal  BJ,Mirvis  DM,et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al.AHA/ACC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F/HRS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recommendations</w:t>
      </w:r>
      <w:r>
        <w:rPr>
          <w:rFonts w:ascii="Times New Roman" w:hAnsi="Times New Roman" w:eastAsia="Times New Roman" w:cs="Times New Roman"/>
          <w:sz w:val="17"/>
          <w:szCs w:val="17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for</w:t>
      </w:r>
      <w:r>
        <w:rPr>
          <w:rFonts w:ascii="Times New Roman" w:hAnsi="Times New Roman" w:eastAsia="Times New Roman" w:cs="Times New Roman"/>
          <w:sz w:val="17"/>
          <w:szCs w:val="17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e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standardization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interpretation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8"/>
        </w:rPr>
        <w:t xml:space="preserve">    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  </w:t>
      </w:r>
      <w:r>
        <w:rPr>
          <w:rFonts w:ascii="Times New Roman" w:hAnsi="Times New Roman" w:eastAsia="Times New Roman" w:cs="Times New Roman"/>
          <w:sz w:val="17"/>
          <w:szCs w:val="17"/>
        </w:rPr>
        <w:t>electrocardiogram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:</w:t>
      </w:r>
      <w:r>
        <w:rPr>
          <w:rFonts w:ascii="Times New Roman" w:hAnsi="Times New Roman" w:eastAsia="Times New Roman" w:cs="Times New Roman"/>
          <w:sz w:val="17"/>
          <w:szCs w:val="17"/>
        </w:rPr>
        <w:t>part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     </w:t>
      </w:r>
      <w:r>
        <w:rPr>
          <w:rFonts w:ascii="Times New Roman" w:hAnsi="Times New Roman" w:eastAsia="Times New Roman" w:cs="Times New Roman"/>
          <w:sz w:val="17"/>
          <w:szCs w:val="17"/>
        </w:rPr>
        <w:t>V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:</w:t>
      </w:r>
      <w:r>
        <w:rPr>
          <w:rFonts w:ascii="Times New Roman" w:hAnsi="Times New Roman" w:eastAsia="Times New Roman" w:cs="Times New Roman"/>
          <w:sz w:val="17"/>
          <w:szCs w:val="17"/>
        </w:rPr>
        <w:t>electrocardiogram</w:t>
      </w:r>
      <w:r>
        <w:rPr>
          <w:rFonts w:ascii="Times New Roman" w:hAnsi="Times New Roman" w:eastAsia="Times New Roman" w:cs="Times New Roman"/>
          <w:sz w:val="17"/>
          <w:szCs w:val="17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changes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associated</w:t>
      </w:r>
      <w:r>
        <w:rPr>
          <w:rFonts w:ascii="Times New Roman" w:hAnsi="Times New Roman" w:eastAsia="Times New Roman" w:cs="Times New Roman"/>
          <w:sz w:val="17"/>
          <w:szCs w:val="17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wi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th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cardiac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chamber</w:t>
      </w:r>
      <w:r>
        <w:rPr>
          <w:rFonts w:ascii="Times New Roman" w:hAnsi="Times New Roman" w:eastAsia="Times New Roman" w:cs="Times New Roman"/>
          <w:sz w:val="17"/>
          <w:szCs w:val="17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hypertrophy:a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scientific</w:t>
      </w:r>
      <w:r>
        <w:rPr>
          <w:rFonts w:ascii="Times New Roman" w:hAnsi="Times New Roman" w:eastAsia="Times New Roman" w:cs="Times New Roman"/>
          <w:sz w:val="17"/>
          <w:szCs w:val="17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statement</w:t>
      </w:r>
      <w:r>
        <w:rPr>
          <w:rFonts w:ascii="Times New Roman" w:hAnsi="Times New Roman" w:eastAsia="Times New Roman" w:cs="Times New Roman"/>
          <w:sz w:val="17"/>
          <w:szCs w:val="17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from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American</w:t>
      </w:r>
      <w:r>
        <w:rPr>
          <w:rFonts w:ascii="Times New Roman" w:hAnsi="Times New Roman" w:eastAsia="Times New Roman" w:cs="Times New Roman"/>
          <w:sz w:val="17"/>
          <w:szCs w:val="17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Heart</w:t>
      </w:r>
      <w:r>
        <w:rPr>
          <w:rFonts w:ascii="Times New Roman" w:hAnsi="Times New Roman" w:eastAsia="Times New Roman" w:cs="Times New Roman"/>
          <w:sz w:val="17"/>
          <w:szCs w:val="17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Association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Electrocardiography  and  Arrhythmias  Committee,Counc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Clinical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Cardiology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>;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American</w:t>
      </w:r>
      <w:r>
        <w:rPr>
          <w:rFonts w:ascii="Times New Roman" w:hAnsi="Times New Roman" w:eastAsia="Times New Roman" w:cs="Times New Roman"/>
          <w:sz w:val="17"/>
          <w:szCs w:val="17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College</w:t>
      </w:r>
      <w:r>
        <w:rPr>
          <w:rFonts w:ascii="Times New Roman" w:hAnsi="Times New Roman" w:eastAsia="Times New Roman" w:cs="Times New Roman"/>
          <w:sz w:val="17"/>
          <w:szCs w:val="17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of</w:t>
      </w:r>
      <w:r>
        <w:rPr>
          <w:rFonts w:ascii="Times New Roman" w:hAnsi="Times New Roman" w:eastAsia="Times New Roman" w:cs="Times New Roman"/>
          <w:sz w:val="17"/>
          <w:szCs w:val="17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Cardiology </w:t>
      </w:r>
      <w:r>
        <w:rPr>
          <w:rFonts w:ascii="Times New Roman" w:hAnsi="Times New Roman" w:eastAsia="Times New Roman" w:cs="Times New Roman"/>
          <w:sz w:val="17"/>
          <w:szCs w:val="17"/>
        </w:rPr>
        <w:t>Foundation;and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the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Heart</w:t>
      </w:r>
      <w:r>
        <w:rPr>
          <w:rFonts w:ascii="Times New Roman" w:hAnsi="Times New Roman" w:eastAsia="Times New Roman" w:cs="Times New Roman"/>
          <w:sz w:val="17"/>
          <w:szCs w:val="17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R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hythm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Society.Endorsed</w:t>
      </w:r>
      <w:r>
        <w:rPr>
          <w:rFonts w:ascii="Times New Roman" w:hAnsi="Times New Roman" w:eastAsia="Times New Roman" w:cs="Times New Roman"/>
          <w:sz w:val="17"/>
          <w:szCs w:val="17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by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the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International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Society for Computerized Electrocard</w:t>
      </w: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iology[J].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</w:rPr>
        <w:t>J   Am   Coll    Cardiol,2009,53(11):99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2-1002.DOI:10.1016/</w:t>
      </w:r>
    </w:p>
    <w:p>
      <w:pPr>
        <w:ind w:left="439"/>
        <w:spacing w:before="223" w:line="19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j.jacc.2008.12.015.</w:t>
      </w:r>
    </w:p>
    <w:p>
      <w:pPr>
        <w:ind w:left="439" w:right="39" w:hanging="439"/>
        <w:spacing w:before="56" w:line="250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"/>
        </w:rPr>
        <w:t>[18]刘延玲，李靖，王剑鹏，等.超声心动图评价正常心脏结</w:t>
      </w:r>
      <w:r>
        <w:rPr>
          <w:rFonts w:ascii="SimSun" w:hAnsi="SimSun" w:eastAsia="SimSun" w:cs="SimSun"/>
          <w:sz w:val="17"/>
          <w:szCs w:val="17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构与功能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>[J].</w:t>
      </w:r>
      <w:r>
        <w:rPr>
          <w:rFonts w:ascii="Times New Roman" w:hAnsi="Times New Roman" w:eastAsia="Times New Roman" w:cs="Times New Roman"/>
          <w:sz w:val="17"/>
          <w:szCs w:val="17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0"/>
        </w:rPr>
        <w:t>中华超声影像学杂志，2006,15(1):13-16.</w:t>
      </w:r>
      <w:r>
        <w:rPr>
          <w:rFonts w:ascii="Times New Roman" w:hAnsi="Times New Roman" w:eastAsia="Times New Roman" w:cs="Times New Roman"/>
          <w:sz w:val="17"/>
          <w:szCs w:val="17"/>
          <w:spacing w:val="-10"/>
        </w:rPr>
        <w:t>DOI: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sz w:val="17"/>
          <w:szCs w:val="17"/>
          <w:spacing w:val="-4"/>
        </w:rPr>
        <w:t>10.3760/j.issn:1004-4477.2006.01.004.</w:t>
      </w:r>
    </w:p>
    <w:p>
      <w:pPr>
        <w:ind w:left="439" w:right="44" w:hanging="439"/>
        <w:spacing w:before="84" w:line="243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-2"/>
        </w:rPr>
        <w:t>[19]    Yao GH,Deng </w:t>
      </w:r>
      <w:r>
        <w:rPr>
          <w:rFonts w:ascii="Times New Roman" w:hAnsi="Times New Roman" w:eastAsia="Times New Roman" w:cs="Times New Roman"/>
          <w:sz w:val="17"/>
          <w:szCs w:val="17"/>
          <w:spacing w:val="-3"/>
        </w:rPr>
        <w:t>Y,Liu Y,et al.Echocardiographic measurements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normal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chinese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adults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focusing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on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cardiac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chambers</w:t>
      </w:r>
      <w:r>
        <w:rPr>
          <w:rFonts w:ascii="Times New Roman" w:hAnsi="Times New Roman" w:eastAsia="Times New Roman" w:cs="Times New Roman"/>
          <w:sz w:val="17"/>
          <w:szCs w:val="17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>and</w:t>
      </w:r>
    </w:p>
    <w:p>
      <w:pPr>
        <w:spacing w:line="243" w:lineRule="auto"/>
        <w:sectPr>
          <w:type w:val="continuous"/>
          <w:pgSz w:w="11910" w:h="16160"/>
          <w:pgMar w:top="1339" w:right="1110" w:bottom="0" w:left="370" w:header="930" w:footer="0" w:gutter="0"/>
          <w:cols w:equalWidth="0" w:num="2">
            <w:col w:w="5740" w:space="100"/>
            <w:col w:w="4590" w:space="0"/>
          </w:cols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spacing w:line="439" w:lineRule="auto"/>
        <w:rPr>
          <w:rFonts w:ascii="Arial"/>
          <w:sz w:val="21"/>
        </w:rPr>
      </w:pPr>
      <w:r/>
    </w:p>
    <w:p>
      <w:pPr>
        <w:ind w:right="22"/>
        <w:spacing w:before="55" w:line="219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4/5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                                                                                                                                                   </w:t>
      </w:r>
      <w:r>
        <w:rPr>
          <w:rFonts w:ascii="SimSun" w:hAnsi="SimSun" w:eastAsia="SimSun" w:cs="SimSun"/>
          <w:sz w:val="17"/>
          <w:szCs w:val="17"/>
          <w:spacing w:val="7"/>
        </w:rPr>
        <w:t>中华心血管病杂志(网络版)2019年第2卷</w:t>
      </w:r>
    </w:p>
    <w:p>
      <w:pPr>
        <w:spacing w:before="242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position w:val="-8"/>
        </w:rPr>
        <w:drawing>
          <wp:inline distT="0" distB="0" distL="0" distR="0">
            <wp:extent cx="177802" cy="19681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2" cy="19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0"/>
          <w:szCs w:val="10"/>
          <w:spacing w:val="-11"/>
        </w:rPr>
        <w:t xml:space="preserve"> </w:t>
      </w:r>
      <w:r>
        <w:rPr>
          <w:rFonts w:ascii="SimSun" w:hAnsi="SimSun" w:eastAsia="SimSun" w:cs="SimSun"/>
          <w:sz w:val="10"/>
          <w:szCs w:val="10"/>
          <w:i/>
          <w:iCs/>
          <w:spacing w:val="-11"/>
        </w:rPr>
        <w:t>中桑醫辛令会品法</w:t>
      </w:r>
    </w:p>
    <w:p>
      <w:pPr>
        <w:sectPr>
          <w:type w:val="continuous"/>
          <w:pgSz w:w="11910" w:h="16160"/>
          <w:pgMar w:top="1339" w:right="1110" w:bottom="0" w:left="370" w:header="930" w:footer="0" w:gutter="0"/>
          <w:cols w:equalWidth="0" w:num="1">
            <w:col w:w="10430" w:space="0"/>
          </w:cols>
        </w:sectPr>
        <w:rPr>
          <w:rFonts w:ascii="SimSun" w:hAnsi="SimSun" w:eastAsia="SimSun" w:cs="SimSun"/>
          <w:sz w:val="10"/>
          <w:szCs w:val="10"/>
        </w:rPr>
      </w:pPr>
    </w:p>
    <w:p>
      <w:pPr>
        <w:spacing w:line="133" w:lineRule="exact"/>
        <w:rPr/>
      </w:pPr>
      <w:r/>
    </w:p>
    <w:p>
      <w:pPr>
        <w:spacing w:line="133" w:lineRule="exact"/>
        <w:sectPr>
          <w:headerReference w:type="default" r:id="rId21"/>
          <w:footerReference w:type="default" r:id="rId22"/>
          <w:pgSz w:w="11910" w:h="16160"/>
          <w:pgMar w:top="1349" w:right="1100" w:bottom="1139" w:left="350" w:header="963" w:footer="249" w:gutter="0"/>
          <w:cols w:equalWidth="0" w:num="1">
            <w:col w:w="10460" w:space="0"/>
          </w:cols>
        </w:sectPr>
        <w:rPr/>
      </w:pPr>
    </w:p>
    <w:p>
      <w:pPr>
        <w:ind w:left="1199" w:right="446"/>
        <w:spacing w:before="69" w:line="309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great      arteries:a      prospective,nationwide,and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    multicenter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study[J].JAm      Soc      Echocardiogr,20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15,28(5):570-579.DOI: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10.1016/j.echo.2015.01.022.</w:t>
      </w:r>
    </w:p>
    <w:p>
      <w:pPr>
        <w:ind w:left="1198" w:right="454" w:hanging="439"/>
        <w:spacing w:before="19" w:line="27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[20]Klingbeil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AU,Schneide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M,Martus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P,et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al.A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meta-analysis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the</w:t>
      </w:r>
      <w:r>
        <w:rPr>
          <w:rFonts w:ascii="Times New Roman" w:hAnsi="Times New Roman" w:eastAsia="Times New Roman" w:cs="Times New Roman"/>
          <w:sz w:val="16"/>
          <w:szCs w:val="16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effects</w:t>
      </w:r>
      <w:r>
        <w:rPr>
          <w:rFonts w:ascii="Times New Roman" w:hAnsi="Times New Roman" w:eastAsia="Times New Roman" w:cs="Times New Roman"/>
          <w:sz w:val="16"/>
          <w:szCs w:val="16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 treatment</w:t>
      </w:r>
      <w:r>
        <w:rPr>
          <w:rFonts w:ascii="Times New Roman" w:hAnsi="Times New Roman" w:eastAsia="Times New Roman" w:cs="Times New Roman"/>
          <w:sz w:val="16"/>
          <w:szCs w:val="16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left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ventricular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ss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essential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hypertension[J].Am   J    Med,2003,115(1):41-46.DOI:10.1016/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s0002-9343(03)00158-x.</w:t>
      </w:r>
    </w:p>
    <w:p>
      <w:pPr>
        <w:ind w:left="1198" w:right="455" w:hanging="439"/>
        <w:spacing w:before="111" w:line="28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[21]Cuspidi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C,Muiesan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ML,Valagussa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L,et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al.Comparative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effects   of   candesartan    and   enal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april    on   left    ventricular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hypertrophy    in    patients    with    essential    hypertension: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the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candesartan</w:t>
      </w:r>
      <w:r>
        <w:rPr>
          <w:rFonts w:ascii="Times New Roman" w:hAnsi="Times New Roman" w:eastAsia="Times New Roman" w:cs="Times New Roman"/>
          <w:sz w:val="16"/>
          <w:szCs w:val="16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assessment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of cardiac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hypertrophy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(CATCH)study[J].JHypertens,2002,20(11):2293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-2300.DOI:</w:t>
      </w:r>
    </w:p>
    <w:p>
      <w:pPr>
        <w:ind w:left="1199"/>
        <w:spacing w:before="136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10.1097/00004872-2002110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00-00030.</w:t>
      </w:r>
    </w:p>
    <w:p>
      <w:pPr>
        <w:ind w:left="1198" w:right="459" w:hanging="439"/>
        <w:spacing w:before="40" w:line="28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[22]Barrios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V,Escobar    C,Calderón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A,et    al.Regression    of   left </w:t>
      </w:r>
      <w:r>
        <w:rPr>
          <w:rFonts w:ascii="Times New Roman" w:hAnsi="Times New Roman" w:eastAsia="Times New Roman" w:cs="Times New Roman"/>
          <w:sz w:val="16"/>
          <w:szCs w:val="16"/>
        </w:rPr>
        <w:t>ventricular  hypertrophy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by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candesartan-based</w:t>
      </w:r>
      <w:r>
        <w:rPr>
          <w:rFonts w:ascii="Times New Roman" w:hAnsi="Times New Roman" w:eastAsia="Times New Roman" w:cs="Times New Roman"/>
          <w:sz w:val="16"/>
          <w:szCs w:val="16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reg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imen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clinical   practice.The    VIPE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study[J].J   Renin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 Angiotensin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Aldosterone                      Syst,2006,7(4):236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-242.DOI:10.3317/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jraas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.2006.044.</w:t>
      </w:r>
    </w:p>
    <w:p>
      <w:pPr>
        <w:ind w:left="1198" w:right="446" w:hanging="439"/>
        <w:spacing w:before="131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[23]    Ogihara   T,Fujimoto</w:t>
      </w:r>
      <w:r>
        <w:rPr>
          <w:rFonts w:ascii="Times New Roman" w:hAnsi="Times New Roman" w:eastAsia="Times New Roman" w:cs="Times New Roman"/>
          <w:sz w:val="16"/>
          <w:szCs w:val="16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A,Nakao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K,et</w:t>
      </w:r>
      <w:r>
        <w:rPr>
          <w:rFonts w:ascii="Times New Roman" w:hAnsi="Times New Roman" w:eastAsia="Times New Roman" w:cs="Times New Roman"/>
          <w:sz w:val="16"/>
          <w:szCs w:val="16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alARB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candesartan   and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CCB</w:t>
      </w:r>
      <w:r>
        <w:rPr>
          <w:rFonts w:ascii="Times New Roman" w:hAnsi="Times New Roman" w:eastAsia="Times New Roman" w:cs="Times New Roman"/>
          <w:sz w:val="16"/>
          <w:szCs w:val="16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amlodipine</w:t>
      </w:r>
      <w:r>
        <w:rPr>
          <w:rFonts w:ascii="Times New Roman" w:hAnsi="Times New Roman" w:eastAsia="Times New Roman" w:cs="Times New Roman"/>
          <w:sz w:val="16"/>
          <w:szCs w:val="16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hypertens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ive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patients:the</w:t>
      </w:r>
      <w:r>
        <w:rPr>
          <w:rFonts w:ascii="Times New Roman" w:hAnsi="Times New Roman" w:eastAsia="Times New Roman" w:cs="Times New Roman"/>
          <w:sz w:val="16"/>
          <w:szCs w:val="16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CASE-J</w:t>
      </w:r>
      <w:r>
        <w:rPr>
          <w:rFonts w:ascii="Times New Roman" w:hAnsi="Times New Roman" w:eastAsia="Times New Roman" w:cs="Times New Roman"/>
          <w:sz w:val="16"/>
          <w:szCs w:val="16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trial[J].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Expert     Rev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</w:rPr>
        <w:t>Cardiovasc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</w:rPr>
        <w:t>Ther,2008,6(9):1195-1201.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DOI:</w:t>
      </w:r>
    </w:p>
    <w:p>
      <w:pPr>
        <w:ind w:left="1199"/>
        <w:spacing w:before="125" w:line="18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10.1586/14779072.6.9.1195.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49" w:hanging="449"/>
        <w:spacing w:before="29" w:line="27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[24]    </w:t>
      </w:r>
      <w:r>
        <w:rPr>
          <w:rFonts w:ascii="Times New Roman" w:hAnsi="Times New Roman" w:eastAsia="Times New Roman" w:cs="Times New Roman"/>
          <w:sz w:val="16"/>
          <w:szCs w:val="16"/>
        </w:rPr>
        <w:t>Devereux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RB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>Dahl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ö</w:t>
      </w:r>
      <w:r>
        <w:rPr>
          <w:rFonts w:ascii="Times New Roman" w:hAnsi="Times New Roman" w:eastAsia="Times New Roman" w:cs="Times New Roman"/>
          <w:sz w:val="16"/>
          <w:szCs w:val="16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>Gerdts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</w:t>
      </w:r>
      <w:r>
        <w:rPr>
          <w:rFonts w:ascii="Times New Roman" w:hAnsi="Times New Roman" w:eastAsia="Times New Roman" w:cs="Times New Roman"/>
          <w:sz w:val="16"/>
          <w:szCs w:val="1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al.    Regression    of </w:t>
      </w:r>
      <w:r>
        <w:rPr>
          <w:rFonts w:ascii="Times New Roman" w:hAnsi="Times New Roman" w:eastAsia="Times New Roman" w:cs="Times New Roman"/>
          <w:sz w:val="16"/>
          <w:szCs w:val="16"/>
        </w:rPr>
        <w:t>hypertensive    left     ventricular     hypertrophy    by     losar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tan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compared    with     atenolol:the    Los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artan     Intervention     for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Endpoint        Reduction        in         Hyper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tension(LIFE)trial[J].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Circulation,2004,110(11):1456-1462.DOI:10.1161/01.</w:t>
      </w:r>
    </w:p>
    <w:p>
      <w:pPr>
        <w:ind w:left="449"/>
        <w:spacing w:before="117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CIR.0000141573.44737.5A.</w:t>
      </w:r>
    </w:p>
    <w:p>
      <w:pPr>
        <w:ind w:left="449" w:right="48" w:hanging="449"/>
        <w:spacing w:before="120" w:line="29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[25]Lacourciere   Y,Asmar   R.A   comparison   of   the   efficacy   and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duration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of  action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of  candesartan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cilexetil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losartan</w:t>
      </w:r>
      <w:r>
        <w:rPr>
          <w:rFonts w:ascii="Times New Roman" w:hAnsi="Times New Roman" w:eastAsia="Times New Roman" w:cs="Times New Roman"/>
          <w:sz w:val="16"/>
          <w:szCs w:val="16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assessed by clinic and ambulatory blood pressure afte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 a missed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>dose,in</w:t>
      </w:r>
      <w:r>
        <w:rPr>
          <w:rFonts w:ascii="Times New Roman" w:hAnsi="Times New Roman" w:eastAsia="Times New Roman" w:cs="Times New Roman"/>
          <w:sz w:val="16"/>
          <w:szCs w:val="16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truly</w:t>
      </w:r>
      <w:r>
        <w:rPr>
          <w:rFonts w:ascii="Times New Roman" w:hAnsi="Times New Roman" w:eastAsia="Times New Roman" w:cs="Times New Roman"/>
          <w:sz w:val="16"/>
          <w:szCs w:val="16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hypertensive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patients:a</w:t>
      </w:r>
      <w:r>
        <w:rPr>
          <w:rFonts w:ascii="Times New Roman" w:hAnsi="Times New Roman" w:eastAsia="Times New Roman" w:cs="Times New Roman"/>
          <w:sz w:val="16"/>
          <w:szCs w:val="16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placebo-contr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olled,forced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titration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study.Candesartan/Los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artan</w:t>
      </w:r>
      <w:r>
        <w:rPr>
          <w:rFonts w:ascii="Times New Roman" w:hAnsi="Times New Roman" w:eastAsia="Times New Roman" w:cs="Times New Roman"/>
          <w:sz w:val="16"/>
          <w:szCs w:val="16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investigators[J].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Am   JHypertens,1999,12(12    Pt1-2):1181-1187.DOI:10.1016/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s0895-7061(900142-9.</w:t>
      </w:r>
    </w:p>
    <w:p>
      <w:pPr>
        <w:ind w:left="449" w:right="46" w:hanging="449"/>
        <w:spacing w:before="102" w:line="26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[26]Gradman       AH.AT(1)-receptor       blockers:differences       thatt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matter[J].J   Hum    Hypertens,2002,16   Suppl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3:S9-S16.DOI: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10.1038/sj.jhh.1001434.</w:t>
      </w:r>
    </w:p>
    <w:p>
      <w:pPr>
        <w:ind w:left="449" w:right="46" w:hanging="449"/>
        <w:spacing w:before="97" w:line="2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[27]Eklind-Cervenka   M,Benson   L,Dahlstrom    U,et   al.Association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candesartan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vs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losartan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all-cause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mortality</w:t>
      </w:r>
      <w:r>
        <w:rPr>
          <w:rFonts w:ascii="Times New Roman" w:hAnsi="Times New Roman" w:eastAsia="Times New Roman" w:cs="Times New Roman"/>
          <w:sz w:val="16"/>
          <w:szCs w:val="16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</w:t>
      </w:r>
      <w:r>
        <w:rPr>
          <w:rFonts w:ascii="Times New Roman" w:hAnsi="Times New Roman" w:eastAsia="Times New Roman" w:cs="Times New Roman"/>
          <w:sz w:val="16"/>
          <w:szCs w:val="16"/>
        </w:rPr>
        <w:t>heart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</w:t>
      </w:r>
      <w:r>
        <w:rPr>
          <w:rFonts w:ascii="Times New Roman" w:hAnsi="Times New Roman" w:eastAsia="Times New Roman" w:cs="Times New Roman"/>
          <w:sz w:val="16"/>
          <w:szCs w:val="16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</w:rPr>
        <w:t>JAMA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,2</w:t>
      </w:r>
      <w:r>
        <w:rPr>
          <w:rFonts w:ascii="Times New Roman" w:hAnsi="Times New Roman" w:eastAsia="Times New Roman" w:cs="Times New Roman"/>
          <w:sz w:val="16"/>
          <w:szCs w:val="16"/>
        </w:rPr>
        <w:t>011,305(2):175-182.DOI: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10.1001/jama.2010.1949.</w:t>
      </w:r>
    </w:p>
    <w:p>
      <w:pPr>
        <w:spacing w:line="288" w:lineRule="auto"/>
        <w:sectPr>
          <w:type w:val="continuous"/>
          <w:pgSz w:w="11910" w:h="16160"/>
          <w:pgMar w:top="1349" w:right="1100" w:bottom="1139" w:left="350" w:header="963" w:footer="249" w:gutter="0"/>
          <w:cols w:equalWidth="0" w:num="2">
            <w:col w:w="5760" w:space="100"/>
            <w:col w:w="4601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4229"/>
        <w:spacing w:before="176" w:line="192" w:lineRule="auto"/>
        <w:rPr>
          <w:rFonts w:ascii="KaiTi" w:hAnsi="KaiTi" w:eastAsia="KaiTi" w:cs="KaiTi"/>
          <w:sz w:val="54"/>
          <w:szCs w:val="54"/>
        </w:rPr>
      </w:pPr>
      <w:r>
        <w:rPr>
          <w:rFonts w:ascii="KaiTi" w:hAnsi="KaiTi" w:eastAsia="KaiTi" w:cs="KaiTi"/>
          <w:sz w:val="54"/>
          <w:szCs w:val="54"/>
          <w:color w:val="A0B0B0"/>
          <w:spacing w:val="-35"/>
          <w:w w:val="70"/>
        </w:rPr>
        <w:t>浆</w:t>
      </w:r>
      <w:r>
        <w:rPr>
          <w:rFonts w:ascii="KaiTi" w:hAnsi="KaiTi" w:eastAsia="KaiTi" w:cs="KaiTi"/>
          <w:sz w:val="54"/>
          <w:szCs w:val="54"/>
          <w:color w:val="A0B0B0"/>
          <w:spacing w:val="56"/>
        </w:rPr>
        <w:t xml:space="preserve">  </w:t>
      </w:r>
      <w:r>
        <w:rPr>
          <w:rFonts w:ascii="KaiTi" w:hAnsi="KaiTi" w:eastAsia="KaiTi" w:cs="KaiTi"/>
          <w:sz w:val="54"/>
          <w:szCs w:val="54"/>
          <w:color w:val="A0B0B0"/>
          <w:spacing w:val="-35"/>
          <w:w w:val="70"/>
        </w:rPr>
        <w:t>尊</w:t>
      </w:r>
    </w:p>
    <w:sectPr>
      <w:type w:val="continuous"/>
      <w:pgSz w:w="11910" w:h="16160"/>
      <w:pgMar w:top="1349" w:right="1100" w:bottom="1139" w:left="350" w:header="963" w:footer="249" w:gutter="0"/>
      <w:cols w:equalWidth="0" w:num="1">
        <w:col w:w="1046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59"/>
      <w:spacing w:before="109" w:after="223" w:line="205" w:lineRule="auto"/>
      <w:rPr>
        <w:rFonts w:ascii="Times New Roman" w:hAnsi="Times New Roman" w:eastAsia="Times New Roman" w:cs="Times New Roman"/>
        <w:sz w:val="21"/>
        <w:szCs w:val="21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704857</wp:posOffset>
          </wp:positionH>
          <wp:positionV relativeFrom="page">
            <wp:posOffset>9537701</wp:posOffset>
          </wp:positionV>
          <wp:extent cx="6140429" cy="6350"/>
          <wp:effectExtent l="0" t="0" r="0" b="0"/>
          <wp:wrapNone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40429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6"/>
        <w:szCs w:val="16"/>
        <w:spacing w:val="13"/>
      </w:rPr>
      <w:t>中华心血管病杂志(网络版)2019年第2卷</w:t>
    </w:r>
    <w:r>
      <w:rPr>
        <w:rFonts w:ascii="SimSun" w:hAnsi="SimSun" w:eastAsia="SimSun" w:cs="SimSun"/>
        <w:sz w:val="16"/>
        <w:szCs w:val="16"/>
        <w:spacing w:val="1"/>
      </w:rPr>
      <w:t xml:space="preserve">                                                                             </w:t>
    </w:r>
    <w:r>
      <w:rPr>
        <w:rFonts w:ascii="Times New Roman" w:hAnsi="Times New Roman" w:eastAsia="Times New Roman" w:cs="Times New Roman"/>
        <w:sz w:val="21"/>
        <w:szCs w:val="21"/>
        <w:spacing w:val="13"/>
      </w:rPr>
      <w:t>5/5</w:t>
    </w:r>
  </w:p>
  <w:p>
    <w:pPr>
      <w:spacing w:line="340" w:lineRule="exact"/>
      <w:rPr/>
    </w:pPr>
    <w:r>
      <w:rPr>
        <w:position w:val="-6"/>
      </w:rPr>
      <w:drawing>
        <wp:inline distT="0" distB="0" distL="0" distR="0">
          <wp:extent cx="1276306" cy="215916"/>
          <wp:effectExtent l="0" t="0" r="0" b="0"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276306" cy="2159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9"/>
      <w:spacing w:before="17" w:line="229" w:lineRule="auto"/>
      <w:rPr>
        <w:rFonts w:ascii="Times New Roman" w:hAnsi="Times New Roman" w:eastAsia="Times New Roman" w:cs="Times New Roman"/>
        <w:sz w:val="10"/>
        <w:szCs w:val="10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698505</wp:posOffset>
          </wp:positionH>
          <wp:positionV relativeFrom="page">
            <wp:posOffset>819181</wp:posOffset>
          </wp:positionV>
          <wp:extent cx="6153134" cy="6362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53134" cy="63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3"/>
        <w:szCs w:val="13"/>
        <w:spacing w:val="-2"/>
        <w:position w:val="1"/>
      </w:rPr>
      <w:t>·</w:t>
    </w:r>
    <w:r>
      <w:rPr>
        <w:rFonts w:ascii="SimSun" w:hAnsi="SimSun" w:eastAsia="SimSun" w:cs="SimSun"/>
        <w:sz w:val="13"/>
        <w:szCs w:val="13"/>
        <w:spacing w:val="-29"/>
        <w:position w:val="1"/>
      </w:rPr>
      <w:t xml:space="preserve"> </w:t>
    </w:r>
    <w:r>
      <w:rPr>
        <w:rFonts w:ascii="SimSun" w:hAnsi="SimSun" w:eastAsia="SimSun" w:cs="SimSun"/>
        <w:sz w:val="13"/>
        <w:szCs w:val="13"/>
        <w:spacing w:val="-2"/>
        <w:position w:val="1"/>
      </w:rPr>
      <w:t>微共识 ·</w:t>
    </w:r>
    <w:r>
      <w:rPr>
        <w:rFonts w:ascii="SimSun" w:hAnsi="SimSun" w:eastAsia="SimSun" w:cs="SimSun"/>
        <w:sz w:val="13"/>
        <w:szCs w:val="13"/>
        <w:spacing w:val="1"/>
        <w:position w:val="1"/>
      </w:rPr>
      <w:t xml:space="preserve">                                       </w:t>
    </w:r>
    <w:r>
      <w:rPr>
        <w:rFonts w:ascii="SimSun" w:hAnsi="SimSun" w:eastAsia="SimSun" w:cs="SimSun"/>
        <w:sz w:val="13"/>
        <w:szCs w:val="13"/>
        <w:position w:val="1"/>
      </w:rPr>
      <w:t xml:space="preserve">                                                                           </w:t>
    </w:r>
    <w:r>
      <w:rPr>
        <w:rFonts w:ascii="Times New Roman" w:hAnsi="Times New Roman" w:eastAsia="Times New Roman" w:cs="Times New Roman"/>
        <w:sz w:val="10"/>
        <w:szCs w:val="10"/>
        <w:spacing w:val="-2"/>
        <w:position w:val="-1"/>
      </w:rPr>
      <w:t>htp:/www.cevje.org.cn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9"/>
      <w:spacing w:before="21" w:line="226" w:lineRule="auto"/>
      <w:rPr>
        <w:rFonts w:ascii="Times New Roman" w:hAnsi="Times New Roman" w:eastAsia="Times New Roman" w:cs="Times New Roman"/>
        <w:sz w:val="16"/>
        <w:szCs w:val="16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698505</wp:posOffset>
          </wp:positionH>
          <wp:positionV relativeFrom="page">
            <wp:posOffset>819181</wp:posOffset>
          </wp:positionV>
          <wp:extent cx="6153134" cy="6362"/>
          <wp:effectExtent l="0" t="0" r="0" b="0"/>
          <wp:wrapNone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53134" cy="63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6"/>
        <w:szCs w:val="16"/>
        <w:spacing w:val="-4"/>
        <w:position w:val="2"/>
      </w:rPr>
      <w:t>·微共识·</w:t>
    </w:r>
    <w:r>
      <w:rPr>
        <w:rFonts w:ascii="SimSun" w:hAnsi="SimSun" w:eastAsia="SimSun" w:cs="SimSun"/>
        <w:sz w:val="16"/>
        <w:szCs w:val="16"/>
        <w:spacing w:val="1"/>
        <w:position w:val="2"/>
      </w:rPr>
      <w:t xml:space="preserve">                              </w:t>
    </w:r>
    <w:r>
      <w:rPr>
        <w:rFonts w:ascii="SimSun" w:hAnsi="SimSun" w:eastAsia="SimSun" w:cs="SimSun"/>
        <w:sz w:val="16"/>
        <w:szCs w:val="16"/>
        <w:position w:val="2"/>
      </w:rPr>
      <w:t xml:space="preserve">                                                               </w:t>
    </w:r>
    <w:hyperlink w:history="true" r:id="rId2"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http://www.evje.org.cn</w:t>
      </w:r>
    </w:hyperlink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39"/>
      <w:spacing w:before="52" w:line="16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13"/>
        <w:szCs w:val="13"/>
        <w:spacing w:val="-7"/>
      </w:rPr>
      <w:t>·</w:t>
    </w:r>
    <w:r>
      <w:rPr>
        <w:rFonts w:ascii="SimSun" w:hAnsi="SimSun" w:eastAsia="SimSun" w:cs="SimSun"/>
        <w:sz w:val="13"/>
        <w:szCs w:val="13"/>
        <w:spacing w:val="-30"/>
      </w:rPr>
      <w:t xml:space="preserve"> </w:t>
    </w:r>
    <w:r>
      <w:rPr>
        <w:rFonts w:ascii="SimSun" w:hAnsi="SimSun" w:eastAsia="SimSun" w:cs="SimSun"/>
        <w:sz w:val="13"/>
        <w:szCs w:val="13"/>
        <w:spacing w:val="-7"/>
      </w:rPr>
      <w:t>微共识 ·</w:t>
    </w:r>
    <w:r>
      <w:rPr>
        <w:rFonts w:ascii="SimSun" w:hAnsi="SimSun" w:eastAsia="SimSun" w:cs="SimSun"/>
        <w:sz w:val="13"/>
        <w:szCs w:val="13"/>
        <w:spacing w:val="1"/>
      </w:rPr>
      <w:t xml:space="preserve">                                             </w:t>
    </w:r>
    <w:r>
      <w:rPr>
        <w:rFonts w:ascii="SimSun" w:hAnsi="SimSun" w:eastAsia="SimSun" w:cs="SimSun"/>
        <w:sz w:val="13"/>
        <w:szCs w:val="13"/>
      </w:rPr>
      <w:t xml:space="preserve">                                                                      </w:t>
    </w:r>
    <w:hyperlink w:history="true" r:id="rId1">
      <w:r>
        <w:rPr>
          <w:rFonts w:ascii="Times New Roman" w:hAnsi="Times New Roman" w:eastAsia="Times New Roman" w:cs="Times New Roman"/>
          <w:sz w:val="17"/>
          <w:szCs w:val="17"/>
          <w:spacing w:val="-7"/>
        </w:rPr>
        <w:t>http://www.evje.org.cn</w:t>
      </w:r>
    </w:hyperlink>
  </w:p>
  <w:p>
    <w:pPr>
      <w:ind w:left="749"/>
      <w:spacing w:line="209" w:lineRule="auto"/>
      <w:tabs>
        <w:tab w:val="left" w:pos="10429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FF0000"/>
      </w:rPr>
      <w:tab/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20"/>
      <w:spacing w:before="49" w:line="192" w:lineRule="auto"/>
      <w:rPr>
        <w:rFonts w:ascii="Times New Roman" w:hAnsi="Times New Roman" w:eastAsia="Times New Roman" w:cs="Times New Roman"/>
        <w:sz w:val="16"/>
        <w:szCs w:val="16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698505</wp:posOffset>
          </wp:positionH>
          <wp:positionV relativeFrom="page">
            <wp:posOffset>819181</wp:posOffset>
          </wp:positionV>
          <wp:extent cx="6153134" cy="6362"/>
          <wp:effectExtent l="0" t="0" r="0" b="0"/>
          <wp:wrapNone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153134" cy="63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13"/>
        <w:szCs w:val="13"/>
        <w:spacing w:val="-3"/>
      </w:rPr>
      <w:t>·</w:t>
    </w:r>
    <w:r>
      <w:rPr>
        <w:rFonts w:ascii="SimSun" w:hAnsi="SimSun" w:eastAsia="SimSun" w:cs="SimSun"/>
        <w:sz w:val="13"/>
        <w:szCs w:val="13"/>
        <w:spacing w:val="-35"/>
      </w:rPr>
      <w:t xml:space="preserve"> </w:t>
    </w:r>
    <w:r>
      <w:rPr>
        <w:rFonts w:ascii="SimSun" w:hAnsi="SimSun" w:eastAsia="SimSun" w:cs="SimSun"/>
        <w:sz w:val="13"/>
        <w:szCs w:val="13"/>
        <w:spacing w:val="-3"/>
      </w:rPr>
      <w:t>微共识 ·</w:t>
    </w:r>
    <w:r>
      <w:rPr>
        <w:rFonts w:ascii="SimSun" w:hAnsi="SimSun" w:eastAsia="SimSun" w:cs="SimSun"/>
        <w:sz w:val="13"/>
        <w:szCs w:val="13"/>
        <w:spacing w:val="1"/>
      </w:rPr>
      <w:t xml:space="preserve">                                                           </w:t>
    </w:r>
    <w:r>
      <w:rPr>
        <w:rFonts w:ascii="SimSun" w:hAnsi="SimSun" w:eastAsia="SimSun" w:cs="SimSun"/>
        <w:sz w:val="13"/>
        <w:szCs w:val="13"/>
      </w:rPr>
      <w:t xml:space="preserve">                                                       </w:t>
    </w:r>
    <w:hyperlink w:history="true" r:id="rId2"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http://www.ev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je.org.cn</w:t>
      </w:r>
    </w:hyperlink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jpeg"/><Relationship Id="rId8" Type="http://schemas.openxmlformats.org/officeDocument/2006/relationships/image" Target="media/image6.jpeg"/><Relationship Id="rId7" Type="http://schemas.openxmlformats.org/officeDocument/2006/relationships/image" Target="media/image5.jpeg"/><Relationship Id="rId6" Type="http://schemas.openxmlformats.org/officeDocument/2006/relationships/image" Target="media/image4.jpeg"/><Relationship Id="rId5" Type="http://schemas.openxmlformats.org/officeDocument/2006/relationships/hyperlink" Target="https://www.cvjc.org.cn/index.php/Column/" TargetMode="External"/><Relationship Id="rId4" Type="http://schemas.openxmlformats.org/officeDocument/2006/relationships/hyperlink" Target="http://" TargetMode="External"/><Relationship Id="rId3" Type="http://schemas.openxmlformats.org/officeDocument/2006/relationships/image" Target="media/image3.jpeg"/><Relationship Id="rId25" Type="http://schemas.openxmlformats.org/officeDocument/2006/relationships/fontTable" Target="fontTable.xml"/><Relationship Id="rId24" Type="http://schemas.openxmlformats.org/officeDocument/2006/relationships/styles" Target="styles.xml"/><Relationship Id="rId23" Type="http://schemas.openxmlformats.org/officeDocument/2006/relationships/settings" Target="settings.xml"/><Relationship Id="rId22" Type="http://schemas.openxmlformats.org/officeDocument/2006/relationships/footer" Target="footer1.xml"/><Relationship Id="rId21" Type="http://schemas.openxmlformats.org/officeDocument/2006/relationships/header" Target="header4.xml"/><Relationship Id="rId20" Type="http://schemas.openxmlformats.org/officeDocument/2006/relationships/image" Target="media/image17.jpeg"/><Relationship Id="rId2" Type="http://schemas.openxmlformats.org/officeDocument/2006/relationships/image" Target="media/image2.jpeg"/><Relationship Id="rId19" Type="http://schemas.openxmlformats.org/officeDocument/2006/relationships/image" Target="media/image16.jpeg"/><Relationship Id="rId18" Type="http://schemas.openxmlformats.org/officeDocument/2006/relationships/header" Target="header3.xml"/><Relationship Id="rId17" Type="http://schemas.openxmlformats.org/officeDocument/2006/relationships/image" Target="media/image15.jpeg"/><Relationship Id="rId16" Type="http://schemas.openxmlformats.org/officeDocument/2006/relationships/image" Target="media/image14.jpeg"/><Relationship Id="rId15" Type="http://schemas.openxmlformats.org/officeDocument/2006/relationships/image" Target="media/image13.jpeg"/><Relationship Id="rId14" Type="http://schemas.openxmlformats.org/officeDocument/2006/relationships/header" Target="header2.xml"/><Relationship Id="rId13" Type="http://schemas.openxmlformats.org/officeDocument/2006/relationships/image" Target="media/image11.jpeg"/><Relationship Id="rId12" Type="http://schemas.openxmlformats.org/officeDocument/2006/relationships/image" Target="media/image10.jpeg"/><Relationship Id="rId11" Type="http://schemas.openxmlformats.org/officeDocument/2006/relationships/image" Target="media/image9.jpeg"/><Relationship Id="rId10" Type="http://schemas.openxmlformats.org/officeDocument/2006/relationships/header" Target="header1.xml"/><Relationship Id="rId1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1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vje.org.cn" TargetMode="External"/><Relationship Id="rId1" Type="http://schemas.openxmlformats.org/officeDocument/2006/relationships/image" Target="media/image1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vje.org.cn" TargetMode="External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vje.org.cn" TargetMode="External"/><Relationship Id="rId1" Type="http://schemas.openxmlformats.org/officeDocument/2006/relationships/image" Target="media/image18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2025-10-29T09:36:29Z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2025-10-29T09:36:31</vt:filetime>
  </property>
  <property fmtid="{D5CDD505-2E9C-101B-9397-08002B2CF9AE}" pid="4" name="UsrData">
    <vt:lpwstr>69016f96ce6435001f6ee2d7wl</vt:lpwstr>
  </property>
</Properties>
</file>