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29"/>
        <w:spacing w:before="39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6"/>
        </w:rPr>
        <w:t>·6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6"/>
        </w:rPr>
        <w:t>·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                       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   </w:t>
      </w:r>
      <w:r>
        <w:rPr>
          <w:rFonts w:ascii="SimSun" w:hAnsi="SimSun" w:eastAsia="SimSun" w:cs="SimSun"/>
          <w:sz w:val="19"/>
          <w:szCs w:val="19"/>
          <w:u w:val="single" w:color="auto"/>
          <w:spacing w:val="-72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spacing w:val="-16"/>
        </w:rPr>
        <w:t>中华全科医师杂志2021年1月第20卷第1期ChinJ Gen Pract,January 2021,Vol.20,No.1</w:t>
      </w:r>
    </w:p>
    <w:p>
      <w:pPr>
        <w:ind w:right="47"/>
        <w:spacing w:before="324" w:line="219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·</w:t>
      </w:r>
      <w:r>
        <w:rPr>
          <w:rFonts w:ascii="SimSun" w:hAnsi="SimSun" w:eastAsia="SimSun" w:cs="SimSun"/>
          <w:sz w:val="31"/>
          <w:szCs w:val="31"/>
          <w:spacing w:val="-118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基层常见疾病诊疗指南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·</w:t>
      </w:r>
    </w:p>
    <w:p>
      <w:pPr>
        <w:ind w:left="929" w:right="2605"/>
        <w:spacing w:before="369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非</w:t>
      </w:r>
      <w:r>
        <w:rPr>
          <w:rFonts w:ascii="SimSun" w:hAnsi="SimSun" w:eastAsia="SimSun" w:cs="SimSun"/>
          <w:sz w:val="42"/>
          <w:szCs w:val="42"/>
        </w:rPr>
        <w:t>ST</w:t>
      </w:r>
      <w:r>
        <w:rPr>
          <w:rFonts w:ascii="SimSun" w:hAnsi="SimSun" w:eastAsia="SimSun" w:cs="SimSun"/>
          <w:sz w:val="42"/>
          <w:szCs w:val="42"/>
          <w:spacing w:val="-9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"/>
        </w:rPr>
        <w:t>段抬高型急性冠状动脉综合征基层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1"/>
        </w:rPr>
        <w:t>诊疗指南(2019年)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929" w:right="2258"/>
        <w:spacing w:before="62" w:line="309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15"/>
        </w:rPr>
        <w:t>中华医学会</w:t>
      </w:r>
      <w:r>
        <w:rPr>
          <w:rFonts w:ascii="KaiTi" w:hAnsi="KaiTi" w:eastAsia="KaiTi" w:cs="KaiTi"/>
          <w:sz w:val="19"/>
          <w:szCs w:val="19"/>
          <w:spacing w:val="15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5"/>
        </w:rPr>
        <w:t>中华医学会杂志社</w:t>
      </w:r>
      <w:r>
        <w:rPr>
          <w:rFonts w:ascii="KaiTi" w:hAnsi="KaiTi" w:eastAsia="KaiTi" w:cs="KaiTi"/>
          <w:sz w:val="19"/>
          <w:szCs w:val="19"/>
          <w:spacing w:val="15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5"/>
        </w:rPr>
        <w:t>中华医学会全科医学分会</w:t>
      </w:r>
      <w:r>
        <w:rPr>
          <w:rFonts w:ascii="KaiTi" w:hAnsi="KaiTi" w:eastAsia="KaiTi" w:cs="KaiTi"/>
          <w:sz w:val="19"/>
          <w:szCs w:val="19"/>
          <w:spacing w:val="25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5"/>
        </w:rPr>
        <w:t>中华医学会《中华全科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16"/>
        </w:rPr>
        <w:t>医师杂志》编辑委员会</w:t>
      </w:r>
      <w:r>
        <w:rPr>
          <w:rFonts w:ascii="KaiTi" w:hAnsi="KaiTi" w:eastAsia="KaiTi" w:cs="KaiTi"/>
          <w:sz w:val="19"/>
          <w:szCs w:val="19"/>
          <w:spacing w:val="16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6"/>
        </w:rPr>
        <w:t>心血管系统疾病</w:t>
      </w:r>
      <w:r>
        <w:rPr>
          <w:rFonts w:ascii="KaiTi" w:hAnsi="KaiTi" w:eastAsia="KaiTi" w:cs="KaiTi"/>
          <w:sz w:val="19"/>
          <w:szCs w:val="19"/>
          <w:spacing w:val="15"/>
        </w:rPr>
        <w:t>基层诊疗指南编写专家组</w:t>
      </w:r>
    </w:p>
    <w:p>
      <w:pPr>
        <w:ind w:left="929"/>
        <w:spacing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4"/>
        </w:rPr>
        <w:t>通信作者：唐熠达，北京大学第三医院心内科100191,</w:t>
      </w:r>
      <w:r>
        <w:rPr>
          <w:rFonts w:ascii="SimSun" w:hAnsi="SimSun" w:eastAsia="SimSun" w:cs="SimSun"/>
          <w:sz w:val="19"/>
          <w:szCs w:val="19"/>
        </w:rPr>
        <w:t>Email</w:t>
      </w:r>
      <w:r>
        <w:rPr>
          <w:rFonts w:ascii="SimSun" w:hAnsi="SimSun" w:eastAsia="SimSun" w:cs="SimSun"/>
          <w:sz w:val="19"/>
          <w:szCs w:val="19"/>
          <w:spacing w:val="4"/>
        </w:rPr>
        <w:t>:</w:t>
      </w:r>
      <w:r>
        <w:rPr>
          <w:rFonts w:ascii="SimSun" w:hAnsi="SimSun" w:eastAsia="SimSun" w:cs="SimSun"/>
          <w:sz w:val="19"/>
          <w:szCs w:val="19"/>
        </w:rPr>
        <w:t>tang</w:t>
      </w:r>
      <w:r>
        <w:rPr>
          <w:rFonts w:ascii="SimSun" w:hAnsi="SimSun" w:eastAsia="SimSun" w:cs="SimSun"/>
          <w:sz w:val="19"/>
          <w:szCs w:val="19"/>
          <w:spacing w:val="4"/>
        </w:rPr>
        <w:t>_</w:t>
      </w:r>
      <w:r>
        <w:rPr>
          <w:rFonts w:ascii="SimSun" w:hAnsi="SimSun" w:eastAsia="SimSun" w:cs="SimSun"/>
          <w:sz w:val="19"/>
          <w:szCs w:val="19"/>
        </w:rPr>
        <w:t>yida</w:t>
      </w:r>
      <w:r>
        <w:rPr>
          <w:rFonts w:ascii="SimSun" w:hAnsi="SimSun" w:eastAsia="SimSun" w:cs="SimSun"/>
          <w:sz w:val="19"/>
          <w:szCs w:val="19"/>
          <w:spacing w:val="4"/>
        </w:rPr>
        <w:t>@16</w:t>
      </w:r>
      <w:r>
        <w:rPr>
          <w:rFonts w:ascii="SimSun" w:hAnsi="SimSun" w:eastAsia="SimSun" w:cs="SimSun"/>
          <w:sz w:val="19"/>
          <w:szCs w:val="19"/>
          <w:spacing w:val="3"/>
        </w:rPr>
        <w:t>3.</w:t>
      </w:r>
      <w:r>
        <w:rPr>
          <w:rFonts w:ascii="SimSun" w:hAnsi="SimSun" w:eastAsia="SimSun" w:cs="SimSun"/>
          <w:sz w:val="19"/>
          <w:szCs w:val="19"/>
        </w:rPr>
        <w:t>com</w:t>
      </w:r>
      <w:r>
        <w:rPr>
          <w:rFonts w:ascii="SimSun" w:hAnsi="SimSun" w:eastAsia="SimSun" w:cs="SimSun"/>
          <w:sz w:val="19"/>
          <w:szCs w:val="19"/>
          <w:spacing w:val="3"/>
        </w:rPr>
        <w:t>;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KaiTi" w:hAnsi="KaiTi" w:eastAsia="KaiTi" w:cs="KaiTi"/>
          <w:sz w:val="19"/>
          <w:szCs w:val="19"/>
          <w:spacing w:val="3"/>
        </w:rPr>
        <w:t>陈</w:t>
      </w:r>
      <w:r>
        <w:rPr>
          <w:rFonts w:ascii="KaiTi" w:hAnsi="KaiTi" w:eastAsia="KaiTi" w:cs="KaiTi"/>
          <w:sz w:val="19"/>
          <w:szCs w:val="19"/>
          <w:spacing w:val="-35"/>
        </w:rPr>
        <w:t xml:space="preserve"> </w:t>
      </w:r>
      <w:r>
        <w:rPr>
          <w:rFonts w:ascii="KaiTi" w:hAnsi="KaiTi" w:eastAsia="KaiTi" w:cs="KaiTi"/>
          <w:sz w:val="19"/>
          <w:szCs w:val="19"/>
          <w:spacing w:val="3"/>
        </w:rPr>
        <w:t>步</w:t>
      </w:r>
      <w:r>
        <w:rPr>
          <w:rFonts w:ascii="KaiTi" w:hAnsi="KaiTi" w:eastAsia="KaiTi" w:cs="KaiTi"/>
          <w:sz w:val="19"/>
          <w:szCs w:val="19"/>
          <w:spacing w:val="-35"/>
        </w:rPr>
        <w:t xml:space="preserve"> </w:t>
      </w:r>
      <w:r>
        <w:rPr>
          <w:rFonts w:ascii="KaiTi" w:hAnsi="KaiTi" w:eastAsia="KaiTi" w:cs="KaiTi"/>
          <w:sz w:val="19"/>
          <w:szCs w:val="19"/>
          <w:spacing w:val="3"/>
        </w:rPr>
        <w:t>星</w:t>
      </w:r>
      <w:r>
        <w:rPr>
          <w:rFonts w:ascii="KaiTi" w:hAnsi="KaiTi" w:eastAsia="KaiTi" w:cs="KaiTi"/>
          <w:sz w:val="19"/>
          <w:szCs w:val="19"/>
          <w:spacing w:val="-50"/>
        </w:rPr>
        <w:t xml:space="preserve"> </w:t>
      </w:r>
      <w:r>
        <w:rPr>
          <w:rFonts w:ascii="KaiTi" w:hAnsi="KaiTi" w:eastAsia="KaiTi" w:cs="KaiTi"/>
          <w:sz w:val="19"/>
          <w:szCs w:val="19"/>
          <w:spacing w:val="3"/>
        </w:rPr>
        <w:t>，</w:t>
      </w:r>
    </w:p>
    <w:p>
      <w:pPr>
        <w:pStyle w:val="BodyText"/>
        <w:ind w:left="929" w:right="2085"/>
        <w:spacing w:before="122" w:line="321" w:lineRule="auto"/>
        <w:rPr/>
      </w:pPr>
      <w:r>
        <w:rPr>
          <w:rFonts w:ascii="KaiTi" w:hAnsi="KaiTi" w:eastAsia="KaiTi" w:cs="KaiTi"/>
          <w:spacing w:val="18"/>
        </w:rPr>
        <w:t>北京中医药大学东直门医院心血管病中心10</w:t>
      </w:r>
      <w:r>
        <w:rPr>
          <w:rFonts w:ascii="KaiTi" w:hAnsi="KaiTi" w:eastAsia="KaiTi" w:cs="KaiTi"/>
          <w:spacing w:val="17"/>
        </w:rPr>
        <w:t>1121,</w:t>
      </w:r>
      <w:r>
        <w:rPr>
          <w:rFonts w:ascii="SimSun" w:hAnsi="SimSun" w:eastAsia="SimSun" w:cs="SimSun"/>
        </w:rPr>
        <w:t>Email</w:t>
      </w:r>
      <w:r>
        <w:rPr>
          <w:rFonts w:ascii="SimSun" w:hAnsi="SimSun" w:eastAsia="SimSun" w:cs="SimSun"/>
          <w:spacing w:val="17"/>
        </w:rPr>
        <w:t>:</w:t>
      </w:r>
      <w:r>
        <w:rPr>
          <w:rFonts w:ascii="SimSun" w:hAnsi="SimSun" w:eastAsia="SimSun" w:cs="SimSun"/>
        </w:rPr>
        <w:t>chbux</w:t>
      </w:r>
      <w:r>
        <w:rPr>
          <w:rFonts w:ascii="SimSun" w:hAnsi="SimSun" w:eastAsia="SimSun" w:cs="SimSun"/>
          <w:spacing w:val="17"/>
        </w:rPr>
        <w:t>@126.</w:t>
      </w:r>
      <w:r>
        <w:rPr>
          <w:rFonts w:ascii="SimSun" w:hAnsi="SimSun" w:eastAsia="SimSun" w:cs="SimSun"/>
        </w:rPr>
        <w:t>com</w:t>
      </w:r>
      <w:r>
        <w:rPr>
          <w:rFonts w:ascii="SimSun" w:hAnsi="SimSun" w:eastAsia="SimSun" w:cs="SimSun"/>
          <w:spacing w:val="17"/>
        </w:rPr>
        <w:t>;  </w:t>
      </w:r>
      <w:r>
        <w:rPr>
          <w:rFonts w:ascii="KaiTi" w:hAnsi="KaiTi" w:eastAsia="KaiTi" w:cs="KaiTi"/>
          <w:spacing w:val="17"/>
        </w:rPr>
        <w:t>胡</w:t>
      </w:r>
      <w:r>
        <w:rPr>
          <w:rFonts w:ascii="KaiTi" w:hAnsi="KaiTi" w:eastAsia="KaiTi" w:cs="KaiTi"/>
          <w:spacing w:val="-9"/>
        </w:rPr>
        <w:t xml:space="preserve"> </w:t>
      </w:r>
      <w:r>
        <w:rPr>
          <w:rFonts w:ascii="KaiTi" w:hAnsi="KaiTi" w:eastAsia="KaiTi" w:cs="KaiTi"/>
          <w:spacing w:val="17"/>
        </w:rPr>
        <w:t>大</w:t>
      </w:r>
      <w:r>
        <w:rPr>
          <w:rFonts w:ascii="KaiTi" w:hAnsi="KaiTi" w:eastAsia="KaiTi" w:cs="KaiTi"/>
          <w:spacing w:val="-22"/>
        </w:rPr>
        <w:t xml:space="preserve"> </w:t>
      </w:r>
      <w:r>
        <w:rPr>
          <w:rFonts w:ascii="KaiTi" w:hAnsi="KaiTi" w:eastAsia="KaiTi" w:cs="KaiTi"/>
          <w:spacing w:val="17"/>
        </w:rPr>
        <w:t>一</w:t>
      </w:r>
      <w:r>
        <w:rPr>
          <w:rFonts w:ascii="KaiTi" w:hAnsi="KaiTi" w:eastAsia="KaiTi" w:cs="KaiTi"/>
          <w:spacing w:val="-32"/>
        </w:rPr>
        <w:t xml:space="preserve"> </w:t>
      </w:r>
      <w:r>
        <w:rPr>
          <w:rFonts w:ascii="KaiTi" w:hAnsi="KaiTi" w:eastAsia="KaiTi" w:cs="KaiTi"/>
          <w:spacing w:val="17"/>
        </w:rPr>
        <w:t>，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13"/>
        </w:rPr>
        <w:t>北京大学人民医院心血管病研究所10</w:t>
      </w:r>
      <w:r>
        <w:rPr>
          <w:rFonts w:ascii="SimSun" w:hAnsi="SimSun" w:eastAsia="SimSun" w:cs="SimSun"/>
          <w:spacing w:val="13"/>
        </w:rPr>
        <w:t>0044,</w:t>
      </w:r>
      <w:r>
        <w:rPr>
          <w:rFonts w:ascii="SimSun" w:hAnsi="SimSun" w:eastAsia="SimSun" w:cs="SimSun"/>
          <w:spacing w:val="-39"/>
        </w:rPr>
        <w:t xml:space="preserve"> </w:t>
      </w:r>
      <w:r>
        <w:rPr/>
        <w:t>Email</w:t>
      </w:r>
      <w:r>
        <w:rPr>
          <w:spacing w:val="13"/>
        </w:rPr>
        <w:t>:</w:t>
      </w:r>
      <w:r>
        <w:rPr/>
        <w:t>dayi</w:t>
      </w:r>
      <w:r>
        <w:rPr>
          <w:spacing w:val="13"/>
        </w:rPr>
        <w:t>.</w:t>
      </w:r>
      <w:r>
        <w:rPr/>
        <w:t>hu</w:t>
      </w:r>
      <w:r>
        <w:rPr>
          <w:spacing w:val="13"/>
        </w:rPr>
        <w:t>@</w:t>
      </w:r>
      <w:r>
        <w:rPr/>
        <w:t>china</w:t>
      </w:r>
      <w:r>
        <w:rPr>
          <w:spacing w:val="13"/>
        </w:rPr>
        <w:t>-</w:t>
      </w:r>
      <w:r>
        <w:rPr/>
        <w:t>heart</w:t>
      </w:r>
      <w:r>
        <w:rPr>
          <w:spacing w:val="13"/>
        </w:rPr>
        <w:t>.</w:t>
      </w:r>
      <w:r>
        <w:rPr/>
        <w:t>org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1207"/>
        <w:spacing w:before="62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9"/>
        </w:rPr>
        <w:t>【关键词】</w:t>
      </w:r>
      <w:r>
        <w:rPr>
          <w:rFonts w:ascii="SimHei" w:hAnsi="SimHei" w:eastAsia="SimHei" w:cs="SimHei"/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指南；急性冠状动脉综合征，非ST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抬高型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5" w:line="192" w:lineRule="auto"/>
        <w:rPr/>
      </w:pPr>
      <w:r>
        <w:rPr/>
        <w:t>Guideline  for  primary</w:t>
      </w:r>
      <w:r>
        <w:rPr>
          <w:spacing w:val="11"/>
        </w:rPr>
        <w:t xml:space="preserve">  </w:t>
      </w:r>
      <w:r>
        <w:rPr/>
        <w:t>care</w:t>
      </w:r>
      <w:r>
        <w:rPr>
          <w:spacing w:val="11"/>
        </w:rPr>
        <w:t xml:space="preserve">  </w:t>
      </w:r>
      <w:r>
        <w:rPr/>
        <w:t>of  non-ST-segment</w:t>
      </w:r>
      <w:r>
        <w:rPr>
          <w:spacing w:val="10"/>
        </w:rPr>
        <w:t xml:space="preserve">  </w:t>
      </w:r>
      <w:r>
        <w:rPr/>
        <w:t>elevat</w:t>
      </w:r>
      <w:r>
        <w:rPr>
          <w:spacing w:val="-1"/>
        </w:rPr>
        <w:t>ion</w:t>
      </w:r>
      <w:r>
        <w:rPr>
          <w:spacing w:val="11"/>
          <w:w w:val="102"/>
        </w:rPr>
        <w:t xml:space="preserve">  </w:t>
      </w:r>
      <w:r>
        <w:rPr>
          <w:spacing w:val="-1"/>
        </w:rPr>
        <w:t>acute</w:t>
      </w:r>
      <w:r>
        <w:rPr>
          <w:spacing w:val="10"/>
        </w:rPr>
        <w:t xml:space="preserve">  </w:t>
      </w:r>
      <w:r>
        <w:rPr>
          <w:spacing w:val="-1"/>
        </w:rPr>
        <w:t>coronary   syndrome(2019)</w:t>
      </w:r>
    </w:p>
    <w:p>
      <w:pPr>
        <w:pStyle w:val="BodyText"/>
        <w:ind w:left="929" w:right="2128"/>
        <w:spacing w:before="15" w:line="275" w:lineRule="auto"/>
        <w:rPr/>
      </w:pPr>
      <w:r>
        <w:rPr>
          <w:i/>
          <w:iCs/>
        </w:rPr>
        <w:t>Chinese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Medical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Association</w:t>
      </w:r>
      <w:r>
        <w:rPr>
          <w:i/>
          <w:iCs/>
          <w:spacing w:val="3"/>
        </w:rPr>
        <w:t>,</w:t>
      </w:r>
      <w:r>
        <w:rPr>
          <w:i/>
          <w:iCs/>
        </w:rPr>
        <w:t>Chinese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Medical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Journals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Publishing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House</w:t>
      </w:r>
      <w:r>
        <w:rPr>
          <w:i/>
          <w:iCs/>
          <w:spacing w:val="3"/>
        </w:rPr>
        <w:t>,</w:t>
      </w:r>
      <w:r>
        <w:rPr>
          <w:i/>
          <w:iCs/>
        </w:rPr>
        <w:t>Chinese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Society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3"/>
        </w:rPr>
        <w:t xml:space="preserve"> </w:t>
      </w:r>
      <w:r>
        <w:rPr>
          <w:i/>
          <w:iCs/>
        </w:rPr>
        <w:t>General </w:t>
      </w:r>
      <w:r>
        <w:rPr>
          <w:i/>
          <w:iCs/>
        </w:rPr>
        <w:t>Practice</w:t>
      </w:r>
      <w:r>
        <w:rPr>
          <w:i/>
          <w:iCs/>
          <w:spacing w:val="9"/>
        </w:rPr>
        <w:t>,</w:t>
      </w:r>
      <w:r>
        <w:rPr>
          <w:i/>
          <w:iCs/>
        </w:rPr>
        <w:t>Editorial</w:t>
      </w:r>
      <w:r>
        <w:rPr>
          <w:i/>
          <w:iCs/>
          <w:spacing w:val="-4"/>
        </w:rPr>
        <w:t xml:space="preserve"> </w:t>
      </w:r>
      <w:r>
        <w:rPr>
          <w:i/>
          <w:iCs/>
        </w:rPr>
        <w:t>Board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5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Journal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3"/>
        </w:rPr>
        <w:t xml:space="preserve"> </w:t>
      </w:r>
      <w:r>
        <w:rPr>
          <w:i/>
          <w:iCs/>
        </w:rPr>
        <w:t>General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Practitioners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5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Medical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Association</w:t>
      </w:r>
      <w:r>
        <w:rPr>
          <w:i/>
          <w:iCs/>
          <w:spacing w:val="9"/>
        </w:rPr>
        <w:t>,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Expert Group of</w:t>
      </w:r>
      <w:r>
        <w:rPr>
          <w:i/>
          <w:iCs/>
          <w:spacing w:val="-25"/>
        </w:rPr>
        <w:t xml:space="preserve"> </w:t>
      </w:r>
      <w:r>
        <w:rPr>
          <w:i/>
          <w:iCs/>
          <w:spacing w:val="-3"/>
        </w:rPr>
        <w:t>Guide</w:t>
      </w:r>
      <w:r>
        <w:rPr>
          <w:i/>
          <w:iCs/>
          <w:spacing w:val="-4"/>
        </w:rPr>
        <w:t>lines</w:t>
      </w:r>
      <w:r>
        <w:rPr>
          <w:i/>
          <w:iCs/>
          <w:spacing w:val="-34"/>
        </w:rPr>
        <w:t xml:space="preserve"> </w:t>
      </w:r>
      <w:r>
        <w:rPr>
          <w:i/>
          <w:iCs/>
          <w:spacing w:val="-4"/>
        </w:rPr>
        <w:t>for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-4"/>
        </w:rPr>
        <w:t>Primary Care of</w:t>
      </w:r>
      <w:r>
        <w:rPr>
          <w:i/>
          <w:iCs/>
          <w:spacing w:val="-24"/>
        </w:rPr>
        <w:t xml:space="preserve"> </w:t>
      </w:r>
      <w:r>
        <w:rPr>
          <w:i/>
          <w:iCs/>
          <w:spacing w:val="-4"/>
        </w:rPr>
        <w:t>Cardiovascular Disease</w:t>
      </w:r>
    </w:p>
    <w:p>
      <w:pPr>
        <w:pStyle w:val="BodyText"/>
        <w:ind w:left="929"/>
        <w:spacing w:line="251" w:lineRule="exact"/>
        <w:rPr/>
      </w:pPr>
      <w:r>
        <w:rPr>
          <w:i/>
          <w:iCs/>
          <w:position w:val="3"/>
        </w:rPr>
        <w:t>Corresponding author:Tang</w:t>
      </w:r>
      <w:r>
        <w:rPr>
          <w:i/>
          <w:iCs/>
          <w:spacing w:val="13"/>
          <w:w w:val="101"/>
          <w:position w:val="3"/>
        </w:rPr>
        <w:t xml:space="preserve"> </w:t>
      </w:r>
      <w:r>
        <w:rPr>
          <w:i/>
          <w:iCs/>
          <w:position w:val="3"/>
        </w:rPr>
        <w:t>Yida,Department o</w:t>
      </w:r>
      <w:r>
        <w:rPr>
          <w:i/>
          <w:iCs/>
          <w:spacing w:val="-1"/>
          <w:position w:val="3"/>
        </w:rPr>
        <w:t>f</w:t>
      </w:r>
      <w:r>
        <w:rPr>
          <w:i/>
          <w:iCs/>
          <w:spacing w:val="-23"/>
          <w:position w:val="3"/>
        </w:rPr>
        <w:t xml:space="preserve"> </w:t>
      </w:r>
      <w:r>
        <w:rPr>
          <w:i/>
          <w:iCs/>
          <w:spacing w:val="-1"/>
          <w:position w:val="3"/>
        </w:rPr>
        <w:t>Cardiology,Peking</w:t>
      </w:r>
      <w:r>
        <w:rPr>
          <w:i/>
          <w:iCs/>
          <w:spacing w:val="16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University</w:t>
      </w:r>
      <w:r>
        <w:rPr>
          <w:i/>
          <w:iCs/>
          <w:spacing w:val="13"/>
          <w:position w:val="3"/>
        </w:rPr>
        <w:t xml:space="preserve"> </w:t>
      </w:r>
      <w:r>
        <w:rPr>
          <w:i/>
          <w:iCs/>
          <w:spacing w:val="-1"/>
          <w:position w:val="3"/>
        </w:rPr>
        <w:t>Third</w:t>
      </w:r>
      <w:r>
        <w:rPr>
          <w:i/>
          <w:iCs/>
          <w:spacing w:val="-13"/>
          <w:position w:val="3"/>
        </w:rPr>
        <w:t xml:space="preserve"> </w:t>
      </w:r>
      <w:r>
        <w:rPr>
          <w:i/>
          <w:iCs/>
          <w:spacing w:val="-1"/>
          <w:position w:val="3"/>
        </w:rPr>
        <w:t>Hospital,Beijing</w:t>
      </w:r>
    </w:p>
    <w:p>
      <w:pPr>
        <w:pStyle w:val="BodyText"/>
        <w:ind w:left="929" w:right="2128"/>
        <w:spacing w:before="57" w:line="259" w:lineRule="auto"/>
        <w:jc w:val="both"/>
        <w:rPr/>
      </w:pPr>
      <w:r>
        <w:rPr/>
        <w:t>100191,China,Email:tang_yida@163.com;Chen</w:t>
      </w:r>
      <w:r>
        <w:rPr>
          <w:spacing w:val="37"/>
          <w:w w:val="101"/>
        </w:rPr>
        <w:t xml:space="preserve"> </w:t>
      </w:r>
      <w:r>
        <w:rPr/>
        <w:t>Bu</w:t>
      </w:r>
      <w:r>
        <w:rPr>
          <w:spacing w:val="-1"/>
        </w:rPr>
        <w:t>xing,Cardiovascular</w:t>
      </w:r>
      <w:r>
        <w:rPr>
          <w:spacing w:val="35"/>
          <w:w w:val="101"/>
        </w:rPr>
        <w:t xml:space="preserve"> </w:t>
      </w:r>
      <w:r>
        <w:rPr>
          <w:spacing w:val="-1"/>
        </w:rPr>
        <w:t>Disease</w:t>
      </w:r>
      <w:r>
        <w:rPr>
          <w:spacing w:val="40"/>
          <w:w w:val="101"/>
        </w:rPr>
        <w:t xml:space="preserve"> </w:t>
      </w:r>
      <w:r>
        <w:rPr>
          <w:spacing w:val="-1"/>
        </w:rPr>
        <w:t>Center,Dongzhimen</w:t>
      </w:r>
      <w:r>
        <w:rPr/>
        <w:t xml:space="preserve"> </w:t>
      </w:r>
      <w:r>
        <w:rPr>
          <w:i/>
          <w:iCs/>
        </w:rPr>
        <w:t>Hospital,Beijing  University  of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Medicine,Beijing  101121,China,Email:chbux@126.com;Hu </w:t>
      </w:r>
      <w:r>
        <w:rPr>
          <w:i/>
          <w:iCs/>
        </w:rPr>
        <w:t>Dayi</w:t>
      </w:r>
      <w:r>
        <w:rPr>
          <w:i/>
          <w:iCs/>
          <w:spacing w:val="1"/>
        </w:rPr>
        <w:t>,</w:t>
      </w:r>
      <w:r>
        <w:rPr>
          <w:i/>
          <w:iCs/>
        </w:rPr>
        <w:t>Institute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Cardiovascular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Disease</w:t>
      </w:r>
      <w:r>
        <w:rPr>
          <w:i/>
          <w:iCs/>
          <w:spacing w:val="1"/>
        </w:rPr>
        <w:t>,</w:t>
      </w:r>
      <w:r>
        <w:rPr>
          <w:i/>
          <w:iCs/>
        </w:rPr>
        <w:t>Peking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University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People</w:t>
      </w:r>
      <w:r>
        <w:rPr>
          <w:i/>
          <w:iCs/>
          <w:spacing w:val="1"/>
        </w:rPr>
        <w:t>'</w:t>
      </w:r>
      <w:r>
        <w:rPr>
          <w:i/>
          <w:iCs/>
        </w:rPr>
        <w:t>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Hospital</w:t>
      </w:r>
      <w:r>
        <w:rPr>
          <w:i/>
          <w:iCs/>
          <w:spacing w:val="1"/>
        </w:rPr>
        <w:t>,</w:t>
      </w:r>
      <w:r>
        <w:rPr>
          <w:i/>
          <w:iCs/>
        </w:rPr>
        <w:t>Beijing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1"/>
        </w:rPr>
        <w:t>100044,</w:t>
      </w:r>
      <w:r>
        <w:rPr>
          <w:i/>
          <w:iCs/>
        </w:rPr>
        <w:t>China</w:t>
      </w:r>
      <w:r>
        <w:rPr>
          <w:i/>
          <w:iCs/>
          <w:spacing w:val="1"/>
        </w:rPr>
        <w:t>,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Email:dayi.hu@china-hea</w:t>
      </w:r>
      <w:r>
        <w:rPr>
          <w:i/>
          <w:iCs/>
          <w:spacing w:val="-4"/>
        </w:rPr>
        <w:t>rt.org</w:t>
      </w:r>
    </w:p>
    <w:p>
      <w:pPr>
        <w:spacing w:before="190"/>
        <w:rPr/>
      </w:pPr>
      <w:r/>
    </w:p>
    <w:p>
      <w:pPr>
        <w:sectPr>
          <w:pgSz w:w="12250" w:h="16500"/>
          <w:pgMar w:top="967" w:right="1069" w:bottom="0" w:left="340" w:header="0" w:footer="0" w:gutter="0"/>
          <w:cols w:equalWidth="0" w:num="1">
            <w:col w:w="10841" w:space="0"/>
          </w:cols>
        </w:sectPr>
        <w:rPr/>
      </w:pPr>
    </w:p>
    <w:p>
      <w:pPr>
        <w:ind w:left="1362"/>
        <w:spacing w:before="44" w:line="221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21"/>
        </w:rPr>
        <w:t>一</w:t>
      </w:r>
      <w:r>
        <w:rPr>
          <w:rFonts w:ascii="SimHei" w:hAnsi="SimHei" w:eastAsia="SimHei" w:cs="SimHei"/>
          <w:sz w:val="19"/>
          <w:szCs w:val="19"/>
          <w:spacing w:val="-49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21"/>
        </w:rPr>
        <w:t>、概述</w:t>
      </w:r>
    </w:p>
    <w:p>
      <w:pPr>
        <w:ind w:left="1359"/>
        <w:spacing w:before="78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(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一)定义</w:t>
      </w:r>
    </w:p>
    <w:p>
      <w:pPr>
        <w:pStyle w:val="BodyText"/>
        <w:ind w:left="929" w:right="385" w:firstLine="430"/>
        <w:spacing w:before="40" w:line="304" w:lineRule="auto"/>
        <w:jc w:val="both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590485</wp:posOffset>
            </wp:positionH>
            <wp:positionV relativeFrom="paragraph">
              <wp:posOffset>2552762</wp:posOffset>
            </wp:positionV>
            <wp:extent cx="509904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24"/>
        </w:rPr>
        <w:t>非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sz w:val="24"/>
          <w:szCs w:val="24"/>
        </w:rPr>
        <w:t>ST</w:t>
      </w:r>
      <w:r>
        <w:rPr>
          <w:sz w:val="24"/>
          <w:szCs w:val="24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4"/>
        </w:rPr>
        <w:t>段抬高型急性冠状动脉综合征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/>
        <w:t>(non-ST-segment   elevation</w:t>
      </w:r>
      <w:r>
        <w:rPr>
          <w:spacing w:val="6"/>
        </w:rPr>
        <w:t xml:space="preserve">   </w:t>
      </w:r>
      <w:r>
        <w:rPr>
          <w:spacing w:val="-1"/>
        </w:rPr>
        <w:t>acute</w:t>
      </w:r>
      <w:r>
        <w:rPr>
          <w:spacing w:val="7"/>
        </w:rPr>
        <w:t xml:space="preserve">   </w:t>
      </w:r>
      <w:r>
        <w:rPr>
          <w:spacing w:val="-1"/>
        </w:rPr>
        <w:t>coronary</w:t>
      </w:r>
      <w:r>
        <w:rPr>
          <w:spacing w:val="7"/>
        </w:rPr>
        <w:t xml:space="preserve">   </w:t>
      </w:r>
      <w:r>
        <w:rPr>
          <w:spacing w:val="-1"/>
        </w:rPr>
        <w:t>syndrome,</w:t>
      </w:r>
      <w:r>
        <w:rPr/>
        <w:t xml:space="preserve">   </w:t>
      </w:r>
      <w:r>
        <w:rPr/>
        <w:t>NSTE</w:t>
      </w:r>
      <w:r>
        <w:rPr>
          <w:spacing w:val="19"/>
        </w:rPr>
        <w:t>-</w:t>
      </w:r>
      <w:r>
        <w:rPr/>
        <w:t>ACS</w:t>
      </w:r>
      <w:r>
        <w:rPr>
          <w:spacing w:val="19"/>
        </w:rPr>
        <w:t>)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19"/>
        </w:rPr>
        <w:t>根据心肌损伤生物标志物[主要为心脏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肌钙蛋白</w:t>
      </w:r>
      <w:r>
        <w:rPr>
          <w:spacing w:val="17"/>
        </w:rPr>
        <w:t>(</w:t>
      </w:r>
      <w:r>
        <w:rPr/>
        <w:t>cardiac</w:t>
      </w:r>
      <w:r>
        <w:rPr>
          <w:spacing w:val="3"/>
        </w:rPr>
        <w:t xml:space="preserve">         </w:t>
      </w:r>
      <w:r>
        <w:rPr/>
        <w:t>troponin</w:t>
      </w:r>
      <w:r>
        <w:rPr>
          <w:spacing w:val="17"/>
        </w:rPr>
        <w:t>,</w:t>
      </w:r>
      <w:r>
        <w:rPr/>
        <w:t>cTn</w:t>
      </w:r>
      <w:r>
        <w:rPr>
          <w:spacing w:val="17"/>
        </w:rPr>
        <w:t>)]</w:t>
      </w:r>
      <w:r>
        <w:rPr>
          <w:rFonts w:ascii="SimSun" w:hAnsi="SimSun" w:eastAsia="SimSun" w:cs="SimSun"/>
          <w:spacing w:val="17"/>
        </w:rPr>
        <w:t>测定结果分为非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spacing w:val="-4"/>
        </w:rPr>
        <w:t>ST</w:t>
      </w:r>
      <w:r>
        <w:rPr>
          <w:spacing w:val="49"/>
          <w:w w:val="102"/>
        </w:rPr>
        <w:t xml:space="preserve"> </w:t>
      </w:r>
      <w:r>
        <w:rPr>
          <w:rFonts w:ascii="SimSun" w:hAnsi="SimSun" w:eastAsia="SimSun" w:cs="SimSun"/>
          <w:spacing w:val="-4"/>
        </w:rPr>
        <w:t>段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4"/>
        </w:rPr>
        <w:t>抬 高 型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rFonts w:ascii="SimSun" w:hAnsi="SimSun" w:eastAsia="SimSun" w:cs="SimSun"/>
          <w:spacing w:val="-4"/>
        </w:rPr>
        <w:t>心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-4"/>
        </w:rPr>
        <w:t>肌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4"/>
        </w:rPr>
        <w:t>梗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-4"/>
        </w:rPr>
        <w:t>死</w:t>
      </w:r>
      <w:r>
        <w:rPr>
          <w:spacing w:val="-4"/>
        </w:rPr>
        <w:t>(non-ST-segment      elevation</w:t>
      </w:r>
      <w:r>
        <w:rPr/>
        <w:t xml:space="preserve">  </w:t>
      </w:r>
      <w:r>
        <w:rPr/>
        <w:t>myocardial</w:t>
      </w:r>
      <w:r>
        <w:rPr>
          <w:spacing w:val="15"/>
        </w:rPr>
        <w:t xml:space="preserve">       </w:t>
      </w:r>
      <w:r>
        <w:rPr/>
        <w:t>infarction</w:t>
      </w:r>
      <w:r>
        <w:rPr>
          <w:spacing w:val="15"/>
        </w:rPr>
        <w:t>,</w:t>
      </w:r>
      <w:r>
        <w:rPr/>
        <w:t>NSTEMI</w:t>
      </w:r>
      <w:r>
        <w:rPr>
          <w:spacing w:val="15"/>
        </w:rPr>
        <w:t>)</w:t>
      </w:r>
      <w:r>
        <w:rPr>
          <w:rFonts w:ascii="SimSun" w:hAnsi="SimSun" w:eastAsia="SimSun" w:cs="SimSun"/>
          <w:spacing w:val="15"/>
        </w:rPr>
        <w:t>和不稳定性心绞痛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-7"/>
        </w:rPr>
        <w:t>(unstable</w:t>
      </w:r>
      <w:r>
        <w:rPr>
          <w:rFonts w:ascii="SimSun" w:hAnsi="SimSun" w:eastAsia="SimSun" w:cs="SimSun"/>
          <w:spacing w:val="7"/>
        </w:rPr>
        <w:t xml:space="preserve">   </w:t>
      </w:r>
      <w:r>
        <w:rPr>
          <w:rFonts w:ascii="SimSun" w:hAnsi="SimSun" w:eastAsia="SimSun" w:cs="SimSun"/>
          <w:spacing w:val="-7"/>
        </w:rPr>
        <w:t>angina,UA),后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8"/>
        </w:rPr>
        <w:t>者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8"/>
        </w:rPr>
        <w:t>包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8"/>
        </w:rPr>
        <w:t>括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8"/>
        </w:rPr>
        <w:t>静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8"/>
        </w:rPr>
        <w:t>息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8"/>
        </w:rPr>
        <w:t>型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8"/>
        </w:rPr>
        <w:t>心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8"/>
        </w:rPr>
        <w:t>绞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8"/>
        </w:rPr>
        <w:t>痛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8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9"/>
        </w:rPr>
        <w:t>初发型心绞痛、恶化型心绞痛和变异型心绞痛。</w:t>
      </w:r>
      <w:r>
        <w:rPr>
          <w:rFonts w:ascii="SimSun" w:hAnsi="SimSun" w:eastAsia="SimSun" w:cs="SimSun"/>
          <w:spacing w:val="15"/>
        </w:rPr>
        <w:t xml:space="preserve"> </w:t>
      </w:r>
      <w:r>
        <w:rPr/>
        <w:t>UA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21"/>
        </w:rPr>
        <w:t>与</w:t>
      </w:r>
      <w:r>
        <w:rPr>
          <w:rFonts w:ascii="SimSun" w:hAnsi="SimSun" w:eastAsia="SimSun" w:cs="SimSun"/>
          <w:spacing w:val="-43"/>
        </w:rPr>
        <w:t xml:space="preserve"> </w:t>
      </w:r>
      <w:r>
        <w:rPr/>
        <w:t>NSTEMI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21"/>
        </w:rPr>
        <w:t>的发病机制和临床表现相似，但严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5"/>
        </w:rPr>
        <w:t>重程度不同。其区别主要是缺血是否严重到导致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25"/>
        </w:rPr>
        <w:t>心肌损伤，并可定量检测到心肌损伤的生物标志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物。2007年欧洲心脏病学会</w:t>
      </w:r>
      <w:r>
        <w:rPr>
          <w:sz w:val="24"/>
          <w:szCs w:val="24"/>
          <w:spacing w:val="14"/>
        </w:rPr>
        <w:t>(</w:t>
      </w:r>
      <w:r>
        <w:rPr>
          <w:sz w:val="24"/>
          <w:szCs w:val="24"/>
        </w:rPr>
        <w:t>ESC</w:t>
      </w:r>
      <w:r>
        <w:rPr>
          <w:sz w:val="24"/>
          <w:szCs w:val="24"/>
          <w:spacing w:val="14"/>
        </w:rPr>
        <w:t>)</w:t>
      </w:r>
      <w:r>
        <w:rPr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首次将</w:t>
      </w:r>
    </w:p>
    <w:p>
      <w:pPr>
        <w:spacing w:line="10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0"/>
        <w:spacing w:before="38" w:line="285" w:lineRule="auto"/>
        <w:jc w:val="both"/>
        <w:rPr>
          <w:rFonts w:ascii="SimSun" w:hAnsi="SimSun" w:eastAsia="SimSun" w:cs="SimSun"/>
        </w:rPr>
      </w:pPr>
      <w:r>
        <w:rPr>
          <w:spacing w:val="-4"/>
        </w:rPr>
        <w:t>NSTEMI </w:t>
      </w:r>
      <w:r>
        <w:rPr>
          <w:rFonts w:ascii="SimSun" w:hAnsi="SimSun" w:eastAsia="SimSun" w:cs="SimSun"/>
          <w:spacing w:val="-4"/>
        </w:rPr>
        <w:t>和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4"/>
        </w:rPr>
        <w:t>UA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4"/>
        </w:rPr>
        <w:t>统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4"/>
        </w:rPr>
        <w:t>称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-4"/>
        </w:rPr>
        <w:t>为</w:t>
      </w:r>
      <w:r>
        <w:rPr>
          <w:spacing w:val="-4"/>
        </w:rPr>
        <w:t>NSTE-ACS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4"/>
        </w:rPr>
        <w:t>。</w:t>
      </w:r>
      <w:r>
        <w:rPr>
          <w:spacing w:val="-4"/>
        </w:rPr>
        <w:t>2014</w:t>
      </w:r>
      <w:r>
        <w:rPr>
          <w:spacing w:val="18"/>
        </w:rPr>
        <w:t xml:space="preserve">  </w:t>
      </w:r>
      <w:r>
        <w:rPr>
          <w:rFonts w:ascii="SimSun" w:hAnsi="SimSun" w:eastAsia="SimSun" w:cs="SimSun"/>
          <w:spacing w:val="-4"/>
        </w:rPr>
        <w:t>年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4"/>
        </w:rPr>
        <w:t>美 国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4"/>
        </w:rPr>
        <w:t>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脏病学学会/美国心脏协会</w:t>
      </w:r>
      <w:r>
        <w:rPr>
          <w:sz w:val="24"/>
          <w:szCs w:val="24"/>
          <w:spacing w:val="-9"/>
        </w:rPr>
        <w:t>(ACC/AHA),2015</w:t>
      </w:r>
      <w:r>
        <w:rPr>
          <w:rFonts w:ascii="SimSun" w:hAnsi="SimSun" w:eastAsia="SimSun" w:cs="SimSun"/>
          <w:sz w:val="24"/>
          <w:szCs w:val="24"/>
          <w:spacing w:val="-9"/>
        </w:rPr>
        <w:t>年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/>
        <w:t>ESC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24"/>
        </w:rPr>
        <w:t>及2016年中华医学会心血管病学分会均更新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12"/>
        </w:rPr>
        <w:t>了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</w:rPr>
        <w:t>NSTE</w:t>
      </w:r>
      <w:r>
        <w:rPr>
          <w:rFonts w:ascii="SimSun" w:hAnsi="SimSun" w:eastAsia="SimSun" w:cs="SimSun"/>
          <w:spacing w:val="12"/>
        </w:rPr>
        <w:t>-</w:t>
      </w:r>
      <w:r>
        <w:rPr>
          <w:rFonts w:ascii="SimSun" w:hAnsi="SimSun" w:eastAsia="SimSun" w:cs="SimSun"/>
        </w:rPr>
        <w:t>ACS</w:t>
      </w:r>
      <w:r>
        <w:rPr>
          <w:rFonts w:ascii="SimSun" w:hAnsi="SimSun" w:eastAsia="SimSun" w:cs="SimSun"/>
          <w:spacing w:val="12"/>
        </w:rPr>
        <w:t xml:space="preserve">  指南14。</w:t>
      </w:r>
    </w:p>
    <w:p>
      <w:pPr>
        <w:ind w:left="440"/>
        <w:spacing w:before="40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(二)流行病学</w:t>
      </w:r>
    </w:p>
    <w:p>
      <w:pPr>
        <w:pStyle w:val="BodyText"/>
        <w:ind w:right="185" w:firstLine="449"/>
        <w:spacing w:before="25" w:line="293" w:lineRule="auto"/>
        <w:jc w:val="both"/>
        <w:rPr>
          <w:rFonts w:ascii="SimSun" w:hAnsi="SimSun" w:eastAsia="SimSun" w:cs="SimSun"/>
        </w:rPr>
      </w:pPr>
      <w:r>
        <w:pict>
          <v:group id="_x0000_s2" style="position:absolute;margin-left:158.999pt;margin-top:166.262pt;mso-position-vertical-relative:text;mso-position-horizontal-relative:text;width:71.05pt;height:70.05pt;z-index:251658240;" filled="false" stroked="false" coordsize="1421,1401" coordorigin="0,0">
            <v:shape id="_x0000_s4" style="position:absolute;left:30;top:69;width:1311;height:1281;" filled="false" stroked="false" type="#_x0000_t75">
              <v:imagedata o:title="" r:id="rId2"/>
            </v:shape>
            <v:shape id="_x0000_s6" style="position:absolute;left:-20;top:-20;width:1461;height:14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15" w:type="dxa"/>
                      <w:tblInd w:w="20" w:type="dxa"/>
                      <w:tblLayout w:type="fixed"/>
                      <w:tblBorders>
                        <w:bottom w:val="single" w:color="000000" w:sz="4" w:space="0"/>
                        <w:right w:val="single" w:color="000000" w:sz="4" w:space="0"/>
                        <w:top w:val="single" w:color="000000" w:sz="4" w:space="0"/>
                      </w:tblBorders>
                    </w:tblPr>
                    <w:tblGrid>
                      <w:gridCol w:w="1415"/>
                    </w:tblGrid>
                    <w:tr>
                      <w:trPr>
                        <w:trHeight w:val="1380" w:hRule="atLeast"/>
                      </w:trPr>
                      <w:tc>
                        <w:tcPr>
                          <w:tcW w:w="141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z w:val="24"/>
          <w:szCs w:val="24"/>
          <w:spacing w:val="11"/>
        </w:rPr>
        <w:t>近年来随着社区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sz w:val="24"/>
          <w:szCs w:val="24"/>
        </w:rPr>
        <w:t>ST</w:t>
      </w:r>
      <w:r>
        <w:rPr>
          <w:rFonts w:ascii="SimSun" w:hAnsi="SimSun" w:eastAsia="SimSun" w:cs="SimSun"/>
          <w:sz w:val="24"/>
          <w:szCs w:val="24"/>
          <w:spacing w:val="11"/>
        </w:rPr>
        <w:t>段抬高型心肌梗死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/>
        <w:t>(ST-segment    elevation    myocardial</w:t>
      </w:r>
      <w:r>
        <w:rPr>
          <w:spacing w:val="3"/>
        </w:rPr>
        <w:t xml:space="preserve">    </w:t>
      </w:r>
      <w:r>
        <w:rPr/>
        <w:t>infarction,STEMI)</w:t>
      </w:r>
      <w:r>
        <w:rPr>
          <w:spacing w:val="1"/>
        </w:rPr>
        <w:t xml:space="preserve">   </w:t>
      </w:r>
      <w:r>
        <w:rPr>
          <w:rFonts w:ascii="SimSun" w:hAnsi="SimSun" w:eastAsia="SimSun" w:cs="SimSun"/>
          <w:spacing w:val="19"/>
        </w:rPr>
        <w:t>的发病率逐渐降低，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NSTE</w:t>
      </w:r>
      <w:r>
        <w:rPr>
          <w:spacing w:val="19"/>
        </w:rPr>
        <w:t>-</w:t>
      </w:r>
      <w:r>
        <w:rPr/>
        <w:t>ACS</w:t>
      </w:r>
      <w:r>
        <w:rPr>
          <w:spacing w:val="33"/>
          <w:w w:val="101"/>
        </w:rPr>
        <w:t xml:space="preserve"> </w:t>
      </w:r>
      <w:r>
        <w:rPr>
          <w:rFonts w:ascii="SimSun" w:hAnsi="SimSun" w:eastAsia="SimSun" w:cs="SimSun"/>
          <w:spacing w:val="19"/>
        </w:rPr>
        <w:t>发病率显著升高。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目前临床诊断急性冠状动脉综合征(</w:t>
      </w:r>
      <w:r>
        <w:rPr>
          <w:rFonts w:ascii="SimSun" w:hAnsi="SimSun" w:eastAsia="SimSun" w:cs="SimSun"/>
        </w:rPr>
        <w:t>acute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</w:rPr>
        <w:t>coronary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sz w:val="24"/>
          <w:szCs w:val="24"/>
        </w:rPr>
        <w:t>syndrome</w:t>
      </w:r>
      <w:r>
        <w:rPr>
          <w:sz w:val="24"/>
          <w:szCs w:val="24"/>
          <w:spacing w:val="15"/>
        </w:rPr>
        <w:t>,</w:t>
      </w:r>
      <w:r>
        <w:rPr>
          <w:sz w:val="24"/>
          <w:szCs w:val="24"/>
        </w:rPr>
        <w:t>ACS</w:t>
      </w:r>
      <w:r>
        <w:rPr>
          <w:sz w:val="24"/>
          <w:szCs w:val="24"/>
          <w:spacing w:val="15"/>
        </w:rPr>
        <w:t>)</w:t>
      </w:r>
      <w:r>
        <w:rPr>
          <w:rFonts w:ascii="SimSun" w:hAnsi="SimSun" w:eastAsia="SimSun" w:cs="SimSun"/>
          <w:sz w:val="24"/>
          <w:szCs w:val="24"/>
          <w:spacing w:val="15"/>
        </w:rPr>
        <w:t>患者中，超过70%的患者为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/>
        <w:t>NSTE</w:t>
      </w:r>
      <w:r>
        <w:rPr>
          <w:spacing w:val="17"/>
        </w:rPr>
        <w:t>-</w:t>
      </w:r>
      <w:r>
        <w:rPr/>
        <w:t>ACS</w:t>
      </w:r>
      <w:r>
        <w:rPr>
          <w:spacing w:val="17"/>
        </w:rPr>
        <w:t>,</w:t>
      </w:r>
      <w:r>
        <w:rPr>
          <w:spacing w:val="61"/>
        </w:rPr>
        <w:t xml:space="preserve"> </w:t>
      </w:r>
      <w:r>
        <w:rPr>
          <w:rFonts w:ascii="SimSun" w:hAnsi="SimSun" w:eastAsia="SimSun" w:cs="SimSun"/>
          <w:spacing w:val="17"/>
        </w:rPr>
        <w:t>已成为常见临床急重症4-5。虽有研究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8"/>
        </w:rPr>
        <w:t>表明</w:t>
      </w:r>
      <w:r>
        <w:rPr>
          <w:sz w:val="24"/>
          <w:szCs w:val="24"/>
          <w:spacing w:val="-18"/>
        </w:rPr>
        <w:t>NSTE-ACS</w:t>
      </w:r>
      <w:r>
        <w:rPr>
          <w:rFonts w:ascii="SimSun" w:hAnsi="SimSun" w:eastAsia="SimSun" w:cs="SimSun"/>
          <w:sz w:val="24"/>
          <w:szCs w:val="24"/>
          <w:spacing w:val="-18"/>
        </w:rPr>
        <w:t>患者住院期间死亡率低于</w:t>
      </w:r>
      <w:r>
        <w:rPr>
          <w:sz w:val="24"/>
          <w:szCs w:val="24"/>
          <w:spacing w:val="-18"/>
        </w:rPr>
        <w:t>STEMI</w:t>
      </w:r>
      <w:r>
        <w:rPr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pacing w:val="16"/>
        </w:rPr>
        <w:t>患者，但再次心肌梗死率、再住院率及远期死亡率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12"/>
        </w:rPr>
        <w:t>均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12"/>
        </w:rPr>
        <w:t>高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2"/>
        </w:rPr>
        <w:t>于</w:t>
      </w:r>
      <w:r>
        <w:rPr/>
        <w:t>STEMI</w:t>
      </w:r>
      <w:r>
        <w:rPr>
          <w:spacing w:val="12"/>
        </w:rPr>
        <w:t>⁶-7</w:t>
      </w:r>
      <w:r>
        <w:rPr>
          <w:rFonts w:ascii="SimSun" w:hAnsi="SimSun" w:eastAsia="SimSun" w:cs="SimSun"/>
          <w:spacing w:val="12"/>
        </w:rPr>
        <w:t>】。</w:t>
      </w:r>
      <w:r>
        <w:rPr/>
        <w:t>OASIS</w:t>
      </w:r>
      <w:r>
        <w:rPr>
          <w:rFonts w:ascii="SimSun" w:hAnsi="SimSun" w:eastAsia="SimSun" w:cs="SimSun"/>
          <w:spacing w:val="12"/>
        </w:rPr>
        <w:t>登记试验中国地区入选</w:t>
      </w:r>
    </w:p>
    <w:p>
      <w:pPr>
        <w:spacing w:line="293" w:lineRule="auto"/>
        <w:sectPr>
          <w:type w:val="continuous"/>
          <w:pgSz w:w="12250" w:h="16500"/>
          <w:pgMar w:top="967" w:right="1069" w:bottom="0" w:left="340" w:header="0" w:footer="0" w:gutter="0"/>
          <w:cols w:equalWidth="0" w:num="2">
            <w:col w:w="5930" w:space="100"/>
            <w:col w:w="4811" w:space="0"/>
          </w:cols>
        </w:sectPr>
        <w:rPr>
          <w:rFonts w:ascii="SimSun" w:hAnsi="SimSun" w:eastAsia="SimSun" w:cs="SimSun"/>
        </w:rPr>
      </w:pP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5" w:line="192" w:lineRule="auto"/>
        <w:rPr/>
      </w:pPr>
      <w:r>
        <w:rPr>
          <w:b/>
          <w:bCs/>
          <w:spacing w:val="-2"/>
        </w:rPr>
        <w:t>DOI:</w:t>
      </w:r>
      <w:r>
        <w:rPr>
          <w:spacing w:val="-2"/>
        </w:rPr>
        <w:t>10.3760/cma.j.cn114798-20201030-01112</w:t>
      </w:r>
    </w:p>
    <w:p>
      <w:pPr>
        <w:pStyle w:val="BodyText"/>
        <w:ind w:left="932"/>
        <w:spacing w:before="83" w:line="22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-2"/>
        </w:rPr>
        <w:t>收稿日期</w:t>
      </w:r>
      <w:r>
        <w:rPr>
          <w:rFonts w:ascii="SimSun" w:hAnsi="SimSun" w:eastAsia="SimSun" w:cs="SimSun"/>
          <w:spacing w:val="49"/>
        </w:rPr>
        <w:t xml:space="preserve"> </w:t>
      </w:r>
      <w:r>
        <w:rPr>
          <w:spacing w:val="-2"/>
        </w:rPr>
        <w:t>2020-10-30            </w:t>
      </w:r>
      <w:r>
        <w:rPr>
          <w:rFonts w:ascii="SimHei" w:hAnsi="SimHei" w:eastAsia="SimHei" w:cs="SimHei"/>
          <w:b/>
          <w:bCs/>
          <w:spacing w:val="-2"/>
        </w:rPr>
        <w:t>本文编辑</w:t>
      </w:r>
      <w:r>
        <w:rPr>
          <w:rFonts w:ascii="SimHei" w:hAnsi="SimHei" w:eastAsia="SimHei" w:cs="SimHei"/>
          <w:spacing w:val="39"/>
        </w:rPr>
        <w:t xml:space="preserve"> </w:t>
      </w:r>
      <w:r>
        <w:rPr>
          <w:rFonts w:ascii="SimSun" w:hAnsi="SimSun" w:eastAsia="SimSun" w:cs="SimSun"/>
          <w:spacing w:val="-2"/>
        </w:rPr>
        <w:t>赵静姝</w:t>
      </w:r>
      <w:r>
        <w:rPr>
          <w:rFonts w:ascii="SimSun" w:hAnsi="SimSun" w:eastAsia="SimSun" w:cs="SimSun"/>
          <w:spacing w:val="32"/>
        </w:rPr>
        <w:t xml:space="preserve"> </w:t>
      </w:r>
      <w:r>
        <w:rPr>
          <w:rFonts w:ascii="SimSun" w:hAnsi="SimSun" w:eastAsia="SimSun" w:cs="SimSun"/>
          <w:spacing w:val="-2"/>
        </w:rPr>
        <w:t>刘岚</w:t>
      </w:r>
    </w:p>
    <w:p>
      <w:pPr>
        <w:pStyle w:val="BodyText"/>
        <w:ind w:left="929" w:right="1919" w:firstLine="2"/>
        <w:spacing w:before="56" w:line="230" w:lineRule="auto"/>
        <w:rPr/>
      </w:pPr>
      <w:r>
        <w:rPr>
          <w:rFonts w:ascii="SimSun" w:hAnsi="SimSun" w:eastAsia="SimSun" w:cs="SimSun"/>
          <w:b/>
          <w:bCs/>
          <w:spacing w:val="-15"/>
        </w:rPr>
        <w:t>引用本</w:t>
      </w:r>
      <w:r>
        <w:rPr>
          <w:rFonts w:ascii="SimHei" w:hAnsi="SimHei" w:eastAsia="SimHei" w:cs="SimHei"/>
          <w:b/>
          <w:bCs/>
          <w:spacing w:val="-15"/>
        </w:rPr>
        <w:t>文</w:t>
      </w:r>
      <w:r>
        <w:rPr>
          <w:rFonts w:ascii="SimSun" w:hAnsi="SimSun" w:eastAsia="SimSun" w:cs="SimSun"/>
          <w:b/>
          <w:bCs/>
          <w:spacing w:val="-15"/>
        </w:rPr>
        <w:t>：中</w:t>
      </w:r>
      <w:r>
        <w:rPr>
          <w:rFonts w:ascii="SimSun" w:hAnsi="SimSun" w:eastAsia="SimSun" w:cs="SimSun"/>
          <w:spacing w:val="-15"/>
        </w:rPr>
        <w:t>华医学会，中华医学会杂志社，中华医学会全科医学分会</w:t>
      </w:r>
      <w:r>
        <w:rPr>
          <w:rFonts w:ascii="SimSun" w:hAnsi="SimSun" w:eastAsia="SimSun" w:cs="SimSun"/>
          <w:spacing w:val="-16"/>
        </w:rPr>
        <w:t>，等.非ST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16"/>
        </w:rPr>
        <w:t>段抬高型急性冠状动脉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综合征基层诊疗指南(2019年)</w:t>
      </w:r>
      <w:r>
        <w:rPr>
          <w:spacing w:val="7"/>
        </w:rPr>
        <w:t>[J].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7"/>
        </w:rPr>
        <w:t>中华全科医师杂志，2021,20(1):6-13.</w:t>
      </w:r>
      <w:r>
        <w:rPr>
          <w:rFonts w:ascii="SimSun" w:hAnsi="SimSun" w:eastAsia="SimSun" w:cs="SimSun"/>
          <w:spacing w:val="-55"/>
        </w:rPr>
        <w:t xml:space="preserve"> </w:t>
      </w:r>
      <w:r>
        <w:rPr/>
        <w:t>DOI</w:t>
      </w:r>
      <w:r>
        <w:rPr>
          <w:spacing w:val="7"/>
        </w:rPr>
        <w:t>:10.3760/</w:t>
      </w:r>
      <w:r>
        <w:rPr/>
        <w:t>cma</w:t>
      </w:r>
      <w:r>
        <w:rPr>
          <w:spacing w:val="7"/>
        </w:rPr>
        <w:t>.j.</w:t>
      </w:r>
    </w:p>
    <w:p>
      <w:pPr>
        <w:pStyle w:val="BodyText"/>
        <w:ind w:left="929"/>
        <w:spacing w:before="99" w:line="188" w:lineRule="auto"/>
        <w:rPr/>
      </w:pPr>
      <w:r>
        <w:rPr/>
        <w:t>cn114798-20201030-01112.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202269</wp:posOffset>
            </wp:positionV>
            <wp:extent cx="1276337" cy="2095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37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9" w:line="188" w:lineRule="auto"/>
        <w:jc w:val="right"/>
        <w:rPr>
          <w:sz w:val="24"/>
          <w:szCs w:val="24"/>
        </w:rPr>
      </w:pPr>
      <w:r>
        <w:rPr>
          <w:sz w:val="24"/>
          <w:szCs w:val="24"/>
          <w:color w:val="C09080"/>
          <w:spacing w:val="-3"/>
        </w:rPr>
        <w:t>Q2xvdWRWZXJzaW9</w:t>
      </w:r>
    </w:p>
    <w:p>
      <w:pPr>
        <w:spacing w:line="188" w:lineRule="auto"/>
        <w:sectPr>
          <w:type w:val="continuous"/>
          <w:pgSz w:w="12250" w:h="16500"/>
          <w:pgMar w:top="967" w:right="1069" w:bottom="0" w:left="340" w:header="0" w:footer="0" w:gutter="0"/>
          <w:cols w:equalWidth="0" w:num="1">
            <w:col w:w="10841" w:space="0"/>
          </w:cols>
        </w:sectPr>
        <w:rPr>
          <w:sz w:val="24"/>
          <w:szCs w:val="24"/>
        </w:rPr>
      </w:pPr>
    </w:p>
    <w:p>
      <w:pPr>
        <w:pStyle w:val="BodyText"/>
        <w:ind w:left="929"/>
        <w:spacing w:before="41" w:line="222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20"/>
        </w:rPr>
        <w:t>中华全科医师杂志2021年1月第20卷第1期ChinJ Gen Prac,January 2021,Vol.20,No.1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                        </w:t>
      </w:r>
      <w:r>
        <w:rPr>
          <w:rFonts w:ascii="SimSun" w:hAnsi="SimSun" w:eastAsia="SimSun" w:cs="SimSun"/>
          <w:sz w:val="20"/>
          <w:szCs w:val="20"/>
          <w:spacing w:val="-20"/>
        </w:rPr>
        <w:t>·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20"/>
        </w:rPr>
        <w:t>7·</w:t>
      </w:r>
    </w:p>
    <w:p>
      <w:pPr>
        <w:spacing w:before="47"/>
        <w:rPr/>
      </w:pPr>
      <w:r/>
    </w:p>
    <w:p>
      <w:pPr>
        <w:sectPr>
          <w:pgSz w:w="12250" w:h="16500"/>
          <w:pgMar w:top="954" w:right="1176" w:bottom="0" w:left="340" w:header="0" w:footer="0" w:gutter="0"/>
          <w:cols w:equalWidth="0" w:num="1">
            <w:col w:w="10734" w:space="0"/>
          </w:cols>
        </w:sectPr>
        <w:rPr/>
      </w:pPr>
    </w:p>
    <w:p>
      <w:pPr>
        <w:pStyle w:val="BodyText"/>
        <w:ind w:left="929" w:right="449"/>
        <w:spacing w:before="79" w:line="26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0"/>
          <w:szCs w:val="20"/>
          <w:spacing w:val="25"/>
        </w:rPr>
        <w:t>的2294例</w:t>
      </w:r>
      <w:r>
        <w:rPr>
          <w:sz w:val="20"/>
          <w:szCs w:val="20"/>
        </w:rPr>
        <w:t>NSTE</w:t>
      </w:r>
      <w:r>
        <w:rPr>
          <w:sz w:val="20"/>
          <w:szCs w:val="20"/>
          <w:spacing w:val="25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25"/>
        </w:rPr>
        <w:t>患者2年随访结束时联合终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点事件(包括死亡、新的心肌梗死及卒中)发生率为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15.9%,总死亡率为7.6%8。2013年1月至201</w:t>
      </w:r>
      <w:r>
        <w:rPr>
          <w:rFonts w:ascii="SimSun" w:hAnsi="SimSun" w:eastAsia="SimSun" w:cs="SimSun"/>
          <w:sz w:val="23"/>
          <w:szCs w:val="23"/>
          <w:spacing w:val="-3"/>
        </w:rPr>
        <w:t>4年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9月期间参加中国急性心肌梗死</w:t>
      </w:r>
      <w:r>
        <w:rPr>
          <w:sz w:val="23"/>
          <w:szCs w:val="23"/>
          <w:spacing w:val="-9"/>
        </w:rPr>
        <w:t>(CAMI)</w:t>
      </w:r>
      <w:r>
        <w:rPr>
          <w:rFonts w:ascii="SimSun" w:hAnsi="SimSun" w:eastAsia="SimSun" w:cs="SimSun"/>
          <w:sz w:val="23"/>
          <w:szCs w:val="23"/>
          <w:spacing w:val="-10"/>
        </w:rPr>
        <w:t>注册登记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研究的</w:t>
      </w:r>
      <w:r>
        <w:rPr>
          <w:sz w:val="23"/>
          <w:szCs w:val="23"/>
          <w:spacing w:val="-7"/>
        </w:rPr>
        <w:t>NSTEMI</w:t>
      </w:r>
      <w:r>
        <w:rPr>
          <w:rFonts w:ascii="SimSun" w:hAnsi="SimSun" w:eastAsia="SimSun" w:cs="SimSun"/>
          <w:sz w:val="23"/>
          <w:szCs w:val="23"/>
          <w:spacing w:val="-7"/>
        </w:rPr>
        <w:t>患者5816例，352例(6.05%)患者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住院期间死亡9。</w:t>
      </w:r>
    </w:p>
    <w:p>
      <w:pPr>
        <w:ind w:left="1362"/>
        <w:spacing w:before="22" w:line="221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二、病因学</w:t>
      </w:r>
    </w:p>
    <w:p>
      <w:pPr>
        <w:ind w:left="1359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(一)危险因素和诱发因素</w:t>
      </w:r>
    </w:p>
    <w:p>
      <w:pPr>
        <w:ind w:left="929" w:right="380" w:firstLine="430"/>
        <w:spacing w:before="10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目前有明确临床研究证据的冠心病危险因素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包括年龄、男性、高血压、吸烟、血脂异常、糖</w:t>
      </w:r>
      <w:r>
        <w:rPr>
          <w:rFonts w:ascii="SimSun" w:hAnsi="SimSun" w:eastAsia="SimSun" w:cs="SimSun"/>
          <w:sz w:val="20"/>
          <w:szCs w:val="20"/>
          <w:spacing w:val="-8"/>
        </w:rPr>
        <w:t>尿病、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早发冠心病家族史(一级亲属男性&lt;55岁、女性&lt;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65岁发生冠心病),其他尚不明确的冠心病危险因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素包括肥胖、慢性肾脏疾病、高同型半胱氨酸血症、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慢性炎症等。</w:t>
      </w:r>
    </w:p>
    <w:p>
      <w:pPr>
        <w:ind w:left="929" w:right="455" w:firstLine="430"/>
        <w:spacing w:before="15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主要诱发因素包括：①增加心肌氧耗：感染、甲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状腺功能亢进或快速性心律失常；②减少冠状动脉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血流：低血压；③血液携氧能力下降：贫血和低氧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血症。</w:t>
      </w:r>
    </w:p>
    <w:p>
      <w:pPr>
        <w:ind w:left="135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(二)发病机制</w:t>
      </w:r>
    </w:p>
    <w:p>
      <w:pPr>
        <w:pStyle w:val="BodyText"/>
        <w:ind w:left="929" w:right="380" w:firstLine="430"/>
        <w:spacing w:before="52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NSTE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9"/>
        </w:rPr>
        <w:t>的病理生理基础主要为冠状动脉严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重狭窄和/或易损斑块破裂或糜烂所致的急性血栓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形成，伴或不伴有血管收缩、微血管栓塞，引起冠状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动脉血流减少和心肌缺血。少数</w:t>
      </w:r>
      <w:r>
        <w:rPr>
          <w:sz w:val="20"/>
          <w:szCs w:val="20"/>
        </w:rPr>
        <w:t>NSTE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17"/>
        </w:rPr>
        <w:t>由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非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动脉粥样硬化性疾病所致，如血管痉挛性心绞痛、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冠状动脉栓塞和动脉炎。非冠状动脉原因导致的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心肌供氧-需氧不平衡包括低血压、严重贫血、高血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压、心动过速、严重主动脉瓣狭窄和肥厚型梗阻性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心肌病等。</w:t>
      </w:r>
    </w:p>
    <w:p>
      <w:pPr>
        <w:ind w:left="1362"/>
        <w:spacing w:before="1" w:line="220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三、诊断与鉴别诊断</w:t>
      </w:r>
    </w:p>
    <w:p>
      <w:pPr>
        <w:ind w:left="135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(一)诊断</w:t>
      </w:r>
    </w:p>
    <w:p>
      <w:pPr>
        <w:pStyle w:val="BodyText"/>
        <w:ind w:left="929" w:right="443" w:firstLine="430"/>
        <w:spacing w:before="92" w:line="2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NSTE</w:t>
      </w:r>
      <w:r>
        <w:rPr>
          <w:sz w:val="20"/>
          <w:szCs w:val="20"/>
          <w:spacing w:val="11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11"/>
        </w:rPr>
        <w:t>的诊断基于症状、心电图和心肌损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伤生物标志物。</w:t>
      </w:r>
    </w:p>
    <w:p>
      <w:pPr>
        <w:pStyle w:val="BodyText"/>
        <w:ind w:left="929" w:right="469" w:firstLine="430"/>
        <w:spacing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8"/>
        </w:rPr>
        <w:t>1. </w:t>
      </w:r>
      <w:r>
        <w:rPr>
          <w:rFonts w:ascii="SimSun" w:hAnsi="SimSun" w:eastAsia="SimSun" w:cs="SimSun"/>
          <w:sz w:val="20"/>
          <w:szCs w:val="20"/>
          <w:spacing w:val="8"/>
        </w:rPr>
        <w:t>临床表现：</w:t>
      </w:r>
      <w:r>
        <w:rPr>
          <w:sz w:val="20"/>
          <w:szCs w:val="20"/>
        </w:rPr>
        <w:t>NSTE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8"/>
        </w:rPr>
        <w:t>典型临床症状表现为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胸骨后压榨性疼痛，并且向左上臂(双上臂或右上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臂少见)、颈或颌放射，症状可为间歇性或持续性。</w:t>
      </w:r>
    </w:p>
    <w:p>
      <w:pPr>
        <w:pStyle w:val="BodyText"/>
        <w:ind w:left="929" w:right="460" w:firstLine="430"/>
        <w:spacing w:before="7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临 床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常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用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加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拿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大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心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血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管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学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会(Canadian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Cardiovascular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Society</w:t>
      </w:r>
      <w:r>
        <w:rPr>
          <w:rFonts w:ascii="SimSun" w:hAnsi="SimSun" w:eastAsia="SimSun" w:cs="SimSun"/>
          <w:sz w:val="20"/>
          <w:szCs w:val="20"/>
          <w:spacing w:val="3"/>
        </w:rPr>
        <w:t>,</w:t>
      </w:r>
      <w:r>
        <w:rPr>
          <w:rFonts w:ascii="SimSun" w:hAnsi="SimSun" w:eastAsia="SimSun" w:cs="SimSun"/>
          <w:sz w:val="20"/>
          <w:szCs w:val="20"/>
        </w:rPr>
        <w:t>CCS</w:t>
      </w:r>
      <w:r>
        <w:rPr>
          <w:rFonts w:ascii="SimSun" w:hAnsi="SimSun" w:eastAsia="SimSun" w:cs="SimSun"/>
          <w:sz w:val="20"/>
          <w:szCs w:val="20"/>
          <w:spacing w:val="3"/>
        </w:rPr>
        <w:t>)劳累型心绞痛的分级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标准进行评价(表1)。其临床特点包括：长时间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(&gt;20   </w:t>
      </w:r>
      <w:r>
        <w:rPr>
          <w:sz w:val="20"/>
          <w:szCs w:val="20"/>
        </w:rPr>
        <w:t>min</w:t>
      </w:r>
      <w:r>
        <w:rPr>
          <w:sz w:val="20"/>
          <w:szCs w:val="20"/>
          <w:spacing w:val="8"/>
        </w:rPr>
        <w:t>)</w:t>
      </w:r>
      <w:r>
        <w:rPr>
          <w:rFonts w:ascii="SimSun" w:hAnsi="SimSun" w:eastAsia="SimSun" w:cs="SimSun"/>
          <w:sz w:val="20"/>
          <w:szCs w:val="20"/>
          <w:spacing w:val="8"/>
        </w:rPr>
        <w:t>静息性心绞痛；新发(最近1个月内发生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的)心绞痛，表现为自发型心绞痛或劳力型</w:t>
      </w:r>
      <w:r>
        <w:rPr>
          <w:rFonts w:ascii="SimSun" w:hAnsi="SimSun" w:eastAsia="SimSun" w:cs="SimSun"/>
          <w:sz w:val="20"/>
          <w:szCs w:val="20"/>
          <w:spacing w:val="20"/>
        </w:rPr>
        <w:t>心绞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痛(</w:t>
      </w:r>
      <w:r>
        <w:rPr>
          <w:rFonts w:ascii="SimSun" w:hAnsi="SimSun" w:eastAsia="SimSun" w:cs="SimSun"/>
          <w:sz w:val="20"/>
          <w:szCs w:val="20"/>
        </w:rPr>
        <w:t>CCS</w:t>
      </w:r>
      <w:r>
        <w:rPr>
          <w:rFonts w:ascii="SimSun" w:hAnsi="SimSun" w:eastAsia="SimSun" w:cs="SimSun"/>
          <w:sz w:val="20"/>
          <w:szCs w:val="20"/>
          <w:spacing w:val="21"/>
        </w:rPr>
        <w:t>Ⅱ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1"/>
        </w:rPr>
        <w:t>或Ⅲ级);过去稳定性心绞痛最近1个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月内症状加重，且具有至少</w:t>
      </w:r>
      <w:r>
        <w:rPr>
          <w:sz w:val="20"/>
          <w:szCs w:val="20"/>
        </w:rPr>
        <w:t>CCS</w:t>
      </w:r>
      <w:r>
        <w:rPr>
          <w:sz w:val="20"/>
          <w:szCs w:val="20"/>
          <w:spacing w:val="19"/>
        </w:rPr>
        <w:t>Ⅲ</w:t>
      </w:r>
      <w:r>
        <w:rPr>
          <w:sz w:val="20"/>
          <w:szCs w:val="20"/>
          <w:spacing w:val="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级的特点(恶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2"/>
        </w:rPr>
        <w:t>化性心绞痛);心肌梗死后1个月内发生的心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绞痛。</w:t>
      </w:r>
    </w:p>
    <w:p>
      <w:pPr>
        <w:spacing w:line="1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49" w:right="589" w:hanging="417"/>
        <w:spacing w:before="38" w:line="28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表1</w:t>
      </w:r>
      <w:r>
        <w:rPr>
          <w:rFonts w:ascii="SimHei" w:hAnsi="SimHei" w:eastAsia="SimHei" w:cs="SimHei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加拿大心血管学会(CCS)劳累型心绞痛的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分级标准</w:t>
      </w:r>
    </w:p>
    <w:tbl>
      <w:tblPr>
        <w:tblStyle w:val="TableNormal"/>
        <w:tblW w:w="457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65"/>
        <w:gridCol w:w="4005"/>
      </w:tblGrid>
      <w:tr>
        <w:trPr>
          <w:trHeight w:val="273" w:hRule="atLeast"/>
        </w:trPr>
        <w:tc>
          <w:tcPr>
            <w:tcW w:w="5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9"/>
              <w:spacing w:before="62" w:line="220" w:lineRule="auto"/>
              <w:rPr/>
            </w:pPr>
            <w:r>
              <w:rPr>
                <w:spacing w:val="-3"/>
              </w:rPr>
              <w:t>分级</w:t>
            </w:r>
          </w:p>
        </w:tc>
        <w:tc>
          <w:tcPr>
            <w:tcW w:w="40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4"/>
              <w:spacing w:before="62" w:line="220" w:lineRule="auto"/>
              <w:rPr/>
            </w:pPr>
            <w:r>
              <w:rPr>
                <w:color w:val="405050"/>
                <w:spacing w:val="-2"/>
              </w:rPr>
              <w:t>标准</w:t>
            </w:r>
          </w:p>
        </w:tc>
      </w:tr>
      <w:tr>
        <w:trPr>
          <w:trHeight w:val="472" w:hRule="atLeast"/>
        </w:trPr>
        <w:tc>
          <w:tcPr>
            <w:tcW w:w="5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9"/>
              <w:spacing w:before="150" w:line="221" w:lineRule="auto"/>
              <w:rPr/>
            </w:pPr>
            <w:r>
              <w:rPr>
                <w:color w:val="405060"/>
                <w:spacing w:val="-3"/>
              </w:rPr>
              <w:t>I级</w:t>
            </w:r>
          </w:p>
        </w:tc>
        <w:tc>
          <w:tcPr>
            <w:tcW w:w="400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74" w:right="49" w:hanging="151"/>
              <w:spacing w:before="47" w:line="239" w:lineRule="auto"/>
              <w:rPr/>
            </w:pPr>
            <w:r>
              <w:rPr>
                <w:spacing w:val="-1"/>
              </w:rPr>
              <w:t>一般日常活动不引起心绞痛，用力、速度快、长时间的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体力活动引起发作</w:t>
            </w:r>
          </w:p>
        </w:tc>
      </w:tr>
      <w:tr>
        <w:trPr>
          <w:trHeight w:val="273" w:hRule="atLeast"/>
        </w:trPr>
        <w:tc>
          <w:tcPr>
            <w:tcW w:w="565" w:type="dxa"/>
            <w:vAlign w:val="top"/>
          </w:tcPr>
          <w:p>
            <w:pPr>
              <w:pStyle w:val="TableText"/>
              <w:ind w:left="49"/>
              <w:spacing w:before="58" w:line="221" w:lineRule="auto"/>
              <w:rPr/>
            </w:pPr>
            <w:r>
              <w:rPr>
                <w:color w:val="305060"/>
                <w:spacing w:val="-6"/>
              </w:rPr>
              <w:t>Ⅱ级</w:t>
            </w:r>
          </w:p>
        </w:tc>
        <w:tc>
          <w:tcPr>
            <w:tcW w:w="4005" w:type="dxa"/>
            <w:vAlign w:val="top"/>
          </w:tcPr>
          <w:p>
            <w:pPr>
              <w:pStyle w:val="TableText"/>
              <w:spacing w:before="56" w:line="219" w:lineRule="auto"/>
              <w:jc w:val="right"/>
              <w:rPr/>
            </w:pPr>
            <w:r>
              <w:rPr>
                <w:spacing w:val="-4"/>
              </w:rPr>
              <w:t>日常体力活动稍受限，饭后、情绪激动时受限更明显</w:t>
            </w:r>
          </w:p>
        </w:tc>
      </w:tr>
      <w:tr>
        <w:trPr>
          <w:trHeight w:val="468" w:hRule="atLeast"/>
        </w:trPr>
        <w:tc>
          <w:tcPr>
            <w:tcW w:w="565" w:type="dxa"/>
            <w:vAlign w:val="top"/>
          </w:tcPr>
          <w:p>
            <w:pPr>
              <w:pStyle w:val="TableText"/>
              <w:ind w:left="129"/>
              <w:spacing w:before="155" w:line="221" w:lineRule="auto"/>
              <w:rPr/>
            </w:pPr>
            <w:r>
              <w:rPr>
                <w:color w:val="404040"/>
                <w:spacing w:val="-2"/>
              </w:rPr>
              <w:t>Ⅲ级</w:t>
            </w:r>
          </w:p>
        </w:tc>
        <w:tc>
          <w:tcPr>
            <w:tcW w:w="4005" w:type="dxa"/>
            <w:vAlign w:val="top"/>
          </w:tcPr>
          <w:p>
            <w:pPr>
              <w:pStyle w:val="TableText"/>
              <w:ind w:left="293" w:right="202" w:hanging="179"/>
              <w:spacing w:before="74" w:line="221" w:lineRule="auto"/>
              <w:rPr/>
            </w:pPr>
            <w:r>
              <w:rPr/>
              <w:t>日常体力活动明显受限，以一般速度在一般条件下平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地步行1公里或上一层楼即可引起心绞痛发作</w:t>
            </w:r>
          </w:p>
        </w:tc>
      </w:tr>
      <w:tr>
        <w:trPr>
          <w:trHeight w:val="274" w:hRule="atLeast"/>
        </w:trPr>
        <w:tc>
          <w:tcPr>
            <w:tcW w:w="5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9"/>
              <w:spacing w:before="67" w:line="221" w:lineRule="auto"/>
              <w:rPr/>
            </w:pPr>
            <w:r>
              <w:rPr/>
              <w:t>IV</w:t>
            </w:r>
            <w:r>
              <w:rPr>
                <w:spacing w:val="9"/>
              </w:rPr>
              <w:t>级</w:t>
            </w:r>
          </w:p>
        </w:tc>
        <w:tc>
          <w:tcPr>
            <w:tcW w:w="400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84"/>
              <w:spacing w:before="65" w:line="219" w:lineRule="auto"/>
              <w:rPr/>
            </w:pPr>
            <w:r>
              <w:rPr>
                <w:spacing w:val="-1"/>
              </w:rPr>
              <w:t>轻微活动即可引起心绞痛，甚至休息时也有发作</w:t>
            </w:r>
          </w:p>
        </w:tc>
      </w:tr>
    </w:tbl>
    <w:p>
      <w:pPr>
        <w:spacing w:line="347" w:lineRule="auto"/>
        <w:rPr>
          <w:rFonts w:ascii="Arial"/>
          <w:sz w:val="21"/>
        </w:rPr>
      </w:pPr>
      <w:r/>
    </w:p>
    <w:p>
      <w:pPr>
        <w:ind w:right="138" w:firstLine="42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发病时的临床表现能高度预测早期预后，如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静息型心绞痛较劳力型心绞痛预后差[10</w:t>
      </w:r>
      <w:r>
        <w:rPr>
          <w:rFonts w:ascii="SimSun" w:hAnsi="SimSun" w:eastAsia="SimSun" w:cs="SimSun"/>
          <w:sz w:val="20"/>
          <w:szCs w:val="20"/>
          <w:spacing w:val="10"/>
        </w:rPr>
        <w:t>。如心绞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痛发作时伴低血压或心功能不全，常提示预后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不良。</w:t>
      </w:r>
    </w:p>
    <w:p>
      <w:pPr>
        <w:pStyle w:val="BodyText"/>
        <w:ind w:right="125" w:firstLine="429"/>
        <w:spacing w:before="8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2.体格检查：拟诊</w:t>
      </w:r>
      <w:r>
        <w:rPr>
          <w:sz w:val="20"/>
          <w:szCs w:val="20"/>
        </w:rPr>
        <w:t>NSTE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10"/>
        </w:rPr>
        <w:t>的患者，体格检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查可能没有特殊表现。但严重心肌缺血可引起心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功能不全，如新出现的肺部啰音或啰音增加，第三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心音和第四心音，也可出现乳头肌供血不全所致的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二尖瓣关闭不全的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→</w:t>
      </w:r>
      <w:r>
        <w:rPr>
          <w:rFonts w:ascii="SimSun" w:hAnsi="SimSun" w:eastAsia="SimSun" w:cs="SimSun"/>
          <w:sz w:val="20"/>
          <w:szCs w:val="20"/>
          <w:spacing w:val="-7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过性收缩期杂音。应注意与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非心源性胸痛的相关表现(例如主动脉夹层、急性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肺栓塞、气胸、肺炎、胸膜炎、心包炎和心瓣膜疾病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等)相鉴别。</w:t>
      </w:r>
    </w:p>
    <w:p>
      <w:pPr>
        <w:ind w:left="429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3.辅助检查：</w:t>
      </w:r>
    </w:p>
    <w:p>
      <w:pPr>
        <w:pStyle w:val="BodyText"/>
        <w:ind w:right="163" w:firstLine="429"/>
        <w:spacing w:before="93" w:line="28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(1)心电图：特征性心电图异常包括心绞痛症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状出现时的</w:t>
      </w:r>
      <w:r>
        <w:rPr>
          <w:sz w:val="20"/>
          <w:szCs w:val="20"/>
        </w:rPr>
        <w:t>ST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段下移、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一过性</w:t>
      </w:r>
      <w:r>
        <w:rPr>
          <w:sz w:val="20"/>
          <w:szCs w:val="20"/>
        </w:rPr>
        <w:t>ST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段抬高和</w:t>
      </w:r>
      <w:r>
        <w:rPr>
          <w:sz w:val="20"/>
          <w:szCs w:val="20"/>
          <w:spacing w:val="12"/>
        </w:rPr>
        <w:t>T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改变。</w:t>
      </w:r>
    </w:p>
    <w:p>
      <w:pPr>
        <w:pStyle w:val="BodyText"/>
        <w:ind w:right="58" w:firstLine="429"/>
        <w:spacing w:before="4" w:line="25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9"/>
        </w:rPr>
        <w:t>疑似</w:t>
      </w:r>
      <w:r>
        <w:rPr>
          <w:sz w:val="23"/>
          <w:szCs w:val="23"/>
          <w:spacing w:val="-19"/>
        </w:rPr>
        <w:t>NSTE-ACS</w:t>
      </w:r>
      <w:r>
        <w:rPr>
          <w:rFonts w:ascii="SimSun" w:hAnsi="SimSun" w:eastAsia="SimSun" w:cs="SimSun"/>
          <w:sz w:val="23"/>
          <w:szCs w:val="23"/>
          <w:spacing w:val="-19"/>
        </w:rPr>
        <w:t>患者应注意连续观察，到达急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诊室后10</w:t>
      </w:r>
      <w:r>
        <w:rPr>
          <w:sz w:val="23"/>
          <w:szCs w:val="23"/>
          <w:spacing w:val="-9"/>
        </w:rPr>
        <w:t>min</w:t>
      </w:r>
      <w:r>
        <w:rPr>
          <w:rFonts w:ascii="SimSun" w:hAnsi="SimSun" w:eastAsia="SimSun" w:cs="SimSun"/>
          <w:sz w:val="23"/>
          <w:szCs w:val="23"/>
          <w:spacing w:val="-9"/>
        </w:rPr>
        <w:t>内检测12导联心电图，评价是否存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在缺血及缺血程度。如果心电图正常而患者胸痛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4"/>
        </w:rPr>
        <w:t>持续，应在15~30 </w:t>
      </w:r>
      <w:r>
        <w:rPr>
          <w:sz w:val="23"/>
          <w:szCs w:val="23"/>
          <w:spacing w:val="-24"/>
        </w:rPr>
        <w:t>min</w:t>
      </w:r>
      <w:r>
        <w:rPr>
          <w:rFonts w:ascii="SimSun" w:hAnsi="SimSun" w:eastAsia="SimSun" w:cs="SimSun"/>
          <w:sz w:val="23"/>
          <w:szCs w:val="23"/>
          <w:spacing w:val="-24"/>
        </w:rPr>
        <w:t>内复查，尤其注</w:t>
      </w:r>
      <w:r>
        <w:rPr>
          <w:rFonts w:ascii="SimSun" w:hAnsi="SimSun" w:eastAsia="SimSun" w:cs="SimSun"/>
          <w:sz w:val="23"/>
          <w:szCs w:val="23"/>
          <w:spacing w:val="-25"/>
        </w:rPr>
        <w:t>意及时记录胸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痛发作时的心电图变化。如果怀疑患者有进行性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3"/>
        </w:rPr>
        <w:t>缺血，而常规12导联心电图无法明确诊断时</w:t>
      </w:r>
      <w:r>
        <w:rPr>
          <w:rFonts w:ascii="SimSun" w:hAnsi="SimSun" w:eastAsia="SimSun" w:cs="SimSun"/>
          <w:sz w:val="23"/>
          <w:szCs w:val="23"/>
          <w:spacing w:val="-24"/>
        </w:rPr>
        <w:t>，建议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6"/>
        </w:rPr>
        <w:t>加做右胸及后壁导联心电图(V</w:t>
      </w:r>
      <w:r>
        <w:rPr>
          <w:rFonts w:ascii="Calibri" w:hAnsi="Calibri" w:eastAsia="Calibri" w:cs="Calibri"/>
          <w:sz w:val="23"/>
          <w:szCs w:val="23"/>
          <w:spacing w:val="-6"/>
        </w:rPr>
        <w:t>₃</w:t>
      </w:r>
      <w:r>
        <w:rPr>
          <w:rFonts w:ascii="SimSun" w:hAnsi="SimSun" w:eastAsia="SimSun" w:cs="SimSun"/>
          <w:sz w:val="23"/>
          <w:szCs w:val="23"/>
          <w:spacing w:val="-6"/>
        </w:rPr>
        <w:t>~V</w:t>
      </w:r>
      <w:r>
        <w:rPr>
          <w:rFonts w:ascii="Calibri" w:hAnsi="Calibri" w:eastAsia="Calibri" w:cs="Calibri"/>
          <w:sz w:val="23"/>
          <w:szCs w:val="23"/>
          <w:spacing w:val="-6"/>
        </w:rPr>
        <w:t>₅</w:t>
      </w:r>
      <w:r>
        <w:rPr>
          <w:rFonts w:ascii="SimSun" w:hAnsi="SimSun" w:eastAsia="SimSun" w:cs="SimSun"/>
          <w:sz w:val="23"/>
          <w:szCs w:val="23"/>
          <w:spacing w:val="-6"/>
        </w:rPr>
        <w:t>R/V</w:t>
      </w:r>
      <w:r>
        <w:rPr>
          <w:rFonts w:ascii="Calibri" w:hAnsi="Calibri" w:eastAsia="Calibri" w:cs="Calibri"/>
          <w:sz w:val="23"/>
          <w:szCs w:val="23"/>
          <w:spacing w:val="-6"/>
        </w:rPr>
        <w:t>₇</w:t>
      </w:r>
      <w:r>
        <w:rPr>
          <w:rFonts w:ascii="SimSun" w:hAnsi="SimSun" w:eastAsia="SimSun" w:cs="SimSun"/>
          <w:sz w:val="23"/>
          <w:szCs w:val="23"/>
          <w:spacing w:val="-6"/>
        </w:rPr>
        <w:t>~V</w:t>
      </w:r>
      <w:r>
        <w:rPr>
          <w:rFonts w:ascii="Calibri" w:hAnsi="Calibri" w:eastAsia="Calibri" w:cs="Calibri"/>
          <w:sz w:val="23"/>
          <w:szCs w:val="23"/>
          <w:spacing w:val="-6"/>
        </w:rPr>
        <w:t>₉</w:t>
      </w:r>
      <w:r>
        <w:rPr>
          <w:rFonts w:ascii="SimSun" w:hAnsi="SimSun" w:eastAsia="SimSun" w:cs="SimSun"/>
          <w:sz w:val="23"/>
          <w:szCs w:val="23"/>
          <w:spacing w:val="-6"/>
        </w:rPr>
        <w:t>)。ST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0"/>
        </w:rPr>
        <w:t>段下移的导联数和幅度与心肌缺血的范围相关，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6"/>
        </w:rPr>
        <w:t>缺血范围越大，风险越高。如果ST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6"/>
        </w:rPr>
        <w:t>段压低伴短暂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0"/>
        </w:rPr>
        <w:t>抬高，也预示风险较高。</w:t>
      </w:r>
    </w:p>
    <w:p>
      <w:pPr>
        <w:pStyle w:val="BodyText"/>
        <w:ind w:right="157" w:firstLine="429"/>
        <w:spacing w:before="1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(2)心肌损伤生物标志物：</w:t>
      </w:r>
      <w:r>
        <w:rPr>
          <w:sz w:val="20"/>
          <w:szCs w:val="20"/>
        </w:rPr>
        <w:t>cTn </w:t>
      </w:r>
      <w:r>
        <w:rPr>
          <w:rFonts w:ascii="SimSun" w:hAnsi="SimSun" w:eastAsia="SimSun" w:cs="SimSun"/>
          <w:sz w:val="20"/>
          <w:szCs w:val="20"/>
        </w:rPr>
        <w:t>是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NSTE-ACS</w:t>
      </w:r>
      <w:r>
        <w:rPr>
          <w:rFonts w:ascii="SimSun" w:hAnsi="SimSun" w:eastAsia="SimSun" w:cs="SimSun"/>
          <w:sz w:val="20"/>
          <w:szCs w:val="20"/>
        </w:rPr>
        <w:t>最 </w:t>
      </w:r>
      <w:r>
        <w:rPr>
          <w:rFonts w:ascii="SimSun" w:hAnsi="SimSun" w:eastAsia="SimSun" w:cs="SimSun"/>
          <w:sz w:val="20"/>
          <w:szCs w:val="20"/>
          <w:spacing w:val="6"/>
        </w:rPr>
        <w:t>敏感和最特异的心肌损伤生物标志物，也是诊断和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危险分层的重要依据之一。</w:t>
      </w:r>
    </w:p>
    <w:p>
      <w:pPr>
        <w:pStyle w:val="BodyText"/>
        <w:ind w:right="38" w:firstLine="429"/>
        <w:spacing w:before="5" w:line="24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所有疑似</w:t>
      </w:r>
      <w:r>
        <w:rPr>
          <w:sz w:val="23"/>
          <w:szCs w:val="23"/>
          <w:spacing w:val="-9"/>
        </w:rPr>
        <w:t>NSTE-ACS</w:t>
      </w:r>
      <w:r>
        <w:rPr>
          <w:rFonts w:ascii="SimSun" w:hAnsi="SimSun" w:eastAsia="SimSun" w:cs="SimSun"/>
          <w:sz w:val="23"/>
          <w:szCs w:val="23"/>
          <w:spacing w:val="-9"/>
        </w:rPr>
        <w:t>患者均应在症状发作后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10"/>
        </w:rPr>
        <w:t>3~6h </w:t>
      </w:r>
      <w:r>
        <w:rPr>
          <w:rFonts w:ascii="SimSun" w:hAnsi="SimSun" w:eastAsia="SimSun" w:cs="SimSun"/>
          <w:sz w:val="23"/>
          <w:szCs w:val="23"/>
          <w:spacing w:val="-10"/>
        </w:rPr>
        <w:t>内检测</w:t>
      </w:r>
      <w:r>
        <w:rPr>
          <w:sz w:val="23"/>
          <w:szCs w:val="23"/>
          <w:spacing w:val="-10"/>
        </w:rPr>
        <w:t>cTnI</w:t>
      </w:r>
      <w:r>
        <w:rPr>
          <w:rFonts w:ascii="SimSun" w:hAnsi="SimSun" w:eastAsia="SimSun" w:cs="SimSun"/>
          <w:sz w:val="23"/>
          <w:szCs w:val="23"/>
          <w:spacing w:val="-10"/>
        </w:rPr>
        <w:t>和</w:t>
      </w:r>
      <w:r>
        <w:rPr>
          <w:sz w:val="23"/>
          <w:szCs w:val="23"/>
          <w:spacing w:val="-10"/>
        </w:rPr>
        <w:t>cTnT</w:t>
      </w:r>
      <w:r>
        <w:rPr>
          <w:rFonts w:ascii="SimSun" w:hAnsi="SimSun" w:eastAsia="SimSun" w:cs="SimSun"/>
          <w:sz w:val="23"/>
          <w:szCs w:val="23"/>
          <w:spacing w:val="-10"/>
        </w:rPr>
        <w:t>。</w:t>
      </w:r>
      <w:r>
        <w:rPr>
          <w:sz w:val="23"/>
          <w:szCs w:val="23"/>
          <w:spacing w:val="-10"/>
        </w:rPr>
        <w:t>cTn</w:t>
      </w:r>
      <w:r>
        <w:rPr>
          <w:rFonts w:ascii="SimSun" w:hAnsi="SimSun" w:eastAsia="SimSun" w:cs="SimSun"/>
          <w:sz w:val="23"/>
          <w:szCs w:val="23"/>
          <w:spacing w:val="-10"/>
        </w:rPr>
        <w:t>至少有一次超过第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99百分位正常参考值上限，被认为是</w:t>
      </w:r>
      <w:r>
        <w:rPr>
          <w:sz w:val="23"/>
          <w:szCs w:val="23"/>
          <w:spacing w:val="-4"/>
        </w:rPr>
        <w:t>cTn</w:t>
      </w:r>
      <w:r>
        <w:rPr>
          <w:rFonts w:ascii="SimSun" w:hAnsi="SimSun" w:eastAsia="SimSun" w:cs="SimSun"/>
          <w:sz w:val="23"/>
          <w:szCs w:val="23"/>
          <w:spacing w:val="-4"/>
        </w:rPr>
        <w:t>升高。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sz w:val="23"/>
          <w:szCs w:val="23"/>
        </w:rPr>
        <w:t>cTn</w:t>
      </w:r>
      <w:r>
        <w:rPr>
          <w:rFonts w:ascii="SimSun" w:hAnsi="SimSun" w:eastAsia="SimSun" w:cs="SimSun"/>
          <w:sz w:val="23"/>
          <w:szCs w:val="23"/>
          <w:spacing w:val="2"/>
        </w:rPr>
        <w:t>值升高及升高幅度有助于评估短期和长期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0"/>
        </w:rPr>
        <w:t>预后。</w:t>
      </w:r>
    </w:p>
    <w:p>
      <w:pPr>
        <w:pStyle w:val="BodyText"/>
        <w:ind w:left="429"/>
        <w:spacing w:line="212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与标准</w:t>
      </w:r>
      <w:r>
        <w:rPr>
          <w:sz w:val="20"/>
          <w:szCs w:val="20"/>
        </w:rPr>
        <w:t>cTn</w:t>
      </w:r>
      <w:r>
        <w:rPr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检测相比，高敏肌钙蛋白</w:t>
      </w:r>
      <w:r>
        <w:rPr>
          <w:sz w:val="20"/>
          <w:szCs w:val="20"/>
          <w:spacing w:val="9"/>
        </w:rPr>
        <w:t>(</w:t>
      </w:r>
      <w:r>
        <w:rPr>
          <w:sz w:val="20"/>
          <w:szCs w:val="20"/>
        </w:rPr>
        <w:t>hs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>cTn</w:t>
      </w:r>
      <w:r>
        <w:rPr>
          <w:sz w:val="20"/>
          <w:szCs w:val="20"/>
          <w:spacing w:val="9"/>
        </w:rPr>
        <w:t>)</w:t>
      </w:r>
    </w:p>
    <w:p>
      <w:pPr>
        <w:spacing w:line="212" w:lineRule="auto"/>
        <w:sectPr>
          <w:type w:val="continuous"/>
          <w:pgSz w:w="12250" w:h="16500"/>
          <w:pgMar w:top="954" w:right="1176" w:bottom="0" w:left="340" w:header="0" w:footer="0" w:gutter="0"/>
          <w:cols w:equalWidth="0" w:num="2">
            <w:col w:w="5940" w:space="100"/>
            <w:col w:w="4694" w:space="0"/>
          </w:cols>
        </w:sectPr>
        <w:rPr>
          <w:sz w:val="20"/>
          <w:szCs w:val="20"/>
        </w:rPr>
      </w:pP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spacing w:before="67"/>
        <w:jc w:val="right"/>
        <w:rPr>
          <w:sz w:val="23"/>
          <w:szCs w:val="23"/>
        </w:rPr>
      </w:pPr>
      <w:r>
        <w:rPr>
          <w:rFonts w:ascii="STXingkai" w:hAnsi="STXingkai" w:eastAsia="STXingkai" w:cs="STXingkai"/>
          <w:sz w:val="9"/>
          <w:szCs w:val="9"/>
          <w:position w:val="-6"/>
        </w:rPr>
        <w:drawing>
          <wp:inline distT="0" distB="0" distL="0" distR="0">
            <wp:extent cx="190423" cy="18419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9"/>
          <w:szCs w:val="9"/>
          <w:spacing w:val="11"/>
          <w:position w:val="-1"/>
        </w:rPr>
        <w:t xml:space="preserve"> </w:t>
      </w:r>
      <w:r>
        <w:rPr>
          <w:rFonts w:ascii="STXingkai" w:hAnsi="STXingkai" w:eastAsia="STXingkai" w:cs="STXingkai"/>
          <w:sz w:val="9"/>
          <w:szCs w:val="9"/>
          <w:i/>
          <w:iCs/>
          <w:spacing w:val="-1"/>
          <w:position w:val="-1"/>
        </w:rPr>
        <w:t>中桑告亭个会品往</w:t>
      </w:r>
      <w:r>
        <w:rPr>
          <w:rFonts w:ascii="STXingkai" w:hAnsi="STXingkai" w:eastAsia="STXingkai" w:cs="STXingkai"/>
          <w:sz w:val="9"/>
          <w:szCs w:val="9"/>
          <w:spacing w:val="-1"/>
          <w:position w:val="-1"/>
        </w:rPr>
        <w:t xml:space="preserve">         </w:t>
      </w:r>
      <w:r>
        <w:rPr>
          <w:sz w:val="9"/>
          <w:szCs w:val="9"/>
          <w:position w:val="7"/>
        </w:rPr>
        <w:drawing>
          <wp:inline distT="0" distB="0" distL="0" distR="0">
            <wp:extent cx="38038" cy="2546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8" cy="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9"/>
          <w:szCs w:val="9"/>
          <w:position w:val="-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3"/>
          <w:szCs w:val="23"/>
          <w:color w:val="C09080"/>
          <w:spacing w:val="-1"/>
        </w:rPr>
        <w:t>2xvdWRW</w:t>
      </w:r>
      <w:r>
        <w:rPr>
          <w:sz w:val="23"/>
          <w:szCs w:val="23"/>
          <w:color w:val="C09080"/>
          <w:spacing w:val="-2"/>
        </w:rPr>
        <w:t>ZXJzaW9</w:t>
      </w:r>
    </w:p>
    <w:p>
      <w:pPr>
        <w:sectPr>
          <w:type w:val="continuous"/>
          <w:pgSz w:w="12250" w:h="16500"/>
          <w:pgMar w:top="954" w:right="1176" w:bottom="0" w:left="340" w:header="0" w:footer="0" w:gutter="0"/>
          <w:cols w:equalWidth="0" w:num="1">
            <w:col w:w="10734" w:space="0"/>
          </w:cols>
        </w:sectPr>
        <w:rPr>
          <w:sz w:val="23"/>
          <w:szCs w:val="23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929"/>
        <w:spacing w:before="52" w:line="21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"/>
        </w:rPr>
        <w:t>·8   ·                                  </w:t>
      </w:r>
      <w:r>
        <w:rPr>
          <w:rFonts w:ascii="SimSun" w:hAnsi="SimSun" w:eastAsia="SimSun" w:cs="SimSun"/>
          <w:sz w:val="16"/>
          <w:szCs w:val="16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中华全科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医师杂志2021年1月第20卷第1期</w:t>
      </w:r>
      <w:r>
        <w:rPr>
          <w:rFonts w:ascii="SimSun" w:hAnsi="SimSun" w:eastAsia="SimSun" w:cs="SimSun"/>
          <w:sz w:val="16"/>
          <w:szCs w:val="16"/>
          <w:u w:val="single" w:color="auto"/>
        </w:rPr>
        <w:t>ChinJ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Gen</w:t>
      </w:r>
      <w:r>
        <w:rPr>
          <w:rFonts w:ascii="SimSun" w:hAnsi="SimSun" w:eastAsia="SimSun" w:cs="SimSun"/>
          <w:sz w:val="16"/>
          <w:szCs w:val="16"/>
          <w:u w:val="single" w:color="auto"/>
          <w:spacing w:val="1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Pract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,</w:t>
      </w:r>
      <w:r>
        <w:rPr>
          <w:rFonts w:ascii="SimSun" w:hAnsi="SimSun" w:eastAsia="SimSun" w:cs="SimSun"/>
          <w:sz w:val="16"/>
          <w:szCs w:val="16"/>
          <w:u w:val="single" w:color="auto"/>
        </w:rPr>
        <w:t>January</w:t>
      </w:r>
      <w:r>
        <w:rPr>
          <w:rFonts w:ascii="SimSun" w:hAnsi="SimSun" w:eastAsia="SimSun" w:cs="SimSun"/>
          <w:sz w:val="16"/>
          <w:szCs w:val="16"/>
          <w:u w:val="single" w:color="auto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2021,</w:t>
      </w:r>
      <w:r>
        <w:rPr>
          <w:rFonts w:ascii="SimSun" w:hAnsi="SimSun" w:eastAsia="SimSun" w:cs="SimSun"/>
          <w:sz w:val="16"/>
          <w:szCs w:val="16"/>
          <w:u w:val="single" w:color="auto"/>
        </w:rPr>
        <w:t>Vol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.20,</w:t>
      </w:r>
      <w:r>
        <w:rPr>
          <w:rFonts w:ascii="SimSun" w:hAnsi="SimSun" w:eastAsia="SimSun" w:cs="SimSun"/>
          <w:sz w:val="16"/>
          <w:szCs w:val="16"/>
          <w:u w:val="single" w:color="auto"/>
        </w:rPr>
        <w:t>No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.1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929" w:right="5094"/>
        <w:spacing w:before="68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8" style="position:absolute;margin-left:300.999pt;margin-top:2.93097pt;mso-position-vertical-relative:text;mso-position-horizontal-relative:text;width:233.3pt;height:458.5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碍和情绪改变。</w:t>
                  </w:r>
                </w:p>
                <w:p>
                  <w:pPr>
                    <w:ind w:left="439"/>
                    <w:spacing w:before="9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(三)诊断流程</w:t>
                  </w:r>
                </w:p>
                <w:p>
                  <w:pPr>
                    <w:ind w:left="439"/>
                    <w:spacing w:before="5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NSTE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ACS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 xml:space="preserve"> 的诊断流程见图14。</w:t>
                  </w:r>
                </w:p>
                <w:p>
                  <w:pPr>
                    <w:ind w:left="442"/>
                    <w:spacing w:before="66" w:line="222" w:lineRule="auto"/>
                    <w:outlineLvl w:val="4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20"/>
                    </w:rPr>
                    <w:t>四、风险评估</w:t>
                  </w:r>
                </w:p>
                <w:p>
                  <w:pPr>
                    <w:ind w:left="439"/>
                    <w:spacing w:before="70" w:line="218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(一)缺血风险评估</w:t>
                  </w:r>
                </w:p>
                <w:p>
                  <w:pPr>
                    <w:pStyle w:val="BodyText"/>
                    <w:ind w:left="20" w:right="108" w:firstLine="419"/>
                    <w:spacing w:before="84" w:line="282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缺血风险评估的目的是判断患者短期和长期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8"/>
                    </w:rPr>
                    <w:t>发生死亡和非致死性心肌梗死的风险。由于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2"/>
                    </w:rPr>
                    <w:t>NSTE-ACS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患者的临床表现轻重不一，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预后差异极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大，应进行早期缺血风险评估，明确诊断和识别高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危患者，采取针对性治疗策略，对降低心血管不良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8"/>
                    </w:rPr>
                    <w:t>事件，改善临床预后有重要意义。</w:t>
                  </w:r>
                </w:p>
                <w:p>
                  <w:pPr>
                    <w:pStyle w:val="BodyText"/>
                    <w:ind w:left="20" w:right="103" w:firstLine="419"/>
                    <w:spacing w:before="45" w:line="280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对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NSTE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ACS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 xml:space="preserve"> 缺血风险评估，目前常用工具包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3"/>
                    </w:rPr>
                    <w:t>括全球急性冠状动脉事件注册</w:t>
                  </w:r>
                  <w:r>
                    <w:rPr>
                      <w:sz w:val="21"/>
                      <w:szCs w:val="21"/>
                      <w:spacing w:val="13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GRACE</w:t>
                  </w:r>
                  <w:r>
                    <w:rPr>
                      <w:sz w:val="21"/>
                      <w:szCs w:val="21"/>
                      <w:spacing w:val="13"/>
                    </w:rPr>
                    <w:t>)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3"/>
                    </w:rPr>
                    <w:t>风险评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分、心肌梗死溶栓治疗临床试验</w:t>
                  </w:r>
                  <w:r>
                    <w:rPr>
                      <w:sz w:val="21"/>
                      <w:szCs w:val="21"/>
                      <w:spacing w:val="-4"/>
                    </w:rPr>
                    <w:t>(TIMI)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风险评分和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心电监测。</w:t>
                  </w:r>
                </w:p>
                <w:p>
                  <w:pPr>
                    <w:pStyle w:val="BodyText"/>
                    <w:ind w:left="20" w:right="20" w:firstLine="419"/>
                    <w:spacing w:before="1" w:line="282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5"/>
                    </w:rPr>
                    <w:t>1.</w:t>
                  </w:r>
                  <w:r>
                    <w:rPr>
                      <w:sz w:val="21"/>
                      <w:szCs w:val="21"/>
                    </w:rPr>
                    <w:t>GRACE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风险评分：对人院和出院提供了准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确的风险评估。此风险评分计算的参数包括年龄、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4"/>
                    </w:rPr>
                    <w:t>收缩压、脉率、血清肌酐、就诊时的</w:t>
                  </w:r>
                  <w:r>
                    <w:rPr>
                      <w:sz w:val="21"/>
                      <w:szCs w:val="21"/>
                      <w:spacing w:val="-14"/>
                    </w:rPr>
                    <w:t>Killip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4"/>
                    </w:rPr>
                    <w:t>分级、入院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>时心跳骤停、心肌损伤生物标志物升高和</w:t>
                  </w:r>
                  <w:r>
                    <w:rPr>
                      <w:sz w:val="21"/>
                      <w:szCs w:val="21"/>
                    </w:rPr>
                    <w:t>ST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>段变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8"/>
                    </w:rPr>
                    <w:t>化。具体评分标准见表2。在</w:t>
                  </w:r>
                  <w:r>
                    <w:rPr>
                      <w:sz w:val="21"/>
                      <w:szCs w:val="21"/>
                    </w:rPr>
                    <w:t>GRACE</w:t>
                  </w:r>
                  <w:r>
                    <w:rPr>
                      <w:sz w:val="21"/>
                      <w:szCs w:val="21"/>
                      <w:spacing w:val="-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8"/>
                    </w:rPr>
                    <w:t>评分基础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上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，</w:t>
                  </w:r>
                  <w:r>
                    <w:rPr>
                      <w:sz w:val="21"/>
                      <w:szCs w:val="21"/>
                      <w:spacing w:val="-2"/>
                    </w:rPr>
                    <w:t>GRACE</w:t>
                  </w:r>
                  <w:r>
                    <w:rPr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2"/>
                    </w:rPr>
                    <w:t>2.0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风险计算器可直接评估住院、6个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月、1年和3年的病死率，同时还能提供1年死亡或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0"/>
                    </w:rPr>
                    <w:t>心肌梗死联合风险[13。</w:t>
                  </w:r>
                </w:p>
                <w:p>
                  <w:pPr>
                    <w:ind w:left="20" w:right="20" w:firstLine="419"/>
                    <w:spacing w:before="49" w:line="282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目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前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临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床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上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广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泛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应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用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GRACE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分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将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NSTE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4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ACS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4"/>
                    </w:rPr>
                    <w:t>根据危险分层分为极高危、高危(&gt;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140分)、中危(109~140分)和低危(&lt;109分)四级，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并依此选择相应治疗策略。低危、中危和高危对应</w:t>
                  </w:r>
                </w:p>
                <w:p>
                  <w:pPr>
                    <w:ind w:left="1139"/>
                    <w:spacing w:before="186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</w:rPr>
                    <w:t>急性胸痛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-8"/>
        </w:rPr>
        <w:t>检测可更早发现心肌梗死，减少“肌钙蛋白盲区</w:t>
      </w:r>
      <w:r>
        <w:rPr>
          <w:rFonts w:ascii="SimSun" w:hAnsi="SimSun" w:eastAsia="SimSun" w:cs="SimSun"/>
          <w:sz w:val="21"/>
          <w:szCs w:val="21"/>
          <w:spacing w:val="-9"/>
        </w:rPr>
        <w:t>”。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hs-cTn</w:t>
      </w:r>
      <w:r>
        <w:rPr>
          <w:rFonts w:ascii="SimSun" w:hAnsi="SimSun" w:eastAsia="SimSun" w:cs="SimSun"/>
          <w:sz w:val="21"/>
          <w:szCs w:val="21"/>
        </w:rPr>
        <w:t>可作为心肌细胞损伤的量化指标，即</w:t>
      </w:r>
      <w:r>
        <w:rPr>
          <w:sz w:val="21"/>
          <w:szCs w:val="21"/>
          <w:spacing w:val="-1"/>
        </w:rPr>
        <w:t>hs-cTn</w:t>
      </w:r>
      <w:r>
        <w:rPr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6"/>
        </w:rPr>
        <w:t>水平越高，心肌梗死的可能性越大，死亡风险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越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大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2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。</w:t>
      </w:r>
    </w:p>
    <w:p>
      <w:pPr>
        <w:ind w:left="929" w:right="5114" w:firstLine="420"/>
        <w:spacing w:before="2" w:line="27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cTn</w:t>
      </w:r>
      <w:r>
        <w:rPr>
          <w:rFonts w:ascii="SimSun" w:hAnsi="SimSun" w:eastAsia="SimSun" w:cs="SimSun"/>
          <w:sz w:val="21"/>
          <w:szCs w:val="21"/>
          <w:spacing w:val="6"/>
        </w:rPr>
        <w:t>升高也可见于主动脉夹层、急性肺栓塞、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急慢性肾功能不全、严重心动过速和心动过缓、严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重心力衰竭、心肌炎、骨骼肌损伤及甲状腺</w:t>
      </w:r>
      <w:r>
        <w:rPr>
          <w:rFonts w:ascii="SimSun" w:hAnsi="SimSun" w:eastAsia="SimSun" w:cs="SimSun"/>
          <w:sz w:val="21"/>
          <w:szCs w:val="21"/>
          <w:spacing w:val="-5"/>
        </w:rPr>
        <w:t>功能减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退等。</w:t>
      </w:r>
    </w:p>
    <w:p>
      <w:pPr>
        <w:ind w:left="929" w:right="5206" w:firstLine="420"/>
        <w:spacing w:before="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(3)影像学检查：超声心动图检查可评价左心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室功能，同时明确有无节段性室壁活动异常有助于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对急性胸痛患者进行鉴别诊断和危险分层。心绞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痛患者在心绞痛发作、局部心肌缺血时可能出</w:t>
      </w:r>
      <w:r>
        <w:rPr>
          <w:rFonts w:ascii="SimSun" w:hAnsi="SimSun" w:eastAsia="SimSun" w:cs="SimSun"/>
          <w:sz w:val="21"/>
          <w:szCs w:val="21"/>
          <w:spacing w:val="-5"/>
        </w:rPr>
        <w:t>现一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过性可恢复的节段性室壁运动异常。</w:t>
      </w:r>
    </w:p>
    <w:p>
      <w:pPr>
        <w:pStyle w:val="BodyText"/>
        <w:ind w:left="929" w:right="5205" w:firstLine="420"/>
        <w:spacing w:before="34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对无反复胸痛、心电图正常、hs-cTn水平正常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但疑似</w:t>
      </w:r>
      <w:r>
        <w:rPr>
          <w:sz w:val="21"/>
          <w:szCs w:val="21"/>
          <w:spacing w:val="-2"/>
        </w:rPr>
        <w:t>NSTE-ACS</w:t>
      </w:r>
      <w:r>
        <w:rPr>
          <w:rFonts w:ascii="SimSun" w:hAnsi="SimSun" w:eastAsia="SimSun" w:cs="SimSun"/>
          <w:sz w:val="21"/>
          <w:szCs w:val="21"/>
          <w:spacing w:val="-2"/>
        </w:rPr>
        <w:t>的患者，可进行无创伤的药物或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运动负荷检查以诱发缺血发作。</w:t>
      </w:r>
    </w:p>
    <w:p>
      <w:pPr>
        <w:pStyle w:val="BodyText"/>
        <w:ind w:left="929" w:right="5115" w:firstLine="420"/>
        <w:spacing w:before="15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当冠心病可能性为低危或中危，且cTn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和/或心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电图不能确定诊断时，可考虑行冠状动脉</w:t>
      </w:r>
      <w:r>
        <w:rPr>
          <w:sz w:val="21"/>
          <w:szCs w:val="21"/>
          <w:spacing w:val="-4"/>
        </w:rPr>
        <w:t>CT</w:t>
      </w:r>
      <w:r>
        <w:rPr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检查，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排除</w:t>
      </w:r>
      <w:r>
        <w:rPr>
          <w:sz w:val="21"/>
          <w:szCs w:val="21"/>
          <w:spacing w:val="-3"/>
        </w:rPr>
        <w:t>NSTE-ACS</w:t>
      </w:r>
      <w:r>
        <w:rPr>
          <w:rFonts w:ascii="SimSun" w:hAnsi="SimSun" w:eastAsia="SimSun" w:cs="SimSun"/>
          <w:sz w:val="21"/>
          <w:szCs w:val="21"/>
          <w:spacing w:val="-3"/>
        </w:rPr>
        <w:t>。</w:t>
      </w:r>
    </w:p>
    <w:p>
      <w:pPr>
        <w:ind w:left="1349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(二)鉴别诊断</w:t>
      </w:r>
    </w:p>
    <w:p>
      <w:pPr>
        <w:ind w:left="929" w:right="5192" w:firstLine="420"/>
        <w:spacing w:before="60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NSTE-ACS 应与主动脉夹层、急性心包</w:t>
      </w:r>
      <w:r>
        <w:rPr>
          <w:rFonts w:ascii="SimSun" w:hAnsi="SimSun" w:eastAsia="SimSun" w:cs="SimSun"/>
          <w:sz w:val="21"/>
          <w:szCs w:val="21"/>
          <w:spacing w:val="-8"/>
        </w:rPr>
        <w:t>炎、急性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肺栓塞、气胸、消化道疾病(如反流性食管炎)和精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神心理疾病等引起的胸痛相鉴别。</w:t>
      </w:r>
    </w:p>
    <w:p>
      <w:pPr>
        <w:pStyle w:val="BodyText"/>
        <w:ind w:left="929" w:right="5209" w:firstLine="420"/>
        <w:spacing w:before="25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1.如发作向背部放射的严重撕裂样疼痛，伴有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呼吸困难或晕厥，但无典型的</w:t>
      </w:r>
      <w:r>
        <w:rPr>
          <w:sz w:val="21"/>
          <w:szCs w:val="21"/>
        </w:rPr>
        <w:t>STEMI</w:t>
      </w:r>
      <w:r>
        <w:rPr>
          <w:rFonts w:ascii="SimSun" w:hAnsi="SimSun" w:eastAsia="SimSun" w:cs="SimSun"/>
          <w:sz w:val="21"/>
          <w:szCs w:val="21"/>
          <w:spacing w:val="6"/>
        </w:rPr>
        <w:t>心电图变化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者，应警惕主动脉夹层。</w:t>
      </w:r>
    </w:p>
    <w:p>
      <w:pPr>
        <w:ind w:left="929" w:right="5115" w:firstLine="420"/>
        <w:spacing w:before="11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2.急性心包炎表现为发热，胸痛，向肩部放射，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前倾坐位时减轻，部分患者可闻及</w:t>
      </w:r>
    </w:p>
    <w:p>
      <w:pPr>
        <w:ind w:left="929" w:right="6560"/>
        <w:spacing w:before="20" w:line="2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心包摩擦音，心电图表现为PR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段压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低、ST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段呈弓背向下型抬高，无镜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像改变。</w:t>
      </w:r>
    </w:p>
    <w:p>
      <w:pPr>
        <w:pStyle w:val="BodyText"/>
        <w:ind w:left="4689"/>
        <w:spacing w:before="43" w:line="219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2730496</wp:posOffset>
            </wp:positionH>
            <wp:positionV relativeFrom="paragraph">
              <wp:posOffset>-433626</wp:posOffset>
            </wp:positionV>
            <wp:extent cx="4044950" cy="266694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4950" cy="266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442.995pt;margin-top:2.17164pt;mso-position-vertical-relative:text;mso-position-horizontal-relative:text;width:68.55pt;height:11.5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hs-cTn&gt;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正常上限值</w:t>
                  </w:r>
                </w:p>
              </w:txbxContent>
            </v:textbox>
          </v:shape>
        </w:pict>
      </w:r>
      <w:r>
        <w:rPr>
          <w:sz w:val="16"/>
          <w:szCs w:val="16"/>
        </w:rPr>
        <w:t>hs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cTn</w:t>
      </w:r>
      <w:r>
        <w:rPr>
          <w:rFonts w:ascii="SimSun" w:hAnsi="SimSun" w:eastAsia="SimSun" w:cs="SimSun"/>
          <w:sz w:val="16"/>
          <w:szCs w:val="16"/>
          <w:spacing w:val="3"/>
        </w:rPr>
        <w:t>&lt;正常上限值</w:t>
      </w:r>
    </w:p>
    <w:p>
      <w:pPr>
        <w:ind w:left="929" w:right="6465" w:firstLine="420"/>
        <w:spacing w:before="62" w:line="255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12" style="position:absolute;margin-left:225.496pt;margin-top:18.9883pt;mso-position-vertical-relative:text;mso-position-horizontal-relative:text;width:86pt;height:12.1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2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"/>
                    </w:rPr>
                    <w:t>胸痛&gt;6</w:t>
                  </w:r>
                  <w:r>
                    <w:rPr>
                      <w:sz w:val="16"/>
                      <w:szCs w:val="16"/>
                      <w:spacing w:val="5"/>
                    </w:rPr>
                    <w:t>h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   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"/>
                    </w:rPr>
                    <w:t>胸痛&lt;6</w:t>
                  </w:r>
                  <w:r>
                    <w:rPr>
                      <w:sz w:val="16"/>
                      <w:szCs w:val="16"/>
                      <w:spacing w:val="5"/>
                    </w:rPr>
                    <w:t>h</w:t>
                  </w:r>
                </w:p>
              </w:txbxContent>
            </v:textbox>
          </v:shape>
        </w:pict>
      </w:r>
      <w:r>
        <w:pict>
          <v:shape id="_x0000_s14" style="position:absolute;margin-left:343.997pt;margin-top:46.9248pt;mso-position-vertical-relative:text;mso-position-horizontal-relative:text;width:67.7pt;height:11.5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3h</w:t>
                  </w:r>
                  <w:r>
                    <w:rPr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再次检测</w:t>
                  </w:r>
                  <w:r>
                    <w:rPr>
                      <w:sz w:val="16"/>
                      <w:szCs w:val="16"/>
                    </w:rPr>
                    <w:t>hs-cTn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8"/>
        </w:rPr>
        <w:t>3.肺栓塞常表现为呼吸困难、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血压降低、低氧血症。心电图有右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心室负荷加重的表现。</w:t>
      </w:r>
    </w:p>
    <w:p>
      <w:pPr>
        <w:ind w:left="929" w:right="6547" w:firstLine="420"/>
        <w:spacing w:before="52" w:line="254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16" style="position:absolute;margin-left:333.995pt;margin-top:27.9633pt;mso-position-vertical-relative:text;mso-position-horizontal-relative:text;width:47pt;height:25.5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" w:right="20" w:hanging="40"/>
                    <w:spacing w:before="19" w:line="28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3"/>
                    </w:rPr>
                    <w:t>初次变化值&gt;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正常上限值</w:t>
                  </w:r>
                </w:p>
              </w:txbxContent>
            </v:textbox>
          </v:shape>
        </w:pict>
      </w:r>
      <w:r>
        <w:pict>
          <v:shape id="_x0000_s18" style="position:absolute;margin-left:220.995pt;margin-top:27.9952pt;mso-position-vertical-relative:text;mso-position-horizontal-relative:text;width:89.55pt;height:53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3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hs</w:t>
                  </w:r>
                  <w:r>
                    <w:rPr>
                      <w:sz w:val="16"/>
                      <w:szCs w:val="16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cTn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"/>
                    </w:rPr>
                    <w:t>无变化</w:t>
                  </w:r>
                </w:p>
                <w:p>
                  <w:pPr>
                    <w:ind w:left="920"/>
                    <w:spacing w:before="135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↓</w:t>
                  </w:r>
                </w:p>
                <w:p>
                  <w:pPr>
                    <w:pStyle w:val="BodyText"/>
                    <w:ind w:left="399" w:right="20" w:hanging="379"/>
                    <w:spacing w:before="27" w:line="28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6"/>
                    </w:rPr>
                    <w:t>无胸痛，</w:t>
                  </w:r>
                  <w:r>
                    <w:rPr>
                      <w:sz w:val="16"/>
                      <w:szCs w:val="16"/>
                      <w:spacing w:val="-6"/>
                    </w:rPr>
                    <w:t>GRACE&lt;140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6"/>
                    </w:rPr>
                    <w:t>分，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鉴别诊断排除</w:t>
                  </w:r>
                </w:p>
              </w:txbxContent>
            </v:textbox>
          </v:shape>
        </w:pict>
      </w:r>
      <w:r>
        <w:pict>
          <v:shape id="_x0000_s20" style="position:absolute;margin-left:468.5pt;margin-top:27.9952pt;mso-position-vertical-relative:text;mso-position-horizontal-relative:text;width:58.85pt;height:41.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9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hs-cTn</w:t>
                  </w:r>
                  <w:r>
                    <w:rPr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无变化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2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706060"/>
                      <w:spacing w:val="2"/>
                    </w:rPr>
                    <w:t>进一步鉴别诊断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3"/>
        </w:rPr>
        <w:t>4.气胸可以表现为急性呼吸困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难、胸痛和患侧呼吸音减弱。</w:t>
      </w:r>
    </w:p>
    <w:p>
      <w:pPr>
        <w:ind w:left="929" w:right="6556" w:firstLine="420"/>
        <w:spacing w:before="60" w:line="255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22" style="position:absolute;margin-left:394.497pt;margin-top:25.9486pt;mso-position-vertical-relative:text;mso-position-horizontal-relative:text;width:55.5pt;height:39.4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96" w:lineRule="auto"/>
                    <w:jc w:val="both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hs-cTn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5"/>
                    </w:rPr>
                    <w:t>升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5"/>
                    </w:rPr>
                    <w:t>高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5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4"/>
                    </w:rPr>
                    <w:t>2倍正常值上限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+临床症状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2"/>
        </w:rPr>
        <w:t>5.消化性溃疡可有胸部或上腹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部疼痛，有时向后背放射，可伴黑 </w:t>
      </w:r>
      <w:r>
        <w:rPr>
          <w:rFonts w:ascii="SimSun" w:hAnsi="SimSun" w:eastAsia="SimSun" w:cs="SimSun"/>
          <w:sz w:val="21"/>
          <w:szCs w:val="21"/>
          <w:spacing w:val="-12"/>
        </w:rPr>
        <w:t>便、呕血或晕厥。</w:t>
      </w:r>
    </w:p>
    <w:p>
      <w:pPr>
        <w:ind w:left="929" w:right="6556" w:firstLine="420"/>
        <w:spacing w:before="78" w:line="264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24" style="position:absolute;margin-left:230.494pt;margin-top:25.3648pt;mso-position-vertical-relative:text;mso-position-horizontal-relative:text;width:69pt;height:11.5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出院/负荷运动试验</w:t>
                  </w:r>
                </w:p>
              </w:txbxContent>
            </v:textbox>
          </v:shape>
        </w:pict>
      </w:r>
      <w:r>
        <w:pict>
          <v:shape id="_x0000_s26" style="position:absolute;margin-left:363.499pt;margin-top:25.3968pt;mso-position-vertical-relative:text;mso-position-horizontal-relative:text;width:49.7pt;height:11.5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有创治疗策略</w:t>
                  </w:r>
                </w:p>
              </w:txbxContent>
            </v:textbox>
          </v:shape>
        </w:pict>
      </w:r>
      <w:r>
        <w:pict>
          <v:shape id="_x0000_s28" style="position:absolute;margin-left:220.994pt;margin-top:43.358pt;mso-position-vertical-relative:text;mso-position-horizontal-relative:text;width:303.85pt;height:3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7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注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：</w:t>
                  </w:r>
                  <w:r>
                    <w:rPr>
                      <w:sz w:val="16"/>
                      <w:szCs w:val="16"/>
                      <w:spacing w:val="-4"/>
                    </w:rPr>
                    <w:t>hs-cTn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高敏肌钙蛋白；</w:t>
                  </w:r>
                  <w:r>
                    <w:rPr>
                      <w:sz w:val="16"/>
                      <w:szCs w:val="16"/>
                      <w:spacing w:val="-4"/>
                    </w:rPr>
                    <w:t>NSTE-ACS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非</w:t>
                  </w:r>
                  <w:r>
                    <w:rPr>
                      <w:sz w:val="16"/>
                      <w:szCs w:val="16"/>
                      <w:spacing w:val="-4"/>
                    </w:rPr>
                    <w:t>ST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段抬高型急性冠状动脉综合征；</w:t>
                  </w:r>
                  <w:r>
                    <w:rPr>
                      <w:sz w:val="16"/>
                      <w:szCs w:val="16"/>
                      <w:spacing w:val="-4"/>
                    </w:rPr>
                    <w:t>GRACE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全球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急性冠状动脉事件注册</w:t>
                  </w:r>
                </w:p>
                <w:p>
                  <w:pPr>
                    <w:pStyle w:val="BodyText"/>
                    <w:ind w:left="802"/>
                    <w:spacing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spacing w:val="1"/>
                    </w:rPr>
                    <w:t>图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spacing w:val="1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通过</w:t>
                  </w:r>
                  <w:r>
                    <w:rPr>
                      <w:sz w:val="16"/>
                      <w:szCs w:val="16"/>
                    </w:rPr>
                    <w:t>hs</w:t>
                  </w:r>
                  <w:r>
                    <w:rPr>
                      <w:sz w:val="16"/>
                      <w:szCs w:val="16"/>
                      <w:spacing w:val="1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cTn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检测</w:t>
                  </w:r>
                  <w:r>
                    <w:rPr>
                      <w:sz w:val="16"/>
                      <w:szCs w:val="16"/>
                    </w:rPr>
                    <w:t>NSTE</w:t>
                  </w:r>
                  <w:r>
                    <w:rPr>
                      <w:sz w:val="16"/>
                      <w:szCs w:val="16"/>
                      <w:spacing w:val="1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ACS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患者进行0</w:t>
                  </w:r>
                  <w:r>
                    <w:rPr>
                      <w:sz w:val="16"/>
                      <w:szCs w:val="16"/>
                      <w:spacing w:val="1"/>
                    </w:rPr>
                    <w:t>h/3h</w:t>
                  </w:r>
                  <w:r>
                    <w:rPr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诊断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和排除方案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9"/>
        </w:rPr>
        <w:t>6.焦虑和/或抑郁可有胸痛表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现，焦虑的急性发作可伴濒死感，但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症状不同于心绞痛，心电图、超声心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动图、心肌损伤生物标志物等检查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均无冠心病的证据，常伴有睡眠障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182415</wp:posOffset>
            </wp:positionV>
            <wp:extent cx="190423" cy="18419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839"/>
        <w:spacing w:before="61" w:line="192" w:lineRule="auto"/>
        <w:rPr>
          <w:sz w:val="21"/>
          <w:szCs w:val="21"/>
        </w:rPr>
      </w:pPr>
      <w:r>
        <w:pict>
          <v:shape id="_x0000_s30" style="position:absolute;margin-left:15.6166pt;margin-top:7.61279pt;mso-position-vertical-relative:text;mso-position-horizontal-relative:text;width:36.3pt;height:8.1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1"/>
          <w:szCs w:val="21"/>
          <w:color w:val="C08080"/>
          <w:spacing w:val="-1"/>
        </w:rPr>
        <w:t>2xvdWRWZXJ</w:t>
      </w:r>
    </w:p>
    <w:p>
      <w:pPr>
        <w:spacing w:line="192" w:lineRule="auto"/>
        <w:sectPr>
          <w:headerReference w:type="default" r:id="rId6"/>
          <w:pgSz w:w="12250" w:h="16500"/>
          <w:pgMar w:top="400" w:right="1239" w:bottom="0" w:left="340" w:header="0" w:footer="0" w:gutter="0"/>
        </w:sectPr>
        <w:rPr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68" w:line="216" w:lineRule="auto"/>
        <w:rPr>
          <w:sz w:val="21"/>
          <w:szCs w:val="21"/>
        </w:rPr>
      </w:pP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>中华全科医师杂志2021年1月第20卷第1期ChinJ Gen Prac,January 2021,Vol.20,No.1</w:t>
      </w:r>
      <w:r>
        <w:rPr>
          <w:rFonts w:ascii="SimSun" w:hAnsi="SimSun" w:eastAsia="SimSun" w:cs="SimSun"/>
          <w:sz w:val="17"/>
          <w:szCs w:val="17"/>
          <w:spacing w:val="-1"/>
        </w:rPr>
        <w:t xml:space="preserve">                    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             </w:t>
      </w:r>
      <w:r>
        <w:rPr>
          <w:rFonts w:ascii="SimSun" w:hAnsi="SimSun" w:eastAsia="SimSun" w:cs="SimSun"/>
          <w:sz w:val="21"/>
          <w:szCs w:val="21"/>
          <w:spacing w:val="-2"/>
          <w:position w:val="1"/>
        </w:rPr>
        <w:t>·</w:t>
      </w:r>
      <w:r>
        <w:rPr>
          <w:sz w:val="21"/>
          <w:szCs w:val="21"/>
          <w:spacing w:val="-2"/>
          <w:position w:val="1"/>
        </w:rPr>
        <w:t>9·</w:t>
      </w:r>
    </w:p>
    <w:p>
      <w:pPr>
        <w:spacing w:before="56"/>
        <w:rPr/>
      </w:pPr>
      <w:r/>
    </w:p>
    <w:tbl>
      <w:tblPr>
        <w:tblStyle w:val="TableNormal"/>
        <w:tblW w:w="9693" w:type="dxa"/>
        <w:tblInd w:w="9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0"/>
        <w:gridCol w:w="960"/>
        <w:gridCol w:w="1050"/>
        <w:gridCol w:w="800"/>
        <w:gridCol w:w="1105"/>
        <w:gridCol w:w="765"/>
        <w:gridCol w:w="1005"/>
        <w:gridCol w:w="825"/>
        <w:gridCol w:w="1695"/>
        <w:gridCol w:w="648"/>
      </w:tblGrid>
      <w:tr>
        <w:trPr>
          <w:trHeight w:val="329" w:hRule="atLeast"/>
        </w:trPr>
        <w:tc>
          <w:tcPr>
            <w:tcW w:w="1800" w:type="dxa"/>
            <w:vAlign w:val="top"/>
            <w:gridSpan w:val="2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0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47"/>
              <w:spacing w:before="85" w:line="221" w:lineRule="auto"/>
              <w:rPr/>
            </w:pPr>
            <w:r>
              <w:rPr>
                <w:b/>
                <w:bCs/>
                <w:spacing w:val="-3"/>
              </w:rPr>
              <w:t>表2</w:t>
            </w:r>
            <w:r>
              <w:rPr>
                <w:spacing w:val="-3"/>
              </w:rPr>
              <w:t>全球</w:t>
            </w:r>
          </w:p>
        </w:tc>
        <w:tc>
          <w:tcPr>
            <w:tcW w:w="1870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4"/>
              <w:spacing w:before="86" w:line="219" w:lineRule="auto"/>
              <w:rPr/>
            </w:pPr>
            <w:r>
              <w:rPr>
                <w:spacing w:val="-2"/>
              </w:rPr>
              <w:t>急性冠状动脉事 件注册(</w:t>
            </w:r>
          </w:p>
        </w:tc>
        <w:tc>
          <w:tcPr>
            <w:tcW w:w="1830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85"/>
              <w:spacing w:before="86" w:line="220" w:lineRule="auto"/>
              <w:rPr/>
            </w:pPr>
            <w:r>
              <w:rPr>
                <w:spacing w:val="-1"/>
              </w:rPr>
              <w:t>GRACE)风险</w:t>
            </w:r>
            <w:r>
              <w:rPr>
                <w:spacing w:val="9"/>
              </w:rPr>
              <w:t xml:space="preserve">    </w:t>
            </w:r>
            <w:r>
              <w:rPr>
                <w:color w:val="404040"/>
                <w:spacing w:val="-1"/>
              </w:rPr>
              <w:t>评分</w:t>
            </w:r>
          </w:p>
        </w:tc>
        <w:tc>
          <w:tcPr>
            <w:tcW w:w="2343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8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9"/>
              <w:spacing w:before="68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960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9"/>
              <w:spacing w:before="67" w:line="219" w:lineRule="auto"/>
              <w:rPr/>
            </w:pPr>
            <w:r>
              <w:rPr>
                <w:spacing w:val="6"/>
              </w:rPr>
              <w:t>得分(分)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4"/>
              <w:spacing w:before="68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800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67" w:line="219" w:lineRule="auto"/>
              <w:rPr/>
            </w:pPr>
            <w:r>
              <w:rPr>
                <w:spacing w:val="6"/>
              </w:rPr>
              <w:t>得分(分)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4"/>
              <w:spacing w:before="68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765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"/>
              <w:spacing w:before="67" w:line="219" w:lineRule="auto"/>
              <w:rPr/>
            </w:pPr>
            <w:r>
              <w:rPr>
                <w:spacing w:val="6"/>
              </w:rPr>
              <w:t>得分(分)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4"/>
              <w:spacing w:before="68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825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4"/>
              <w:spacing w:before="67" w:line="219" w:lineRule="auto"/>
              <w:rPr/>
            </w:pPr>
            <w:r>
              <w:rPr>
                <w:spacing w:val="7"/>
              </w:rPr>
              <w:t>得分(分)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68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6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67" w:line="219" w:lineRule="auto"/>
              <w:jc w:val="right"/>
              <w:rPr/>
            </w:pPr>
            <w:r>
              <w:rPr>
                <w:spacing w:val="-8"/>
              </w:rPr>
              <w:t>得分(分)</w:t>
            </w:r>
          </w:p>
        </w:tc>
      </w:tr>
      <w:tr>
        <w:trPr>
          <w:trHeight w:val="276" w:hRule="atLeast"/>
        </w:trPr>
        <w:tc>
          <w:tcPr>
            <w:tcW w:w="84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9"/>
              <w:spacing w:before="48" w:line="219" w:lineRule="auto"/>
              <w:rPr/>
            </w:pPr>
            <w:r>
              <w:rPr>
                <w:spacing w:val="7"/>
              </w:rPr>
              <w:t>年龄(岁)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"/>
              <w:spacing w:before="48" w:line="219" w:lineRule="auto"/>
              <w:rPr/>
            </w:pPr>
            <w:r>
              <w:rPr>
                <w:spacing w:val="5"/>
              </w:rPr>
              <w:t>心率(次/</w:t>
            </w:r>
            <w:r>
              <w:rPr/>
              <w:t>min</w:t>
            </w:r>
            <w:r>
              <w:rPr>
                <w:spacing w:val="5"/>
              </w:rPr>
              <w:t>)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5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5"/>
              <w:spacing w:before="43" w:line="214" w:lineRule="auto"/>
              <w:rPr/>
            </w:pPr>
            <w:r>
              <w:rPr>
                <w:color w:val="809090"/>
                <w:spacing w:val="6"/>
              </w:rPr>
              <w:t>收缩压(</w:t>
            </w:r>
            <w:r>
              <w:rPr>
                <w:color w:val="809090"/>
              </w:rPr>
              <w:t>mmHg</w:t>
            </w:r>
            <w:r>
              <w:rPr>
                <w:color w:val="809090"/>
                <w:spacing w:val="6"/>
              </w:rPr>
              <w:t>)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5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4"/>
              <w:spacing w:before="43" w:line="214" w:lineRule="auto"/>
              <w:rPr/>
            </w:pPr>
            <w:r>
              <w:rPr>
                <w:spacing w:val="7"/>
              </w:rPr>
              <w:t>肌酐(</w:t>
            </w:r>
            <w:r>
              <w:rPr/>
              <w:t>mg</w:t>
            </w:r>
            <w:r>
              <w:rPr>
                <w:spacing w:val="7"/>
              </w:rPr>
              <w:t>/</w:t>
            </w:r>
            <w:r>
              <w:rPr/>
              <w:t>dl</w:t>
            </w:r>
            <w:r>
              <w:rPr>
                <w:spacing w:val="7"/>
              </w:rPr>
              <w:t>)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5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44" w:line="214" w:lineRule="auto"/>
              <w:rPr/>
            </w:pPr>
            <w:r>
              <w:rPr>
                <w:spacing w:val="-1"/>
              </w:rPr>
              <w:t>Killip分级</w:t>
            </w:r>
          </w:p>
        </w:tc>
        <w:tc>
          <w:tcPr>
            <w:tcW w:w="648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8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78"/>
              <w:rPr/>
            </w:pPr>
            <w:r>
              <w:rPr>
                <w:spacing w:val="-3"/>
              </w:rPr>
              <w:t>&lt;30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09"/>
              <w:spacing w:before="78"/>
              <w:rPr/>
            </w:pPr>
            <w:r>
              <w:rPr>
                <w:color w:val="404060"/>
              </w:rPr>
              <w:t>0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84"/>
              <w:spacing w:before="78"/>
              <w:rPr/>
            </w:pPr>
            <w:r>
              <w:rPr>
                <w:spacing w:val="-3"/>
              </w:rPr>
              <w:t>&lt;50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39"/>
              <w:spacing w:before="78"/>
              <w:rPr/>
            </w:pPr>
            <w:r>
              <w:rPr>
                <w:color w:val="404060"/>
              </w:rPr>
              <w:t>0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34"/>
              <w:spacing w:before="78"/>
              <w:rPr/>
            </w:pPr>
            <w:r>
              <w:rPr>
                <w:spacing w:val="-3"/>
              </w:rPr>
              <w:t>&lt;80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78"/>
              <w:rPr/>
            </w:pPr>
            <w:r>
              <w:rPr>
                <w:spacing w:val="-3"/>
              </w:rPr>
              <w:t>58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04"/>
              <w:spacing w:before="78"/>
              <w:rPr/>
            </w:pPr>
            <w:r>
              <w:rPr>
                <w:spacing w:val="-2"/>
              </w:rPr>
              <w:t>0~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54"/>
              <w:spacing w:before="78" w:line="241" w:lineRule="auto"/>
              <w:rPr/>
            </w:pPr>
            <w:r>
              <w:rPr>
                <w:color w:val="607070"/>
              </w:rPr>
              <w:t>1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24"/>
              <w:spacing w:before="78" w:line="241" w:lineRule="auto"/>
              <w:rPr/>
            </w:pPr>
            <w:r>
              <w:rPr>
                <w:color w:val="607070"/>
              </w:rPr>
              <w:t>I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284"/>
              <w:spacing w:before="78"/>
              <w:rPr/>
            </w:pPr>
            <w:r>
              <w:rPr>
                <w:color w:val="405070"/>
              </w:rPr>
              <w:t>0</w:t>
            </w:r>
          </w:p>
        </w:tc>
      </w:tr>
      <w:tr>
        <w:trPr>
          <w:trHeight w:val="312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100" w:line="233" w:lineRule="auto"/>
              <w:rPr/>
            </w:pPr>
            <w:r>
              <w:rPr>
                <w:spacing w:val="-3"/>
              </w:rPr>
              <w:t>30~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09"/>
              <w:spacing w:before="100" w:line="233" w:lineRule="auto"/>
              <w:rPr/>
            </w:pPr>
            <w:r>
              <w:rPr/>
              <w:t>8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84"/>
              <w:spacing w:before="100" w:line="233" w:lineRule="auto"/>
              <w:rPr/>
            </w:pPr>
            <w:r>
              <w:rPr>
                <w:spacing w:val="-3"/>
              </w:rPr>
              <w:t>50~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39"/>
              <w:spacing w:before="100" w:line="233" w:lineRule="auto"/>
              <w:rPr/>
            </w:pPr>
            <w:r>
              <w:rPr>
                <w:color w:val="807070"/>
              </w:rPr>
              <w:t>3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34"/>
              <w:spacing w:before="100" w:line="233" w:lineRule="auto"/>
              <w:rPr/>
            </w:pPr>
            <w:r>
              <w:rPr>
                <w:spacing w:val="-2"/>
              </w:rPr>
              <w:t>80~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100" w:line="233" w:lineRule="auto"/>
              <w:rPr/>
            </w:pPr>
            <w:r>
              <w:rPr>
                <w:spacing w:val="-3"/>
              </w:rPr>
              <w:t>53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24"/>
              <w:spacing w:before="100" w:line="233" w:lineRule="auto"/>
              <w:rPr/>
            </w:pPr>
            <w:r>
              <w:rPr>
                <w:spacing w:val="-2"/>
              </w:rPr>
              <w:t>0.4~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54"/>
              <w:spacing w:before="100" w:line="233" w:lineRule="auto"/>
              <w:rPr/>
            </w:pPr>
            <w:r>
              <w:rPr>
                <w:color w:val="808070"/>
              </w:rPr>
              <w:t>4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24"/>
              <w:spacing w:before="98" w:line="235" w:lineRule="auto"/>
              <w:rPr/>
            </w:pPr>
            <w:r>
              <w:rPr>
                <w:color w:val="507070"/>
              </w:rPr>
              <w:t>Ⅱ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244"/>
              <w:spacing w:before="100" w:line="233" w:lineRule="auto"/>
              <w:rPr/>
            </w:pPr>
            <w:r>
              <w:rPr>
                <w:spacing w:val="-3"/>
              </w:rPr>
              <w:t>20</w:t>
            </w:r>
          </w:p>
        </w:tc>
      </w:tr>
      <w:tr>
        <w:trPr>
          <w:trHeight w:val="419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148"/>
              <w:rPr/>
            </w:pPr>
            <w:r>
              <w:rPr>
                <w:spacing w:val="-2"/>
              </w:rPr>
              <w:t>40~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69"/>
              <w:spacing w:before="148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84"/>
              <w:spacing w:before="148"/>
              <w:rPr/>
            </w:pPr>
            <w:r>
              <w:rPr>
                <w:spacing w:val="-3"/>
              </w:rPr>
              <w:t>70~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39"/>
              <w:spacing w:before="148"/>
              <w:rPr/>
            </w:pPr>
            <w:r>
              <w:rPr/>
              <w:t>9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94"/>
              <w:spacing w:before="148"/>
              <w:rPr/>
            </w:pPr>
            <w:r>
              <w:rPr>
                <w:spacing w:val="-4"/>
              </w:rPr>
              <w:t>100~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148"/>
              <w:rPr/>
            </w:pPr>
            <w:r>
              <w:rPr>
                <w:color w:val="505060"/>
                <w:spacing w:val="-2"/>
              </w:rPr>
              <w:t>43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24"/>
              <w:spacing w:before="148" w:line="239" w:lineRule="auto"/>
              <w:rPr/>
            </w:pPr>
            <w:r>
              <w:rPr>
                <w:spacing w:val="-2"/>
              </w:rPr>
              <w:t>0.8~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54"/>
              <w:spacing w:before="148"/>
              <w:rPr/>
            </w:pPr>
            <w:r>
              <w:rPr/>
              <w:t>7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34"/>
              <w:spacing w:before="66" w:line="218" w:lineRule="auto"/>
              <w:rPr/>
            </w:pPr>
            <w:r>
              <w:rPr>
                <w:color w:val="607070"/>
              </w:rPr>
              <w:t>Ⅲ</w:t>
            </w:r>
          </w:p>
          <w:p>
            <w:pPr>
              <w:pStyle w:val="TableText"/>
              <w:ind w:left="234"/>
              <w:spacing w:line="177" w:lineRule="auto"/>
              <w:rPr/>
            </w:pPr>
            <w:r>
              <w:rPr>
                <w:color w:val="505060"/>
                <w:spacing w:val="-4"/>
              </w:rPr>
              <w:t>IV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85"/>
              <w:spacing w:before="68" w:line="208" w:lineRule="auto"/>
              <w:rPr/>
            </w:pPr>
            <w:r>
              <w:rPr>
                <w:spacing w:val="-3"/>
              </w:rPr>
              <w:t>39</w:t>
            </w:r>
          </w:p>
          <w:p>
            <w:pPr>
              <w:pStyle w:val="TableText"/>
              <w:ind w:left="185"/>
              <w:spacing w:line="185" w:lineRule="auto"/>
              <w:rPr/>
            </w:pPr>
            <w:r>
              <w:rPr>
                <w:spacing w:val="-3"/>
              </w:rPr>
              <w:t>59</w:t>
            </w:r>
          </w:p>
        </w:tc>
      </w:tr>
      <w:tr>
        <w:trPr>
          <w:trHeight w:val="255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59" w:line="214" w:lineRule="auto"/>
              <w:rPr/>
            </w:pPr>
            <w:r>
              <w:rPr>
                <w:spacing w:val="-3"/>
              </w:rPr>
              <w:t>50~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69"/>
              <w:spacing w:before="59" w:line="214" w:lineRule="auto"/>
              <w:rPr/>
            </w:pPr>
            <w:r>
              <w:rPr>
                <w:color w:val="405060"/>
                <w:spacing w:val="-2"/>
              </w:rPr>
              <w:t>41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84"/>
              <w:spacing w:before="59" w:line="214" w:lineRule="auto"/>
              <w:rPr/>
            </w:pPr>
            <w:r>
              <w:rPr>
                <w:spacing w:val="-2"/>
              </w:rPr>
              <w:t>90~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299"/>
              <w:spacing w:before="59" w:line="214" w:lineRule="auto"/>
              <w:rPr/>
            </w:pPr>
            <w:r>
              <w:rPr>
                <w:color w:val="304050"/>
                <w:spacing w:val="-5"/>
              </w:rPr>
              <w:t>15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94"/>
              <w:spacing w:before="59" w:line="214" w:lineRule="auto"/>
              <w:rPr/>
            </w:pPr>
            <w:r>
              <w:rPr>
                <w:spacing w:val="-4"/>
              </w:rPr>
              <w:t>120~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59" w:line="214" w:lineRule="auto"/>
              <w:rPr/>
            </w:pPr>
            <w:r>
              <w:rPr>
                <w:spacing w:val="-3"/>
              </w:rPr>
              <w:t>34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24"/>
              <w:spacing w:before="59" w:line="214" w:lineRule="auto"/>
              <w:rPr/>
            </w:pPr>
            <w:r>
              <w:rPr>
                <w:spacing w:val="-4"/>
              </w:rPr>
              <w:t>1.2~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14"/>
              <w:spacing w:before="59" w:line="214" w:lineRule="auto"/>
              <w:rPr/>
            </w:pPr>
            <w:r>
              <w:rPr>
                <w:color w:val="304060"/>
                <w:spacing w:val="-5"/>
              </w:rPr>
              <w:t>10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24"/>
              <w:spacing w:before="43" w:line="219" w:lineRule="auto"/>
              <w:rPr/>
            </w:pPr>
            <w:r>
              <w:rPr>
                <w:spacing w:val="-2"/>
              </w:rPr>
              <w:t>危险因素</w:t>
            </w:r>
          </w:p>
        </w:tc>
        <w:tc>
          <w:tcPr>
            <w:tcW w:w="6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8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84" w:line="212" w:lineRule="auto"/>
              <w:rPr/>
            </w:pPr>
            <w:r>
              <w:rPr>
                <w:spacing w:val="-2"/>
              </w:rPr>
              <w:t>60~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69"/>
              <w:spacing w:before="84" w:line="212" w:lineRule="auto"/>
              <w:rPr/>
            </w:pPr>
            <w:r>
              <w:rPr>
                <w:color w:val="404040"/>
                <w:spacing w:val="-3"/>
              </w:rPr>
              <w:t>58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44"/>
              <w:spacing w:before="84" w:line="212" w:lineRule="auto"/>
              <w:rPr/>
            </w:pPr>
            <w:r>
              <w:rPr>
                <w:spacing w:val="-4"/>
              </w:rPr>
              <w:t>110~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299"/>
              <w:spacing w:before="84" w:line="212" w:lineRule="auto"/>
              <w:rPr/>
            </w:pPr>
            <w:r>
              <w:rPr>
                <w:spacing w:val="-3"/>
              </w:rPr>
              <w:t>24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94"/>
              <w:spacing w:before="84" w:line="212" w:lineRule="auto"/>
              <w:rPr/>
            </w:pPr>
            <w:r>
              <w:rPr>
                <w:spacing w:val="-4"/>
              </w:rPr>
              <w:t>140~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84" w:line="212" w:lineRule="auto"/>
              <w:rPr/>
            </w:pPr>
            <w:r>
              <w:rPr>
                <w:spacing w:val="-3"/>
              </w:rPr>
              <w:t>24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24"/>
              <w:spacing w:before="84" w:line="212" w:lineRule="auto"/>
              <w:rPr/>
            </w:pPr>
            <w:r>
              <w:rPr>
                <w:spacing w:val="-4"/>
              </w:rPr>
              <w:t>1.6~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14"/>
              <w:spacing w:before="84" w:line="212" w:lineRule="auto"/>
              <w:rPr/>
            </w:pPr>
            <w:r>
              <w:rPr>
                <w:color w:val="506070"/>
                <w:spacing w:val="-5"/>
              </w:rPr>
              <w:t>13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24"/>
              <w:spacing w:before="69" w:line="220" w:lineRule="auto"/>
              <w:rPr/>
            </w:pPr>
            <w:r>
              <w:rPr>
                <w:spacing w:val="-1"/>
              </w:rPr>
              <w:t>入院时心脏骤停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244"/>
              <w:spacing w:before="84" w:line="212" w:lineRule="auto"/>
              <w:rPr/>
            </w:pPr>
            <w:r>
              <w:rPr>
                <w:spacing w:val="-3"/>
              </w:rPr>
              <w:t>39</w:t>
            </w:r>
          </w:p>
        </w:tc>
      </w:tr>
      <w:tr>
        <w:trPr>
          <w:trHeight w:val="284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86" w:line="216" w:lineRule="auto"/>
              <w:rPr/>
            </w:pPr>
            <w:r>
              <w:rPr>
                <w:spacing w:val="-3"/>
              </w:rPr>
              <w:t>70~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69"/>
              <w:spacing w:before="86" w:line="216" w:lineRule="auto"/>
              <w:rPr/>
            </w:pPr>
            <w:r>
              <w:rPr>
                <w:spacing w:val="-3"/>
              </w:rPr>
              <w:t>75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44"/>
              <w:spacing w:before="86" w:line="216" w:lineRule="auto"/>
              <w:rPr/>
            </w:pPr>
            <w:r>
              <w:rPr>
                <w:spacing w:val="-4"/>
              </w:rPr>
              <w:t>150~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299"/>
              <w:spacing w:before="86" w:line="216" w:lineRule="auto"/>
              <w:rPr/>
            </w:pPr>
            <w:r>
              <w:rPr>
                <w:spacing w:val="-3"/>
              </w:rPr>
              <w:t>38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94"/>
              <w:spacing w:before="86" w:line="216" w:lineRule="auto"/>
              <w:rPr/>
            </w:pPr>
            <w:r>
              <w:rPr>
                <w:spacing w:val="-4"/>
              </w:rPr>
              <w:t>160~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86" w:line="216" w:lineRule="auto"/>
              <w:rPr/>
            </w:pPr>
            <w:r>
              <w:rPr>
                <w:color w:val="405070"/>
                <w:spacing w:val="-5"/>
              </w:rPr>
              <w:t>10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24"/>
              <w:spacing w:before="86" w:line="216" w:lineRule="auto"/>
              <w:rPr/>
            </w:pPr>
            <w:r>
              <w:rPr>
                <w:spacing w:val="-2"/>
              </w:rPr>
              <w:t>2.0~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14"/>
              <w:spacing w:before="86" w:line="216" w:lineRule="auto"/>
              <w:rPr/>
            </w:pPr>
            <w:r>
              <w:rPr>
                <w:spacing w:val="-3"/>
              </w:rPr>
              <w:t>21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24"/>
              <w:spacing w:before="70" w:line="219" w:lineRule="auto"/>
              <w:rPr/>
            </w:pPr>
            <w:r>
              <w:rPr>
                <w:spacing w:val="-2"/>
              </w:rPr>
              <w:t>心电图ST段改变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244"/>
              <w:spacing w:before="86" w:line="216" w:lineRule="auto"/>
              <w:rPr/>
            </w:pPr>
            <w:r>
              <w:rPr>
                <w:spacing w:val="-3"/>
              </w:rPr>
              <w:t>28</w:t>
            </w:r>
          </w:p>
        </w:tc>
      </w:tr>
      <w:tr>
        <w:trPr>
          <w:trHeight w:val="294" w:hRule="atLeast"/>
        </w:trPr>
        <w:tc>
          <w:tcPr>
            <w:tcW w:w="84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9"/>
              <w:spacing w:before="92" w:line="221" w:lineRule="auto"/>
              <w:rPr/>
            </w:pPr>
            <w:r>
              <w:rPr>
                <w:spacing w:val="-2"/>
              </w:rPr>
              <w:t>80~89</w:t>
            </w:r>
          </w:p>
        </w:tc>
        <w:tc>
          <w:tcPr>
            <w:tcW w:w="960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69"/>
              <w:spacing w:before="92" w:line="221" w:lineRule="auto"/>
              <w:rPr/>
            </w:pPr>
            <w:r>
              <w:rPr>
                <w:spacing w:val="-2"/>
              </w:rPr>
              <w:t>91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304"/>
              <w:spacing w:before="92" w:line="221" w:lineRule="auto"/>
              <w:rPr/>
            </w:pPr>
            <w:r>
              <w:rPr>
                <w:spacing w:val="-5"/>
              </w:rPr>
              <w:t>≥200</w:t>
            </w:r>
          </w:p>
        </w:tc>
        <w:tc>
          <w:tcPr>
            <w:tcW w:w="800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99"/>
              <w:spacing w:before="92" w:line="221" w:lineRule="auto"/>
              <w:rPr/>
            </w:pPr>
            <w:r>
              <w:rPr>
                <w:spacing w:val="-2"/>
              </w:rPr>
              <w:t>46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354"/>
              <w:spacing w:before="92" w:line="221" w:lineRule="auto"/>
              <w:rPr/>
            </w:pPr>
            <w:r>
              <w:rPr>
                <w:spacing w:val="-5"/>
              </w:rPr>
              <w:t>≥200</w:t>
            </w:r>
          </w:p>
        </w:tc>
        <w:tc>
          <w:tcPr>
            <w:tcW w:w="765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44"/>
              <w:spacing w:before="92" w:line="221" w:lineRule="auto"/>
              <w:rPr/>
            </w:pPr>
            <w:r>
              <w:rPr>
                <w:color w:val="405070"/>
              </w:rPr>
              <w:t>0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284"/>
              <w:spacing w:before="92" w:line="221" w:lineRule="auto"/>
              <w:rPr/>
            </w:pPr>
            <w:r>
              <w:rPr>
                <w:spacing w:val="-6"/>
              </w:rPr>
              <w:t>≥4.0</w:t>
            </w:r>
          </w:p>
        </w:tc>
        <w:tc>
          <w:tcPr>
            <w:tcW w:w="825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14"/>
              <w:spacing w:before="92" w:line="221" w:lineRule="auto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224"/>
              <w:spacing w:before="76" w:line="219" w:lineRule="auto"/>
              <w:rPr/>
            </w:pPr>
            <w:r>
              <w:rPr>
                <w:spacing w:val="-2"/>
              </w:rPr>
              <w:t>心肌损伤标志物升高</w:t>
            </w:r>
          </w:p>
        </w:tc>
        <w:tc>
          <w:tcPr>
            <w:tcW w:w="64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44"/>
              <w:spacing w:before="92" w:line="221" w:lineRule="auto"/>
              <w:rPr/>
            </w:pPr>
            <w:r>
              <w:rPr>
                <w:color w:val="606050"/>
                <w:spacing w:val="-5"/>
              </w:rPr>
              <w:t>14</w:t>
            </w:r>
          </w:p>
        </w:tc>
      </w:tr>
    </w:tbl>
    <w:p>
      <w:pPr>
        <w:pStyle w:val="BodyText"/>
        <w:ind w:left="1259"/>
        <w:spacing w:before="72" w:line="21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注：1</w:t>
      </w:r>
      <w:r>
        <w:rPr>
          <w:sz w:val="17"/>
          <w:szCs w:val="17"/>
          <w:spacing w:val="-7"/>
        </w:rPr>
        <w:t>mmHg=0.133kPa</w:t>
      </w:r>
    </w:p>
    <w:p>
      <w:pPr>
        <w:spacing w:line="273" w:lineRule="auto"/>
        <w:rPr>
          <w:rFonts w:ascii="Arial"/>
          <w:sz w:val="21"/>
        </w:rPr>
      </w:pPr>
      <w:r>
        <w:pict>
          <v:shape id="_x0000_s32" style="position:absolute;margin-left:300.999pt;margin-top:13.4708pt;mso-position-vertical-relative:text;mso-position-horizontal-relative:text;width:229.55pt;height:514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5"/>
                    <w:spacing w:before="17" w:line="281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7"/>
                    </w:rPr>
                    <w:t>素(即女性、高龄、血清肌酐升高、白细胞计数、贫血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1"/>
                    </w:rPr>
                    <w:t>和</w:t>
                  </w:r>
                  <w:r>
                    <w:rPr>
                      <w:sz w:val="21"/>
                      <w:szCs w:val="21"/>
                    </w:rPr>
                    <w:t>NSTEMI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1"/>
                    </w:rPr>
                    <w:t>或</w:t>
                  </w:r>
                  <w:r>
                    <w:rPr>
                      <w:sz w:val="21"/>
                      <w:szCs w:val="21"/>
                    </w:rPr>
                    <w:t>STEMI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1"/>
                    </w:rPr>
                    <w:t>表现)和1项与治疗相关的参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数[使用普通肝素和血小板糖蛋白Ⅱb/Ⅲa受体拮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抗剂</w:t>
                  </w:r>
                  <w:r>
                    <w:rPr>
                      <w:sz w:val="21"/>
                      <w:szCs w:val="21"/>
                      <w:spacing w:val="2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GPI</w:t>
                  </w:r>
                  <w:r>
                    <w:rPr>
                      <w:sz w:val="21"/>
                      <w:szCs w:val="21"/>
                      <w:spacing w:val="2"/>
                    </w:rPr>
                    <w:t>)],</w:t>
                  </w:r>
                  <w:r>
                    <w:rPr>
                      <w:sz w:val="21"/>
                      <w:szCs w:val="21"/>
                      <w:spacing w:val="2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该风险评分能够评估30</w:t>
                  </w:r>
                  <w:r>
                    <w:rPr>
                      <w:sz w:val="21"/>
                      <w:szCs w:val="21"/>
                      <w:spacing w:val="2"/>
                    </w:rPr>
                    <w:t>d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非冠状动脉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旁路移植术</w:t>
                  </w:r>
                  <w:r>
                    <w:rPr>
                      <w:sz w:val="21"/>
                      <w:szCs w:val="21"/>
                      <w:spacing w:val="1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CABG</w:t>
                  </w:r>
                  <w:r>
                    <w:rPr>
                      <w:sz w:val="21"/>
                      <w:szCs w:val="21"/>
                      <w:spacing w:val="1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相关的严重出血风险增高和后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续1年病死率。</w:t>
                  </w:r>
                </w:p>
                <w:p>
                  <w:pPr>
                    <w:ind w:left="442"/>
                    <w:spacing w:before="19" w:line="221" w:lineRule="auto"/>
                    <w:outlineLvl w:val="4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20"/>
                    </w:rPr>
                    <w:t>五、转诊建议</w:t>
                  </w:r>
                </w:p>
                <w:p>
                  <w:pPr>
                    <w:pStyle w:val="BodyText"/>
                    <w:ind w:left="20" w:right="30" w:firstLine="419"/>
                    <w:spacing w:before="54" w:line="284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由于许多基层医疗卫生机构不具备冠状动脉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介入治疗条件，拟诊</w:t>
                  </w:r>
                  <w:r>
                    <w:rPr>
                      <w:sz w:val="21"/>
                      <w:szCs w:val="21"/>
                      <w:spacing w:val="-2"/>
                    </w:rPr>
                    <w:t>NSTE-ACS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后，应立即评估病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情和危险分层。转诊建议为：</w:t>
                  </w:r>
                </w:p>
                <w:p>
                  <w:pPr>
                    <w:pStyle w:val="BodyText"/>
                    <w:ind w:left="20" w:right="20" w:firstLine="419"/>
                    <w:spacing w:before="1" w:line="258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(一)极高危患者(以下情况之一)应紧急转诊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至可行</w:t>
                  </w:r>
                  <w:r>
                    <w:rPr>
                      <w:sz w:val="21"/>
                      <w:szCs w:val="21"/>
                    </w:rPr>
                    <w:t>PCI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的医院实施直接</w:t>
                  </w:r>
                  <w:r>
                    <w:rPr>
                      <w:sz w:val="21"/>
                      <w:szCs w:val="21"/>
                    </w:rPr>
                    <w:t>PCI</w:t>
                  </w:r>
                  <w:r>
                    <w:rPr>
                      <w:sz w:val="21"/>
                      <w:szCs w:val="21"/>
                      <w:spacing w:val="1"/>
                    </w:rPr>
                    <w:t>(&lt;2h)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。</w:t>
                  </w:r>
                </w:p>
                <w:p>
                  <w:pPr>
                    <w:ind w:left="439"/>
                    <w:spacing w:before="62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1.血液动力学不稳定或心原性休克。</w:t>
                  </w:r>
                </w:p>
                <w:p>
                  <w:pPr>
                    <w:ind w:left="439"/>
                    <w:spacing w:before="9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2.药物治疗无效的反复发作或持续性胸痛。</w:t>
                  </w:r>
                </w:p>
                <w:p>
                  <w:pPr>
                    <w:ind w:left="439"/>
                    <w:spacing w:before="81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3.致命性心律失常或心脏骤停。</w:t>
                  </w:r>
                </w:p>
                <w:p>
                  <w:pPr>
                    <w:ind w:left="439"/>
                    <w:spacing w:before="5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4.心肌梗死合并机械并发症。</w:t>
                  </w:r>
                </w:p>
                <w:p>
                  <w:pPr>
                    <w:ind w:left="439"/>
                    <w:spacing w:before="81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5.急性心力衰竭。</w:t>
                  </w:r>
                </w:p>
                <w:p>
                  <w:pPr>
                    <w:pStyle w:val="BodyText"/>
                    <w:ind w:left="20" w:right="34" w:firstLine="419"/>
                    <w:spacing w:before="71" w:line="255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6.反复的</w:t>
                  </w:r>
                  <w:r>
                    <w:rPr>
                      <w:sz w:val="21"/>
                      <w:szCs w:val="21"/>
                    </w:rPr>
                    <w:t>ST</w:t>
                  </w:r>
                  <w:r>
                    <w:rPr>
                      <w:sz w:val="21"/>
                      <w:szCs w:val="21"/>
                      <w:spacing w:val="5"/>
                    </w:rPr>
                    <w:t>-T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动态改变，尤其是伴随间歇的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ST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段抬高。</w:t>
                  </w:r>
                </w:p>
                <w:p>
                  <w:pPr>
                    <w:pStyle w:val="BodyText"/>
                    <w:ind w:left="20" w:right="40" w:firstLine="419"/>
                    <w:spacing w:before="71" w:line="24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(二)高危患者(以下情况之一)应尽快转诊至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可行</w:t>
                  </w:r>
                  <w:r>
                    <w:rPr>
                      <w:sz w:val="21"/>
                      <w:szCs w:val="21"/>
                    </w:rPr>
                    <w:t>PCI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的医院早期侵入治疗(&lt;24</w:t>
                  </w:r>
                  <w:r>
                    <w:rPr>
                      <w:sz w:val="21"/>
                      <w:szCs w:val="21"/>
                      <w:spacing w:val="3"/>
                    </w:rPr>
                    <w:t>h)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。</w:t>
                  </w:r>
                </w:p>
                <w:p>
                  <w:pPr>
                    <w:pStyle w:val="BodyText"/>
                    <w:ind w:left="439"/>
                    <w:spacing w:before="74" w:line="220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1"/>
                    </w:rPr>
                    <w:t>1.GRACE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评分&gt;140分。</w:t>
                  </w:r>
                </w:p>
                <w:p>
                  <w:pPr>
                    <w:ind w:left="20" w:right="39" w:firstLine="419"/>
                    <w:spacing w:before="79" w:line="246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2.心肌梗死相关的cTn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上升或下降；ST-T动态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>改变。</w:t>
                  </w:r>
                </w:p>
                <w:p>
                  <w:pPr>
                    <w:ind w:left="20" w:right="40" w:firstLine="419"/>
                    <w:spacing w:before="91" w:line="266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(三)中危患者(以下情况之一)可转诊至可行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PCI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的医院行延迟侵入治疗(&lt;72h)。</w:t>
                  </w:r>
                </w:p>
                <w:p>
                  <w:pPr>
                    <w:pStyle w:val="BodyText"/>
                    <w:ind w:left="439"/>
                    <w:spacing w:before="25" w:line="220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3"/>
                    </w:rPr>
                    <w:t>1.</w:t>
                  </w:r>
                  <w:r>
                    <w:rPr>
                      <w:sz w:val="21"/>
                      <w:szCs w:val="21"/>
                    </w:rPr>
                    <w:t>GRACE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评分109~140分。</w:t>
                  </w:r>
                </w:p>
                <w:p>
                  <w:pPr>
                    <w:ind w:left="439"/>
                    <w:spacing w:before="80" w:line="220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2.糖尿病。</w:t>
                  </w:r>
                </w:p>
                <w:p>
                  <w:pPr>
                    <w:pStyle w:val="BodyText"/>
                    <w:ind w:left="20" w:right="60" w:firstLine="419"/>
                    <w:spacing w:before="47" w:line="246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6"/>
                    </w:rPr>
                    <w:t>3.肾功能不全[估算的肾小球滤过率&lt;60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ml·min⁻¹·(1.73m²)-¹]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left="439"/>
                    <w:spacing w:before="91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1"/>
                    </w:rPr>
                    <w:t>4.LVEF&lt;40%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或慢性心力衰竭。</w:t>
                  </w:r>
                </w:p>
                <w:p>
                  <w:pPr>
                    <w:ind w:left="439"/>
                    <w:spacing w:before="82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5.早期心肌梗死后心绞痛。</w:t>
                  </w:r>
                </w:p>
              </w:txbxContent>
            </v:textbox>
          </v:shape>
        </w:pict>
      </w:r>
      <w:r/>
    </w:p>
    <w:p>
      <w:pPr>
        <w:spacing w:line="274" w:lineRule="auto"/>
        <w:rPr>
          <w:rFonts w:ascii="Arial"/>
          <w:sz w:val="21"/>
        </w:rPr>
      </w:pPr>
      <w:r>
        <w:pict>
          <v:shape id="_x0000_s34" style="position:absolute;margin-left:45.4949pt;margin-top:0.231628pt;mso-position-vertical-relative:text;mso-position-horizontal-relative:text;width:207.8pt;height:14.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>的院内死亡风险分别为&lt;1%、1%~3%和&gt;3%。</w:t>
                  </w:r>
                </w:p>
              </w:txbxContent>
            </v:textbox>
          </v:shape>
        </w:pict>
      </w:r>
      <w:r/>
    </w:p>
    <w:p>
      <w:pPr>
        <w:pStyle w:val="BodyText"/>
        <w:ind w:left="929" w:right="5078" w:firstLine="430"/>
        <w:spacing w:before="69" w:line="27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13"/>
        </w:rPr>
        <w:t>2.</w:t>
      </w:r>
      <w:r>
        <w:rPr>
          <w:sz w:val="21"/>
          <w:szCs w:val="21"/>
        </w:rPr>
        <w:t>TIMI</w:t>
      </w:r>
      <w:r>
        <w:rPr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风险评分：包括7项指标，即年龄≥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65岁、≥3个冠心病危险因素(高血压、糖尿病、早发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2"/>
        </w:rPr>
        <w:t>冠心病家族史、高脂血症、吸烟)、已知冠</w:t>
      </w:r>
      <w:r>
        <w:rPr>
          <w:rFonts w:ascii="SimSun" w:hAnsi="SimSun" w:eastAsia="SimSun" w:cs="SimSun"/>
          <w:sz w:val="21"/>
          <w:szCs w:val="21"/>
          <w:spacing w:val="-13"/>
        </w:rPr>
        <w:t>心病(冠状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动脉狭窄≥50%)、过去7</w:t>
      </w:r>
      <w:r>
        <w:rPr>
          <w:sz w:val="21"/>
          <w:szCs w:val="21"/>
          <w:spacing w:val="-5"/>
        </w:rPr>
        <w:t>d </w:t>
      </w:r>
      <w:r>
        <w:rPr>
          <w:rFonts w:ascii="SimSun" w:hAnsi="SimSun" w:eastAsia="SimSun" w:cs="SimSun"/>
          <w:sz w:val="21"/>
          <w:szCs w:val="21"/>
          <w:spacing w:val="-5"/>
        </w:rPr>
        <w:t>内服用阿司匹林、严重心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绞痛(24</w:t>
      </w:r>
      <w:r>
        <w:rPr>
          <w:sz w:val="21"/>
          <w:szCs w:val="21"/>
          <w:spacing w:val="-5"/>
        </w:rPr>
        <w:t>h</w:t>
      </w:r>
      <w:r>
        <w:rPr>
          <w:rFonts w:ascii="SimSun" w:hAnsi="SimSun" w:eastAsia="SimSun" w:cs="SimSun"/>
          <w:sz w:val="21"/>
          <w:szCs w:val="21"/>
          <w:spacing w:val="-5"/>
        </w:rPr>
        <w:t>内发作≥2次)、</w:t>
      </w:r>
      <w:r>
        <w:rPr>
          <w:sz w:val="21"/>
          <w:szCs w:val="21"/>
          <w:spacing w:val="-5"/>
        </w:rPr>
        <w:t>ST</w:t>
      </w:r>
      <w:r>
        <w:rPr>
          <w:rFonts w:ascii="SimSun" w:hAnsi="SimSun" w:eastAsia="SimSun" w:cs="SimSun"/>
          <w:sz w:val="21"/>
          <w:szCs w:val="21"/>
          <w:spacing w:val="-5"/>
        </w:rPr>
        <w:t>段偏移≥0.5</w:t>
      </w:r>
      <w:r>
        <w:rPr>
          <w:sz w:val="21"/>
          <w:szCs w:val="21"/>
          <w:spacing w:val="-5"/>
        </w:rPr>
        <w:t>mm</w:t>
      </w:r>
      <w:r>
        <w:rPr>
          <w:rFonts w:ascii="SimSun" w:hAnsi="SimSun" w:eastAsia="SimSun" w:cs="SimSun"/>
          <w:sz w:val="21"/>
          <w:szCs w:val="21"/>
          <w:spacing w:val="-5"/>
        </w:rPr>
        <w:t>和心肌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损伤标志物增高，每项1分。0~2分为低危，3</w:t>
      </w:r>
      <w:r>
        <w:rPr>
          <w:rFonts w:ascii="SimSun" w:hAnsi="SimSun" w:eastAsia="SimSun" w:cs="SimSun"/>
          <w:sz w:val="21"/>
          <w:szCs w:val="21"/>
        </w:rPr>
        <w:t>~4分  </w:t>
      </w:r>
      <w:r>
        <w:rPr>
          <w:rFonts w:ascii="SimSun" w:hAnsi="SimSun" w:eastAsia="SimSun" w:cs="SimSun"/>
          <w:sz w:val="21"/>
          <w:szCs w:val="21"/>
          <w:spacing w:val="5"/>
        </w:rPr>
        <w:t>为中危，5~7分为高危。</w:t>
      </w:r>
      <w:r>
        <w:rPr>
          <w:rFonts w:ascii="SimSun" w:hAnsi="SimSun" w:eastAsia="SimSun" w:cs="SimSun"/>
          <w:sz w:val="21"/>
          <w:szCs w:val="21"/>
        </w:rPr>
        <w:t>TIMI</w:t>
      </w:r>
      <w:r>
        <w:rPr>
          <w:rFonts w:ascii="SimSun" w:hAnsi="SimSun" w:eastAsia="SimSun" w:cs="SimSun"/>
          <w:sz w:val="21"/>
          <w:szCs w:val="21"/>
          <w:spacing w:val="5"/>
        </w:rPr>
        <w:t>风险评分使用简单，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但其识别精度不如GRACE</w:t>
      </w:r>
      <w:r>
        <w:rPr>
          <w:rFonts w:ascii="SimSun" w:hAnsi="SimSun" w:eastAsia="SimSun" w:cs="SimSun"/>
          <w:sz w:val="21"/>
          <w:szCs w:val="21"/>
          <w:spacing w:val="8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风险评分。</w:t>
      </w:r>
    </w:p>
    <w:p>
      <w:pPr>
        <w:pStyle w:val="BodyText"/>
        <w:ind w:left="929" w:right="5155" w:firstLine="430"/>
        <w:spacing w:before="105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3.心电监测：恶性室性心律失常是导致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NSTE</w:t>
      </w:r>
      <w:r>
        <w:rPr>
          <w:rFonts w:ascii="SimSun" w:hAnsi="SimSun" w:eastAsia="SimSun" w:cs="SimSun"/>
          <w:sz w:val="21"/>
          <w:szCs w:val="21"/>
          <w:spacing w:val="1"/>
        </w:rPr>
        <w:t>-</w:t>
      </w:r>
      <w:r>
        <w:rPr>
          <w:rFonts w:ascii="SimSun" w:hAnsi="SimSun" w:eastAsia="SimSun" w:cs="SimSun"/>
          <w:sz w:val="21"/>
          <w:szCs w:val="21"/>
        </w:rPr>
        <w:t>ACS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患者早期死亡的重要原因，早期血运重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建治疗以及使用抗栓药物和β受体阻滞剂，可明显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降低恶性室性心律失常的发生率(&lt;3%),而多数心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律失常事件发生在症状发作12</w:t>
      </w:r>
      <w:r>
        <w:rPr>
          <w:sz w:val="21"/>
          <w:szCs w:val="21"/>
          <w:spacing w:val="-2"/>
        </w:rPr>
        <w:t>h</w:t>
      </w:r>
      <w:r>
        <w:rPr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之内14-15]。建议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持续心电监测，直到明确诊断或排除</w:t>
      </w:r>
      <w:r>
        <w:rPr>
          <w:sz w:val="21"/>
          <w:szCs w:val="21"/>
          <w:spacing w:val="-3"/>
        </w:rPr>
        <w:t>NSTEMI,</w:t>
      </w:r>
      <w:r>
        <w:rPr>
          <w:rFonts w:ascii="SimSun" w:hAnsi="SimSun" w:eastAsia="SimSun" w:cs="SimSun"/>
          <w:sz w:val="21"/>
          <w:szCs w:val="21"/>
          <w:spacing w:val="-3"/>
        </w:rPr>
        <w:t>并酌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情将</w:t>
      </w:r>
      <w:r>
        <w:rPr>
          <w:sz w:val="21"/>
          <w:szCs w:val="21"/>
          <w:spacing w:val="-1"/>
        </w:rPr>
        <w:t>NSTEMI</w:t>
      </w:r>
      <w:r>
        <w:rPr>
          <w:rFonts w:ascii="SimSun" w:hAnsi="SimSun" w:eastAsia="SimSun" w:cs="SimSun"/>
          <w:sz w:val="21"/>
          <w:szCs w:val="21"/>
          <w:spacing w:val="-1"/>
        </w:rPr>
        <w:t>患者收入监护病房。</w:t>
      </w:r>
    </w:p>
    <w:p>
      <w:pPr>
        <w:pStyle w:val="BodyText"/>
        <w:ind w:left="929" w:right="5078" w:firstLine="430"/>
        <w:spacing w:before="91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对心律失常风险低危的NSTEMI</w:t>
      </w:r>
      <w:r>
        <w:rPr>
          <w:rFonts w:ascii="SimSun" w:hAnsi="SimSun" w:eastAsia="SimSun" w:cs="SimSun"/>
          <w:sz w:val="21"/>
          <w:szCs w:val="21"/>
          <w:spacing w:val="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患者，心电监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测24</w:t>
      </w:r>
      <w:r>
        <w:rPr>
          <w:sz w:val="21"/>
          <w:szCs w:val="21"/>
          <w:spacing w:val="7"/>
        </w:rPr>
        <w:t>h</w:t>
      </w:r>
      <w:r>
        <w:rPr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或直至行经皮冠状动脉介入治疗</w:t>
      </w:r>
      <w:r>
        <w:rPr>
          <w:sz w:val="21"/>
          <w:szCs w:val="21"/>
          <w:spacing w:val="7"/>
        </w:rPr>
        <w:t>(</w:t>
      </w:r>
      <w:r>
        <w:rPr>
          <w:sz w:val="21"/>
          <w:szCs w:val="21"/>
        </w:rPr>
        <w:t>PCI</w:t>
      </w:r>
      <w:r>
        <w:rPr>
          <w:sz w:val="21"/>
          <w:szCs w:val="21"/>
          <w:spacing w:val="7"/>
        </w:rPr>
        <w:t>);  </w:t>
      </w:r>
      <w:r>
        <w:rPr>
          <w:rFonts w:ascii="SimSun" w:hAnsi="SimSun" w:eastAsia="SimSun" w:cs="SimSun"/>
          <w:sz w:val="21"/>
          <w:szCs w:val="21"/>
          <w:spacing w:val="7"/>
        </w:rPr>
        <w:t>对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0"/>
        </w:rPr>
        <w:t>心律失常风险中至高危的</w:t>
      </w:r>
      <w:r>
        <w:rPr>
          <w:sz w:val="21"/>
          <w:szCs w:val="21"/>
        </w:rPr>
        <w:t>NSTEMI</w:t>
      </w:r>
      <w:r>
        <w:rPr>
          <w:rFonts w:ascii="SimSun" w:hAnsi="SimSun" w:eastAsia="SimSun" w:cs="SimSun"/>
          <w:sz w:val="21"/>
          <w:szCs w:val="21"/>
          <w:spacing w:val="10"/>
        </w:rPr>
        <w:t>患者，心电监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测&gt;24</w:t>
      </w:r>
      <w:r>
        <w:rPr>
          <w:sz w:val="21"/>
          <w:szCs w:val="21"/>
          <w:spacing w:val="8"/>
        </w:rPr>
        <w:t>h</w:t>
      </w:r>
      <w:r>
        <w:rPr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。心律失常风险中至高危包括以下情况：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血液动力学不稳定、严重心律失常、左心室射血分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数</w:t>
      </w:r>
      <w:r>
        <w:rPr>
          <w:sz w:val="21"/>
          <w:szCs w:val="21"/>
        </w:rPr>
        <w:t>(LVEF)&lt;40%</w:t>
      </w:r>
      <w:r>
        <w:rPr>
          <w:rFonts w:ascii="SimSun" w:hAnsi="SimSun" w:eastAsia="SimSun" w:cs="SimSun"/>
          <w:sz w:val="21"/>
          <w:szCs w:val="21"/>
        </w:rPr>
        <w:t>、再灌注治疗失败以及合并介入治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疗并发症。</w:t>
      </w:r>
    </w:p>
    <w:p>
      <w:pPr>
        <w:ind w:left="1359"/>
        <w:spacing w:before="6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(二)出血风险评估</w:t>
      </w:r>
    </w:p>
    <w:p>
      <w:pPr>
        <w:pStyle w:val="BodyText"/>
        <w:ind w:left="929" w:right="5138" w:firstLine="430"/>
        <w:spacing w:before="72" w:line="2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对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于</w:t>
      </w:r>
      <w:r>
        <w:rPr>
          <w:sz w:val="21"/>
          <w:szCs w:val="21"/>
        </w:rPr>
        <w:t>NSTE</w:t>
      </w:r>
      <w:r>
        <w:rPr>
          <w:sz w:val="21"/>
          <w:szCs w:val="21"/>
          <w:spacing w:val="17"/>
        </w:rPr>
        <w:t>-</w:t>
      </w:r>
      <w:r>
        <w:rPr>
          <w:sz w:val="21"/>
          <w:szCs w:val="21"/>
        </w:rPr>
        <w:t>ACS</w:t>
      </w:r>
      <w:r>
        <w:rPr>
          <w:rFonts w:ascii="SimSun" w:hAnsi="SimSun" w:eastAsia="SimSun" w:cs="SimSun"/>
          <w:sz w:val="21"/>
          <w:szCs w:val="21"/>
          <w:spacing w:val="17"/>
        </w:rPr>
        <w:t>的出血风险评估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般采用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CRUSADE</w:t>
      </w:r>
      <w:r>
        <w:rPr>
          <w:rFonts w:ascii="SimSun" w:hAnsi="SimSun" w:eastAsia="SimSun" w:cs="SimSun"/>
          <w:sz w:val="21"/>
          <w:szCs w:val="21"/>
          <w:spacing w:val="-3"/>
        </w:rPr>
        <w:t>评分和</w:t>
      </w:r>
      <w:r>
        <w:rPr>
          <w:sz w:val="21"/>
          <w:szCs w:val="21"/>
          <w:spacing w:val="-3"/>
        </w:rPr>
        <w:t>ACUITY</w:t>
      </w:r>
      <w:r>
        <w:rPr>
          <w:rFonts w:ascii="SimSun" w:hAnsi="SimSun" w:eastAsia="SimSun" w:cs="SimSun"/>
          <w:sz w:val="21"/>
          <w:szCs w:val="21"/>
          <w:spacing w:val="-3"/>
        </w:rPr>
        <w:t>评分。</w:t>
      </w:r>
    </w:p>
    <w:p>
      <w:pPr>
        <w:ind w:left="929" w:right="5078" w:firstLine="430"/>
        <w:spacing w:before="2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1.CRUSADE</w:t>
      </w:r>
      <w:r>
        <w:rPr>
          <w:rFonts w:ascii="SimSun" w:hAnsi="SimSun" w:eastAsia="SimSun" w:cs="SimSun"/>
          <w:sz w:val="21"/>
          <w:szCs w:val="21"/>
          <w:spacing w:val="7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评分：考虑患者基线特征(即女性、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糖尿病史、周围血管疾病史或卒中)、入院时</w:t>
      </w:r>
      <w:r>
        <w:rPr>
          <w:rFonts w:ascii="SimSun" w:hAnsi="SimSun" w:eastAsia="SimSun" w:cs="SimSun"/>
          <w:sz w:val="21"/>
          <w:szCs w:val="21"/>
          <w:spacing w:val="-9"/>
        </w:rPr>
        <w:t>的临床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参数(即心率、收缩压和心力衰竭体征)和入院时实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验室检查(即血细胞比容、校正后的肌酐清除率),评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估患者住院期间发生严重出血事件的可能性。</w:t>
      </w:r>
    </w:p>
    <w:p>
      <w:pPr>
        <w:pStyle w:val="BodyText"/>
        <w:ind w:left="1359"/>
        <w:spacing w:before="95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5"/>
        </w:rPr>
        <w:t>2.</w:t>
      </w:r>
      <w:r>
        <w:rPr>
          <w:sz w:val="21"/>
          <w:szCs w:val="21"/>
        </w:rPr>
        <w:t>ACUITY</w:t>
      </w:r>
      <w:r>
        <w:rPr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评分：包括6项独立的基线预测因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181899</wp:posOffset>
            </wp:positionV>
            <wp:extent cx="190423" cy="18419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59"/>
        <w:spacing w:before="61" w:line="192" w:lineRule="auto"/>
        <w:rPr>
          <w:sz w:val="21"/>
          <w:szCs w:val="21"/>
        </w:rPr>
      </w:pPr>
      <w:r>
        <w:pict>
          <v:shape id="_x0000_s36" style="position:absolute;margin-left:14.4963pt;margin-top:6.11931pt;mso-position-vertical-relative:text;mso-position-horizontal-relative:text;width:42.95pt;height:8.7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10"/>
                      <w:szCs w:val="10"/>
                    </w:rPr>
                  </w:pPr>
                  <w:r>
                    <w:rPr>
                      <w:rFonts w:ascii="STXingkai" w:hAnsi="STXingkai" w:eastAsia="STXingkai" w:cs="STXingkai"/>
                      <w:sz w:val="10"/>
                      <w:szCs w:val="10"/>
                      <w:spacing w:val="2"/>
                    </w:rPr>
                    <w:t>中桑告亭今会品社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774685</wp:posOffset>
            </wp:positionH>
            <wp:positionV relativeFrom="paragraph">
              <wp:posOffset>70971</wp:posOffset>
            </wp:positionV>
            <wp:extent cx="38038" cy="2546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8" cy="2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color w:val="C09080"/>
          <w:spacing w:val="-1"/>
        </w:rPr>
        <w:t>2xvdWRWZXJzaW9</w:t>
      </w:r>
    </w:p>
    <w:p>
      <w:pPr>
        <w:spacing w:line="192" w:lineRule="auto"/>
        <w:sectPr>
          <w:headerReference w:type="default" r:id="rId9"/>
          <w:pgSz w:w="12250" w:h="16500"/>
          <w:pgMar w:top="400" w:right="1266" w:bottom="0" w:left="340" w:header="0" w:footer="0" w:gutter="0"/>
        </w:sectPr>
        <w:rPr>
          <w:sz w:val="21"/>
          <w:szCs w:val="21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62" w:line="22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5"/>
        </w:rPr>
        <w:t>·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15"/>
        </w:rPr>
        <w:t>10·</w:t>
      </w:r>
      <w:r>
        <w:rPr>
          <w:spacing w:val="1"/>
        </w:rPr>
        <w:t xml:space="preserve">                            </w:t>
      </w:r>
      <w:r>
        <w:rPr/>
        <w:t xml:space="preserve">                                 </w:t>
      </w:r>
      <w:r>
        <w:rPr>
          <w:rFonts w:ascii="SimSun" w:hAnsi="SimSun" w:eastAsia="SimSun" w:cs="SimSun"/>
          <w:u w:val="single" w:color="auto"/>
          <w:spacing w:val="-72"/>
        </w:rPr>
        <w:t xml:space="preserve"> </w:t>
      </w:r>
      <w:r>
        <w:rPr>
          <w:rFonts w:ascii="SimSun" w:hAnsi="SimSun" w:eastAsia="SimSun" w:cs="SimSun"/>
          <w:u w:val="single" w:color="auto"/>
          <w:spacing w:val="-15"/>
        </w:rPr>
        <w:t>中华全科医师杂志2021年1月第20卷第1期ChinJ Gen Pract,January 2021,Vol.20,No.1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6029" w:right="170"/>
        <w:spacing w:before="62" w:line="287" w:lineRule="auto"/>
        <w:rPr>
          <w:rFonts w:ascii="SimSun" w:hAnsi="SimSun" w:eastAsia="SimSun" w:cs="SimSun"/>
        </w:rPr>
      </w:pPr>
      <w:r>
        <w:pict>
          <v:shape id="_x0000_s38" style="position:absolute;margin-left:45.4949pt;margin-top:2.14799pt;mso-position-vertical-relative:text;mso-position-horizontal-relative:text;width:232.9pt;height:687.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0"/>
                    <w:spacing w:before="20" w:line="22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3"/>
                    </w:rPr>
                    <w:t>6.PCI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史</w:t>
                  </w:r>
                  <w:r>
                    <w:rPr>
                      <w:rFonts w:ascii="SimSun" w:hAnsi="SimSun" w:eastAsia="SimSun" w:cs="SimSun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。</w:t>
                  </w:r>
                </w:p>
                <w:p>
                  <w:pPr>
                    <w:pStyle w:val="BodyText"/>
                    <w:ind w:left="430"/>
                    <w:spacing w:before="73" w:line="22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3"/>
                    </w:rPr>
                    <w:t>7.CABG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史</w:t>
                  </w:r>
                  <w:r>
                    <w:rPr>
                      <w:rFonts w:ascii="SimSun" w:hAnsi="SimSun" w:eastAsia="SimSun" w:cs="SimSun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。</w:t>
                  </w:r>
                </w:p>
                <w:p>
                  <w:pPr>
                    <w:ind w:left="20" w:right="137" w:firstLine="410"/>
                    <w:spacing w:before="63" w:line="27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3"/>
                    </w:rPr>
                    <w:t>(四)低危患者(以下情况之一)可安排普通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转诊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。</w:t>
                  </w:r>
                </w:p>
                <w:p>
                  <w:pPr>
                    <w:ind w:left="20" w:right="117" w:firstLine="410"/>
                    <w:spacing w:line="26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3"/>
                    </w:rPr>
                    <w:t>1.因确诊和随访需要或条件所限不能行相关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检查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。</w:t>
                  </w:r>
                </w:p>
                <w:p>
                  <w:pPr>
                    <w:ind w:left="430"/>
                    <w:spacing w:before="74" w:line="21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>2.经规范化治疗症状控制仍不理想。</w:t>
                  </w:r>
                </w:p>
                <w:p>
                  <w:pPr>
                    <w:ind w:left="430"/>
                    <w:spacing w:before="82" w:line="218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>3.为评价冠状动脉情况需进一步诊治。</w:t>
                  </w:r>
                </w:p>
                <w:p>
                  <w:pPr>
                    <w:ind w:left="432"/>
                    <w:spacing w:before="114" w:line="222" w:lineRule="auto"/>
                    <w:outlineLvl w:val="4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20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20"/>
                    </w:rPr>
                    <w:t>、治疗</w:t>
                  </w:r>
                </w:p>
                <w:p>
                  <w:pPr>
                    <w:ind w:left="430"/>
                    <w:spacing w:before="66" w:line="22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>一)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>一般治疗</w:t>
                  </w:r>
                </w:p>
                <w:p>
                  <w:pPr>
                    <w:ind w:left="20" w:right="120" w:firstLine="410"/>
                    <w:spacing w:before="92" w:line="306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5"/>
                    </w:rPr>
                    <w:t>应卧床休息，建立静脉通道，保持给药途径通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3"/>
                    </w:rPr>
                    <w:t>畅，密切观察心律、心率、血压和心功能变化。</w:t>
                  </w:r>
                </w:p>
                <w:p>
                  <w:pPr>
                    <w:pStyle w:val="BodyText"/>
                    <w:ind w:left="20" w:right="113" w:firstLine="410"/>
                    <w:spacing w:before="3" w:line="281" w:lineRule="auto"/>
                    <w:jc w:val="both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spacing w:val="12"/>
                    </w:rPr>
                    <w:t>对</w:t>
                  </w:r>
                  <w:r>
                    <w:rPr>
                      <w:rFonts w:ascii="SimSun" w:hAnsi="SimSun" w:eastAsia="SimSun" w:cs="SimSun"/>
                      <w:spacing w:val="-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2"/>
                    </w:rPr>
                    <w:t>于</w:t>
                  </w:r>
                  <w:r>
                    <w:rPr/>
                    <w:t>NSTE</w:t>
                  </w:r>
                  <w:r>
                    <w:rPr>
                      <w:spacing w:val="12"/>
                    </w:rPr>
                    <w:t>-</w:t>
                  </w:r>
                  <w:r>
                    <w:rPr/>
                    <w:t>ACS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2"/>
                    </w:rPr>
                    <w:t>合并动脉血氧饱和度&lt;90%、呼</w:t>
                  </w:r>
                  <w:r>
                    <w:rPr>
                      <w:rFonts w:ascii="SimSun" w:hAnsi="SimSun" w:eastAsia="SimSun" w:cs="SimSun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4"/>
                    </w:rPr>
                    <w:t>吸窘迫或其他低氧血症的高危患者，给予辅助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4"/>
                    </w:rPr>
                    <w:t>氧疗</w:t>
                  </w:r>
                  <w:r>
                    <w:rPr>
                      <w:rFonts w:ascii="SimSun" w:hAnsi="SimSun" w:eastAsia="SimSun" w:cs="SimSun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4"/>
                    </w:rPr>
                    <w:t>。</w:t>
                  </w:r>
                </w:p>
                <w:p>
                  <w:pPr>
                    <w:pStyle w:val="BodyText"/>
                    <w:ind w:left="20" w:right="20" w:firstLine="410"/>
                    <w:spacing w:before="37" w:line="273" w:lineRule="auto"/>
                    <w:jc w:val="both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spacing w:val="15"/>
                    </w:rPr>
                    <w:t>如无禁忌证，在给予最大耐受剂量抗心肌缺血</w:t>
                  </w:r>
                  <w:r>
                    <w:rPr>
                      <w:rFonts w:ascii="SimSun" w:hAnsi="SimSun" w:eastAsia="SimSun" w:cs="SimSun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16"/>
                    </w:rPr>
                    <w:t>药物之后仍有持续缺血性胸痛的</w:t>
                  </w:r>
                  <w:r>
                    <w:rPr>
                      <w:rFonts w:ascii="SimSun" w:hAnsi="SimSun" w:eastAsia="SimSun" w:cs="SimSun"/>
                    </w:rPr>
                    <w:t>NSTE</w:t>
                  </w:r>
                  <w:r>
                    <w:rPr>
                      <w:rFonts w:ascii="SimSun" w:hAnsi="SimSun" w:eastAsia="SimSun" w:cs="SimSun"/>
                      <w:spacing w:val="16"/>
                    </w:rPr>
                    <w:t>-</w:t>
                  </w:r>
                  <w:r>
                    <w:rPr>
                      <w:rFonts w:ascii="SimSun" w:hAnsi="SimSun" w:eastAsia="SimSun" w:cs="SimSun"/>
                    </w:rPr>
                    <w:t>ACS</w:t>
                  </w:r>
                  <w:r>
                    <w:rPr>
                      <w:rFonts w:ascii="SimSun" w:hAnsi="SimSun" w:eastAsia="SimSun" w:cs="SimSun"/>
                      <w:spacing w:val="1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16"/>
                    </w:rPr>
                    <w:t>患</w:t>
                  </w:r>
                  <w:r>
                    <w:rPr>
                      <w:rFonts w:ascii="SimSun" w:hAnsi="SimSun" w:eastAsia="SimSun" w:cs="SimSun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6"/>
                    </w:rPr>
                    <w:t>者</w:t>
                  </w:r>
                  <w:r>
                    <w:rPr>
                      <w:rFonts w:ascii="SimSun" w:hAnsi="SimSun" w:eastAsia="SimSun" w:cs="SimSun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6"/>
                    </w:rPr>
                    <w:t>，</w:t>
                  </w:r>
                  <w:r>
                    <w:rPr>
                      <w:rFonts w:ascii="SimSun" w:hAnsi="SimSun" w:eastAsia="SimSun" w:cs="SimSun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5"/>
                    </w:rPr>
                    <w:t>可静脉注射吗啡2~4</w:t>
                  </w:r>
                  <w:r>
                    <w:rPr>
                      <w:sz w:val="23"/>
                      <w:szCs w:val="23"/>
                      <w:spacing w:val="-5"/>
                    </w:rPr>
                    <w:t>mg,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5"/>
                    </w:rPr>
                    <w:t>必要时5~10</w:t>
                  </w:r>
                  <w:r>
                    <w:rPr>
                      <w:sz w:val="23"/>
                      <w:szCs w:val="23"/>
                      <w:spacing w:val="-5"/>
                    </w:rPr>
                    <w:t>min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5"/>
                    </w:rPr>
                    <w:t>后重复，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5"/>
                    </w:rPr>
                    <w:t>以减轻患者交感神经过度兴奋和濒死感。需注意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9"/>
                    </w:rPr>
                    <w:t>吗啡可引起低血压和呼吸功能抑制的不良反应。</w:t>
                  </w:r>
                </w:p>
                <w:p>
                  <w:pPr>
                    <w:ind w:left="430"/>
                    <w:spacing w:before="30" w:line="22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(二)药物治疗</w:t>
                  </w:r>
                </w:p>
                <w:p>
                  <w:pPr>
                    <w:ind w:left="430"/>
                    <w:spacing w:before="93" w:line="21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3"/>
                    </w:rPr>
                    <w:t>1.抗心肌缺血药物治疗：</w:t>
                  </w:r>
                </w:p>
                <w:p>
                  <w:pPr>
                    <w:ind w:left="20" w:right="117" w:firstLine="410"/>
                    <w:spacing w:before="73" w:line="305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9"/>
                    </w:rPr>
                    <w:t>(1)硝酸酯类：硝酸酯类通过扩张冠状动脉及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5"/>
                    </w:rPr>
                    <w:t>其侧支循环，增加冠状动脉血流量以及增加静脉容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6"/>
                    </w:rPr>
                    <w:t>量，减少回心血量，降低心室前负荷。</w:t>
                  </w:r>
                </w:p>
                <w:p>
                  <w:pPr>
                    <w:ind w:left="20" w:right="96" w:firstLine="410"/>
                    <w:spacing w:before="2" w:line="294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4"/>
                    </w:rPr>
                    <w:t>可以舌下含服硝酸甘油或静脉使用硝酸酯类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5"/>
                    </w:rPr>
                    <w:t>药物缓解心绞痛。如患者有反复心绞痛发作、难以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5"/>
                    </w:rPr>
                    <w:t>控制的高血压或心力衰竭，推荐静脉使用硝酸酯类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>药物。使用时注意监测血压，逐渐增加硝酸酯类剂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8"/>
                    </w:rPr>
                    <w:t>量，直至症状缓解和/或血压控制。</w:t>
                  </w:r>
                </w:p>
                <w:p>
                  <w:pPr>
                    <w:ind w:left="20" w:right="119" w:firstLine="410"/>
                    <w:spacing w:before="2" w:line="307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9"/>
                    </w:rPr>
                    <w:t>(2)β受体阻滞剂：如无禁忌证，尽早使用β受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3"/>
                    </w:rPr>
                    <w:t>体阻滞剂，使静息目标心率控制在50~6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2"/>
                    </w:rPr>
                    <w:t>0次/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min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2"/>
                    </w:rPr>
                    <w:t>,并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0"/>
                    </w:rPr>
                    <w:t>长期维持。</w:t>
                  </w:r>
                </w:p>
                <w:p>
                  <w:pPr>
                    <w:pStyle w:val="BodyText"/>
                    <w:ind w:left="20" w:right="96" w:firstLine="410"/>
                    <w:spacing w:before="2" w:line="290" w:lineRule="auto"/>
                    <w:jc w:val="both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spacing w:val="15"/>
                    </w:rPr>
                    <w:t>对于高危患者，可早期静脉注射美托洛尔，随</w:t>
                  </w:r>
                  <w:r>
                    <w:rPr>
                      <w:rFonts w:ascii="SimSun" w:hAnsi="SimSun" w:eastAsia="SimSun" w:cs="SimSun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3"/>
                    </w:rPr>
                    <w:t>后长期口服美托洛尔，口服剂量可逐渐增加至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 xml:space="preserve"> </w:t>
                  </w:r>
                  <w:r>
                    <w:rPr>
                      <w:spacing w:val="-1"/>
                    </w:rPr>
                    <w:t>200   mg/d</w:t>
                  </w:r>
                  <w:r>
                    <w:rPr>
                      <w:rFonts w:ascii="SimSun" w:hAnsi="SimSun" w:eastAsia="SimSun" w:cs="SimSun"/>
                      <w:spacing w:val="-1"/>
                    </w:rPr>
                    <w:t>。</w:t>
                  </w:r>
                </w:p>
                <w:p>
                  <w:pPr>
                    <w:ind w:left="20" w:right="32" w:firstLine="410"/>
                    <w:spacing w:before="1" w:line="295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对于中/低危患者，可直接口服β受体阻滞剂，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5"/>
                    </w:rPr>
                    <w:t>推荐使用具有β选择性的药物美托洛尔和比索洛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5"/>
                    </w:rPr>
                    <w:t>尔，并长期使用。</w:t>
                  </w:r>
                </w:p>
                <w:p>
                  <w:pPr>
                    <w:ind w:left="20" w:right="113" w:firstLine="410"/>
                    <w:spacing w:before="3" w:line="262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4"/>
                    </w:rPr>
                    <w:t>β受体阻滞剂禁忌证包括未控制的心力衰竭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6"/>
                    </w:rPr>
                    <w:t>症状、低心排综合征、进行性心原性休克、支气管哮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5"/>
                    </w:rPr>
                    <w:t>喘等。如怀疑冠状动脉痉挛或可卡因诱发的胸痛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7"/>
                    </w:rPr>
                    <w:t>患者也应避免使用。</w:t>
                  </w:r>
                </w:p>
                <w:p>
                  <w:pPr>
                    <w:pStyle w:val="BodyText"/>
                    <w:ind w:left="430"/>
                    <w:spacing w:line="212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6"/>
                    </w:rPr>
                    <w:t>(3)钙通道阻滞剂</w:t>
                  </w:r>
                  <w:r>
                    <w:rPr>
                      <w:sz w:val="23"/>
                      <w:szCs w:val="23"/>
                      <w:spacing w:val="-6"/>
                    </w:rPr>
                    <w:t>(CCB):CCB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6"/>
                    </w:rPr>
                    <w:t>具有扩张冠状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pacing w:val="16"/>
        </w:rPr>
        <w:t>动脉、增加冠状动脉血流量的作用，可用于冠状动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5"/>
        </w:rPr>
        <w:t>脉痉挛造成的</w:t>
      </w:r>
      <w:r>
        <w:rPr/>
        <w:t>NSTE</w:t>
      </w:r>
      <w:r>
        <w:rPr>
          <w:spacing w:val="15"/>
        </w:rPr>
        <w:t>-</w:t>
      </w:r>
      <w:r>
        <w:rPr/>
        <w:t>ACS</w:t>
      </w:r>
      <w:r>
        <w:rPr>
          <w:rFonts w:ascii="SimSun" w:hAnsi="SimSun" w:eastAsia="SimSun" w:cs="SimSun"/>
          <w:spacing w:val="15"/>
        </w:rPr>
        <w:t>。</w:t>
      </w:r>
    </w:p>
    <w:p>
      <w:pPr>
        <w:pStyle w:val="BodyText"/>
        <w:ind w:left="6029" w:right="154" w:firstLine="429"/>
        <w:spacing w:before="1" w:line="28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3"/>
          <w:szCs w:val="23"/>
          <w:spacing w:val="-13"/>
        </w:rPr>
        <w:t>在应用β受体阻滞剂和硝酸酯类药物后仍存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pacing w:val="16"/>
        </w:rPr>
        <w:t>在心绞痛症状或难以控制的高血压患者，可加用长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17"/>
        </w:rPr>
        <w:t>效二氢吡啶类</w:t>
      </w:r>
      <w:r>
        <w:rPr/>
        <w:t>CCB</w:t>
      </w:r>
      <w:r>
        <w:rPr>
          <w:rFonts w:ascii="SimSun" w:hAnsi="SimSun" w:eastAsia="SimSun" w:cs="SimSun"/>
          <w:spacing w:val="17"/>
        </w:rPr>
        <w:t>。</w:t>
      </w:r>
    </w:p>
    <w:p>
      <w:pPr>
        <w:ind w:left="6029" w:right="171" w:firstLine="429"/>
        <w:spacing w:before="2" w:line="287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3"/>
          <w:szCs w:val="23"/>
          <w:spacing w:val="-14"/>
        </w:rPr>
        <w:t>短效硝苯地平可导致剂量相关的冠状动脉疾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病死亡率增加，不建议常规使用，但可用于变异型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心绞痛发作时快速缓解症状和心肌缺血。</w:t>
      </w:r>
    </w:p>
    <w:p>
      <w:pPr>
        <w:pStyle w:val="BodyText"/>
        <w:ind w:left="6029" w:right="145" w:firstLine="429"/>
        <w:spacing w:before="4" w:line="27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3"/>
          <w:szCs w:val="23"/>
          <w:spacing w:val="-7"/>
        </w:rPr>
        <w:t>非二氢吡啶类CCB(如地尔硫草)具有负性变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6"/>
        </w:rPr>
        <w:t>时、负性变力和负性传导作用，可用于变异型心绞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16"/>
        </w:rPr>
        <w:t>痛预防心绞痛复发、持续或反复缺血发作、并且存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在β受体阻滞剂禁忌的NSTE-ACS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患者，但需除外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左心室功能障碍、心原性休克、</w:t>
      </w:r>
      <w:r>
        <w:rPr>
          <w:sz w:val="23"/>
          <w:szCs w:val="23"/>
          <w:spacing w:val="-14"/>
        </w:rPr>
        <w:t>PR</w:t>
      </w:r>
      <w:r>
        <w:rPr>
          <w:rFonts w:ascii="SimSun" w:hAnsi="SimSun" w:eastAsia="SimSun" w:cs="SimSun"/>
          <w:sz w:val="23"/>
          <w:szCs w:val="23"/>
          <w:spacing w:val="-14"/>
        </w:rPr>
        <w:t>间期&gt;0.24</w:t>
      </w:r>
      <w:r>
        <w:rPr>
          <w:sz w:val="23"/>
          <w:szCs w:val="23"/>
          <w:spacing w:val="-15"/>
        </w:rPr>
        <w:t>s </w:t>
      </w:r>
      <w:r>
        <w:rPr>
          <w:rFonts w:ascii="SimSun" w:hAnsi="SimSun" w:eastAsia="SimSun" w:cs="SimSun"/>
          <w:sz w:val="23"/>
          <w:szCs w:val="23"/>
          <w:spacing w:val="-15"/>
        </w:rPr>
        <w:t>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二/三度房室传导阻滞而未置入心脏起搏器的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pacing w:val="9"/>
        </w:rPr>
        <w:t>患者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9"/>
        </w:rPr>
        <w:t>。</w:t>
      </w:r>
    </w:p>
    <w:p>
      <w:pPr>
        <w:pStyle w:val="BodyText"/>
        <w:ind w:left="6029" w:right="173" w:firstLine="429"/>
        <w:spacing w:before="1" w:line="26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5"/>
        </w:rPr>
        <w:t>(4)尼可地尔：尼可地尔兼有ATP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依赖的钾通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6"/>
        </w:rPr>
        <w:t>道开放作用及硝酸酯样作用，可用于对硝酸酯类不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能耐受的</w:t>
      </w:r>
      <w:r>
        <w:rPr>
          <w:sz w:val="23"/>
          <w:szCs w:val="23"/>
          <w:spacing w:val="-14"/>
        </w:rPr>
        <w:t>NSTE-ACS</w:t>
      </w:r>
      <w:r>
        <w:rPr>
          <w:rFonts w:ascii="SimSun" w:hAnsi="SimSun" w:eastAsia="SimSun" w:cs="SimSun"/>
          <w:sz w:val="23"/>
          <w:szCs w:val="23"/>
          <w:spacing w:val="-14"/>
        </w:rPr>
        <w:t>患者。</w:t>
      </w:r>
    </w:p>
    <w:p>
      <w:pPr>
        <w:pStyle w:val="BodyText"/>
        <w:ind w:left="6029" w:right="169" w:firstLine="429"/>
        <w:spacing w:line="28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8"/>
        </w:rPr>
        <w:t>(5)肾素-血管紧张素-醛固酮系统抑制剂：对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于所有</w:t>
      </w:r>
      <w:r>
        <w:rPr>
          <w:sz w:val="23"/>
          <w:szCs w:val="23"/>
          <w:spacing w:val="-14"/>
        </w:rPr>
        <w:t>LVEF&lt;40%,</w:t>
      </w:r>
      <w:r>
        <w:rPr>
          <w:rFonts w:ascii="SimSun" w:hAnsi="SimSun" w:eastAsia="SimSun" w:cs="SimSun"/>
          <w:sz w:val="23"/>
          <w:szCs w:val="23"/>
          <w:spacing w:val="-14"/>
        </w:rPr>
        <w:t>以及高血压、糖尿病或稳定的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pacing w:val="16"/>
        </w:rPr>
        <w:t>慢性肾脏病患者，如无禁忌证，应长期使用血管紧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张素转化酶抑制剂</w:t>
      </w:r>
      <w:r>
        <w:rPr>
          <w:sz w:val="23"/>
          <w:szCs w:val="23"/>
          <w:spacing w:val="4"/>
        </w:rPr>
        <w:t>(</w:t>
      </w:r>
      <w:r>
        <w:rPr>
          <w:sz w:val="23"/>
          <w:szCs w:val="23"/>
        </w:rPr>
        <w:t>ACEI</w:t>
      </w:r>
      <w:r>
        <w:rPr>
          <w:sz w:val="23"/>
          <w:szCs w:val="23"/>
          <w:spacing w:val="4"/>
        </w:rPr>
        <w:t>)</w:t>
      </w:r>
      <w:r>
        <w:rPr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。</w:t>
      </w:r>
      <w:r>
        <w:rPr>
          <w:sz w:val="23"/>
          <w:szCs w:val="23"/>
        </w:rPr>
        <w:t>ACEI</w:t>
      </w:r>
      <w:r>
        <w:rPr>
          <w:rFonts w:ascii="SimSun" w:hAnsi="SimSun" w:eastAsia="SimSun" w:cs="SimSun"/>
          <w:sz w:val="23"/>
          <w:szCs w:val="23"/>
          <w:spacing w:val="4"/>
        </w:rPr>
        <w:t>通过阻断肾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5"/>
        </w:rPr>
        <w:t>素-血管紧张素系统发挥心血管保护作用。</w:t>
      </w:r>
    </w:p>
    <w:p>
      <w:pPr>
        <w:pStyle w:val="BodyText"/>
        <w:ind w:left="6029" w:right="134" w:firstLine="429"/>
        <w:spacing w:line="2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1"/>
        </w:rPr>
        <w:t>对ACEI不耐受的患者，可用血管紧张素Ⅱ受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体拮抗剂</w:t>
      </w:r>
      <w:r>
        <w:rPr>
          <w:sz w:val="23"/>
          <w:szCs w:val="23"/>
          <w:spacing w:val="-3"/>
        </w:rPr>
        <w:t>(ARB)</w:t>
      </w:r>
      <w:r>
        <w:rPr>
          <w:rFonts w:ascii="SimSun" w:hAnsi="SimSun" w:eastAsia="SimSun" w:cs="SimSun"/>
          <w:sz w:val="23"/>
          <w:szCs w:val="23"/>
          <w:spacing w:val="-3"/>
        </w:rPr>
        <w:t>替代，不推荐联合使用</w:t>
      </w:r>
      <w:r>
        <w:rPr>
          <w:sz w:val="23"/>
          <w:szCs w:val="23"/>
          <w:spacing w:val="-3"/>
        </w:rPr>
        <w:t>ACEI</w:t>
      </w:r>
      <w:r>
        <w:rPr>
          <w:rFonts w:ascii="SimSun" w:hAnsi="SimSun" w:eastAsia="SimSun" w:cs="SimSun"/>
          <w:sz w:val="23"/>
          <w:szCs w:val="23"/>
          <w:spacing w:val="-3"/>
        </w:rPr>
        <w:t>和</w:t>
      </w:r>
    </w:p>
    <w:p>
      <w:pPr>
        <w:pStyle w:val="BodyText"/>
        <w:ind w:left="6029"/>
        <w:spacing w:before="149" w:line="180" w:lineRule="auto"/>
        <w:rPr>
          <w:rFonts w:ascii="SimSun" w:hAnsi="SimSun" w:eastAsia="SimSun" w:cs="SimSun"/>
        </w:rPr>
      </w:pPr>
      <w:r>
        <w:rPr>
          <w:spacing w:val="-1"/>
        </w:rPr>
        <w:t>ARB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ind w:left="6029" w:right="48" w:firstLine="429"/>
        <w:spacing w:before="84" w:line="28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1"/>
        </w:rPr>
        <w:t>对于心肌梗死已接受足量</w:t>
      </w:r>
      <w:r>
        <w:rPr/>
        <w:t>ACEI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21"/>
        </w:rPr>
        <w:t>和β受体阻滞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剂且合并</w:t>
      </w:r>
      <w:r>
        <w:rPr>
          <w:sz w:val="23"/>
          <w:szCs w:val="23"/>
          <w:spacing w:val="-15"/>
        </w:rPr>
        <w:t>LVEF&lt;40%</w:t>
      </w:r>
      <w:r>
        <w:rPr>
          <w:rFonts w:ascii="SimSun" w:hAnsi="SimSun" w:eastAsia="SimSun" w:cs="SimSun"/>
          <w:sz w:val="23"/>
          <w:szCs w:val="23"/>
          <w:spacing w:val="-15"/>
        </w:rPr>
        <w:t>、糖尿病或心力衰竭的患者，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pacing w:val="16"/>
        </w:rPr>
        <w:t>如无高钾血症和肾功能不全，可联合使用醛固酮受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18"/>
        </w:rPr>
        <w:t>体拮抗剂。</w:t>
      </w:r>
    </w:p>
    <w:p>
      <w:pPr>
        <w:ind w:left="6459"/>
        <w:spacing w:before="36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2.抗血小板治疗：</w:t>
      </w:r>
    </w:p>
    <w:p>
      <w:pPr>
        <w:pStyle w:val="BodyText"/>
        <w:ind w:left="6029" w:right="108" w:firstLine="429"/>
        <w:spacing w:before="114" w:line="26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9"/>
        </w:rPr>
        <w:t>(1)阿司匹林：阿司匹林是抗血小板治疗的基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10"/>
        </w:rPr>
        <w:t>石，如无禁忌证，所有患者均应长期口服阿司匹林，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10"/>
        </w:rPr>
        <w:t>首剂负荷量150~300 </w:t>
      </w:r>
      <w:r>
        <w:rPr/>
        <w:t>mg</w:t>
      </w:r>
      <w:r>
        <w:rPr>
          <w:spacing w:val="10"/>
        </w:rPr>
        <w:t>, </w:t>
      </w:r>
      <w:r>
        <w:rPr>
          <w:rFonts w:ascii="SimSun" w:hAnsi="SimSun" w:eastAsia="SimSun" w:cs="SimSun"/>
          <w:spacing w:val="10"/>
        </w:rPr>
        <w:t>维持剂量75~100 </w:t>
      </w:r>
      <w:r>
        <w:rPr/>
        <w:t>mg</w:t>
      </w:r>
      <w:r>
        <w:rPr>
          <w:spacing w:val="10"/>
        </w:rPr>
        <w:t>/d</w:t>
      </w:r>
      <w:r>
        <w:rPr>
          <w:rFonts w:ascii="SimSun" w:hAnsi="SimSun" w:eastAsia="SimSun" w:cs="SimSun"/>
          <w:spacing w:val="10"/>
        </w:rPr>
        <w:t>。</w:t>
      </w:r>
    </w:p>
    <w:p>
      <w:pPr>
        <w:pStyle w:val="BodyText"/>
        <w:ind w:left="6029" w:right="174" w:firstLine="429"/>
        <w:spacing w:before="94" w:line="278" w:lineRule="auto"/>
        <w:rPr>
          <w:rFonts w:ascii="SimSun" w:hAnsi="SimSun" w:eastAsia="SimSun" w:cs="SimSun"/>
        </w:rPr>
      </w:pPr>
      <w:r>
        <w:rPr>
          <w:spacing w:val="1"/>
        </w:rPr>
        <w:t>(2)P2Y₁₂</w:t>
      </w:r>
      <w:r>
        <w:rPr>
          <w:spacing w:val="23"/>
          <w:w w:val="101"/>
        </w:rPr>
        <w:t xml:space="preserve">  </w:t>
      </w:r>
      <w:r>
        <w:rPr>
          <w:rFonts w:ascii="SimSun" w:hAnsi="SimSun" w:eastAsia="SimSun" w:cs="SimSun"/>
          <w:spacing w:val="1"/>
        </w:rPr>
        <w:t>受体抑制剂： 一旦诊断</w:t>
      </w:r>
      <w:r>
        <w:rPr/>
        <w:t>NSTE</w:t>
      </w:r>
      <w:r>
        <w:rPr>
          <w:spacing w:val="1"/>
        </w:rPr>
        <w:t>-</w:t>
      </w:r>
      <w:r>
        <w:rPr/>
        <w:t>ACS</w:t>
      </w:r>
      <w:r>
        <w:rPr>
          <w:spacing w:val="1"/>
        </w:rPr>
        <w:t>,</w:t>
      </w:r>
      <w:r>
        <w:rPr>
          <w:spacing w:val="45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应尽快给予</w:t>
      </w:r>
      <w:r>
        <w:rPr>
          <w:spacing w:val="17"/>
        </w:rPr>
        <w:t>P2Y₁₂ </w:t>
      </w:r>
      <w:r>
        <w:rPr>
          <w:rFonts w:ascii="SimSun" w:hAnsi="SimSun" w:eastAsia="SimSun" w:cs="SimSun"/>
          <w:spacing w:val="17"/>
        </w:rPr>
        <w:t>受体抑制剂，除非有极高出血风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险等禁忌证，应在阿司匹林基础上联合应用1种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0"/>
        </w:rPr>
        <w:t>P2Y</w:t>
      </w:r>
      <w:r>
        <w:rPr>
          <w:rFonts w:ascii="Calibri" w:hAnsi="Calibri" w:eastAsia="Calibri" w:cs="Calibri"/>
          <w:spacing w:val="10"/>
        </w:rPr>
        <w:t>₁₂</w:t>
      </w:r>
      <w:r>
        <w:rPr>
          <w:rFonts w:ascii="Calibri" w:hAnsi="Calibri" w:eastAsia="Calibri" w:cs="Calibri"/>
          <w:spacing w:val="6"/>
        </w:rPr>
        <w:t xml:space="preserve">  </w:t>
      </w:r>
      <w:r>
        <w:rPr>
          <w:rFonts w:ascii="SimSun" w:hAnsi="SimSun" w:eastAsia="SimSun" w:cs="SimSun"/>
          <w:spacing w:val="10"/>
        </w:rPr>
        <w:t>受体抑制剂，并维持至少12个月。</w:t>
      </w:r>
    </w:p>
    <w:p>
      <w:pPr>
        <w:pStyle w:val="BodyText"/>
        <w:ind w:left="6029" w:right="171" w:firstLine="429"/>
        <w:spacing w:before="65" w:line="25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0"/>
        </w:rPr>
        <w:t>目前可供选择的药物包括氯吡格雷(负荷剂量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z w:val="23"/>
          <w:szCs w:val="23"/>
          <w:spacing w:val="-2"/>
        </w:rPr>
        <w:t>300~600mg,</w:t>
      </w:r>
      <w:r>
        <w:rPr>
          <w:rFonts w:ascii="SimSun" w:hAnsi="SimSun" w:eastAsia="SimSun" w:cs="SimSun"/>
          <w:sz w:val="23"/>
          <w:szCs w:val="23"/>
          <w:spacing w:val="-2"/>
        </w:rPr>
        <w:t>维持剂量75</w:t>
      </w:r>
      <w:r>
        <w:rPr>
          <w:sz w:val="23"/>
          <w:szCs w:val="23"/>
          <w:spacing w:val="-2"/>
        </w:rPr>
        <w:t>mg/d)</w:t>
      </w:r>
      <w:r>
        <w:rPr>
          <w:rFonts w:ascii="SimSun" w:hAnsi="SimSun" w:eastAsia="SimSun" w:cs="SimSun"/>
          <w:sz w:val="23"/>
          <w:szCs w:val="23"/>
          <w:spacing w:val="-2"/>
        </w:rPr>
        <w:t>或替格瑞洛(负荷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pacing w:val="4"/>
        </w:rPr>
        <w:t>剂量180 </w:t>
      </w:r>
      <w:r>
        <w:rPr/>
        <w:t>mg</w:t>
      </w:r>
      <w:r>
        <w:rPr>
          <w:spacing w:val="4"/>
        </w:rPr>
        <w:t>,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4"/>
        </w:rPr>
        <w:t>维持剂量90 </w:t>
      </w:r>
      <w:r>
        <w:rPr/>
        <w:t>mg</w:t>
      </w:r>
      <w:r>
        <w:rPr>
          <w:spacing w:val="4"/>
        </w:rPr>
        <w:t>/</w:t>
      </w:r>
      <w:r>
        <w:rPr>
          <w:rFonts w:ascii="SimSun" w:hAnsi="SimSun" w:eastAsia="SimSun" w:cs="SimSun"/>
          <w:spacing w:val="4"/>
        </w:rPr>
        <w:t>次、2次/</w:t>
      </w:r>
      <w:r>
        <w:rPr>
          <w:spacing w:val="4"/>
        </w:rPr>
        <w:t>d)</w:t>
      </w:r>
      <w:r>
        <w:rPr>
          <w:rFonts w:ascii="SimSun" w:hAnsi="SimSun" w:eastAsia="SimSun" w:cs="SimSun"/>
          <w:spacing w:val="4"/>
        </w:rPr>
        <w:t>。</w:t>
      </w:r>
    </w:p>
    <w:p>
      <w:pPr>
        <w:pStyle w:val="BodyText"/>
        <w:ind w:left="6029" w:right="156" w:firstLine="429"/>
        <w:spacing w:before="19" w:line="303" w:lineRule="auto"/>
        <w:jc w:val="both"/>
        <w:rPr>
          <w:rFonts w:ascii="SimSun" w:hAnsi="SimSun" w:eastAsia="SimSun" w:cs="SimSun"/>
        </w:rPr>
      </w:pPr>
      <w:r>
        <w:rPr>
          <w:sz w:val="23"/>
          <w:szCs w:val="23"/>
          <w:spacing w:val="-6"/>
        </w:rPr>
        <w:t>PEGASUS-TIMI 54</w:t>
      </w:r>
      <w:r>
        <w:rPr>
          <w:rFonts w:ascii="SimSun" w:hAnsi="SimSun" w:eastAsia="SimSun" w:cs="SimSun"/>
          <w:sz w:val="23"/>
          <w:szCs w:val="23"/>
          <w:spacing w:val="-6"/>
        </w:rPr>
        <w:t>研究[16将心</w:t>
      </w:r>
      <w:r>
        <w:rPr>
          <w:rFonts w:ascii="SimSun" w:hAnsi="SimSun" w:eastAsia="SimSun" w:cs="SimSun"/>
          <w:sz w:val="23"/>
          <w:szCs w:val="23"/>
          <w:spacing w:val="-7"/>
        </w:rPr>
        <w:t>肌梗死后1~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9"/>
        </w:rPr>
        <w:t>3年的患者(至少合并1项以下高危因素：二次心肌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7"/>
        </w:rPr>
        <w:t>梗死、冠状动脉多支病变、糖尿病、肾功能不全或年</w:t>
      </w:r>
    </w:p>
    <w:p>
      <w:pPr>
        <w:spacing w:line="456" w:lineRule="auto"/>
        <w:rPr>
          <w:rFonts w:ascii="Arial"/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304858</wp:posOffset>
            </wp:positionV>
            <wp:extent cx="190423" cy="19058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9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6" w:line="192" w:lineRule="auto"/>
        <w:jc w:val="right"/>
        <w:rPr>
          <w:sz w:val="23"/>
          <w:szCs w:val="23"/>
        </w:rPr>
      </w:pPr>
      <w:r>
        <w:pict>
          <v:shape id="_x0000_s40" style="position:absolute;margin-left:15.6166pt;margin-top:7.5948pt;mso-position-vertical-relative:text;mso-position-horizontal-relative:text;width:36.3pt;height:8.1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3"/>
          <w:szCs w:val="23"/>
          <w:color w:val="C09080"/>
          <w:spacing w:val="-1"/>
        </w:rPr>
        <w:t>2xvdWRWZXJzaW9</w:t>
      </w:r>
    </w:p>
    <w:p>
      <w:pPr>
        <w:spacing w:line="192" w:lineRule="auto"/>
        <w:sectPr>
          <w:pgSz w:w="12250" w:h="16500"/>
          <w:pgMar w:top="400" w:right="1166" w:bottom="0" w:left="340" w:header="0" w:footer="0" w:gutter="0"/>
        </w:sectPr>
        <w:rPr>
          <w:sz w:val="23"/>
          <w:szCs w:val="23"/>
        </w:rPr>
      </w:pPr>
    </w:p>
    <w:p>
      <w:pPr>
        <w:spacing w:line="240" w:lineRule="exact"/>
        <w:rPr/>
      </w:pPr>
      <w:r/>
    </w:p>
    <w:p>
      <w:pPr>
        <w:spacing w:line="240" w:lineRule="exact"/>
        <w:sectPr>
          <w:headerReference w:type="default" r:id="rId12"/>
          <w:footerReference w:type="default" r:id="rId13"/>
          <w:pgSz w:w="12250" w:h="16500"/>
          <w:pgMar w:top="1264" w:right="1205" w:bottom="1" w:left="349" w:header="971" w:footer="0" w:gutter="0"/>
          <w:cols w:equalWidth="0" w:num="1">
            <w:col w:w="10695" w:space="0"/>
          </w:cols>
        </w:sectPr>
        <w:rPr/>
      </w:pPr>
    </w:p>
    <w:p>
      <w:pPr>
        <w:pStyle w:val="BodyText"/>
        <w:ind w:left="949" w:right="405"/>
        <w:spacing w:before="51" w:line="28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6"/>
        </w:rPr>
        <w:t>龄≥65岁)随机分为替格瑞洛90 </w:t>
      </w:r>
      <w:r>
        <w:rPr/>
        <w:t>mg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16"/>
        </w:rPr>
        <w:t>组(90 </w:t>
      </w:r>
      <w:r>
        <w:rPr/>
        <w:t>mg</w:t>
      </w:r>
      <w:r>
        <w:rPr>
          <w:spacing w:val="16"/>
        </w:rPr>
        <w:t>/</w:t>
      </w:r>
      <w:r>
        <w:rPr>
          <w:rFonts w:ascii="SimSun" w:hAnsi="SimSun" w:eastAsia="SimSun" w:cs="SimSun"/>
          <w:spacing w:val="16"/>
        </w:rPr>
        <w:t>次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2次/</w:t>
      </w:r>
      <w:r>
        <w:rPr>
          <w:spacing w:val="-3"/>
        </w:rPr>
        <w:t>d)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3"/>
        </w:rPr>
        <w:t>、替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3"/>
        </w:rPr>
        <w:t>格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3"/>
        </w:rPr>
        <w:t>瑞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3"/>
        </w:rPr>
        <w:t>洛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3"/>
        </w:rPr>
        <w:t>6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3"/>
        </w:rPr>
        <w:t>0</w:t>
      </w:r>
      <w:r>
        <w:rPr>
          <w:spacing w:val="-3"/>
        </w:rPr>
        <w:t>mg </w:t>
      </w:r>
      <w:r>
        <w:rPr>
          <w:rFonts w:ascii="SimSun" w:hAnsi="SimSun" w:eastAsia="SimSun" w:cs="SimSun"/>
          <w:spacing w:val="-3"/>
        </w:rPr>
        <w:t>组(60</w:t>
      </w:r>
      <w:r>
        <w:rPr>
          <w:rFonts w:ascii="SimSun" w:hAnsi="SimSun" w:eastAsia="SimSun" w:cs="SimSun"/>
          <w:spacing w:val="40"/>
        </w:rPr>
        <w:t xml:space="preserve"> </w:t>
      </w:r>
      <w:r>
        <w:rPr>
          <w:spacing w:val="-3"/>
        </w:rPr>
        <w:t>mg/</w:t>
      </w:r>
      <w:r>
        <w:rPr>
          <w:rFonts w:ascii="SimSun" w:hAnsi="SimSun" w:eastAsia="SimSun" w:cs="SimSun"/>
          <w:spacing w:val="-3"/>
        </w:rPr>
        <w:t>次、2次/</w:t>
      </w:r>
      <w:r>
        <w:rPr>
          <w:spacing w:val="-3"/>
        </w:rPr>
        <w:t>d)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和 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慰剂组，所有患者均联合使用低剂量阿司匹林，随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访中位时间为33个月，结果显示替格瑞洛组较安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pacing w:val="16"/>
        </w:rPr>
        <w:t>慰剂组显著降低心血管死亡、心肌梗死或卒中的发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  <w:spacing w:val="21"/>
        </w:rPr>
        <w:t>生率，主要出血发生率增加，但3组颅内或致死性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"/>
        </w:rPr>
        <w:t>出血差异无统计学意义。替格瑞洛60 </w:t>
      </w:r>
      <w:r>
        <w:rPr>
          <w:sz w:val="23"/>
          <w:szCs w:val="23"/>
        </w:rPr>
        <w:t>mg</w:t>
      </w:r>
      <w:r>
        <w:rPr>
          <w:rFonts w:ascii="SimSun" w:hAnsi="SimSun" w:eastAsia="SimSun" w:cs="SimSun"/>
          <w:sz w:val="23"/>
          <w:szCs w:val="23"/>
          <w:spacing w:val="1"/>
        </w:rPr>
        <w:t>组较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spacing w:val="12"/>
        </w:rPr>
        <w:t>90</w:t>
      </w:r>
      <w:r>
        <w:rPr/>
        <w:t>mg</w:t>
      </w:r>
      <w:r>
        <w:rPr>
          <w:spacing w:val="12"/>
        </w:rPr>
        <w:t xml:space="preserve">  </w:t>
      </w:r>
      <w:r>
        <w:rPr>
          <w:rFonts w:ascii="SimSun" w:hAnsi="SimSun" w:eastAsia="SimSun" w:cs="SimSun"/>
          <w:spacing w:val="12"/>
        </w:rPr>
        <w:t>组出血和呼吸困难发生事件更少，停药更少，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9"/>
        </w:rPr>
        <w:t>安全性更佳，效益-风险比更好。</w:t>
      </w:r>
    </w:p>
    <w:p>
      <w:pPr>
        <w:pStyle w:val="BodyText"/>
        <w:ind w:left="949" w:right="468" w:firstLine="440"/>
        <w:spacing w:before="54" w:line="27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0"/>
        </w:rPr>
        <w:t>(3)双联抗血小板药物治疗持续时间：对于所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</w:rPr>
        <w:t>有</w:t>
      </w:r>
      <w:r>
        <w:rPr>
          <w:sz w:val="23"/>
          <w:szCs w:val="23"/>
          <w:spacing w:val="-19"/>
        </w:rPr>
        <w:t>NSTE-ACS</w:t>
      </w:r>
      <w:r>
        <w:rPr>
          <w:rFonts w:ascii="SimSun" w:hAnsi="SimSun" w:eastAsia="SimSun" w:cs="SimSun"/>
          <w:sz w:val="23"/>
          <w:szCs w:val="23"/>
          <w:spacing w:val="-19"/>
        </w:rPr>
        <w:t>患者，不论是接受药物保守治疗，还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pacing w:val="14"/>
        </w:rPr>
        <w:t>是置入支架治疗，均应接受</w:t>
      </w:r>
      <w:r>
        <w:rPr>
          <w:spacing w:val="14"/>
        </w:rPr>
        <w:t>P2Y₁₂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14"/>
        </w:rPr>
        <w:t>受体抑制剂(氯吡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格雷或替格瑞洛)治疗至少持续12个月。根据缺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pacing w:val="16"/>
        </w:rPr>
        <w:t>血或出血风险的不同，可以选择缩短或延长双联抗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血小板药物治疗时间。如果能耐受双联抗血小板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pacing w:val="17"/>
        </w:rPr>
        <w:t>药物、未发生出血并发症且无出血高风险患者，双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15"/>
        </w:rPr>
        <w:t>联抗血小板药物治疗可维持12个月以上[17]。对于 </w:t>
      </w:r>
      <w:r>
        <w:rPr>
          <w:rFonts w:ascii="SimSun" w:hAnsi="SimSun" w:eastAsia="SimSun" w:cs="SimSun"/>
          <w:spacing w:val="16"/>
        </w:rPr>
        <w:t>伴有出血高风险(如需要口服抗凝治疗)、严</w:t>
      </w:r>
      <w:r>
        <w:rPr>
          <w:rFonts w:ascii="SimSun" w:hAnsi="SimSun" w:eastAsia="SimSun" w:cs="SimSun"/>
          <w:spacing w:val="15"/>
        </w:rPr>
        <w:t>重出血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2"/>
        </w:rPr>
        <w:t>并发症高风险(如重大颅内手术)或伴有明显出血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pacing w:val="17"/>
        </w:rPr>
        <w:t>的患者，可以考虑双联抗血小板药物治疗时间缩短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至6个月。目前缩短双联抗血小板药物治疗时间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pacing w:val="17"/>
        </w:rPr>
        <w:t>的研究人群大多为低危稳定性冠心病患者，主要针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对新一代药物洗脱支架，因此不能类推到</w:t>
      </w:r>
      <w:r>
        <w:rPr>
          <w:sz w:val="23"/>
          <w:szCs w:val="23"/>
          <w:spacing w:val="-13"/>
        </w:rPr>
        <w:t>ACS</w:t>
      </w:r>
      <w:r>
        <w:rPr>
          <w:rFonts w:ascii="SimSun" w:hAnsi="SimSun" w:eastAsia="SimSun" w:cs="SimSun"/>
          <w:sz w:val="23"/>
          <w:szCs w:val="23"/>
          <w:spacing w:val="-13"/>
        </w:rPr>
        <w:t>人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pacing w:val="8"/>
        </w:rPr>
        <w:t>群中。</w:t>
      </w:r>
    </w:p>
    <w:p>
      <w:pPr>
        <w:pStyle w:val="BodyText"/>
        <w:ind w:left="949" w:right="488" w:firstLine="440"/>
        <w:spacing w:before="102" w:line="262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-1"/>
        </w:rPr>
        <w:t>(4)GPI:</w:t>
      </w:r>
      <w:r>
        <w:rPr>
          <w:rFonts w:ascii="SimSun" w:hAnsi="SimSun" w:eastAsia="SimSun" w:cs="SimSun"/>
          <w:sz w:val="23"/>
          <w:szCs w:val="23"/>
          <w:spacing w:val="-1"/>
        </w:rPr>
        <w:t>目前不建议常规使用</w:t>
      </w:r>
      <w:r>
        <w:rPr>
          <w:sz w:val="23"/>
          <w:szCs w:val="23"/>
          <w:spacing w:val="-1"/>
        </w:rPr>
        <w:t>GPI,</w:t>
      </w:r>
      <w:r>
        <w:rPr>
          <w:rFonts w:ascii="SimSun" w:hAnsi="SimSun" w:eastAsia="SimSun" w:cs="SimSun"/>
          <w:sz w:val="23"/>
          <w:szCs w:val="23"/>
          <w:spacing w:val="-1"/>
        </w:rPr>
        <w:t>国内目前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使用最多的</w:t>
      </w:r>
      <w:r>
        <w:rPr>
          <w:sz w:val="23"/>
          <w:szCs w:val="23"/>
        </w:rPr>
        <w:t>GPI</w:t>
      </w:r>
      <w:r>
        <w:rPr>
          <w:rFonts w:ascii="SimSun" w:hAnsi="SimSun" w:eastAsia="SimSun" w:cs="SimSun"/>
          <w:sz w:val="23"/>
          <w:szCs w:val="23"/>
          <w:spacing w:val="23"/>
        </w:rPr>
        <w:t>是替罗非班。对拟行</w:t>
      </w:r>
      <w:r>
        <w:rPr>
          <w:sz w:val="23"/>
          <w:szCs w:val="23"/>
        </w:rPr>
        <w:t>PCI</w:t>
      </w:r>
      <w:r>
        <w:rPr>
          <w:rFonts w:ascii="SimSun" w:hAnsi="SimSun" w:eastAsia="SimSun" w:cs="SimSun"/>
          <w:sz w:val="23"/>
          <w:szCs w:val="23"/>
          <w:spacing w:val="23"/>
        </w:rPr>
        <w:t>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19"/>
        </w:rPr>
        <w:t>NSTE-ACS</w:t>
      </w:r>
      <w:r>
        <w:rPr>
          <w:rFonts w:ascii="SimSun" w:hAnsi="SimSun" w:eastAsia="SimSun" w:cs="SimSun"/>
          <w:sz w:val="23"/>
          <w:szCs w:val="23"/>
          <w:spacing w:val="-19"/>
        </w:rPr>
        <w:t>患者，如预先未接受足够的氯吡格雷或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pacing w:val="3"/>
        </w:rPr>
        <w:t>替格瑞洛，</w:t>
      </w:r>
      <w:r>
        <w:rPr/>
        <w:t>PCI</w:t>
      </w:r>
      <w:r>
        <w:rPr>
          <w:spacing w:val="29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时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3"/>
        </w:rPr>
        <w:t>可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3"/>
        </w:rPr>
        <w:t>使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3"/>
        </w:rPr>
        <w:t>用</w:t>
      </w:r>
      <w:r>
        <w:rPr/>
        <w:t>GPI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3"/>
        </w:rPr>
        <w:t>。</w:t>
      </w:r>
      <w:r>
        <w:rPr/>
        <w:t>PCI</w:t>
      </w:r>
      <w:r>
        <w:rPr>
          <w:spacing w:val="3"/>
        </w:rPr>
        <w:t xml:space="preserve">  </w:t>
      </w:r>
      <w:r>
        <w:rPr>
          <w:rFonts w:ascii="SimSun" w:hAnsi="SimSun" w:eastAsia="SimSun" w:cs="SimSun"/>
          <w:spacing w:val="3"/>
        </w:rPr>
        <w:t>术后需根据患者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出血危险分层选择不同的维持剂量，严密监测血</w:t>
      </w:r>
    </w:p>
    <w:p>
      <w:pPr>
        <w:ind w:left="949"/>
        <w:spacing w:before="88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505050"/>
          <w:spacing w:val="8"/>
        </w:rPr>
        <w:t>常规。</w:t>
      </w:r>
    </w:p>
    <w:p>
      <w:pPr>
        <w:ind w:left="949" w:right="491" w:firstLine="440"/>
        <w:spacing w:before="92" w:line="29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</w:rPr>
        <w:t>(5)需长期口服抗凝治疗患者的抗血小板治疗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参考相关指南。</w:t>
      </w:r>
    </w:p>
    <w:p>
      <w:pPr>
        <w:ind w:left="949" w:right="425" w:firstLine="440"/>
        <w:spacing w:before="5" w:line="29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3.抗凝治疗：抗凝治疗是为了抑制凝血酶的生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成和/或活化，减少血栓相关的事件发生，</w:t>
      </w:r>
      <w:r>
        <w:rPr>
          <w:rFonts w:ascii="SimSun" w:hAnsi="SimSun" w:eastAsia="SimSun" w:cs="SimSun"/>
          <w:sz w:val="19"/>
          <w:szCs w:val="19"/>
          <w:spacing w:val="11"/>
        </w:rPr>
        <w:t>抗凝联合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抗血小板治疗比任何单一治疗更有效。目前在临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床上使用的抗凝药物包括普通肝素、低分子肝素、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磺达肝癸钠和比伐芦定，其中普通肝素、低分子肝素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临床常用。</w:t>
      </w:r>
    </w:p>
    <w:p>
      <w:pPr>
        <w:pStyle w:val="BodyText"/>
        <w:ind w:left="949" w:right="442" w:firstLine="440"/>
        <w:spacing w:before="3" w:line="26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pacing w:val="19"/>
        </w:rPr>
        <w:t>(1)普通肝素：尽管普通肝素与其他抗凝方案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相比出血发生率会增加，仍被广泛应用于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9"/>
        </w:rPr>
        <w:t>NSTE-ACS</w:t>
      </w:r>
      <w:r>
        <w:rPr>
          <w:rFonts w:ascii="SimSun" w:hAnsi="SimSun" w:eastAsia="SimSun" w:cs="SimSun"/>
          <w:sz w:val="23"/>
          <w:szCs w:val="23"/>
          <w:spacing w:val="-19"/>
        </w:rPr>
        <w:t>患者的短期抗凝。应根据活化凝血时间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pacing w:val="16"/>
        </w:rPr>
        <w:t>调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16"/>
        </w:rPr>
        <w:t>整</w:t>
      </w:r>
      <w:r>
        <w:rPr/>
        <w:t>PCI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术中静脉推注普通肝素的剂量，或根据体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重调整剂量。对于拟行</w:t>
      </w:r>
      <w:r>
        <w:rPr>
          <w:sz w:val="23"/>
          <w:szCs w:val="23"/>
          <w:spacing w:val="-9"/>
        </w:rPr>
        <w:t>PCI</w:t>
      </w:r>
      <w:r>
        <w:rPr>
          <w:rFonts w:ascii="SimSun" w:hAnsi="SimSun" w:eastAsia="SimSun" w:cs="SimSun"/>
          <w:sz w:val="23"/>
          <w:szCs w:val="23"/>
          <w:spacing w:val="-9"/>
        </w:rPr>
        <w:t>治疗且未接受</w:t>
      </w:r>
      <w:r>
        <w:rPr>
          <w:rFonts w:ascii="SimSun" w:hAnsi="SimSun" w:eastAsia="SimSun" w:cs="SimSun"/>
          <w:sz w:val="23"/>
          <w:szCs w:val="23"/>
          <w:spacing w:val="-10"/>
        </w:rPr>
        <w:t>任何抗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凝治疗的患者使用普通肝素70~100</w:t>
      </w:r>
      <w:r>
        <w:rPr>
          <w:rFonts w:ascii="SimSun" w:hAnsi="SimSun" w:eastAsia="SimSun" w:cs="SimSun"/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8"/>
        </w:rPr>
        <w:t>U/kg;</w:t>
      </w:r>
      <w:r>
        <w:rPr>
          <w:rFonts w:ascii="SimSun" w:hAnsi="SimSun" w:eastAsia="SimSun" w:cs="SimSun"/>
          <w:sz w:val="23"/>
          <w:szCs w:val="23"/>
          <w:spacing w:val="-8"/>
        </w:rPr>
        <w:t>如果联</w:t>
      </w:r>
    </w:p>
    <w:p>
      <w:pPr>
        <w:spacing w:line="7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0"/>
        <w:spacing w:before="37" w:line="31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6"/>
        </w:rPr>
        <w:t>合应用</w:t>
      </w:r>
      <w:r>
        <w:rPr/>
        <w:t>GPI</w:t>
      </w:r>
      <w:r>
        <w:rPr>
          <w:spacing w:val="16"/>
        </w:rPr>
        <w:t>,</w:t>
      </w:r>
      <w:r>
        <w:rPr>
          <w:spacing w:val="4"/>
        </w:rPr>
        <w:t xml:space="preserve">  </w:t>
      </w:r>
      <w:r>
        <w:rPr>
          <w:rFonts w:ascii="SimSun" w:hAnsi="SimSun" w:eastAsia="SimSun" w:cs="SimSun"/>
          <w:spacing w:val="16"/>
        </w:rPr>
        <w:t>则给予50~70 </w:t>
      </w:r>
      <w:r>
        <w:rPr>
          <w:spacing w:val="16"/>
        </w:rPr>
        <w:t>U/</w:t>
      </w:r>
      <w:r>
        <w:rPr/>
        <w:t>kg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16"/>
        </w:rPr>
        <w:t>剂量。初始普通肝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素治疗后，</w:t>
      </w:r>
      <w:r>
        <w:rPr/>
        <w:t>PCI</w:t>
      </w:r>
      <w:r>
        <w:rPr>
          <w:spacing w:val="40"/>
          <w:w w:val="101"/>
        </w:rPr>
        <w:t xml:space="preserve"> </w:t>
      </w:r>
      <w:r>
        <w:rPr>
          <w:rFonts w:ascii="SimSun" w:hAnsi="SimSun" w:eastAsia="SimSun" w:cs="SimSun"/>
          <w:spacing w:val="15"/>
        </w:rPr>
        <w:t>术中可在活化凝血时间指导下追加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普通肝素。</w:t>
      </w:r>
    </w:p>
    <w:p>
      <w:pPr>
        <w:ind w:right="123" w:firstLine="420"/>
        <w:spacing w:before="32" w:line="29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(2)低分子肝素：低分子肝素比普通肝素</w:t>
      </w:r>
      <w:r>
        <w:rPr>
          <w:rFonts w:ascii="SimSun" w:hAnsi="SimSun" w:eastAsia="SimSun" w:cs="SimSun"/>
          <w:sz w:val="19"/>
          <w:szCs w:val="19"/>
          <w:spacing w:val="16"/>
        </w:rPr>
        <w:t>的剂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量效应相关性更好，且肝素诱导血小板减少症的发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生率更低。</w:t>
      </w:r>
    </w:p>
    <w:p>
      <w:pPr>
        <w:pStyle w:val="BodyText"/>
        <w:ind w:right="39" w:firstLine="420"/>
        <w:spacing w:before="4" w:line="295" w:lineRule="auto"/>
        <w:jc w:val="both"/>
        <w:rPr>
          <w:rFonts w:ascii="SimSun" w:hAnsi="SimSun" w:eastAsia="SimSun" w:cs="SimSun"/>
        </w:rPr>
      </w:pPr>
      <w:r>
        <w:rPr/>
        <w:t>NSTE</w:t>
      </w:r>
      <w:r>
        <w:rPr>
          <w:spacing w:val="18"/>
        </w:rPr>
        <w:t>-</w:t>
      </w:r>
      <w:r>
        <w:rPr/>
        <w:t>ACS</w:t>
      </w:r>
      <w:r>
        <w:rPr>
          <w:rFonts w:ascii="SimSun" w:hAnsi="SimSun" w:eastAsia="SimSun" w:cs="SimSun"/>
          <w:spacing w:val="18"/>
        </w:rPr>
        <w:t>患者中常用的低分子肝素为依诺肝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14"/>
        </w:rPr>
        <w:t>素，每次1</w:t>
      </w:r>
      <w:r>
        <w:rPr/>
        <w:t>mg</w:t>
      </w:r>
      <w:r>
        <w:rPr>
          <w:spacing w:val="14"/>
        </w:rPr>
        <w:t>/</w:t>
      </w:r>
      <w:r>
        <w:rPr/>
        <w:t>kg</w:t>
      </w:r>
      <w:r>
        <w:rPr>
          <w:spacing w:val="14"/>
        </w:rPr>
        <w:t>,2</w:t>
      </w:r>
      <w:r>
        <w:rPr>
          <w:spacing w:val="4"/>
        </w:rPr>
        <w:t xml:space="preserve">   </w:t>
      </w:r>
      <w:r>
        <w:rPr>
          <w:rFonts w:ascii="SimSun" w:hAnsi="SimSun" w:eastAsia="SimSun" w:cs="SimSun"/>
          <w:spacing w:val="14"/>
        </w:rPr>
        <w:t>次/</w:t>
      </w:r>
      <w:r>
        <w:rPr>
          <w:spacing w:val="14"/>
        </w:rPr>
        <w:t>d </w:t>
      </w:r>
      <w:r>
        <w:rPr>
          <w:rFonts w:ascii="SimSun" w:hAnsi="SimSun" w:eastAsia="SimSun" w:cs="SimSun"/>
          <w:spacing w:val="14"/>
        </w:rPr>
        <w:t>皮下注射。对已接受依诺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5"/>
        </w:rPr>
        <w:t>肝素治疗的</w:t>
      </w:r>
      <w:r>
        <w:rPr/>
        <w:t>NSTE</w:t>
      </w:r>
      <w:r>
        <w:rPr>
          <w:spacing w:val="15"/>
        </w:rPr>
        <w:t>-</w:t>
      </w:r>
      <w:r>
        <w:rPr/>
        <w:t>ACS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5"/>
        </w:rPr>
        <w:t>患者，如果最后一次皮下注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6"/>
        </w:rPr>
        <w:t>射距离</w:t>
      </w:r>
      <w:r>
        <w:rPr/>
        <w:t>PCI</w:t>
      </w:r>
      <w:r>
        <w:rPr>
          <w:spacing w:val="27"/>
          <w:w w:val="101"/>
        </w:rPr>
        <w:t xml:space="preserve"> </w:t>
      </w:r>
      <w:r>
        <w:rPr>
          <w:rFonts w:ascii="SimSun" w:hAnsi="SimSun" w:eastAsia="SimSun" w:cs="SimSun"/>
          <w:spacing w:val="16"/>
        </w:rPr>
        <w:t>的时间&lt;8</w:t>
      </w:r>
      <w:r>
        <w:rPr>
          <w:spacing w:val="16"/>
        </w:rPr>
        <w:t>h,</w:t>
      </w:r>
      <w:r>
        <w:rPr>
          <w:spacing w:val="41"/>
        </w:rPr>
        <w:t xml:space="preserve"> </w:t>
      </w:r>
      <w:r>
        <w:rPr>
          <w:rFonts w:ascii="SimSun" w:hAnsi="SimSun" w:eastAsia="SimSun" w:cs="SimSun"/>
          <w:spacing w:val="16"/>
        </w:rPr>
        <w:t>不需追加依诺肝素。反之，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需追加依诺肝素(0.3</w:t>
      </w:r>
      <w:r>
        <w:rPr/>
        <w:t>mg</w:t>
      </w:r>
      <w:r>
        <w:rPr>
          <w:spacing w:val="12"/>
        </w:rPr>
        <w:t>/</w:t>
      </w:r>
      <w:r>
        <w:rPr/>
        <w:t>kg</w:t>
      </w:r>
      <w:r>
        <w:rPr>
          <w:spacing w:val="12"/>
        </w:rPr>
        <w:t>) </w:t>
      </w:r>
      <w:r>
        <w:rPr>
          <w:rFonts w:ascii="SimSun" w:hAnsi="SimSun" w:eastAsia="SimSun" w:cs="SimSun"/>
          <w:spacing w:val="12"/>
        </w:rPr>
        <w:t>静脉注射。</w:t>
      </w:r>
    </w:p>
    <w:p>
      <w:pPr>
        <w:pStyle w:val="BodyText"/>
        <w:ind w:right="95" w:firstLine="420"/>
        <w:spacing w:line="27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3"/>
          <w:szCs w:val="23"/>
          <w:spacing w:val="-11"/>
        </w:rPr>
        <w:t>不建议</w:t>
      </w:r>
      <w:r>
        <w:rPr>
          <w:sz w:val="23"/>
          <w:szCs w:val="23"/>
          <w:spacing w:val="-11"/>
        </w:rPr>
        <w:t>PCI</w:t>
      </w:r>
      <w:r>
        <w:rPr>
          <w:rFonts w:ascii="SimSun" w:hAnsi="SimSun" w:eastAsia="SimSun" w:cs="SimSun"/>
          <w:sz w:val="23"/>
          <w:szCs w:val="23"/>
          <w:spacing w:val="-11"/>
        </w:rPr>
        <w:t>时换用其他类型抗凝药物。不建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议普通肝素与低分子肝素交叉使用。</w:t>
      </w:r>
      <w:r>
        <w:rPr>
          <w:sz w:val="23"/>
          <w:szCs w:val="23"/>
          <w:spacing w:val="-10"/>
        </w:rPr>
        <w:t>PCI</w:t>
      </w:r>
      <w:r>
        <w:rPr>
          <w:rFonts w:ascii="SimSun" w:hAnsi="SimSun" w:eastAsia="SimSun" w:cs="SimSun"/>
          <w:sz w:val="23"/>
          <w:szCs w:val="23"/>
          <w:spacing w:val="-10"/>
        </w:rPr>
        <w:t>术后即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0"/>
        </w:rPr>
        <w:t>可停用抗凝药物，除非有其他治疗指征。</w:t>
      </w:r>
    </w:p>
    <w:p>
      <w:pPr>
        <w:pStyle w:val="BodyText"/>
        <w:ind w:right="125" w:firstLine="420"/>
        <w:spacing w:before="45" w:line="29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(3)磺达肝癸钠：无论采用何种治疗策略，可使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8"/>
        </w:rPr>
        <w:t>用磺达肝癸钠(2.5</w:t>
      </w:r>
      <w:r>
        <w:rPr/>
        <w:t>mg</w:t>
      </w:r>
      <w:r>
        <w:rPr>
          <w:spacing w:val="18"/>
        </w:rPr>
        <w:t>/d,</w:t>
      </w:r>
      <w:r>
        <w:rPr>
          <w:spacing w:val="46"/>
        </w:rPr>
        <w:t xml:space="preserve"> </w:t>
      </w:r>
      <w:r>
        <w:rPr>
          <w:rFonts w:ascii="SimSun" w:hAnsi="SimSun" w:eastAsia="SimSun" w:cs="SimSun"/>
          <w:spacing w:val="18"/>
        </w:rPr>
        <w:t>皮下注射)。正在</w:t>
      </w:r>
      <w:r>
        <w:rPr>
          <w:rFonts w:ascii="SimSun" w:hAnsi="SimSun" w:eastAsia="SimSun" w:cs="SimSun"/>
          <w:spacing w:val="17"/>
        </w:rPr>
        <w:t>接受磺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达肝癸钠治疗的患者行</w:t>
      </w:r>
      <w:r>
        <w:rPr/>
        <w:t>PCI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5"/>
        </w:rPr>
        <w:t>时，建议术中一次性静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19"/>
        </w:rPr>
        <w:t>脉推注普通肝素85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19"/>
        </w:rPr>
        <w:t>U/</w:t>
      </w:r>
      <w:r>
        <w:rPr/>
        <w:t>kg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19"/>
        </w:rPr>
        <w:t>或在联合应用</w:t>
      </w:r>
      <w:r>
        <w:rPr/>
        <w:t>GPI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19"/>
        </w:rPr>
        <w:t>时推注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普通肝素60 </w:t>
      </w:r>
      <w:r>
        <w:rPr>
          <w:spacing w:val="2"/>
        </w:rPr>
        <w:t>U/</w:t>
      </w:r>
      <w:r>
        <w:rPr/>
        <w:t>kg</w:t>
      </w:r>
      <w:r>
        <w:rPr>
          <w:rFonts w:ascii="SimSun" w:hAnsi="SimSun" w:eastAsia="SimSun" w:cs="SimSun"/>
          <w:spacing w:val="2"/>
        </w:rPr>
        <w:t>。</w:t>
      </w:r>
    </w:p>
    <w:p>
      <w:pPr>
        <w:ind w:left="420"/>
        <w:spacing w:before="4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(4)比伐芦定：对于肝素诱导的血小板减少症</w:t>
      </w:r>
    </w:p>
    <w:p>
      <w:pPr>
        <w:pStyle w:val="BodyText"/>
        <w:ind w:right="122"/>
        <w:spacing w:before="156" w:line="23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pacing w:val="14"/>
        </w:rPr>
        <w:t>患者，可使用比伐芦定。 </w:t>
      </w:r>
      <w:r>
        <w:rPr/>
        <w:t>PCI</w:t>
      </w:r>
      <w:r>
        <w:rPr>
          <w:spacing w:val="39"/>
          <w:w w:val="102"/>
        </w:rPr>
        <w:t xml:space="preserve"> </w:t>
      </w:r>
      <w:r>
        <w:rPr>
          <w:rFonts w:ascii="SimSun" w:hAnsi="SimSun" w:eastAsia="SimSun" w:cs="SimSun"/>
          <w:spacing w:val="14"/>
        </w:rPr>
        <w:t>时比伐芦定(静脉推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注0.75 </w:t>
      </w:r>
      <w:r>
        <w:rPr/>
        <w:t>mg</w:t>
      </w:r>
      <w:r>
        <w:rPr>
          <w:spacing w:val="10"/>
        </w:rPr>
        <w:t>/</w:t>
      </w:r>
      <w:r>
        <w:rPr/>
        <w:t>kg</w:t>
      </w:r>
      <w:r>
        <w:rPr>
          <w:spacing w:val="10"/>
        </w:rPr>
        <w:t>,  </w:t>
      </w:r>
      <w:r>
        <w:rPr>
          <w:rFonts w:ascii="SimSun" w:hAnsi="SimSun" w:eastAsia="SimSun" w:cs="SimSun"/>
          <w:spacing w:val="10"/>
        </w:rPr>
        <w:t>然后以1.75</w:t>
      </w:r>
      <w:r>
        <w:rPr/>
        <w:t>mg</w:t>
      </w:r>
      <w:r>
        <w:rPr>
          <w:spacing w:val="10"/>
        </w:rPr>
        <w:t>·</w:t>
      </w:r>
      <w:r>
        <w:rPr/>
        <w:t>kg</w:t>
      </w:r>
      <w:r>
        <w:rPr>
          <w:spacing w:val="10"/>
        </w:rPr>
        <w:t>⁻¹</w:t>
      </w:r>
      <w:r>
        <w:rPr>
          <w:spacing w:val="9"/>
        </w:rPr>
        <w:t>·h¹</w:t>
      </w:r>
      <w:r>
        <w:rPr>
          <w:spacing w:val="12"/>
          <w:w w:val="101"/>
        </w:rPr>
        <w:t xml:space="preserve">   </w:t>
      </w:r>
      <w:r>
        <w:rPr>
          <w:rFonts w:ascii="SimSun" w:hAnsi="SimSun" w:eastAsia="SimSun" w:cs="SimSun"/>
          <w:spacing w:val="9"/>
        </w:rPr>
        <w:t>术后静脉滴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注维持3~4</w:t>
      </w:r>
      <w:r>
        <w:rPr>
          <w:sz w:val="23"/>
          <w:szCs w:val="23"/>
          <w:spacing w:val="2"/>
        </w:rPr>
        <w:t>h)</w:t>
      </w:r>
      <w:r>
        <w:rPr>
          <w:sz w:val="23"/>
          <w:szCs w:val="23"/>
          <w:spacing w:val="2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可作为普通肝素联合</w:t>
      </w:r>
      <w:r>
        <w:rPr>
          <w:sz w:val="23"/>
          <w:szCs w:val="23"/>
        </w:rPr>
        <w:t>GPI</w:t>
      </w:r>
      <w:r>
        <w:rPr>
          <w:rFonts w:ascii="SimSun" w:hAnsi="SimSun" w:eastAsia="SimSun" w:cs="SimSun"/>
          <w:sz w:val="23"/>
          <w:szCs w:val="23"/>
          <w:spacing w:val="2"/>
        </w:rPr>
        <w:t>的替代</w:t>
      </w:r>
    </w:p>
    <w:p>
      <w:pPr>
        <w:spacing w:before="113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405050"/>
          <w:spacing w:val="1"/>
        </w:rPr>
        <w:t>治疗。</w:t>
      </w:r>
    </w:p>
    <w:p>
      <w:pPr>
        <w:pStyle w:val="BodyText"/>
        <w:ind w:right="106" w:firstLine="420"/>
        <w:spacing w:before="83" w:line="30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3"/>
        </w:rPr>
        <w:t>4.调脂治疗：目前临床常用调脂药物有他汀类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</w:rPr>
        <w:t>药物、依折麦布、</w:t>
      </w:r>
      <w:r>
        <w:rPr/>
        <w:t>PCSK9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</w:rPr>
        <w:t>抑制剂等。</w:t>
      </w:r>
    </w:p>
    <w:p>
      <w:pPr>
        <w:pStyle w:val="BodyText"/>
        <w:ind w:firstLine="420"/>
        <w:spacing w:before="5" w:line="30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3"/>
        </w:rPr>
        <w:t>他汀类药物能有效降低总胆固醇和低密度脂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12"/>
        </w:rPr>
        <w:t>蛋白胆固醇</w:t>
      </w:r>
      <w:r>
        <w:rPr>
          <w:spacing w:val="12"/>
        </w:rPr>
        <w:t>(</w:t>
      </w:r>
      <w:r>
        <w:rPr/>
        <w:t>LDL</w:t>
      </w:r>
      <w:r>
        <w:rPr>
          <w:spacing w:val="12"/>
        </w:rPr>
        <w:t>-C),   </w:t>
      </w:r>
      <w:r>
        <w:rPr>
          <w:rFonts w:ascii="SimSun" w:hAnsi="SimSun" w:eastAsia="SimSun" w:cs="SimSun"/>
          <w:spacing w:val="12"/>
        </w:rPr>
        <w:t>延缓斑块进展，使斑</w:t>
      </w:r>
      <w:r>
        <w:rPr>
          <w:rFonts w:ascii="SimSun" w:hAnsi="SimSun" w:eastAsia="SimSun" w:cs="SimSun"/>
          <w:spacing w:val="11"/>
        </w:rPr>
        <w:t>块稳定，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降低心血管事件和病死率。对于</w:t>
      </w:r>
      <w:r>
        <w:rPr/>
        <w:t>NSTE</w:t>
      </w:r>
      <w:r>
        <w:rPr>
          <w:spacing w:val="16"/>
        </w:rPr>
        <w:t>-</w:t>
      </w:r>
      <w:r>
        <w:rPr/>
        <w:t>ACS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患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16"/>
        </w:rPr>
        <w:t>者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6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只要无禁忌证，无论血脂水平如何，均应尽早启动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  <w:spacing w:val="7"/>
        </w:rPr>
        <w:t>他汀治疗，并长期维持。</w:t>
      </w:r>
    </w:p>
    <w:p>
      <w:pPr>
        <w:pStyle w:val="BodyText"/>
        <w:ind w:right="118" w:firstLine="420"/>
        <w:spacing w:before="59" w:line="29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3"/>
        </w:rPr>
        <w:t>依折麦布抑制肠道内胆固醇的吸收，在他汀治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17"/>
        </w:rPr>
        <w:t>疗基础上加用依折麦布能够进一步降低</w:t>
      </w:r>
      <w:r>
        <w:rPr/>
        <w:t>LDL</w:t>
      </w:r>
      <w:r>
        <w:rPr>
          <w:spacing w:val="17"/>
        </w:rPr>
        <w:t>-C,</w:t>
      </w:r>
      <w:r>
        <w:rPr>
          <w:spacing w:val="40"/>
        </w:rPr>
        <w:t xml:space="preserve"> </w:t>
      </w:r>
      <w:r>
        <w:rPr>
          <w:rFonts w:ascii="SimSun" w:hAnsi="SimSun" w:eastAsia="SimSun" w:cs="SimSun"/>
          <w:spacing w:val="17"/>
        </w:rPr>
        <w:t>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少心血管事件。对于已接受中等剂量他汀治疗，但</w:t>
      </w:r>
      <w:r>
        <w:rPr>
          <w:rFonts w:ascii="SimSun" w:hAnsi="SimSun" w:eastAsia="SimSun" w:cs="SimSun"/>
          <w:spacing w:val="11"/>
        </w:rPr>
        <w:t xml:space="preserve"> </w:t>
      </w:r>
      <w:r>
        <w:rPr/>
        <w:t>LDL</w:t>
      </w:r>
      <w:r>
        <w:rPr>
          <w:spacing w:val="7"/>
        </w:rPr>
        <w:t>-C≥1.8</w:t>
      </w:r>
      <w:r>
        <w:rPr/>
        <w:t>mmol</w:t>
      </w:r>
      <w:r>
        <w:rPr>
          <w:spacing w:val="7"/>
        </w:rPr>
        <w:t>/L</w:t>
      </w:r>
      <w:r>
        <w:rPr>
          <w:spacing w:val="31"/>
        </w:rPr>
        <w:t xml:space="preserve">  </w:t>
      </w:r>
      <w:r>
        <w:rPr>
          <w:rFonts w:ascii="SimSun" w:hAnsi="SimSun" w:eastAsia="SimSun" w:cs="SimSun"/>
          <w:spacing w:val="7"/>
        </w:rPr>
        <w:t>的患者，可联合胆固醇吸收抑制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剂依折麦布10</w:t>
      </w:r>
      <w:r>
        <w:rPr/>
        <w:t>mg</w:t>
      </w:r>
      <w:r>
        <w:rPr>
          <w:spacing w:val="14"/>
        </w:rPr>
        <w:t>/d18</w:t>
      </w:r>
      <w:r>
        <w:rPr>
          <w:rFonts w:ascii="SimSun" w:hAnsi="SimSun" w:eastAsia="SimSun" w:cs="SimSun"/>
          <w:spacing w:val="14"/>
        </w:rPr>
        <w:t>。</w:t>
      </w:r>
    </w:p>
    <w:p>
      <w:pPr>
        <w:pStyle w:val="BodyText"/>
        <w:ind w:right="39" w:firstLine="420"/>
        <w:spacing w:before="43" w:line="278" w:lineRule="auto"/>
        <w:jc w:val="both"/>
        <w:rPr>
          <w:rFonts w:ascii="SimSun" w:hAnsi="SimSun" w:eastAsia="SimSun" w:cs="SimSun"/>
          <w:sz w:val="23"/>
          <w:szCs w:val="23"/>
        </w:rPr>
      </w:pPr>
      <w:r>
        <w:rPr/>
        <w:t>PCSK</w:t>
      </w:r>
      <w:r>
        <w:rPr>
          <w:spacing w:val="8"/>
        </w:rPr>
        <w:t>9 </w:t>
      </w:r>
      <w:r>
        <w:rPr>
          <w:rFonts w:ascii="SimSun" w:hAnsi="SimSun" w:eastAsia="SimSun" w:cs="SimSun"/>
          <w:spacing w:val="8"/>
        </w:rPr>
        <w:t>抑制剂可明显降低</w:t>
      </w:r>
      <w:r>
        <w:rPr/>
        <w:t>LDL</w:t>
      </w:r>
      <w:r>
        <w:rPr>
          <w:spacing w:val="8"/>
        </w:rPr>
        <w:t>-C </w:t>
      </w:r>
      <w:r>
        <w:rPr>
          <w:rFonts w:ascii="SimSun" w:hAnsi="SimSun" w:eastAsia="SimSun" w:cs="SimSun"/>
          <w:spacing w:val="8"/>
        </w:rPr>
        <w:t>的水平，减小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3"/>
        </w:rPr>
        <w:t>斑块体积，改善动脉粥样硬化，并且减少动脉粥样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2"/>
        </w:rPr>
        <w:t>硬化性心血管疾病事件的发生。对于</w:t>
      </w:r>
      <w:r>
        <w:rPr>
          <w:sz w:val="23"/>
          <w:szCs w:val="23"/>
          <w:spacing w:val="-12"/>
        </w:rPr>
        <w:t>NSTE-ACS</w:t>
      </w:r>
      <w:r>
        <w:rPr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pacing w:val="14"/>
        </w:rPr>
        <w:t>患者，不建议短期内突击使用高强度大剂量</w:t>
      </w:r>
      <w:r>
        <w:rPr>
          <w:rFonts w:ascii="SimSun" w:hAnsi="SimSun" w:eastAsia="SimSun" w:cs="SimSun"/>
          <w:spacing w:val="13"/>
        </w:rPr>
        <w:t>他汀治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疗或一次性</w:t>
      </w:r>
      <w:r>
        <w:rPr>
          <w:sz w:val="23"/>
          <w:szCs w:val="23"/>
          <w:spacing w:val="-15"/>
        </w:rPr>
        <w:t>PCSK9</w:t>
      </w:r>
      <w:r>
        <w:rPr>
          <w:rFonts w:ascii="SimSun" w:hAnsi="SimSun" w:eastAsia="SimSun" w:cs="SimSun"/>
          <w:sz w:val="23"/>
          <w:szCs w:val="23"/>
          <w:spacing w:val="-15"/>
        </w:rPr>
        <w:t>抑制剂注射。对于接受中等强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pacing w:val="17"/>
        </w:rPr>
        <w:t>度剂量他汀(加或不加依折麦布),两药联合治疗后</w:t>
      </w:r>
      <w:r>
        <w:rPr>
          <w:rFonts w:ascii="SimSun" w:hAnsi="SimSun" w:eastAsia="SimSun" w:cs="SimSun"/>
          <w:spacing w:val="3"/>
        </w:rPr>
        <w:t xml:space="preserve">  </w:t>
      </w:r>
      <w:r>
        <w:rPr/>
        <w:t>LDL</w:t>
      </w:r>
      <w:r>
        <w:rPr>
          <w:spacing w:val="11"/>
        </w:rPr>
        <w:t>-C≥1.8</w:t>
      </w:r>
      <w:r>
        <w:rPr/>
        <w:t>mmol</w:t>
      </w:r>
      <w:r>
        <w:rPr>
          <w:spacing w:val="11"/>
        </w:rPr>
        <w:t>/L</w:t>
      </w:r>
      <w:r>
        <w:rPr>
          <w:spacing w:val="26"/>
          <w:w w:val="101"/>
        </w:rPr>
        <w:t xml:space="preserve">  </w:t>
      </w:r>
      <w:r>
        <w:rPr>
          <w:rFonts w:ascii="SimSun" w:hAnsi="SimSun" w:eastAsia="SimSun" w:cs="SimSun"/>
          <w:spacing w:val="11"/>
        </w:rPr>
        <w:t>的患者，不能耐受他汀的患者，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应考虑</w:t>
      </w:r>
      <w:r>
        <w:rPr>
          <w:sz w:val="23"/>
          <w:szCs w:val="23"/>
          <w:spacing w:val="-9"/>
        </w:rPr>
        <w:t>PCSK9</w:t>
      </w:r>
      <w:r>
        <w:rPr>
          <w:rFonts w:ascii="SimSun" w:hAnsi="SimSun" w:eastAsia="SimSun" w:cs="SimSun"/>
          <w:sz w:val="23"/>
          <w:szCs w:val="23"/>
          <w:spacing w:val="-9"/>
        </w:rPr>
        <w:t>抑制剂治疗，将</w:t>
      </w:r>
      <w:r>
        <w:rPr>
          <w:sz w:val="23"/>
          <w:szCs w:val="23"/>
          <w:spacing w:val="-9"/>
        </w:rPr>
        <w:t>LDL-C</w:t>
      </w:r>
      <w:r>
        <w:rPr>
          <w:rFonts w:ascii="SimSun" w:hAnsi="SimSun" w:eastAsia="SimSun" w:cs="SimSun"/>
          <w:sz w:val="23"/>
          <w:szCs w:val="23"/>
          <w:spacing w:val="-9"/>
        </w:rPr>
        <w:t>降低幅度&gt;</w:t>
      </w:r>
    </w:p>
    <w:p>
      <w:pPr>
        <w:spacing w:line="278" w:lineRule="auto"/>
        <w:sectPr>
          <w:type w:val="continuous"/>
          <w:pgSz w:w="12250" w:h="16500"/>
          <w:pgMar w:top="1264" w:right="1205" w:bottom="1" w:left="349" w:header="971" w:footer="0" w:gutter="0"/>
          <w:cols w:equalWidth="0" w:num="2">
            <w:col w:w="5990" w:space="100"/>
            <w:col w:w="4605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66" w:line="227" w:lineRule="auto"/>
        <w:rPr>
          <w:sz w:val="23"/>
          <w:szCs w:val="23"/>
        </w:rPr>
      </w:pPr>
      <w:r>
        <w:rPr>
          <w:rFonts w:ascii="STXingkai" w:hAnsi="STXingkai" w:eastAsia="STXingkai" w:cs="STXingkai"/>
          <w:sz w:val="11"/>
          <w:szCs w:val="11"/>
          <w:position w:val="-10"/>
        </w:rPr>
        <w:drawing>
          <wp:inline distT="0" distB="0" distL="0" distR="0">
            <wp:extent cx="190501" cy="19048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9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1"/>
          <w:szCs w:val="11"/>
          <w:spacing w:val="8"/>
        </w:rPr>
        <w:t>中桑亭个兹品法</w:t>
      </w:r>
      <w:r>
        <w:rPr>
          <w:rFonts w:ascii="STXingkai" w:hAnsi="STXingkai" w:eastAsia="STXingkai" w:cs="STXingkai"/>
          <w:sz w:val="11"/>
          <w:szCs w:val="11"/>
          <w:spacing w:val="1"/>
        </w:rPr>
        <w:t xml:space="preserve">                     </w:t>
      </w:r>
      <w:r>
        <w:rPr>
          <w:rFonts w:ascii="STXingkai" w:hAnsi="STXingkai" w:eastAsia="STXingkai" w:cs="STXingkai"/>
          <w:sz w:val="11"/>
          <w:szCs w:val="1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3"/>
          <w:szCs w:val="23"/>
          <w:i/>
          <w:iCs/>
          <w:color w:val="C09080"/>
        </w:rPr>
        <w:t>xvdWRWZXJzaW</w:t>
      </w:r>
      <w:r>
        <w:rPr>
          <w:sz w:val="23"/>
          <w:szCs w:val="23"/>
          <w:i/>
          <w:iCs/>
          <w:color w:val="C09080"/>
          <w:spacing w:val="8"/>
        </w:rPr>
        <w:t>9</w:t>
      </w:r>
    </w:p>
    <w:p>
      <w:pPr>
        <w:spacing w:line="227" w:lineRule="auto"/>
        <w:sectPr>
          <w:type w:val="continuous"/>
          <w:pgSz w:w="12250" w:h="16500"/>
          <w:pgMar w:top="1264" w:right="1205" w:bottom="1" w:left="349" w:header="971" w:footer="0" w:gutter="0"/>
          <w:cols w:equalWidth="0" w:num="1">
            <w:col w:w="10695" w:space="0"/>
          </w:cols>
        </w:sectPr>
        <w:rPr>
          <w:sz w:val="23"/>
          <w:szCs w:val="23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5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· </w:t>
      </w:r>
      <w:r>
        <w:rPr>
          <w:sz w:val="17"/>
          <w:szCs w:val="17"/>
          <w:spacing w:val="-2"/>
        </w:rPr>
        <w:t>12    ·                                                             </w:t>
      </w:r>
      <w:r>
        <w:rPr>
          <w:sz w:val="17"/>
          <w:szCs w:val="17"/>
          <w:spacing w:val="-3"/>
        </w:rPr>
        <w:t xml:space="preserve">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-63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3"/>
        </w:rPr>
        <w:t>中华全科医师杂志2021年1月第20卷第1期ChinJ Gen Pract,January 2021,Vol.20,No.1</w:t>
      </w:r>
    </w:p>
    <w:p>
      <w:pPr>
        <w:spacing w:before="54"/>
        <w:rPr/>
      </w:pPr>
      <w:r/>
    </w:p>
    <w:p>
      <w:pPr>
        <w:sectPr>
          <w:headerReference w:type="default" r:id="rId9"/>
          <w:pgSz w:w="12250" w:h="16500"/>
          <w:pgMar w:top="400" w:right="1247" w:bottom="379" w:left="330" w:header="0" w:footer="0" w:gutter="0"/>
          <w:cols w:equalWidth="0" w:num="1">
            <w:col w:w="10672" w:space="0"/>
          </w:cols>
        </w:sectPr>
        <w:rPr/>
      </w:pPr>
    </w:p>
    <w:p>
      <w:pPr>
        <w:pStyle w:val="BodyText"/>
        <w:ind w:left="949"/>
        <w:spacing w:before="67" w:line="21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3"/>
        </w:rPr>
        <w:t>50%,LDL-C</w:t>
      </w:r>
      <w:r>
        <w:rPr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目标为&lt;1.4 </w:t>
      </w:r>
      <w:r>
        <w:rPr>
          <w:sz w:val="21"/>
          <w:szCs w:val="21"/>
          <w:spacing w:val="-3"/>
        </w:rPr>
        <w:t>mmol/L(&lt;55m</w:t>
      </w:r>
      <w:r>
        <w:rPr>
          <w:sz w:val="21"/>
          <w:szCs w:val="21"/>
          <w:spacing w:val="-4"/>
        </w:rPr>
        <w:t>g/dl)[19</w:t>
      </w:r>
      <w:r>
        <w:rPr>
          <w:rFonts w:ascii="SimSun" w:hAnsi="SimSun" w:eastAsia="SimSun" w:cs="SimSun"/>
          <w:sz w:val="21"/>
          <w:szCs w:val="21"/>
          <w:spacing w:val="-4"/>
        </w:rPr>
        <w:t>。</w:t>
      </w:r>
    </w:p>
    <w:p>
      <w:pPr>
        <w:ind w:left="1370"/>
        <w:spacing w:before="6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(三)治疗策略的选择</w:t>
      </w:r>
    </w:p>
    <w:p>
      <w:pPr>
        <w:pStyle w:val="BodyText"/>
        <w:ind w:left="949" w:right="442" w:firstLine="420"/>
        <w:spacing w:before="68" w:line="27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NSTE-ACS</w:t>
      </w:r>
      <w:r>
        <w:rPr>
          <w:rFonts w:ascii="SimSun" w:hAnsi="SimSun" w:eastAsia="SimSun" w:cs="SimSun"/>
          <w:sz w:val="21"/>
          <w:szCs w:val="21"/>
          <w:spacing w:val="-1"/>
        </w:rPr>
        <w:t>患者治疗策略包括药物保守治疗和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血运重建治疗，血运重建治疗包括</w:t>
      </w:r>
      <w:r>
        <w:rPr>
          <w:sz w:val="21"/>
          <w:szCs w:val="21"/>
          <w:spacing w:val="-3"/>
        </w:rPr>
        <w:t>PCI</w:t>
      </w:r>
      <w:r>
        <w:rPr>
          <w:rFonts w:ascii="SimSun" w:hAnsi="SimSun" w:eastAsia="SimSun" w:cs="SimSun"/>
          <w:sz w:val="21"/>
          <w:szCs w:val="21"/>
          <w:spacing w:val="-3"/>
        </w:rPr>
        <w:t>和</w:t>
      </w:r>
      <w:r>
        <w:rPr>
          <w:sz w:val="21"/>
          <w:szCs w:val="21"/>
          <w:spacing w:val="-3"/>
        </w:rPr>
        <w:t>CABG</w:t>
      </w:r>
      <w:r>
        <w:rPr>
          <w:rFonts w:ascii="SimSun" w:hAnsi="SimSun" w:eastAsia="SimSun" w:cs="SimSun"/>
          <w:sz w:val="21"/>
          <w:szCs w:val="21"/>
          <w:spacing w:val="-3"/>
        </w:rPr>
        <w:t>。</w:t>
      </w:r>
    </w:p>
    <w:p>
      <w:pPr>
        <w:ind w:left="949" w:right="467" w:firstLine="420"/>
        <w:spacing w:before="1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如何选择具体治疗策略，应根据患者风险分层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和经心内外科与有经验的临床医师共同决策选择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最适合患者的优化方案。与</w:t>
      </w:r>
      <w:r>
        <w:rPr>
          <w:rFonts w:ascii="SimSun" w:hAnsi="SimSun" w:eastAsia="SimSun" w:cs="SimSun"/>
          <w:sz w:val="21"/>
          <w:szCs w:val="21"/>
        </w:rPr>
        <w:t>STEMI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患者需尽早进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行再灌注治疗所不同的是，NSTE-ACS 患者应根据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危险分层采用保守或血运重建治疗。绝大多数基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层医疗机构不具备开展血运重建治疗条件，一般建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议患者转诊至有</w:t>
      </w:r>
      <w:r>
        <w:rPr>
          <w:rFonts w:ascii="SimSun" w:hAnsi="SimSun" w:eastAsia="SimSun" w:cs="SimSun"/>
          <w:sz w:val="21"/>
          <w:szCs w:val="21"/>
        </w:rPr>
        <w:t>PCI</w:t>
      </w:r>
      <w:r>
        <w:rPr>
          <w:rFonts w:ascii="SimSun" w:hAnsi="SimSun" w:eastAsia="SimSun" w:cs="SimSun"/>
          <w:sz w:val="21"/>
          <w:szCs w:val="21"/>
          <w:spacing w:val="3"/>
        </w:rPr>
        <w:t>或</w:t>
      </w:r>
      <w:r>
        <w:rPr>
          <w:rFonts w:ascii="SimSun" w:hAnsi="SimSun" w:eastAsia="SimSun" w:cs="SimSun"/>
          <w:sz w:val="21"/>
          <w:szCs w:val="21"/>
        </w:rPr>
        <w:t>CABG</w:t>
      </w:r>
      <w:r>
        <w:rPr>
          <w:rFonts w:ascii="SimSun" w:hAnsi="SimSun" w:eastAsia="SimSun" w:cs="SimSun"/>
          <w:sz w:val="21"/>
          <w:szCs w:val="21"/>
          <w:spacing w:val="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能力的医院实施。</w:t>
      </w:r>
    </w:p>
    <w:p>
      <w:pPr>
        <w:ind w:left="1372"/>
        <w:spacing w:before="53" w:line="219" w:lineRule="auto"/>
        <w:outlineLvl w:val="4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8"/>
        </w:rPr>
        <w:t>七、疾病管理</w:t>
      </w:r>
    </w:p>
    <w:p>
      <w:pPr>
        <w:ind w:left="1370"/>
        <w:spacing w:before="8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参考心脏康复基层指南。</w:t>
      </w:r>
    </w:p>
    <w:p>
      <w:pPr>
        <w:ind w:left="948" w:right="489" w:hanging="104"/>
        <w:spacing w:before="168" w:line="31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21"/>
          <w:szCs w:val="21"/>
          <w:spacing w:val="-1"/>
        </w:rPr>
        <w:t>《基层医疗卫生机构常见疾病诊疗指南》项目组织</w:t>
      </w:r>
      <w:r>
        <w:rPr>
          <w:rFonts w:ascii="SimHei" w:hAnsi="SimHei" w:eastAsia="SimHei" w:cs="SimHei"/>
          <w:sz w:val="21"/>
          <w:szCs w:val="21"/>
          <w:spacing w:val="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委</w:t>
      </w:r>
      <w:r>
        <w:rPr>
          <w:rFonts w:ascii="SimHei" w:hAnsi="SimHei" w:eastAsia="SimHei" w:cs="SimHei"/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员</w:t>
      </w:r>
      <w:r>
        <w:rPr>
          <w:rFonts w:ascii="SimHei" w:hAnsi="SimHei" w:eastAsia="SimHei" w:cs="SimHei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会</w:t>
      </w:r>
      <w:r>
        <w:rPr>
          <w:rFonts w:ascii="SimHei" w:hAnsi="SimHei" w:eastAsia="SimHei" w:cs="SimHei"/>
          <w:sz w:val="17"/>
          <w:szCs w:val="17"/>
          <w:spacing w:val="-3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：</w:t>
      </w:r>
    </w:p>
    <w:p>
      <w:pPr>
        <w:ind w:left="952"/>
        <w:spacing w:before="1" w:line="224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主</w:t>
      </w:r>
      <w:r>
        <w:rPr>
          <w:rFonts w:ascii="SimHei" w:hAnsi="SimHei" w:eastAsia="SimHei" w:cs="SimHei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任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委</w:t>
      </w:r>
      <w:r>
        <w:rPr>
          <w:rFonts w:ascii="SimHei" w:hAnsi="SimHei" w:eastAsia="SimHei" w:cs="SimHei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员</w:t>
      </w:r>
      <w:r>
        <w:rPr>
          <w:rFonts w:ascii="KaiTi" w:hAnsi="KaiTi" w:eastAsia="KaiTi" w:cs="KaiTi"/>
          <w:sz w:val="17"/>
          <w:szCs w:val="17"/>
          <w:b/>
          <w:bCs/>
          <w:spacing w:val="1"/>
        </w:rPr>
        <w:t>：</w:t>
      </w:r>
      <w:r>
        <w:rPr>
          <w:rFonts w:ascii="KaiTi" w:hAnsi="KaiTi" w:eastAsia="KaiTi" w:cs="KaiTi"/>
          <w:sz w:val="17"/>
          <w:szCs w:val="17"/>
          <w:spacing w:val="1"/>
        </w:rPr>
        <w:t>饶克勤(中华医学会)</w:t>
      </w:r>
    </w:p>
    <w:p>
      <w:pPr>
        <w:ind w:left="949" w:right="478" w:firstLine="2"/>
        <w:spacing w:before="102" w:line="310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副</w:t>
      </w:r>
      <w:r>
        <w:rPr>
          <w:rFonts w:ascii="SimHei" w:hAnsi="SimHei" w:eastAsia="SimHei" w:cs="SimHei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主</w:t>
      </w:r>
      <w:r>
        <w:rPr>
          <w:rFonts w:ascii="SimHei" w:hAnsi="SimHei" w:eastAsia="SimHei" w:cs="SimHei"/>
          <w:sz w:val="17"/>
          <w:szCs w:val="17"/>
          <w:spacing w:val="-35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任</w:t>
      </w:r>
      <w:r>
        <w:rPr>
          <w:rFonts w:ascii="SimHei" w:hAnsi="SimHei" w:eastAsia="SimHei" w:cs="SimHei"/>
          <w:sz w:val="17"/>
          <w:szCs w:val="17"/>
          <w:spacing w:val="-33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委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员</w:t>
      </w:r>
      <w:r>
        <w:rPr>
          <w:rFonts w:ascii="KaiTi" w:hAnsi="KaiTi" w:eastAsia="KaiTi" w:cs="KaiTi"/>
          <w:sz w:val="17"/>
          <w:szCs w:val="17"/>
          <w:b/>
          <w:bCs/>
          <w:spacing w:val="-2"/>
        </w:rPr>
        <w:t>：</w:t>
      </w:r>
      <w:r>
        <w:rPr>
          <w:rFonts w:ascii="KaiTi" w:hAnsi="KaiTi" w:eastAsia="KaiTi" w:cs="KaiTi"/>
          <w:sz w:val="17"/>
          <w:szCs w:val="17"/>
          <w:spacing w:val="-2"/>
        </w:rPr>
        <w:t>于晓松(中国医科大学附属第一医院);祝缮珠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(复旦大学附属中山医院)</w:t>
      </w:r>
    </w:p>
    <w:p>
      <w:pPr>
        <w:ind w:left="949" w:right="441"/>
        <w:spacing w:before="4" w:line="301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21"/>
          <w:szCs w:val="21"/>
          <w:spacing w:val="-11"/>
        </w:rPr>
        <w:t>委员</w:t>
      </w:r>
      <w:r>
        <w:rPr>
          <w:rFonts w:ascii="SimSun" w:hAnsi="SimSun" w:eastAsia="SimSun" w:cs="SimSun"/>
          <w:sz w:val="21"/>
          <w:szCs w:val="21"/>
          <w:spacing w:val="-11"/>
        </w:rPr>
        <w:t>(按姓氏拼音排序</w:t>
      </w:r>
      <w:r>
        <w:rPr>
          <w:rFonts w:ascii="KaiTi" w:hAnsi="KaiTi" w:eastAsia="KaiTi" w:cs="KaiTi"/>
          <w:sz w:val="21"/>
          <w:szCs w:val="21"/>
          <w:spacing w:val="-11"/>
        </w:rPr>
        <w:t>):迟春花(北京大学第一医院);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杜雪平(首都医科大学附属复兴医院月坛社区卫生</w:t>
      </w:r>
      <w:r>
        <w:rPr>
          <w:rFonts w:ascii="KaiTi" w:hAnsi="KaiTi" w:eastAsia="KaiTi" w:cs="KaiTi"/>
          <w:sz w:val="17"/>
          <w:szCs w:val="17"/>
          <w:spacing w:val="21"/>
        </w:rPr>
        <w:t>服务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中心);龚涛(北京医院);顾缓(首都医科大学</w:t>
      </w:r>
      <w:r>
        <w:rPr>
          <w:rFonts w:ascii="KaiTi" w:hAnsi="KaiTi" w:eastAsia="KaiTi" w:cs="KaiTi"/>
          <w:sz w:val="17"/>
          <w:szCs w:val="17"/>
          <w:spacing w:val="12"/>
        </w:rPr>
        <w:t>);何仲(北京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5"/>
        </w:rPr>
        <w:t>协和医学院);胡大一</w:t>
      </w:r>
      <w:r>
        <w:rPr>
          <w:rFonts w:ascii="KaiTi" w:hAnsi="KaiTi" w:eastAsia="KaiTi" w:cs="KaiTi"/>
          <w:sz w:val="17"/>
          <w:szCs w:val="17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spacing w:val="15"/>
        </w:rPr>
        <w:t>(北京大学人民医院);江孙芳(复旦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3"/>
        </w:rPr>
        <w:t>大学附属中山医院);姜永茂(中华医学会);施榕(上海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中医药大学);王爽(中国医科大学附属第一医院);魏均民</w:t>
      </w:r>
      <w:r>
        <w:rPr>
          <w:rFonts w:ascii="KaiTi" w:hAnsi="KaiTi" w:eastAsia="KaiTi" w:cs="KaiTi"/>
          <w:sz w:val="17"/>
          <w:szCs w:val="17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spacing w:val="-4"/>
        </w:rPr>
        <w:t>(中华医学会杂志社);吴浩(北京市丰台区方庄社区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9"/>
        </w:rPr>
        <w:t>卫生服务中心);曾学军(北京协和医院);周亚夫(南京医科</w:t>
      </w:r>
      <w:r>
        <w:rPr>
          <w:rFonts w:ascii="KaiTi" w:hAnsi="KaiTi" w:eastAsia="KaiTi" w:cs="KaiTi"/>
          <w:sz w:val="17"/>
          <w:szCs w:val="17"/>
          <w:spacing w:val="18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3"/>
        </w:rPr>
        <w:t>大</w:t>
      </w:r>
      <w:r>
        <w:rPr>
          <w:rFonts w:ascii="KaiTi" w:hAnsi="KaiTi" w:eastAsia="KaiTi" w:cs="KaiTi"/>
          <w:sz w:val="17"/>
          <w:szCs w:val="17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3"/>
        </w:rPr>
        <w:t>学</w:t>
      </w:r>
      <w:r>
        <w:rPr>
          <w:rFonts w:ascii="KaiTi" w:hAnsi="KaiTi" w:eastAsia="KaiTi" w:cs="KaiTi"/>
          <w:sz w:val="17"/>
          <w:szCs w:val="17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3"/>
        </w:rPr>
        <w:t>)</w:t>
      </w:r>
    </w:p>
    <w:p>
      <w:pPr>
        <w:ind w:left="952"/>
        <w:spacing w:line="222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9"/>
        </w:rPr>
        <w:t>秘</w:t>
      </w:r>
      <w:r>
        <w:rPr>
          <w:rFonts w:ascii="SimHei" w:hAnsi="SimHei" w:eastAsia="SimHei" w:cs="SimHei"/>
          <w:sz w:val="17"/>
          <w:szCs w:val="17"/>
          <w:spacing w:val="9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9"/>
        </w:rPr>
        <w:t>书</w:t>
      </w:r>
      <w:r>
        <w:rPr>
          <w:rFonts w:ascii="SimHei" w:hAnsi="SimHei" w:eastAsia="SimHei" w:cs="SimHei"/>
          <w:sz w:val="17"/>
          <w:szCs w:val="17"/>
          <w:spacing w:val="9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9"/>
        </w:rPr>
        <w:t>长</w:t>
      </w:r>
      <w:r>
        <w:rPr>
          <w:rFonts w:ascii="KaiTi" w:hAnsi="KaiTi" w:eastAsia="KaiTi" w:cs="KaiTi"/>
          <w:sz w:val="17"/>
          <w:szCs w:val="17"/>
          <w:b/>
          <w:bCs/>
          <w:spacing w:val="9"/>
        </w:rPr>
        <w:t>：</w:t>
      </w:r>
      <w:r>
        <w:rPr>
          <w:rFonts w:ascii="KaiTi" w:hAnsi="KaiTi" w:eastAsia="KaiTi" w:cs="KaiTi"/>
          <w:sz w:val="17"/>
          <w:szCs w:val="17"/>
          <w:spacing w:val="9"/>
        </w:rPr>
        <w:t>刘岚(中华医学会杂志社);郝秀原(中华医学会</w:t>
      </w:r>
    </w:p>
    <w:p>
      <w:pPr>
        <w:ind w:left="949"/>
        <w:spacing w:before="110" w:line="227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405040"/>
          <w:spacing w:val="18"/>
        </w:rPr>
        <w:t>杂志社)</w:t>
      </w:r>
    </w:p>
    <w:p>
      <w:pPr>
        <w:ind w:left="952"/>
        <w:spacing w:before="17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心血管疾病基层诊疗指南编写专家组：</w:t>
      </w:r>
    </w:p>
    <w:p>
      <w:pPr>
        <w:ind w:left="952"/>
        <w:spacing w:before="122" w:line="228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21"/>
        </w:rPr>
        <w:t>组</w:t>
      </w:r>
      <w:r>
        <w:rPr>
          <w:rFonts w:ascii="SimHei" w:hAnsi="SimHei" w:eastAsia="SimHei" w:cs="SimHei"/>
          <w:sz w:val="17"/>
          <w:szCs w:val="17"/>
          <w:spacing w:val="2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1"/>
        </w:rPr>
        <w:t>长</w:t>
      </w:r>
      <w:r>
        <w:rPr>
          <w:rFonts w:ascii="KaiTi" w:hAnsi="KaiTi" w:eastAsia="KaiTi" w:cs="KaiTi"/>
          <w:sz w:val="17"/>
          <w:szCs w:val="17"/>
          <w:b/>
          <w:bCs/>
          <w:spacing w:val="-21"/>
        </w:rPr>
        <w:t>：</w:t>
      </w:r>
      <w:r>
        <w:rPr>
          <w:rFonts w:ascii="KaiTi" w:hAnsi="KaiTi" w:eastAsia="KaiTi" w:cs="KaiTi"/>
          <w:sz w:val="17"/>
          <w:szCs w:val="17"/>
          <w:spacing w:val="-21"/>
        </w:rPr>
        <w:t>胡</w:t>
      </w:r>
      <w:r>
        <w:rPr>
          <w:rFonts w:ascii="KaiTi" w:hAnsi="KaiTi" w:eastAsia="KaiTi" w:cs="KaiTi"/>
          <w:sz w:val="17"/>
          <w:szCs w:val="17"/>
          <w:spacing w:val="-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大</w:t>
      </w:r>
      <w:r>
        <w:rPr>
          <w:rFonts w:ascii="KaiTi" w:hAnsi="KaiTi" w:eastAsia="KaiTi" w:cs="KaiTi"/>
          <w:sz w:val="17"/>
          <w:szCs w:val="17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一</w:t>
      </w:r>
      <w:r>
        <w:rPr>
          <w:rFonts w:ascii="KaiTi" w:hAnsi="KaiTi" w:eastAsia="KaiTi" w:cs="KaiTi"/>
          <w:sz w:val="17"/>
          <w:szCs w:val="17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于</w:t>
      </w:r>
      <w:r>
        <w:rPr>
          <w:rFonts w:ascii="KaiTi" w:hAnsi="KaiTi" w:eastAsia="KaiTi" w:cs="KaiTi"/>
          <w:sz w:val="17"/>
          <w:szCs w:val="17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晓</w:t>
      </w:r>
      <w:r>
        <w:rPr>
          <w:rFonts w:ascii="KaiTi" w:hAnsi="KaiTi" w:eastAsia="KaiTi" w:cs="KaiTi"/>
          <w:sz w:val="17"/>
          <w:szCs w:val="17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松</w:t>
      </w:r>
    </w:p>
    <w:p>
      <w:pPr>
        <w:ind w:left="952"/>
        <w:spacing w:before="106" w:line="224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4"/>
        </w:rPr>
        <w:t>副</w:t>
      </w:r>
      <w:r>
        <w:rPr>
          <w:rFonts w:ascii="SimHei" w:hAnsi="SimHei" w:eastAsia="SimHei" w:cs="SimHei"/>
          <w:sz w:val="17"/>
          <w:szCs w:val="17"/>
          <w:spacing w:val="-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4"/>
        </w:rPr>
        <w:t>组</w:t>
      </w:r>
      <w:r>
        <w:rPr>
          <w:rFonts w:ascii="SimHei" w:hAnsi="SimHei" w:eastAsia="SimHei" w:cs="SimHei"/>
          <w:sz w:val="17"/>
          <w:szCs w:val="17"/>
          <w:spacing w:val="-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4"/>
        </w:rPr>
        <w:t>长</w:t>
      </w:r>
      <w:r>
        <w:rPr>
          <w:rFonts w:ascii="KaiTi" w:hAnsi="KaiTi" w:eastAsia="KaiTi" w:cs="KaiTi"/>
          <w:sz w:val="17"/>
          <w:szCs w:val="17"/>
          <w:b/>
          <w:bCs/>
          <w:spacing w:val="-4"/>
        </w:rPr>
        <w:t>：</w:t>
      </w:r>
      <w:r>
        <w:rPr>
          <w:rFonts w:ascii="KaiTi" w:hAnsi="KaiTi" w:eastAsia="KaiTi" w:cs="KaiTi"/>
          <w:sz w:val="17"/>
          <w:szCs w:val="17"/>
          <w:spacing w:val="-4"/>
        </w:rPr>
        <w:t>杜雪平</w:t>
      </w:r>
      <w:r>
        <w:rPr>
          <w:rFonts w:ascii="KaiTi" w:hAnsi="KaiTi" w:eastAsia="KaiTi" w:cs="KaiTi"/>
          <w:sz w:val="17"/>
          <w:szCs w:val="17"/>
          <w:spacing w:val="6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4"/>
        </w:rPr>
        <w:t>孙艺红</w:t>
      </w:r>
    </w:p>
    <w:p>
      <w:pPr>
        <w:ind w:left="952"/>
        <w:spacing w:before="94" w:line="227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11"/>
        </w:rPr>
        <w:t>秘</w:t>
      </w:r>
      <w:r>
        <w:rPr>
          <w:rFonts w:ascii="SimHei" w:hAnsi="SimHei" w:eastAsia="SimHei" w:cs="SimHei"/>
          <w:sz w:val="17"/>
          <w:szCs w:val="17"/>
          <w:spacing w:val="-1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1"/>
        </w:rPr>
        <w:t>书</w:t>
      </w:r>
      <w:r>
        <w:rPr>
          <w:rFonts w:ascii="SimHei" w:hAnsi="SimHei" w:eastAsia="SimHei" w:cs="SimHei"/>
          <w:sz w:val="17"/>
          <w:szCs w:val="17"/>
          <w:spacing w:val="-1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1"/>
        </w:rPr>
        <w:t>长</w:t>
      </w:r>
      <w:r>
        <w:rPr>
          <w:rFonts w:ascii="KaiTi" w:hAnsi="KaiTi" w:eastAsia="KaiTi" w:cs="KaiTi"/>
          <w:sz w:val="17"/>
          <w:szCs w:val="17"/>
          <w:b/>
          <w:bCs/>
          <w:spacing w:val="-11"/>
        </w:rPr>
        <w:t>：</w:t>
      </w:r>
      <w:r>
        <w:rPr>
          <w:rFonts w:ascii="KaiTi" w:hAnsi="KaiTi" w:eastAsia="KaiTi" w:cs="KaiTi"/>
          <w:sz w:val="17"/>
          <w:szCs w:val="17"/>
          <w:spacing w:val="-11"/>
        </w:rPr>
        <w:t>孙艺红</w:t>
      </w:r>
    </w:p>
    <w:p>
      <w:pPr>
        <w:ind w:left="949" w:right="447"/>
        <w:spacing w:before="88" w:line="311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2"/>
        </w:rPr>
        <w:t>心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血</w:t>
      </w:r>
      <w:r>
        <w:rPr>
          <w:rFonts w:ascii="SimHei" w:hAnsi="SimHei" w:eastAsia="SimHei" w:cs="SimHei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管</w:t>
      </w:r>
      <w:r>
        <w:rPr>
          <w:rFonts w:ascii="SimHei" w:hAnsi="SimHei" w:eastAsia="SimHei" w:cs="SimHei"/>
          <w:sz w:val="17"/>
          <w:szCs w:val="17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专</w:t>
      </w:r>
      <w:r>
        <w:rPr>
          <w:rFonts w:ascii="SimHei" w:hAnsi="SimHei" w:eastAsia="SimHei" w:cs="SimHei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家</w:t>
      </w:r>
      <w:r>
        <w:rPr>
          <w:rFonts w:ascii="SimHei" w:hAnsi="SimHei" w:eastAsia="SimHei" w:cs="SimHei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组</w:t>
      </w:r>
      <w:r>
        <w:rPr>
          <w:rFonts w:ascii="SimHei" w:hAnsi="SimHei" w:eastAsia="SimHei" w:cs="SimHei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成</w:t>
      </w:r>
      <w:r>
        <w:rPr>
          <w:rFonts w:ascii="SimHei" w:hAnsi="SimHei" w:eastAsia="SimHei" w:cs="SimHei"/>
          <w:sz w:val="17"/>
          <w:szCs w:val="17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员</w:t>
      </w:r>
      <w:r>
        <w:rPr>
          <w:rFonts w:ascii="SimSun" w:hAnsi="SimSun" w:eastAsia="SimSun" w:cs="SimSun"/>
          <w:sz w:val="17"/>
          <w:szCs w:val="17"/>
          <w:spacing w:val="12"/>
        </w:rPr>
        <w:t>(按姓氏拼音排序)</w:t>
      </w:r>
      <w:r>
        <w:rPr>
          <w:rFonts w:ascii="KaiTi" w:hAnsi="KaiTi" w:eastAsia="KaiTi" w:cs="KaiTi"/>
          <w:sz w:val="17"/>
          <w:szCs w:val="17"/>
          <w:spacing w:val="12"/>
        </w:rPr>
        <w:t>:陈步星(北京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中医药大学东直门医院);丁荣晶(北京大学人民医院);</w:t>
      </w:r>
      <w:r>
        <w:rPr>
          <w:rFonts w:ascii="KaiTi" w:hAnsi="KaiTi" w:eastAsia="KaiTi" w:cs="KaiTi"/>
          <w:sz w:val="17"/>
          <w:szCs w:val="17"/>
          <w:spacing w:val="10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冯广迅(中国医学科学院阜外医院);郭艺芳(河北省人民</w:t>
      </w:r>
      <w:r>
        <w:rPr>
          <w:rFonts w:ascii="KaiTi" w:hAnsi="KaiTi" w:eastAsia="KaiTi" w:cs="KaiTi"/>
          <w:sz w:val="17"/>
          <w:szCs w:val="17"/>
          <w:spacing w:val="8"/>
        </w:rPr>
        <w:t xml:space="preserve"> </w:t>
      </w:r>
      <w:r>
        <w:rPr>
          <w:rFonts w:ascii="KaiTi" w:hAnsi="KaiTi" w:eastAsia="KaiTi" w:cs="KaiTi"/>
          <w:sz w:val="17"/>
          <w:szCs w:val="17"/>
          <w:spacing w:val="15"/>
        </w:rPr>
        <w:t>医院);韩凌(首都医科大学附属复兴医院</w:t>
      </w:r>
      <w:r>
        <w:rPr>
          <w:rFonts w:ascii="KaiTi" w:hAnsi="KaiTi" w:eastAsia="KaiTi" w:cs="KaiTi"/>
          <w:sz w:val="17"/>
          <w:szCs w:val="17"/>
          <w:spacing w:val="14"/>
        </w:rPr>
        <w:t>);胡大一</w:t>
      </w:r>
      <w:r>
        <w:rPr>
          <w:rFonts w:ascii="KaiTi" w:hAnsi="KaiTi" w:eastAsia="KaiTi" w:cs="KaiTi"/>
          <w:sz w:val="17"/>
          <w:szCs w:val="17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(北京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0"/>
        </w:rPr>
        <w:t>大学人民医院);华琦(首都医科大学宣武医院);黄峻(江苏</w:t>
      </w:r>
      <w:r>
        <w:rPr>
          <w:rFonts w:ascii="KaiTi" w:hAnsi="KaiTi" w:eastAsia="KaiTi" w:cs="KaiTi"/>
          <w:sz w:val="17"/>
          <w:szCs w:val="17"/>
          <w:spacing w:val="6"/>
        </w:rPr>
        <w:t xml:space="preserve"> </w:t>
      </w:r>
      <w:r>
        <w:rPr>
          <w:rFonts w:ascii="KaiTi" w:hAnsi="KaiTi" w:eastAsia="KaiTi" w:cs="KaiTi"/>
          <w:sz w:val="17"/>
          <w:szCs w:val="17"/>
          <w:spacing w:val="20"/>
        </w:rPr>
        <w:t>省人民医院);李建军(中国医学科学院阜外医院);李萍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0"/>
        </w:rPr>
        <w:t>(中国医学科学院阜外医院);李勇(上海复旦大学附属华山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医院);梁岩(中国医学科学院阜外医院);刘少稳(上海市</w:t>
      </w:r>
      <w:r>
        <w:rPr>
          <w:rFonts w:ascii="KaiTi" w:hAnsi="KaiTi" w:eastAsia="KaiTi" w:cs="KaiTi"/>
          <w:sz w:val="17"/>
          <w:szCs w:val="17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第一人民医院);刘震宇(北京协和医院)</w:t>
      </w:r>
      <w:r>
        <w:rPr>
          <w:rFonts w:ascii="KaiTi" w:hAnsi="KaiTi" w:eastAsia="KaiTi" w:cs="KaiTi"/>
          <w:sz w:val="17"/>
          <w:szCs w:val="17"/>
          <w:spacing w:val="16"/>
        </w:rPr>
        <w:t>;皮林(清华大学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附属垂杨柳医院);盛莉(解放军总医院);孙宁玲(北京大</w:t>
      </w:r>
      <w:r>
        <w:rPr>
          <w:rFonts w:ascii="KaiTi" w:hAnsi="KaiTi" w:eastAsia="KaiTi" w:cs="KaiTi"/>
          <w:sz w:val="17"/>
          <w:szCs w:val="17"/>
          <w:spacing w:val="10"/>
        </w:rPr>
        <w:t xml:space="preserve"> </w:t>
      </w:r>
      <w:r>
        <w:rPr>
          <w:rFonts w:ascii="KaiTi" w:hAnsi="KaiTi" w:eastAsia="KaiTi" w:cs="KaiTi"/>
          <w:sz w:val="17"/>
          <w:szCs w:val="17"/>
          <w:spacing w:val="23"/>
        </w:rPr>
        <w:t>学人民医院);孙艺红(中日友好医院);唐熠达(北京大</w:t>
      </w:r>
      <w:r>
        <w:rPr>
          <w:rFonts w:ascii="KaiTi" w:hAnsi="KaiTi" w:eastAsia="KaiTi" w:cs="KaiTi"/>
          <w:sz w:val="17"/>
          <w:szCs w:val="17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学第三医院);汪芳(北京医院);王长谦(上海交通</w:t>
      </w:r>
      <w:r>
        <w:rPr>
          <w:rFonts w:ascii="KaiTi" w:hAnsi="KaiTi" w:eastAsia="KaiTi" w:cs="KaiTi"/>
          <w:sz w:val="17"/>
          <w:szCs w:val="17"/>
          <w:spacing w:val="16"/>
        </w:rPr>
        <w:t>大学医</w:t>
      </w:r>
    </w:p>
    <w:p>
      <w:pPr>
        <w:spacing w:line="6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22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3"/>
        </w:rPr>
        <w:t>学院第九人民医院);叶平(解放军总医院);翟玫(中国医学科</w:t>
      </w:r>
    </w:p>
    <w:p>
      <w:pPr>
        <w:spacing w:before="85" w:line="22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0"/>
        </w:rPr>
        <w:t>学院阜外医院);张萍(北京清华长庚医院);张宇辉(中国医</w:t>
      </w:r>
    </w:p>
    <w:p>
      <w:pPr>
        <w:ind w:right="84"/>
        <w:spacing w:before="86" w:line="29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9"/>
        </w:rPr>
        <w:t>学科学院阜外医院);张宇清(中国医学科学院阜外医</w:t>
      </w:r>
      <w:r>
        <w:rPr>
          <w:rFonts w:ascii="KaiTi" w:hAnsi="KaiTi" w:eastAsia="KaiTi" w:cs="KaiTi"/>
          <w:sz w:val="17"/>
          <w:szCs w:val="17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院);朱俊(中国医学科学院阜外医院)</w:t>
      </w:r>
    </w:p>
    <w:p>
      <w:pPr>
        <w:ind w:right="72"/>
        <w:spacing w:line="308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21"/>
          <w:szCs w:val="21"/>
          <w:spacing w:val="-13"/>
        </w:rPr>
        <w:t>全科专家组成员</w:t>
      </w:r>
      <w:r>
        <w:rPr>
          <w:rFonts w:ascii="SimSun" w:hAnsi="SimSun" w:eastAsia="SimSun" w:cs="SimSun"/>
          <w:sz w:val="21"/>
          <w:szCs w:val="21"/>
          <w:spacing w:val="-13"/>
        </w:rPr>
        <w:t>(按姓氏拼音排序</w:t>
      </w:r>
      <w:r>
        <w:rPr>
          <w:rFonts w:ascii="KaiTi" w:hAnsi="KaiTi" w:eastAsia="KaiTi" w:cs="KaiTi"/>
          <w:sz w:val="21"/>
          <w:szCs w:val="21"/>
          <w:spacing w:val="-13"/>
        </w:rPr>
        <w:t>):杜雪平(首都医科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7"/>
        </w:rPr>
        <w:t>大学附属复兴医院月坛社区卫生服务中心);马力(</w:t>
      </w:r>
      <w:r>
        <w:rPr>
          <w:rFonts w:ascii="KaiTi" w:hAnsi="KaiTi" w:eastAsia="KaiTi" w:cs="KaiTi"/>
          <w:sz w:val="17"/>
          <w:szCs w:val="17"/>
          <w:spacing w:val="6"/>
        </w:rPr>
        <w:t>首都医科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大学附属北京天坛医院);马岩(北京市朝阳区潘家园第二</w:t>
      </w:r>
      <w:r>
        <w:rPr>
          <w:rFonts w:ascii="KaiTi" w:hAnsi="KaiTi" w:eastAsia="KaiTi" w:cs="KaiTi"/>
          <w:sz w:val="17"/>
          <w:szCs w:val="17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7"/>
        </w:rPr>
        <w:t>社区卫生服务中心);寿涓(复旦大学附属中山医院</w:t>
      </w:r>
      <w:r>
        <w:rPr>
          <w:rFonts w:ascii="KaiTi" w:hAnsi="KaiTi" w:eastAsia="KaiTi" w:cs="KaiTi"/>
          <w:sz w:val="17"/>
          <w:szCs w:val="17"/>
          <w:spacing w:val="6"/>
        </w:rPr>
        <w:t>);王留义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0"/>
        </w:rPr>
        <w:t>(河南省人民医院);王荣英(河北医科大学第二医院);王爽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(中国医科大学附属第一医院);吴浩(北京市方庄社区卫生</w:t>
      </w:r>
      <w:r>
        <w:rPr>
          <w:rFonts w:ascii="KaiTi" w:hAnsi="KaiTi" w:eastAsia="KaiTi" w:cs="KaiTi"/>
          <w:sz w:val="17"/>
          <w:szCs w:val="17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服务中心);武琳(首都医科大学附属复兴医院月</w:t>
      </w:r>
      <w:r>
        <w:rPr>
          <w:rFonts w:ascii="KaiTi" w:hAnsi="KaiTi" w:eastAsia="KaiTi" w:cs="KaiTi"/>
          <w:sz w:val="17"/>
          <w:szCs w:val="17"/>
          <w:spacing w:val="20"/>
        </w:rPr>
        <w:t>坛社区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7"/>
        </w:rPr>
        <w:t>卫生服务中心);尹朝霞(深圳市罗湖医院集团东门街</w:t>
      </w:r>
      <w:r>
        <w:rPr>
          <w:rFonts w:ascii="KaiTi" w:hAnsi="KaiTi" w:eastAsia="KaiTi" w:cs="KaiTi"/>
          <w:sz w:val="17"/>
          <w:szCs w:val="17"/>
          <w:spacing w:val="6"/>
        </w:rPr>
        <w:t>道社康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中心);于晓松(中国医科大学附属第一医</w:t>
      </w:r>
      <w:r>
        <w:rPr>
          <w:rFonts w:ascii="KaiTi" w:hAnsi="KaiTi" w:eastAsia="KaiTi" w:cs="KaiTi"/>
          <w:sz w:val="17"/>
          <w:szCs w:val="17"/>
          <w:spacing w:val="10"/>
        </w:rPr>
        <w:t>院)</w:t>
      </w:r>
    </w:p>
    <w:p>
      <w:pPr>
        <w:ind w:firstLine="3"/>
        <w:spacing w:before="1" w:line="316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本指南执笔专家：</w:t>
      </w:r>
      <w:r>
        <w:rPr>
          <w:rFonts w:ascii="FangSong" w:hAnsi="FangSong" w:eastAsia="FangSong" w:cs="FangSong"/>
          <w:sz w:val="21"/>
          <w:szCs w:val="21"/>
          <w:spacing w:val="-11"/>
        </w:rPr>
        <w:t>唐熠达</w:t>
      </w:r>
      <w:r>
        <w:rPr>
          <w:rFonts w:ascii="FangSong" w:hAnsi="FangSong" w:eastAsia="FangSong" w:cs="FangSong"/>
          <w:sz w:val="21"/>
          <w:szCs w:val="21"/>
          <w:spacing w:val="2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陈步星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李萍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审校专家：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KaiTi" w:hAnsi="KaiTi" w:eastAsia="KaiTi" w:cs="KaiTi"/>
          <w:sz w:val="17"/>
          <w:szCs w:val="17"/>
          <w:spacing w:val="1"/>
        </w:rPr>
        <w:t>胡大</w:t>
      </w:r>
      <w:r>
        <w:rPr>
          <w:rFonts w:ascii="KaiTi" w:hAnsi="KaiTi" w:eastAsia="KaiTi" w:cs="KaiTi"/>
          <w:sz w:val="17"/>
          <w:szCs w:val="17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spacing w:val="1"/>
        </w:rPr>
        <w:t>一</w:t>
      </w:r>
    </w:p>
    <w:p>
      <w:pPr>
        <w:ind w:left="2"/>
        <w:spacing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6"/>
        </w:rPr>
        <w:t>利益冲突</w:t>
      </w:r>
      <w:r>
        <w:rPr>
          <w:rFonts w:ascii="SimHei" w:hAnsi="SimHei" w:eastAsia="SimHei" w:cs="SimHei"/>
          <w:sz w:val="17"/>
          <w:szCs w:val="17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所有作者均声明不存在利益冲突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firstLine="1659"/>
        <w:spacing w:line="180" w:lineRule="exact"/>
        <w:rPr/>
      </w:pPr>
      <w:r>
        <w:rPr>
          <w:position w:val="-3"/>
        </w:rPr>
        <w:drawing>
          <wp:inline distT="0" distB="0" distL="0" distR="0">
            <wp:extent cx="795406" cy="11428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406" cy="11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559" w:right="69" w:hanging="420"/>
        <w:spacing w:before="50" w:line="267" w:lineRule="auto"/>
        <w:rPr>
          <w:sz w:val="17"/>
          <w:szCs w:val="17"/>
        </w:rPr>
      </w:pPr>
      <w:r>
        <w:rPr>
          <w:sz w:val="17"/>
          <w:szCs w:val="17"/>
        </w:rPr>
        <w:t>[1]Amsterdam   EA,Wenger   NK,Brindis </w:t>
      </w:r>
      <w:r>
        <w:rPr>
          <w:sz w:val="17"/>
          <w:szCs w:val="17"/>
          <w:spacing w:val="-1"/>
        </w:rPr>
        <w:t xml:space="preserve">  RG,etal.2014   AHA/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ACC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Non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ST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Elevation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Acute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Syndromes</w:t>
      </w:r>
      <w:r>
        <w:rPr>
          <w:sz w:val="17"/>
          <w:szCs w:val="17"/>
          <w:spacing w:val="2"/>
        </w:rPr>
        <w:t>:</w:t>
      </w:r>
      <w:r>
        <w:rPr>
          <w:sz w:val="17"/>
          <w:szCs w:val="17"/>
        </w:rPr>
        <w:t>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report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American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College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of  Cardiology/American   Hea</w:t>
      </w:r>
      <w:r>
        <w:rPr>
          <w:sz w:val="17"/>
          <w:szCs w:val="17"/>
          <w:spacing w:val="-1"/>
        </w:rPr>
        <w:t>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Association</w:t>
      </w:r>
      <w:r>
        <w:rPr>
          <w:sz w:val="17"/>
          <w:szCs w:val="17"/>
          <w:spacing w:val="59"/>
        </w:rPr>
        <w:t xml:space="preserve"> </w:t>
      </w:r>
      <w:r>
        <w:rPr>
          <w:sz w:val="17"/>
          <w:szCs w:val="17"/>
          <w:spacing w:val="-1"/>
        </w:rPr>
        <w:t>Task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Force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Practice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"/>
        </w:rPr>
        <w:t>Guidelines[J].J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Am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Coll           Cardiol,2014,64(24):e139-e228.DOI:10.101</w:t>
      </w:r>
      <w:r>
        <w:rPr>
          <w:sz w:val="17"/>
          <w:szCs w:val="17"/>
          <w:spacing w:val="-1"/>
        </w:rPr>
        <w:t>6/j.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jacc</w:t>
      </w:r>
      <w:r>
        <w:rPr>
          <w:sz w:val="17"/>
          <w:szCs w:val="17"/>
          <w:spacing w:val="1"/>
        </w:rPr>
        <w:t>.2014.09.017.</w:t>
      </w:r>
    </w:p>
    <w:p>
      <w:pPr>
        <w:pStyle w:val="BodyText"/>
        <w:ind w:left="559" w:right="49" w:hanging="420"/>
        <w:spacing w:before="2" w:line="26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405050"/>
        </w:rPr>
        <w:t>[2]  </w:t>
      </w:r>
      <w:r>
        <w:rPr>
          <w:sz w:val="17"/>
          <w:szCs w:val="17"/>
        </w:rPr>
        <w:t>Roffi M,Patron</w:t>
      </w:r>
      <w:r>
        <w:rPr>
          <w:sz w:val="17"/>
          <w:szCs w:val="17"/>
          <w:spacing w:val="-1"/>
        </w:rPr>
        <w:t>o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C,Collet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JP,etal.2015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ESC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Guidelines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of acute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syn</w:t>
      </w:r>
      <w:r>
        <w:rPr>
          <w:sz w:val="17"/>
          <w:szCs w:val="17"/>
          <w:spacing w:val="-1"/>
        </w:rPr>
        <w:t>dromes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presenting</w:t>
      </w:r>
      <w:r>
        <w:rPr>
          <w:sz w:val="17"/>
          <w:szCs w:val="17"/>
          <w:spacing w:val="16"/>
          <w:w w:val="102"/>
        </w:rPr>
        <w:t xml:space="preserve">  </w:t>
      </w:r>
      <w:r>
        <w:rPr>
          <w:sz w:val="17"/>
          <w:szCs w:val="17"/>
        </w:rPr>
        <w:t>without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</w:rPr>
        <w:t>persistent   ST</w:t>
      </w:r>
      <w:r>
        <w:rPr>
          <w:sz w:val="17"/>
          <w:szCs w:val="17"/>
          <w:spacing w:val="-1"/>
        </w:rPr>
        <w:t>-segment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elevation[J].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Eur         Heart          J,2016,37(3):267-315.DOI:10.1582</w:t>
      </w:r>
      <w:r>
        <w:rPr>
          <w:sz w:val="17"/>
          <w:szCs w:val="17"/>
          <w:spacing w:val="-1"/>
        </w:rPr>
        <w:t>9/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1560-4071-2016-3-9-63.</w:t>
      </w:r>
    </w:p>
    <w:p>
      <w:pPr>
        <w:pStyle w:val="BodyText"/>
        <w:ind w:left="559" w:right="53" w:hanging="420"/>
        <w:spacing w:before="34" w:line="26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404040"/>
          <w:spacing w:val="-1"/>
        </w:rPr>
        <w:t>[3]  </w:t>
      </w:r>
      <w:r>
        <w:rPr>
          <w:sz w:val="17"/>
          <w:szCs w:val="17"/>
          <w:spacing w:val="-1"/>
        </w:rPr>
        <w:t>Levine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  <w:spacing w:val="-1"/>
        </w:rPr>
        <w:t>GN,Bates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ER,Bittl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JA,et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al.2016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ACC/AHA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Guideline    Focused    Update    on    Duration  </w:t>
      </w:r>
      <w:r>
        <w:rPr>
          <w:sz w:val="17"/>
          <w:szCs w:val="17"/>
          <w:spacing w:val="-1"/>
        </w:rPr>
        <w:t xml:space="preserve">  of    Dual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Antiplatelet  Therapy  in  Patients  With  Coronary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Artery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4"/>
        </w:rPr>
        <w:t>: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Report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American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College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Cardiology</w:t>
      </w:r>
      <w:r>
        <w:rPr>
          <w:sz w:val="17"/>
          <w:szCs w:val="17"/>
          <w:spacing w:val="4"/>
        </w:rPr>
        <w:t>/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American</w:t>
      </w:r>
      <w:r>
        <w:rPr>
          <w:sz w:val="17"/>
          <w:szCs w:val="17"/>
          <w:spacing w:val="25"/>
          <w:w w:val="101"/>
        </w:rPr>
        <w:t xml:space="preserve">  </w:t>
      </w:r>
      <w:r>
        <w:rPr>
          <w:sz w:val="17"/>
          <w:szCs w:val="17"/>
          <w:spacing w:val="-1"/>
        </w:rPr>
        <w:t>Heart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Association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Task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Force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-1"/>
        </w:rPr>
        <w:t>Clinical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Practice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Guidelines:An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Update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of the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2011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AC</w:t>
      </w:r>
      <w:r>
        <w:rPr>
          <w:sz w:val="17"/>
          <w:szCs w:val="17"/>
          <w:spacing w:val="-1"/>
        </w:rPr>
        <w:t>CF/AHA/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SCAI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1"/>
        </w:rPr>
        <w:t>Guideline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"/>
        </w:rPr>
        <w:t>Percutaneous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-1"/>
        </w:rPr>
        <w:t>Coronary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Intervention,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2011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1"/>
        </w:rPr>
        <w:t>ACCF/AHA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Guideline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Coronary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Artery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Bypass</w:t>
      </w:r>
    </w:p>
    <w:p>
      <w:pPr>
        <w:pStyle w:val="BodyText"/>
        <w:ind w:left="559" w:right="77"/>
        <w:spacing w:before="72" w:line="270" w:lineRule="auto"/>
        <w:rPr>
          <w:sz w:val="17"/>
          <w:szCs w:val="17"/>
        </w:rPr>
      </w:pPr>
      <w:r>
        <w:rPr>
          <w:sz w:val="17"/>
          <w:szCs w:val="17"/>
        </w:rPr>
        <w:t>Graft Surgery,2012 ACC/AHA/ACP/AATS/</w:t>
      </w:r>
      <w:r>
        <w:rPr>
          <w:sz w:val="17"/>
          <w:szCs w:val="17"/>
          <w:spacing w:val="-1"/>
        </w:rPr>
        <w:t>PCNA/SCAI/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STS  Guideline  for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Diagnosis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Patients With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Stable Ischemic Heart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Disease,2013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ACCF/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AHA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ST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Elevation </w:t>
      </w:r>
      <w:r>
        <w:rPr>
          <w:sz w:val="17"/>
          <w:szCs w:val="17"/>
        </w:rPr>
        <w:t>Myocardial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Infarction,</w:t>
      </w:r>
      <w:r>
        <w:rPr>
          <w:sz w:val="17"/>
          <w:szCs w:val="17"/>
          <w:spacing w:val="-1"/>
        </w:rPr>
        <w:t>2014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AHA/ACC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"/>
        </w:rPr>
        <w:t>Guideline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Management  of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Patients  With  Non-ST-Elevation  Acute </w:t>
      </w:r>
      <w:r>
        <w:rPr>
          <w:sz w:val="17"/>
          <w:szCs w:val="17"/>
          <w:spacing w:val="-1"/>
        </w:rPr>
        <w:t>Coronary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1"/>
        </w:rPr>
        <w:t>Syndromes,and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2014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ACC/AHA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Guideline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Perioperative</w:t>
      </w:r>
      <w:r>
        <w:rPr>
          <w:sz w:val="17"/>
          <w:szCs w:val="17"/>
          <w:spacing w:val="3"/>
        </w:rPr>
        <w:t xml:space="preserve">        </w:t>
      </w:r>
      <w:r>
        <w:rPr>
          <w:sz w:val="17"/>
          <w:szCs w:val="17"/>
        </w:rPr>
        <w:t>Cardiovascular        Evaluation    </w:t>
      </w:r>
      <w:r>
        <w:rPr>
          <w:sz w:val="17"/>
          <w:szCs w:val="17"/>
          <w:spacing w:val="-1"/>
        </w:rPr>
        <w:t xml:space="preserve">    and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of Patients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Undergoing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Noncardia</w:t>
      </w:r>
      <w:r>
        <w:rPr>
          <w:sz w:val="17"/>
          <w:szCs w:val="17"/>
          <w:spacing w:val="-1"/>
        </w:rPr>
        <w:t>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Surgery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[J].Circulation,2016,134(10):e123-</w:t>
      </w:r>
      <w:r>
        <w:rPr>
          <w:sz w:val="17"/>
          <w:szCs w:val="17"/>
          <w:spacing w:val="-1"/>
        </w:rPr>
        <w:t>e155.DOI:10.1161/</w:t>
      </w:r>
    </w:p>
    <w:p>
      <w:pPr>
        <w:pStyle w:val="BodyText"/>
        <w:ind w:left="559"/>
        <w:spacing w:before="60" w:line="188" w:lineRule="auto"/>
        <w:rPr>
          <w:sz w:val="17"/>
          <w:szCs w:val="17"/>
        </w:rPr>
      </w:pPr>
      <w:r>
        <w:rPr>
          <w:sz w:val="17"/>
          <w:szCs w:val="17"/>
        </w:rPr>
        <w:t>CIR.0000000000000404.</w:t>
      </w:r>
    </w:p>
    <w:p>
      <w:pPr>
        <w:pStyle w:val="BodyText"/>
        <w:ind w:left="559" w:right="81" w:hanging="420"/>
        <w:spacing w:before="60" w:line="267" w:lineRule="auto"/>
        <w:rPr>
          <w:sz w:val="17"/>
          <w:szCs w:val="17"/>
        </w:rPr>
      </w:pPr>
      <w:r>
        <w:rPr>
          <w:rFonts w:ascii="SimSun" w:hAnsi="SimSun" w:eastAsia="SimSun" w:cs="SimSun"/>
          <w:sz w:val="15"/>
          <w:szCs w:val="15"/>
          <w:spacing w:val="7"/>
        </w:rPr>
        <w:t>[4]</w:t>
      </w:r>
      <w:r>
        <w:rPr>
          <w:rFonts w:ascii="SimSun" w:hAnsi="SimSun" w:eastAsia="SimSun" w:cs="SimSun"/>
          <w:sz w:val="15"/>
          <w:szCs w:val="15"/>
          <w:spacing w:val="39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7"/>
        </w:rPr>
        <w:t>中华医学会心血管病学分会，中华心血管病杂志编辑委员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6"/>
        </w:rPr>
        <w:t>会.非</w:t>
      </w:r>
      <w:r>
        <w:rPr>
          <w:sz w:val="15"/>
          <w:szCs w:val="15"/>
        </w:rPr>
        <w:t>ST</w:t>
      </w:r>
      <w:r>
        <w:rPr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6"/>
        </w:rPr>
        <w:t>段抬高型急性冠状动脉综合征诊断</w:t>
      </w:r>
      <w:r>
        <w:rPr>
          <w:rFonts w:ascii="SimSun" w:hAnsi="SimSun" w:eastAsia="SimSun" w:cs="SimSun"/>
          <w:sz w:val="15"/>
          <w:szCs w:val="15"/>
          <w:spacing w:val="15"/>
        </w:rPr>
        <w:t>和治疗指南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(2016)[J].   </w:t>
      </w:r>
      <w:r>
        <w:rPr>
          <w:rFonts w:ascii="SimSun" w:hAnsi="SimSun" w:eastAsia="SimSun" w:cs="SimSun"/>
          <w:sz w:val="15"/>
          <w:szCs w:val="15"/>
          <w:spacing w:val="4"/>
        </w:rPr>
        <w:t>中华心血管病杂志，2017,45(5):359-376.</w:t>
      </w:r>
      <w:r>
        <w:rPr>
          <w:sz w:val="15"/>
          <w:szCs w:val="15"/>
        </w:rPr>
        <w:t>DOI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  <w:spacing w:val="15"/>
        </w:rPr>
        <w:t xml:space="preserve"> </w:t>
      </w:r>
      <w:r>
        <w:rPr>
          <w:sz w:val="17"/>
          <w:szCs w:val="17"/>
        </w:rPr>
        <w:t>10.3760/cmaj.issn.0253-3758.20</w:t>
      </w:r>
      <w:r>
        <w:rPr>
          <w:sz w:val="17"/>
          <w:szCs w:val="17"/>
          <w:spacing w:val="-1"/>
        </w:rPr>
        <w:t>17.05.003.</w:t>
      </w:r>
    </w:p>
    <w:p>
      <w:pPr>
        <w:pStyle w:val="BodyText"/>
        <w:ind w:left="559" w:right="78"/>
        <w:spacing w:before="50" w:line="217" w:lineRule="auto"/>
        <w:rPr>
          <w:sz w:val="17"/>
          <w:szCs w:val="17"/>
        </w:rPr>
      </w:pPr>
      <w:r>
        <w:rPr>
          <w:sz w:val="17"/>
          <w:szCs w:val="17"/>
        </w:rPr>
        <w:t>Chinese   Society   of   Cardiology   of   Chinese   Medical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Editorial</w:t>
      </w:r>
      <w:r>
        <w:rPr>
          <w:sz w:val="17"/>
          <w:szCs w:val="17"/>
          <w:spacing w:val="11"/>
          <w:w w:val="102"/>
        </w:rPr>
        <w:t xml:space="preserve">   </w:t>
      </w:r>
      <w:r>
        <w:rPr>
          <w:sz w:val="17"/>
          <w:szCs w:val="17"/>
        </w:rPr>
        <w:t>Board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Chinese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Journal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of</w:t>
      </w:r>
    </w:p>
    <w:p>
      <w:pPr>
        <w:spacing w:line="217" w:lineRule="auto"/>
        <w:sectPr>
          <w:type w:val="continuous"/>
          <w:pgSz w:w="12250" w:h="16500"/>
          <w:pgMar w:top="400" w:right="1247" w:bottom="379" w:left="330" w:header="0" w:footer="0" w:gutter="0"/>
          <w:cols w:equalWidth="0" w:num="2">
            <w:col w:w="5951" w:space="100"/>
            <w:col w:w="4622" w:space="0"/>
          </w:cols>
        </w:sectPr>
        <w:rPr>
          <w:sz w:val="17"/>
          <w:szCs w:val="17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142700</wp:posOffset>
            </wp:positionV>
            <wp:extent cx="1282715" cy="22861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28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939"/>
        <w:spacing w:before="60" w:line="141" w:lineRule="exact"/>
        <w:rPr>
          <w:sz w:val="21"/>
          <w:szCs w:val="21"/>
        </w:rPr>
      </w:pPr>
      <w:r>
        <w:rPr>
          <w:sz w:val="21"/>
          <w:szCs w:val="21"/>
          <w:color w:val="C09080"/>
          <w:spacing w:val="-1"/>
          <w:position w:val="-2"/>
        </w:rPr>
        <w:t>xvdWRWZXJ</w:t>
      </w:r>
    </w:p>
    <w:p>
      <w:pPr>
        <w:spacing w:line="141" w:lineRule="exact"/>
        <w:sectPr>
          <w:type w:val="continuous"/>
          <w:pgSz w:w="12250" w:h="16500"/>
          <w:pgMar w:top="400" w:right="1247" w:bottom="379" w:left="330" w:header="0" w:footer="0" w:gutter="0"/>
          <w:cols w:equalWidth="0" w:num="1">
            <w:col w:w="10672" w:space="0"/>
          </w:cols>
        </w:sectPr>
        <w:rPr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59" w:line="212" w:lineRule="auto"/>
        <w:rPr>
          <w:sz w:val="15"/>
          <w:szCs w:val="15"/>
        </w:rPr>
      </w:pPr>
      <w:r>
        <w:rPr>
          <w:rFonts w:ascii="SimSun" w:hAnsi="SimSun" w:eastAsia="SimSun" w:cs="SimSun"/>
          <w:sz w:val="18"/>
          <w:szCs w:val="18"/>
          <w:u w:val="single" w:color="auto"/>
          <w:spacing w:val="-1"/>
        </w:rPr>
        <w:t>中华全科医师杂志</w:t>
      </w:r>
      <w:r>
        <w:rPr>
          <w:sz w:val="18"/>
          <w:szCs w:val="18"/>
          <w:u w:val="single" w:color="auto"/>
          <w:spacing w:val="-1"/>
        </w:rPr>
        <w:t>2021</w:t>
      </w:r>
      <w:r>
        <w:rPr>
          <w:rFonts w:ascii="SimSun" w:hAnsi="SimSun" w:eastAsia="SimSun" w:cs="SimSun"/>
          <w:sz w:val="18"/>
          <w:szCs w:val="18"/>
          <w:u w:val="single" w:color="auto"/>
          <w:spacing w:val="-1"/>
        </w:rPr>
        <w:t>年</w:t>
      </w:r>
      <w:r>
        <w:rPr>
          <w:sz w:val="18"/>
          <w:szCs w:val="18"/>
          <w:u w:val="single" w:color="auto"/>
          <w:spacing w:val="-1"/>
        </w:rPr>
        <w:t>1</w:t>
      </w:r>
      <w:r>
        <w:rPr>
          <w:rFonts w:ascii="SimSun" w:hAnsi="SimSun" w:eastAsia="SimSun" w:cs="SimSun"/>
          <w:sz w:val="18"/>
          <w:szCs w:val="18"/>
          <w:u w:val="single" w:color="auto"/>
          <w:spacing w:val="-1"/>
        </w:rPr>
        <w:t>月第</w:t>
      </w:r>
      <w:r>
        <w:rPr>
          <w:sz w:val="18"/>
          <w:szCs w:val="18"/>
          <w:u w:val="single" w:color="auto"/>
          <w:spacing w:val="-1"/>
        </w:rPr>
        <w:t>20</w:t>
      </w:r>
      <w:r>
        <w:rPr>
          <w:rFonts w:ascii="SimSun" w:hAnsi="SimSun" w:eastAsia="SimSun" w:cs="SimSun"/>
          <w:sz w:val="18"/>
          <w:szCs w:val="18"/>
          <w:u w:val="single" w:color="auto"/>
          <w:spacing w:val="-1"/>
        </w:rPr>
        <w:t>卷第</w:t>
      </w:r>
      <w:r>
        <w:rPr>
          <w:sz w:val="18"/>
          <w:szCs w:val="18"/>
          <w:u w:val="single" w:color="auto"/>
          <w:spacing w:val="-1"/>
        </w:rPr>
        <w:t>1</w:t>
      </w:r>
      <w:r>
        <w:rPr>
          <w:rFonts w:ascii="SimSun" w:hAnsi="SimSun" w:eastAsia="SimSun" w:cs="SimSun"/>
          <w:sz w:val="18"/>
          <w:szCs w:val="18"/>
          <w:u w:val="single" w:color="auto"/>
          <w:spacing w:val="-1"/>
        </w:rPr>
        <w:t>期</w:t>
      </w:r>
      <w:r>
        <w:rPr>
          <w:sz w:val="18"/>
          <w:szCs w:val="18"/>
          <w:u w:val="single" w:color="auto"/>
          <w:spacing w:val="-1"/>
        </w:rPr>
        <w:t>ChinJGen Pract,January 2021,Vol.20,No.1</w:t>
      </w:r>
      <w:r>
        <w:rPr>
          <w:sz w:val="18"/>
          <w:szCs w:val="18"/>
          <w:spacing w:val="-1"/>
        </w:rPr>
        <w:t xml:space="preserve">                                                           </w:t>
      </w:r>
      <w:r>
        <w:rPr>
          <w:sz w:val="18"/>
          <w:szCs w:val="18"/>
          <w:spacing w:val="-2"/>
        </w:rPr>
        <w:t xml:space="preserve">    </w:t>
      </w:r>
      <w:r>
        <w:rPr>
          <w:rFonts w:ascii="SimSun" w:hAnsi="SimSun" w:eastAsia="SimSun" w:cs="SimSun"/>
          <w:sz w:val="15"/>
          <w:szCs w:val="15"/>
          <w:spacing w:val="-2"/>
          <w:position w:val="-1"/>
        </w:rPr>
        <w:t>·</w:t>
      </w:r>
      <w:r>
        <w:rPr>
          <w:rFonts w:ascii="SimSun" w:hAnsi="SimSun" w:eastAsia="SimSun" w:cs="SimSun"/>
          <w:sz w:val="15"/>
          <w:szCs w:val="15"/>
          <w:spacing w:val="22"/>
          <w:w w:val="101"/>
          <w:position w:val="-1"/>
        </w:rPr>
        <w:t xml:space="preserve"> </w:t>
      </w:r>
      <w:r>
        <w:rPr>
          <w:sz w:val="15"/>
          <w:szCs w:val="15"/>
          <w:spacing w:val="-2"/>
          <w:position w:val="-1"/>
        </w:rPr>
        <w:t>13·</w:t>
      </w:r>
    </w:p>
    <w:p>
      <w:pPr>
        <w:spacing w:before="85"/>
        <w:rPr/>
      </w:pPr>
      <w:r/>
    </w:p>
    <w:p>
      <w:pPr>
        <w:sectPr>
          <w:footerReference w:type="default" r:id="rId17"/>
          <w:pgSz w:w="12250" w:h="16500"/>
          <w:pgMar w:top="400" w:right="1297" w:bottom="565" w:left="319" w:header="0" w:footer="190" w:gutter="0"/>
          <w:cols w:equalWidth="0" w:num="1">
            <w:col w:w="10633" w:space="0"/>
          </w:cols>
        </w:sectPr>
        <w:rPr/>
      </w:pPr>
    </w:p>
    <w:p>
      <w:pPr>
        <w:pStyle w:val="BodyText"/>
        <w:ind w:left="1519" w:right="537"/>
        <w:spacing w:before="62" w:line="236" w:lineRule="auto"/>
        <w:jc w:val="both"/>
        <w:rPr>
          <w:sz w:val="18"/>
          <w:szCs w:val="18"/>
        </w:rPr>
      </w:pPr>
      <w:r>
        <w:rPr>
          <w:sz w:val="15"/>
          <w:szCs w:val="15"/>
        </w:rPr>
        <w:t>Cardiology.Guideline    and    consensus   </w:t>
      </w:r>
      <w:r>
        <w:rPr>
          <w:sz w:val="15"/>
          <w:szCs w:val="15"/>
          <w:spacing w:val="-1"/>
        </w:rPr>
        <w:t xml:space="preserve"> for    the    management</w:t>
      </w:r>
      <w:r>
        <w:rPr>
          <w:sz w:val="15"/>
          <w:szCs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non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ST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elevation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acute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coronary </w:t>
      </w:r>
      <w:r>
        <w:rPr>
          <w:sz w:val="18"/>
          <w:szCs w:val="18"/>
          <w:spacing w:val="-1"/>
        </w:rPr>
        <w:t>syndrome[(2016)[J].Chin J Ca</w:t>
      </w:r>
      <w:r>
        <w:rPr>
          <w:sz w:val="18"/>
          <w:szCs w:val="18"/>
          <w:spacing w:val="-2"/>
        </w:rPr>
        <w:t>rdiol,2017,45(5):359-376.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DOI:10.3760/cma.j.issn.0253-3758.2017.05.003</w:t>
      </w:r>
    </w:p>
    <w:p>
      <w:pPr>
        <w:ind w:left="1020"/>
        <w:spacing w:before="51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[5]    陈伟伟，高润霖，刘力生，</w:t>
      </w:r>
      <w:r>
        <w:rPr>
          <w:rFonts w:ascii="SimSun" w:hAnsi="SimSun" w:eastAsia="SimSun" w:cs="SimSun"/>
          <w:sz w:val="15"/>
          <w:szCs w:val="15"/>
          <w:spacing w:val="-5"/>
        </w:rPr>
        <w:t>等.《中国心血管病报告2016》概要</w:t>
      </w:r>
    </w:p>
    <w:p>
      <w:pPr>
        <w:pStyle w:val="BodyText"/>
        <w:ind w:left="1519" w:right="696"/>
        <w:spacing w:before="17" w:line="26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[J].</w:t>
      </w:r>
      <w:r>
        <w:rPr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中国循环杂志，2017,32(6):5</w:t>
      </w:r>
      <w:r>
        <w:rPr>
          <w:rFonts w:ascii="SimSun" w:hAnsi="SimSun" w:eastAsia="SimSun" w:cs="SimSun"/>
          <w:sz w:val="15"/>
          <w:szCs w:val="15"/>
          <w:spacing w:val="5"/>
        </w:rPr>
        <w:t>21-530.</w:t>
      </w:r>
      <w:r>
        <w:rPr>
          <w:sz w:val="15"/>
          <w:szCs w:val="15"/>
        </w:rPr>
        <w:t>DOI</w:t>
      </w:r>
      <w:r>
        <w:rPr>
          <w:sz w:val="15"/>
          <w:szCs w:val="15"/>
          <w:spacing w:val="5"/>
        </w:rPr>
        <w:t>:10.3969/j.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issn.1000-3614.2017.06.001.</w:t>
      </w:r>
    </w:p>
    <w:p>
      <w:pPr>
        <w:pStyle w:val="BodyText"/>
        <w:ind w:left="1519" w:right="549"/>
        <w:spacing w:before="124" w:line="250" w:lineRule="auto"/>
        <w:jc w:val="both"/>
        <w:rPr>
          <w:sz w:val="18"/>
          <w:szCs w:val="18"/>
        </w:rPr>
      </w:pPr>
      <w:r>
        <w:rPr>
          <w:sz w:val="18"/>
          <w:szCs w:val="18"/>
        </w:rPr>
        <w:t>Chen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WW,Gao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</w:rPr>
        <w:t>RL,Liu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</w:rPr>
        <w:t>LS,etal.Summary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of  C</w:t>
      </w:r>
      <w:r>
        <w:rPr>
          <w:sz w:val="18"/>
          <w:szCs w:val="18"/>
          <w:spacing w:val="-1"/>
        </w:rPr>
        <w:t>hina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cardiovascular disease rport 2016[J].Chinese Circulation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Journal,2017,32(6):521-530.DOI:10.3969/j.issn</w:t>
      </w:r>
      <w:r>
        <w:rPr>
          <w:sz w:val="18"/>
          <w:szCs w:val="18"/>
          <w:spacing w:val="-1"/>
        </w:rPr>
        <w:t>.1000-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4"/>
        </w:rPr>
        <w:t>3614.2017.06.001.</w:t>
      </w:r>
    </w:p>
    <w:p>
      <w:pPr>
        <w:pStyle w:val="BodyText"/>
        <w:ind w:left="1519" w:right="544" w:hanging="499"/>
        <w:spacing w:before="24" w:line="252" w:lineRule="auto"/>
        <w:rPr>
          <w:sz w:val="15"/>
          <w:szCs w:val="15"/>
        </w:rPr>
      </w:pPr>
      <w:r>
        <w:rPr>
          <w:sz w:val="18"/>
          <w:szCs w:val="18"/>
          <w:spacing w:val="-5"/>
        </w:rPr>
        <w:t>[6]       Steg PG,Goldberg RJ,Gore JM,et al</w:t>
      </w:r>
      <w:r>
        <w:rPr>
          <w:sz w:val="18"/>
          <w:szCs w:val="18"/>
          <w:spacing w:val="-6"/>
        </w:rPr>
        <w:t>.Baseline characteristics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22"/>
          <w:w w:val="101"/>
        </w:rPr>
        <w:t xml:space="preserve">  </w:t>
      </w:r>
      <w:r>
        <w:rPr>
          <w:sz w:val="18"/>
          <w:szCs w:val="18"/>
        </w:rPr>
        <w:t>practicesand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in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hospital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outcomes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patients hospitalized with acute coronary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syndromes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global registry of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2"/>
        </w:rPr>
        <w:t>acute coronary events(GRACE)[J].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Am</w:t>
      </w:r>
      <w:r>
        <w:rPr>
          <w:sz w:val="18"/>
          <w:szCs w:val="18"/>
          <w:spacing w:val="1"/>
        </w:rPr>
        <w:t xml:space="preserve">      </w:t>
      </w:r>
      <w:r>
        <w:rPr>
          <w:sz w:val="18"/>
          <w:szCs w:val="18"/>
        </w:rPr>
        <w:t>J</w:t>
      </w:r>
      <w:r>
        <w:rPr>
          <w:sz w:val="18"/>
          <w:szCs w:val="18"/>
          <w:spacing w:val="1"/>
        </w:rPr>
        <w:t xml:space="preserve">      </w:t>
      </w:r>
      <w:r>
        <w:rPr>
          <w:sz w:val="18"/>
          <w:szCs w:val="18"/>
        </w:rPr>
        <w:t>Cardiol</w:t>
      </w:r>
      <w:r>
        <w:rPr>
          <w:sz w:val="18"/>
          <w:szCs w:val="18"/>
          <w:spacing w:val="1"/>
        </w:rPr>
        <w:t>,2002,9</w:t>
      </w:r>
      <w:r>
        <w:rPr>
          <w:sz w:val="18"/>
          <w:szCs w:val="18"/>
        </w:rPr>
        <w:t>0(4):358-363.DOI:10.1016/ </w:t>
      </w:r>
      <w:r>
        <w:rPr>
          <w:sz w:val="15"/>
          <w:szCs w:val="15"/>
          <w:spacing w:val="-1"/>
        </w:rPr>
        <w:t>S0002-9149(02)02489-X.</w:t>
      </w:r>
    </w:p>
    <w:p>
      <w:pPr>
        <w:pStyle w:val="BodyText"/>
        <w:ind w:left="1519" w:right="523" w:hanging="499"/>
        <w:spacing w:before="86" w:line="23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[7]       Terkelsen CJ,Lassen JE,Norgaard BL,et al.</w:t>
      </w:r>
      <w:r>
        <w:rPr>
          <w:sz w:val="18"/>
          <w:szCs w:val="18"/>
          <w:spacing w:val="-3"/>
        </w:rPr>
        <w:t>Morality rates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 patients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ST-elevation VS.non-ST-elevati</w:t>
      </w:r>
      <w:r>
        <w:rPr>
          <w:sz w:val="18"/>
          <w:szCs w:val="18"/>
          <w:spacing w:val="-3"/>
        </w:rPr>
        <w:t>on acute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myocardial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infarction:obs</w:t>
      </w:r>
      <w:r>
        <w:rPr>
          <w:sz w:val="18"/>
          <w:szCs w:val="18"/>
          <w:spacing w:val="-1"/>
        </w:rPr>
        <w:t>ervations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from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unselected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cohort[J].Eur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J,2005,26(1):18-26</w:t>
      </w:r>
      <w:r>
        <w:rPr>
          <w:sz w:val="18"/>
          <w:szCs w:val="18"/>
          <w:spacing w:val="-1"/>
        </w:rPr>
        <w:t>.DOI:10.1016/j.</w:t>
      </w:r>
    </w:p>
    <w:p>
      <w:pPr>
        <w:pStyle w:val="BodyText"/>
        <w:ind w:left="1519"/>
        <w:spacing w:before="112" w:line="192" w:lineRule="auto"/>
        <w:rPr>
          <w:sz w:val="15"/>
          <w:szCs w:val="15"/>
        </w:rPr>
      </w:pPr>
      <w:r>
        <w:rPr>
          <w:sz w:val="15"/>
          <w:szCs w:val="15"/>
        </w:rPr>
        <w:t>accreview.2005.04.052.</w:t>
      </w:r>
    </w:p>
    <w:p>
      <w:pPr>
        <w:pStyle w:val="BodyText"/>
        <w:ind w:left="1519" w:right="543" w:hanging="499"/>
        <w:spacing w:before="54" w:line="257" w:lineRule="auto"/>
        <w:rPr>
          <w:sz w:val="18"/>
          <w:szCs w:val="18"/>
        </w:rPr>
      </w:pPr>
      <w:r>
        <w:rPr>
          <w:rFonts w:ascii="SimSun" w:hAnsi="SimSun" w:eastAsia="SimSun" w:cs="SimSun"/>
          <w:sz w:val="15"/>
          <w:szCs w:val="15"/>
          <w:spacing w:val="-2"/>
        </w:rPr>
        <w:t>[8]    梁岩，朱俊，谭慧琼，等.中国非</w:t>
      </w:r>
      <w:r>
        <w:rPr>
          <w:sz w:val="15"/>
          <w:szCs w:val="15"/>
          <w:spacing w:val="-2"/>
        </w:rPr>
        <w:t>ST</w:t>
      </w:r>
      <w:r>
        <w:rPr>
          <w:sz w:val="15"/>
          <w:szCs w:val="15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段抬高急性冠状动脉综合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征患者二年随访终点事件的影响因素分析</w:t>
      </w:r>
      <w:r>
        <w:rPr>
          <w:sz w:val="15"/>
          <w:szCs w:val="15"/>
          <w:spacing w:val="12"/>
        </w:rPr>
        <w:t>[J].</w:t>
      </w:r>
      <w:r>
        <w:rPr>
          <w:rFonts w:ascii="SimSun" w:hAnsi="SimSun" w:eastAsia="SimSun" w:cs="SimSun"/>
          <w:sz w:val="15"/>
          <w:szCs w:val="15"/>
          <w:spacing w:val="12"/>
        </w:rPr>
        <w:t>中华</w:t>
      </w:r>
      <w:r>
        <w:rPr>
          <w:rFonts w:ascii="SimSun" w:hAnsi="SimSun" w:eastAsia="SimSun" w:cs="SimSun"/>
          <w:sz w:val="15"/>
          <w:szCs w:val="15"/>
          <w:spacing w:val="11"/>
        </w:rPr>
        <w:t>心血管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病杂志，2009,37(7):580-584.</w:t>
      </w:r>
      <w:r>
        <w:rPr>
          <w:sz w:val="18"/>
          <w:szCs w:val="18"/>
        </w:rPr>
        <w:t>DOI</w:t>
      </w:r>
      <w:r>
        <w:rPr>
          <w:sz w:val="18"/>
          <w:szCs w:val="18"/>
          <w:spacing w:val="1"/>
        </w:rPr>
        <w:t>:10.3760/</w:t>
      </w:r>
      <w:r>
        <w:rPr>
          <w:sz w:val="18"/>
          <w:szCs w:val="18"/>
        </w:rPr>
        <w:t>cma</w:t>
      </w:r>
      <w:r>
        <w:rPr>
          <w:sz w:val="18"/>
          <w:szCs w:val="18"/>
          <w:spacing w:val="1"/>
        </w:rPr>
        <w:t>.j.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2"/>
        </w:rPr>
        <w:t>issn.0253-3758.2009.07.003.</w:t>
      </w:r>
    </w:p>
    <w:p>
      <w:pPr>
        <w:pStyle w:val="BodyText"/>
        <w:ind w:left="1519" w:right="487"/>
        <w:spacing w:before="4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Liang Y,Zhu J,Tan HQ et al.Risk factors associated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end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points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non</w:t>
      </w:r>
      <w:r>
        <w:rPr>
          <w:sz w:val="18"/>
          <w:szCs w:val="18"/>
          <w:spacing w:val="3"/>
        </w:rPr>
        <w:t>-</w:t>
      </w:r>
      <w:r>
        <w:rPr>
          <w:sz w:val="18"/>
          <w:szCs w:val="18"/>
        </w:rPr>
        <w:t>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elevation  </w:t>
      </w:r>
      <w:r>
        <w:rPr>
          <w:sz w:val="18"/>
          <w:szCs w:val="18"/>
          <w:spacing w:val="-1"/>
        </w:rPr>
        <w:t>acute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coronary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syndromes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China:2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years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follow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up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results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Chinn-0ASIS Regist</w:t>
      </w:r>
      <w:r>
        <w:rPr>
          <w:sz w:val="18"/>
          <w:szCs w:val="18"/>
          <w:spacing w:val="-2"/>
        </w:rPr>
        <w:t>ry[J].Chin J Cardiol,2009,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37(7):580-584.DOI:10.3760/cma.j.issn.0253-3758.2009.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07.003.</w:t>
      </w:r>
    </w:p>
    <w:p>
      <w:pPr>
        <w:pStyle w:val="BodyText"/>
        <w:ind w:left="1519" w:right="499" w:hanging="499"/>
        <w:spacing w:before="68" w:line="213" w:lineRule="auto"/>
        <w:rPr>
          <w:sz w:val="18"/>
          <w:szCs w:val="18"/>
        </w:rPr>
      </w:pPr>
      <w:r>
        <w:rPr>
          <w:rFonts w:ascii="SimSun" w:hAnsi="SimSun" w:eastAsia="SimSun" w:cs="SimSun"/>
          <w:sz w:val="15"/>
          <w:szCs w:val="15"/>
          <w:spacing w:val="-2"/>
        </w:rPr>
        <w:t>[9]    伏蕊，窦克非，宋晨曦，等.中国非ST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段抬高型心肌梗死患者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住院期间死亡的危险因素分析</w:t>
      </w:r>
      <w:r>
        <w:rPr>
          <w:sz w:val="18"/>
          <w:szCs w:val="18"/>
          <w:spacing w:val="-10"/>
        </w:rPr>
        <w:t>[J</w:t>
      </w:r>
      <w:r>
        <w:rPr>
          <w:sz w:val="18"/>
          <w:szCs w:val="18"/>
          <w:spacing w:val="14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0"/>
        </w:rPr>
        <w:t>中国循环杂志，2017,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sz w:val="18"/>
          <w:szCs w:val="18"/>
        </w:rPr>
        <w:t>32(9):845-849.DOI:10.3969/j.issn.1000-3614.2017.</w:t>
      </w:r>
    </w:p>
    <w:p>
      <w:pPr>
        <w:pStyle w:val="BodyText"/>
        <w:ind w:left="1519"/>
        <w:spacing w:before="114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09.003.</w:t>
      </w:r>
    </w:p>
    <w:p>
      <w:pPr>
        <w:pStyle w:val="BodyText"/>
        <w:ind w:left="1519" w:right="519"/>
        <w:spacing w:before="10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Fu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R,Dou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KE,Song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CX,et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al.Risk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Factor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Analysis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In-hospital Mortality in Patients With Non-ST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Segment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Elevation  Myocardial  Infarction  in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China[J].Chine</w:t>
      </w:r>
      <w:r>
        <w:rPr>
          <w:sz w:val="18"/>
          <w:szCs w:val="18"/>
          <w:spacing w:val="-1"/>
        </w:rPr>
        <w:t>se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Circulation Journal,2017,32(9):845-849.DOI:</w:t>
      </w:r>
      <w:r>
        <w:rPr>
          <w:sz w:val="18"/>
          <w:szCs w:val="18"/>
          <w:spacing w:val="-1"/>
        </w:rPr>
        <w:t>10.3969/j.</w:t>
      </w:r>
    </w:p>
    <w:p>
      <w:pPr>
        <w:pStyle w:val="BodyText"/>
        <w:ind w:left="1519"/>
        <w:spacing w:before="86" w:line="192" w:lineRule="auto"/>
        <w:rPr>
          <w:sz w:val="15"/>
          <w:szCs w:val="15"/>
        </w:rPr>
      </w:pPr>
      <w:r>
        <w:rPr>
          <w:sz w:val="15"/>
          <w:szCs w:val="15"/>
        </w:rPr>
        <w:t>issn.1000-3614.2017.09.003.</w:t>
      </w:r>
    </w:p>
    <w:p>
      <w:pPr>
        <w:pStyle w:val="BodyText"/>
        <w:ind w:left="1519" w:right="530" w:hanging="499"/>
        <w:spacing w:before="76" w:line="242" w:lineRule="auto"/>
        <w:rPr>
          <w:sz w:val="18"/>
          <w:szCs w:val="18"/>
        </w:rPr>
      </w:pPr>
      <w:r>
        <w:rPr>
          <w:sz w:val="18"/>
          <w:szCs w:val="18"/>
        </w:rPr>
        <w:t>[10]    Antman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EM,Cohen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M,Bernink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PJ,et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</w:rPr>
        <w:t>al.The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TI</w:t>
      </w:r>
      <w:r>
        <w:rPr>
          <w:sz w:val="18"/>
          <w:szCs w:val="18"/>
          <w:spacing w:val="-1"/>
        </w:rPr>
        <w:t>MI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risk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score for unstable angina/non-ST elevation MI:a method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for prognostication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therapeutic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de</w:t>
      </w:r>
      <w:r>
        <w:rPr>
          <w:sz w:val="18"/>
          <w:szCs w:val="18"/>
          <w:spacing w:val="-1"/>
        </w:rPr>
        <w:t>cision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1"/>
        </w:rPr>
        <w:t>making[J]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JAMA,2000,284(7):835-842.DOI:10.1016/S106</w:t>
      </w:r>
      <w:r>
        <w:rPr>
          <w:sz w:val="18"/>
          <w:szCs w:val="18"/>
          <w:spacing w:val="-1"/>
        </w:rPr>
        <w:t>2-1458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(00)00159-8.</w:t>
      </w:r>
    </w:p>
    <w:p>
      <w:pPr>
        <w:pStyle w:val="BodyText"/>
        <w:ind w:left="1020"/>
        <w:spacing w:before="95" w:line="191" w:lineRule="auto"/>
        <w:rPr>
          <w:sz w:val="18"/>
          <w:szCs w:val="18"/>
        </w:rPr>
      </w:pPr>
      <w:r>
        <w:rPr>
          <w:sz w:val="18"/>
          <w:szCs w:val="18"/>
        </w:rPr>
        <w:t>[11]</w:t>
      </w:r>
      <w:r>
        <w:rPr>
          <w:sz w:val="18"/>
          <w:szCs w:val="18"/>
          <w:spacing w:val="8"/>
        </w:rPr>
        <w:t xml:space="preserve">    </w:t>
      </w:r>
      <w:r>
        <w:rPr>
          <w:sz w:val="18"/>
          <w:szCs w:val="18"/>
        </w:rPr>
        <w:t>Tan   NS,Goodman </w:t>
      </w:r>
      <w:r>
        <w:rPr>
          <w:sz w:val="18"/>
          <w:szCs w:val="18"/>
          <w:spacing w:val="-1"/>
        </w:rPr>
        <w:t xml:space="preserve">   SG,Yan    RT,et    al.Comparative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0"/>
        <w:spacing w:before="30" w:line="249" w:lineRule="auto"/>
        <w:jc w:val="both"/>
        <w:rPr>
          <w:sz w:val="18"/>
          <w:szCs w:val="18"/>
        </w:rPr>
      </w:pPr>
      <w:r>
        <w:rPr>
          <w:sz w:val="18"/>
          <w:szCs w:val="18"/>
        </w:rPr>
        <w:t>prognostic value ofT-wave inversion </w:t>
      </w:r>
      <w:r>
        <w:rPr>
          <w:sz w:val="18"/>
          <w:szCs w:val="18"/>
          <w:spacing w:val="-1"/>
        </w:rPr>
        <w:t>and ST-segement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depression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15"/>
          <w:w w:val="102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admission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1"/>
        </w:rPr>
        <w:t>electrocardiogram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non-ST-segment elevation acute co</w:t>
      </w:r>
      <w:r>
        <w:rPr>
          <w:sz w:val="18"/>
          <w:szCs w:val="18"/>
          <w:spacing w:val="-2"/>
        </w:rPr>
        <w:t>ronary syndromes[J].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Am     Heart     J,2013,166(2):290-297.DOI:10.1016/j.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ahj.2013.04.010.</w:t>
      </w:r>
    </w:p>
    <w:p>
      <w:pPr>
        <w:pStyle w:val="BodyText"/>
        <w:ind w:left="480" w:right="61" w:hanging="480"/>
        <w:spacing w:before="37" w:line="23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[12]    Mueller C.Biomarkers 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acute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coronary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syndromes:an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update[J].Eur HeartJ,2014,35(9):552-556.DOI:10.1093/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eurheartj/eht530.</w:t>
      </w:r>
    </w:p>
    <w:p>
      <w:pPr>
        <w:pStyle w:val="BodyText"/>
        <w:ind w:left="480" w:right="36" w:hanging="480"/>
        <w:spacing w:before="62" w:line="252" w:lineRule="auto"/>
        <w:rPr>
          <w:sz w:val="18"/>
          <w:szCs w:val="18"/>
        </w:rPr>
      </w:pPr>
      <w:r>
        <w:rPr>
          <w:sz w:val="18"/>
          <w:szCs w:val="18"/>
        </w:rPr>
        <w:t>[13]    Fox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KA,Fitzgerald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G,Puym</w:t>
      </w:r>
      <w:r>
        <w:rPr>
          <w:sz w:val="18"/>
          <w:szCs w:val="18"/>
          <w:spacing w:val="-1"/>
        </w:rPr>
        <w:t>irat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E,et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al.Should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1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with acute coronary disease be stratified for man</w:t>
      </w:r>
      <w:r>
        <w:rPr>
          <w:sz w:val="18"/>
          <w:szCs w:val="18"/>
          <w:spacing w:val="-4"/>
        </w:rPr>
        <w:t>agement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according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their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risk?Derivation,e</w:t>
      </w:r>
      <w:r>
        <w:rPr>
          <w:sz w:val="18"/>
          <w:szCs w:val="18"/>
          <w:spacing w:val="-1"/>
        </w:rPr>
        <w:t>xternal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validation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 outcomes using the updat</w:t>
      </w:r>
      <w:r>
        <w:rPr>
          <w:sz w:val="18"/>
          <w:szCs w:val="18"/>
          <w:spacing w:val="-7"/>
        </w:rPr>
        <w:t>ed GRACE risk score[J].BMJ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Open,2014,4(2):e004425.DOI:10.1136/bmjo</w:t>
      </w:r>
      <w:r>
        <w:rPr>
          <w:sz w:val="18"/>
          <w:szCs w:val="18"/>
          <w:spacing w:val="-1"/>
        </w:rPr>
        <w:t>pen-2013-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004425.</w:t>
      </w:r>
    </w:p>
    <w:p>
      <w:pPr>
        <w:pStyle w:val="BodyText"/>
        <w:ind w:left="480" w:right="57" w:hanging="480"/>
        <w:spacing w:before="42" w:line="25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[14]    Rahimi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K,Watzlawek  S,Thiele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H,et  al.Incidence,time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course,and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</w:rPr>
        <w:t>predictors  of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</w:rPr>
        <w:t>early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</w:rPr>
        <w:t>malignant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</w:rPr>
        <w:t>ventri</w:t>
      </w:r>
      <w:r>
        <w:rPr>
          <w:sz w:val="18"/>
          <w:szCs w:val="18"/>
          <w:spacing w:val="-1"/>
        </w:rPr>
        <w:t>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arrhythmias after non-ST-segment elevation myocardial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infarction in patients with early invasive treatmen</w:t>
      </w:r>
      <w:r>
        <w:rPr>
          <w:sz w:val="18"/>
          <w:szCs w:val="18"/>
          <w:spacing w:val="-4"/>
        </w:rPr>
        <w:t>t[J].Eur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Heart                 J,2006,27(14):1706-1711.DOI:10.1093/eur</w:t>
      </w:r>
      <w:r>
        <w:rPr>
          <w:sz w:val="15"/>
          <w:szCs w:val="15"/>
          <w:spacing w:val="-1"/>
        </w:rPr>
        <w:t>heartj/</w:t>
      </w:r>
      <w:r>
        <w:rPr>
          <w:sz w:val="15"/>
          <w:szCs w:val="15"/>
        </w:rPr>
        <w:t xml:space="preserve"> </w:t>
      </w:r>
      <w:r>
        <w:rPr>
          <w:sz w:val="18"/>
          <w:szCs w:val="18"/>
        </w:rPr>
        <w:t>ehl</w:t>
      </w:r>
      <w:r>
        <w:rPr>
          <w:sz w:val="18"/>
          <w:szCs w:val="18"/>
          <w:spacing w:val="1"/>
        </w:rPr>
        <w:t>100.</w:t>
      </w:r>
    </w:p>
    <w:p>
      <w:pPr>
        <w:pStyle w:val="BodyText"/>
        <w:ind w:left="480" w:right="42" w:hanging="480"/>
        <w:spacing w:before="60" w:line="249" w:lineRule="auto"/>
        <w:rPr>
          <w:sz w:val="15"/>
          <w:szCs w:val="15"/>
        </w:rPr>
      </w:pPr>
      <w:r>
        <w:rPr>
          <w:sz w:val="18"/>
          <w:szCs w:val="18"/>
          <w:spacing w:val="-2"/>
        </w:rPr>
        <w:t>[15]    Piccini JP,White JA,</w:t>
      </w:r>
      <w:r>
        <w:rPr>
          <w:sz w:val="18"/>
          <w:szCs w:val="18"/>
          <w:spacing w:val="-3"/>
        </w:rPr>
        <w:t>Mehta RH,etal.Sustained ventricular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tachycardia  and  ventricular  fibrillation  complicating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non-ST-segment-elevat</w:t>
      </w:r>
      <w:r>
        <w:rPr>
          <w:sz w:val="18"/>
          <w:szCs w:val="18"/>
          <w:spacing w:val="-3"/>
        </w:rPr>
        <w:t>ion acute coronary syndromes[J].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Circulation,2012,[126(1):41-49.DOI:</w:t>
      </w:r>
      <w:r>
        <w:rPr>
          <w:sz w:val="15"/>
          <w:szCs w:val="15"/>
          <w:spacing w:val="-1"/>
        </w:rPr>
        <w:t>10.1161/</w:t>
      </w:r>
    </w:p>
    <w:p>
      <w:pPr>
        <w:pStyle w:val="BodyText"/>
        <w:ind w:left="480"/>
        <w:spacing w:before="115" w:line="188" w:lineRule="auto"/>
        <w:rPr>
          <w:sz w:val="15"/>
          <w:szCs w:val="15"/>
        </w:rPr>
      </w:pPr>
      <w:r>
        <w:rPr>
          <w:sz w:val="15"/>
          <w:szCs w:val="15"/>
        </w:rPr>
        <w:t>CIRCULATIONAHA.111.071860.</w:t>
      </w:r>
    </w:p>
    <w:p>
      <w:pPr>
        <w:pStyle w:val="BodyText"/>
        <w:spacing w:before="64" w:line="216" w:lineRule="auto"/>
        <w:jc w:val="right"/>
        <w:rPr>
          <w:sz w:val="18"/>
          <w:szCs w:val="18"/>
        </w:rPr>
      </w:pPr>
      <w:r>
        <w:rPr>
          <w:sz w:val="18"/>
          <w:szCs w:val="18"/>
        </w:rPr>
        <w:t>[16]    Bonaca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MP,Bhatt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DL,Cohen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M,etal.Long-term use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  </w:t>
      </w:r>
      <w:r>
        <w:rPr>
          <w:sz w:val="18"/>
          <w:szCs w:val="18"/>
          <w:spacing w:val="-1"/>
        </w:rPr>
        <w:t>ticagrelor in patients with prior myocardial infarction[J].</w:t>
      </w:r>
    </w:p>
    <w:p>
      <w:pPr>
        <w:pStyle w:val="BodyText"/>
        <w:ind w:left="480" w:right="96"/>
        <w:spacing w:before="27" w:line="288" w:lineRule="auto"/>
        <w:rPr>
          <w:sz w:val="15"/>
          <w:szCs w:val="15"/>
        </w:rPr>
      </w:pPr>
      <w:r>
        <w:rPr>
          <w:sz w:val="18"/>
          <w:szCs w:val="18"/>
        </w:rPr>
        <w:t>N Engl J Med,2015,372(19):1791-1800.DOI:10.1056/ </w:t>
      </w:r>
      <w:r>
        <w:rPr>
          <w:sz w:val="15"/>
          <w:szCs w:val="15"/>
        </w:rPr>
        <w:t>NEJMoa</w:t>
      </w:r>
      <w:r>
        <w:rPr>
          <w:sz w:val="15"/>
          <w:szCs w:val="15"/>
          <w:spacing w:val="1"/>
        </w:rPr>
        <w:t>1500857.</w:t>
      </w:r>
    </w:p>
    <w:p>
      <w:pPr>
        <w:pStyle w:val="BodyText"/>
        <w:ind w:left="480" w:right="56" w:hanging="480"/>
        <w:spacing w:before="20" w:line="266" w:lineRule="auto"/>
        <w:rPr>
          <w:sz w:val="15"/>
          <w:szCs w:val="15"/>
        </w:rPr>
      </w:pPr>
      <w:r>
        <w:rPr>
          <w:sz w:val="18"/>
          <w:szCs w:val="18"/>
          <w:spacing w:val="-4"/>
        </w:rPr>
        <w:t>[17]    Mauri L,Kereiakes DJ,Yeh RW,etal.Twelve or 30 months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2"/>
        </w:rPr>
        <w:t>dual antiplatelet therapy after drug-eluting stents[J].N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Engl</w:t>
      </w:r>
      <w:r>
        <w:rPr>
          <w:sz w:val="15"/>
          <w:szCs w:val="15"/>
          <w:spacing w:val="3"/>
        </w:rPr>
        <w:t xml:space="preserve">           </w:t>
      </w:r>
      <w:r>
        <w:rPr>
          <w:sz w:val="15"/>
          <w:szCs w:val="15"/>
        </w:rPr>
        <w:t>J</w:t>
      </w:r>
      <w:r>
        <w:rPr>
          <w:sz w:val="15"/>
          <w:szCs w:val="15"/>
          <w:spacing w:val="3"/>
        </w:rPr>
        <w:t xml:space="preserve">           </w:t>
      </w:r>
      <w:r>
        <w:rPr>
          <w:sz w:val="15"/>
          <w:szCs w:val="15"/>
        </w:rPr>
        <w:t>Med,2014,371(23):2155-2166.D</w:t>
      </w:r>
      <w:r>
        <w:rPr>
          <w:sz w:val="15"/>
          <w:szCs w:val="15"/>
          <w:spacing w:val="-1"/>
        </w:rPr>
        <w:t>OI:10.1056/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NEJMoa</w:t>
      </w:r>
      <w:r>
        <w:rPr>
          <w:sz w:val="15"/>
          <w:szCs w:val="15"/>
          <w:spacing w:val="1"/>
        </w:rPr>
        <w:t>1409312.</w:t>
      </w:r>
    </w:p>
    <w:p>
      <w:pPr>
        <w:pStyle w:val="BodyText"/>
        <w:ind w:left="480" w:right="76" w:hanging="480"/>
        <w:spacing w:before="45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8"/>
          <w:szCs w:val="18"/>
          <w:spacing w:val="5"/>
          <w:position w:val="-2"/>
        </w:rPr>
        <w:t>[18]</w:t>
      </w:r>
      <w:r>
        <w:rPr>
          <w:rFonts w:ascii="SimSun" w:hAnsi="SimSun" w:eastAsia="SimSun" w:cs="SimSun"/>
          <w:sz w:val="18"/>
          <w:szCs w:val="18"/>
          <w:spacing w:val="65"/>
          <w:position w:val="-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中华医学会，中华医学会杂志社，中华医学会</w:t>
      </w:r>
      <w:r>
        <w:rPr>
          <w:rFonts w:ascii="SimSun" w:hAnsi="SimSun" w:eastAsia="SimSun" w:cs="SimSun"/>
          <w:sz w:val="15"/>
          <w:szCs w:val="15"/>
          <w:spacing w:val="4"/>
        </w:rPr>
        <w:t>全科医学分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会，等.血脂异常基层诊疗指南(2019年)</w:t>
      </w:r>
      <w:r>
        <w:rPr>
          <w:sz w:val="15"/>
          <w:szCs w:val="15"/>
          <w:spacing w:val="6"/>
        </w:rPr>
        <w:t>[J].</w:t>
      </w:r>
      <w:r>
        <w:rPr>
          <w:rFonts w:ascii="SimSun" w:hAnsi="SimSun" w:eastAsia="SimSun" w:cs="SimSun"/>
          <w:sz w:val="15"/>
          <w:szCs w:val="15"/>
          <w:spacing w:val="6"/>
        </w:rPr>
        <w:t>中华全科医师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杂志，2019,18(5):406-41</w:t>
      </w:r>
      <w:r>
        <w:rPr>
          <w:rFonts w:ascii="SimSun" w:hAnsi="SimSun" w:eastAsia="SimSun" w:cs="SimSun"/>
          <w:sz w:val="15"/>
          <w:szCs w:val="15"/>
          <w:spacing w:val="6"/>
        </w:rPr>
        <w:t>6.</w:t>
      </w:r>
      <w:r>
        <w:rPr>
          <w:sz w:val="15"/>
          <w:szCs w:val="15"/>
        </w:rPr>
        <w:t>DOI</w:t>
      </w:r>
      <w:r>
        <w:rPr>
          <w:sz w:val="15"/>
          <w:szCs w:val="15"/>
          <w:spacing w:val="6"/>
        </w:rPr>
        <w:t>:10.3760/</w:t>
      </w:r>
      <w:r>
        <w:rPr>
          <w:sz w:val="15"/>
          <w:szCs w:val="15"/>
        </w:rPr>
        <w:t>cma</w:t>
      </w:r>
      <w:r>
        <w:rPr>
          <w:sz w:val="15"/>
          <w:szCs w:val="15"/>
          <w:spacing w:val="6"/>
        </w:rPr>
        <w:t>.j.</w:t>
      </w:r>
      <w:r>
        <w:rPr>
          <w:sz w:val="15"/>
          <w:szCs w:val="15"/>
        </w:rPr>
        <w:t>issn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480"/>
        <w:spacing w:before="113" w:line="18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1671-7368.2019.05.00</w:t>
      </w:r>
      <w:r>
        <w:rPr>
          <w:sz w:val="18"/>
          <w:szCs w:val="18"/>
          <w:spacing w:val="-4"/>
        </w:rPr>
        <w:t>3.</w:t>
      </w:r>
    </w:p>
    <w:p>
      <w:pPr>
        <w:pStyle w:val="BodyText"/>
        <w:ind w:left="480" w:right="54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Chinese Medical Association,Chinese</w:t>
      </w:r>
      <w:r>
        <w:rPr>
          <w:sz w:val="18"/>
          <w:szCs w:val="18"/>
          <w:spacing w:val="-2"/>
        </w:rPr>
        <w:t xml:space="preserve"> Medical Journals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Publishing    House,Chinese     Society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</w:rPr>
        <w:t>of    Gene</w:t>
      </w:r>
      <w:r>
        <w:rPr>
          <w:sz w:val="15"/>
          <w:szCs w:val="15"/>
          <w:spacing w:val="-1"/>
        </w:rPr>
        <w:t>ral     Practice,</w:t>
      </w:r>
      <w:r>
        <w:rPr>
          <w:sz w:val="15"/>
          <w:szCs w:val="15"/>
          <w:spacing w:val="2"/>
        </w:rPr>
        <w:t xml:space="preserve"> </w:t>
      </w:r>
      <w:r>
        <w:rPr>
          <w:sz w:val="18"/>
          <w:szCs w:val="18"/>
          <w:spacing w:val="-1"/>
        </w:rPr>
        <w:t>et al.Guideline for primary ca</w:t>
      </w:r>
      <w:r>
        <w:rPr>
          <w:sz w:val="18"/>
          <w:szCs w:val="18"/>
          <w:spacing w:val="-2"/>
        </w:rPr>
        <w:t>re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dyslipidemias (2019)</w:t>
      </w:r>
    </w:p>
    <w:p>
      <w:pPr>
        <w:pStyle w:val="BodyText"/>
        <w:ind w:left="480" w:right="62"/>
        <w:spacing w:before="7" w:line="250" w:lineRule="auto"/>
        <w:rPr>
          <w:sz w:val="15"/>
          <w:szCs w:val="15"/>
        </w:rPr>
      </w:pPr>
      <w:r>
        <w:rPr>
          <w:sz w:val="18"/>
          <w:szCs w:val="18"/>
          <w:spacing w:val="-1"/>
        </w:rPr>
        <w:t>[J].Chin J Gen Pract,2019,18(5):406-416.DOI</w:t>
      </w:r>
      <w:r>
        <w:rPr>
          <w:sz w:val="18"/>
          <w:szCs w:val="18"/>
          <w:spacing w:val="-2"/>
        </w:rPr>
        <w:t>:10.3760/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cma,j.issn.1671-7368.2019.05.003.</w:t>
      </w:r>
    </w:p>
    <w:p>
      <w:pPr>
        <w:pStyle w:val="BodyText"/>
        <w:ind w:left="480" w:right="48" w:hanging="480"/>
        <w:spacing w:before="13" w:line="259" w:lineRule="auto"/>
        <w:rPr>
          <w:sz w:val="18"/>
          <w:szCs w:val="18"/>
        </w:rPr>
      </w:pPr>
      <w:r>
        <w:rPr>
          <w:sz w:val="18"/>
          <w:szCs w:val="18"/>
        </w:rPr>
        <w:t>[19]    Mach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F,Baigent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</w:rPr>
        <w:t>C</w:t>
      </w:r>
      <w:r>
        <w:rPr>
          <w:sz w:val="18"/>
          <w:szCs w:val="18"/>
          <w:spacing w:val="-1"/>
        </w:rPr>
        <w:t>,Catapano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AL,et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al.2019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ESC/EAS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Guidelines for the management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dyslipidaemias:lipid </w:t>
      </w:r>
      <w:r>
        <w:rPr>
          <w:sz w:val="18"/>
          <w:szCs w:val="18"/>
          <w:spacing w:val="-2"/>
        </w:rPr>
        <w:t>modification to reduce ca</w:t>
      </w:r>
      <w:r>
        <w:rPr>
          <w:sz w:val="18"/>
          <w:szCs w:val="18"/>
          <w:spacing w:val="-3"/>
        </w:rPr>
        <w:t>rdiovascular risk[J].Eur HeartJ,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2020,41(1):111-188.DOI:10.15829/1560-4071</w:t>
      </w:r>
      <w:r>
        <w:rPr>
          <w:sz w:val="18"/>
          <w:szCs w:val="18"/>
          <w:spacing w:val="-1"/>
        </w:rPr>
        <w:t>-2020-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2"/>
        </w:rPr>
        <w:t>3826.</w:t>
      </w:r>
    </w:p>
    <w:sectPr>
      <w:type w:val="continuous"/>
      <w:pgSz w:w="12250" w:h="16500"/>
      <w:pgMar w:top="400" w:right="1297" w:bottom="565" w:left="319" w:header="0" w:footer="190" w:gutter="0"/>
      <w:cols w:equalWidth="0" w:num="2">
        <w:col w:w="6050" w:space="100"/>
        <w:col w:w="44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70"/>
      <w:spacing w:after="153" w:line="191" w:lineRule="auto"/>
      <w:rPr>
        <w:sz w:val="23"/>
        <w:szCs w:val="23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203180</wp:posOffset>
          </wp:positionH>
          <wp:positionV relativeFrom="page">
            <wp:posOffset>10128284</wp:posOffset>
          </wp:positionV>
          <wp:extent cx="1295395" cy="228514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95395" cy="2285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3"/>
        <w:szCs w:val="23"/>
        <w:color w:val="C09080"/>
        <w:spacing w:val="-1"/>
      </w:rPr>
      <w:t>2xvdWRWZX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"/>
      <w:spacing w:before="44" w:line="212" w:lineRule="auto"/>
      <w:rPr>
        <w:sz w:val="14"/>
        <w:szCs w:val="14"/>
      </w:rPr>
    </w:pPr>
    <w:r>
      <w:rPr>
        <w:rFonts w:ascii="SimSun" w:hAnsi="SimSun" w:eastAsia="SimSun" w:cs="SimSun"/>
        <w:u w:val="single" w:color="auto"/>
        <w:spacing w:val="-4"/>
      </w:rPr>
      <w:t>中华全科医师杂志</w:t>
    </w:r>
    <w:r>
      <w:rPr>
        <w:u w:val="single" w:color="auto"/>
        <w:spacing w:val="-4"/>
      </w:rPr>
      <w:t>2021</w:t>
    </w:r>
    <w:r>
      <w:rPr>
        <w:rFonts w:ascii="SimSun" w:hAnsi="SimSun" w:eastAsia="SimSun" w:cs="SimSun"/>
        <w:u w:val="single" w:color="auto"/>
        <w:spacing w:val="-4"/>
      </w:rPr>
      <w:t>年</w:t>
    </w:r>
    <w:r>
      <w:rPr>
        <w:u w:val="single" w:color="auto"/>
        <w:spacing w:val="-4"/>
      </w:rPr>
      <w:t>1</w:t>
    </w:r>
    <w:r>
      <w:rPr>
        <w:rFonts w:ascii="SimSun" w:hAnsi="SimSun" w:eastAsia="SimSun" w:cs="SimSun"/>
        <w:u w:val="single" w:color="auto"/>
        <w:spacing w:val="-4"/>
      </w:rPr>
      <w:t>月第</w:t>
    </w:r>
    <w:r>
      <w:rPr>
        <w:u w:val="single" w:color="auto"/>
        <w:spacing w:val="-4"/>
      </w:rPr>
      <w:t>20</w:t>
    </w:r>
    <w:r>
      <w:rPr>
        <w:rFonts w:ascii="SimSun" w:hAnsi="SimSun" w:eastAsia="SimSun" w:cs="SimSun"/>
        <w:u w:val="single" w:color="auto"/>
        <w:spacing w:val="-4"/>
      </w:rPr>
      <w:t>卷第</w:t>
    </w:r>
    <w:r>
      <w:rPr>
        <w:u w:val="single" w:color="auto"/>
        <w:spacing w:val="-4"/>
      </w:rPr>
      <w:t>1</w:t>
    </w:r>
    <w:r>
      <w:rPr>
        <w:rFonts w:ascii="SimSun" w:hAnsi="SimSun" w:eastAsia="SimSun" w:cs="SimSun"/>
        <w:u w:val="single" w:color="auto"/>
        <w:spacing w:val="-4"/>
      </w:rPr>
      <w:t>期</w:t>
    </w:r>
    <w:r>
      <w:rPr>
        <w:u w:val="single" w:color="auto"/>
        <w:spacing w:val="-4"/>
      </w:rPr>
      <w:t>ChinJGen Pract,January 2021,Vol.20,No.1</w:t>
    </w:r>
    <w:r>
      <w:rPr>
        <w:spacing w:val="-4"/>
      </w:rPr>
      <w:t xml:space="preserve">                                            </w:t>
    </w:r>
    <w:r>
      <w:rPr>
        <w:spacing w:val="-5"/>
      </w:rPr>
      <w:t xml:space="preserve">                 </w:t>
    </w:r>
    <w:r>
      <w:rPr>
        <w:rFonts w:ascii="SimSun" w:hAnsi="SimSun" w:eastAsia="SimSun" w:cs="SimSun"/>
        <w:sz w:val="14"/>
        <w:szCs w:val="14"/>
        <w:spacing w:val="-5"/>
        <w:position w:val="-1"/>
      </w:rPr>
      <w:t>·</w:t>
    </w:r>
    <w:r>
      <w:rPr>
        <w:rFonts w:ascii="SimSun" w:hAnsi="SimSun" w:eastAsia="SimSun" w:cs="SimSun"/>
        <w:sz w:val="14"/>
        <w:szCs w:val="14"/>
        <w:spacing w:val="34"/>
        <w:position w:val="-1"/>
      </w:rPr>
      <w:t xml:space="preserve"> </w:t>
    </w:r>
    <w:r>
      <w:rPr>
        <w:sz w:val="14"/>
        <w:szCs w:val="14"/>
        <w:spacing w:val="-5"/>
        <w:position w:val="-1"/>
      </w:rPr>
      <w:t>11·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header" Target="header1.xml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0" Type="http://schemas.openxmlformats.org/officeDocument/2006/relationships/fontTable" Target="fontTable.xml"/><Relationship Id="rId2" Type="http://schemas.openxmlformats.org/officeDocument/2006/relationships/image" Target="media/image2.jpe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footer" Target="footer2.xml"/><Relationship Id="rId16" Type="http://schemas.openxmlformats.org/officeDocument/2006/relationships/image" Target="media/image12.jpe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2025-10-29T09:40:28Z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2025-10-29T09:40:32</vt:filetime>
  </property>
  <property fmtid="{D5CDD505-2E9C-101B-9397-08002B2CF9AE}" pid="4" name="UsrData">
    <vt:lpwstr>69017086016945001fc6c17awl</vt:lpwstr>
  </property>
</Properties>
</file>