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896"/>
        <w:spacing w:before="77" w:line="218" w:lineRule="auto"/>
        <w:rPr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·</w:t>
      </w:r>
      <w:r>
        <w:rPr>
          <w:sz w:val="18"/>
          <w:szCs w:val="18"/>
          <w:color w:val="231F20"/>
          <w:spacing w:val="1"/>
        </w:rPr>
        <w:t>1154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·                           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color w:val="231F20"/>
          <w:spacing w:val="1"/>
        </w:rPr>
        <w:t>中华急诊医学杂志 </w:t>
      </w:r>
      <w:r>
        <w:rPr>
          <w:sz w:val="18"/>
          <w:szCs w:val="18"/>
          <w:u w:val="single" w:color="auto"/>
          <w:color w:val="231F20"/>
          <w:spacing w:val="1"/>
        </w:rPr>
        <w:t>2020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color w:val="231F20"/>
          <w:spacing w:val="1"/>
        </w:rPr>
        <w:t>年 </w:t>
      </w:r>
      <w:r>
        <w:rPr>
          <w:sz w:val="18"/>
          <w:szCs w:val="18"/>
          <w:u w:val="single" w:color="auto"/>
          <w:color w:val="231F20"/>
          <w:spacing w:val="1"/>
        </w:rPr>
        <w:t>9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color w:val="231F20"/>
          <w:spacing w:val="1"/>
        </w:rPr>
        <w:t>月第 </w:t>
      </w:r>
      <w:r>
        <w:rPr>
          <w:sz w:val="18"/>
          <w:szCs w:val="18"/>
          <w:u w:val="single" w:color="auto"/>
          <w:color w:val="231F20"/>
          <w:spacing w:val="1"/>
        </w:rPr>
        <w:t>29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color w:val="231F20"/>
          <w:spacing w:val="1"/>
        </w:rPr>
        <w:t>卷第 </w:t>
      </w:r>
      <w:r>
        <w:rPr>
          <w:sz w:val="18"/>
          <w:szCs w:val="18"/>
          <w:u w:val="single" w:color="auto"/>
          <w:color w:val="231F20"/>
          <w:spacing w:val="1"/>
        </w:rPr>
        <w:t>9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color w:val="231F20"/>
          <w:spacing w:val="1"/>
        </w:rPr>
        <w:t>期 </w:t>
      </w:r>
      <w:r>
        <w:rPr>
          <w:sz w:val="18"/>
          <w:szCs w:val="18"/>
          <w:u w:val="single" w:color="auto"/>
          <w:color w:val="231F20"/>
        </w:rPr>
        <w:t>Chin</w:t>
      </w:r>
      <w:r>
        <w:rPr>
          <w:sz w:val="18"/>
          <w:szCs w:val="18"/>
          <w:u w:val="single" w:color="auto"/>
          <w:color w:val="231F20"/>
          <w:spacing w:val="1"/>
        </w:rPr>
        <w:t xml:space="preserve"> </w:t>
      </w:r>
      <w:r>
        <w:rPr>
          <w:sz w:val="18"/>
          <w:szCs w:val="18"/>
          <w:u w:val="single" w:color="auto"/>
          <w:color w:val="231F20"/>
        </w:rPr>
        <w:t>J</w:t>
      </w:r>
      <w:r>
        <w:rPr>
          <w:sz w:val="18"/>
          <w:szCs w:val="18"/>
          <w:u w:val="single" w:color="auto"/>
          <w:color w:val="231F20"/>
          <w:spacing w:val="1"/>
        </w:rPr>
        <w:t xml:space="preserve"> </w:t>
      </w:r>
      <w:r>
        <w:rPr>
          <w:sz w:val="18"/>
          <w:szCs w:val="18"/>
          <w:u w:val="single" w:color="auto"/>
          <w:color w:val="231F20"/>
        </w:rPr>
        <w:t>Emerg</w:t>
      </w:r>
      <w:r>
        <w:rPr>
          <w:sz w:val="18"/>
          <w:szCs w:val="18"/>
          <w:u w:val="single" w:color="auto"/>
          <w:color w:val="231F20"/>
          <w:spacing w:val="1"/>
        </w:rPr>
        <w:t xml:space="preserve"> </w:t>
      </w:r>
      <w:r>
        <w:rPr>
          <w:sz w:val="18"/>
          <w:szCs w:val="18"/>
          <w:u w:val="single" w:color="auto"/>
          <w:color w:val="231F20"/>
        </w:rPr>
        <w:t>Med</w:t>
      </w:r>
      <w:r>
        <w:rPr>
          <w:sz w:val="18"/>
          <w:szCs w:val="18"/>
          <w:u w:val="single" w:color="auto"/>
          <w:color w:val="231F20"/>
          <w:spacing w:val="1"/>
        </w:rPr>
        <w:t>, </w:t>
      </w:r>
      <w:r>
        <w:rPr>
          <w:sz w:val="18"/>
          <w:szCs w:val="18"/>
          <w:u w:val="single" w:color="auto"/>
          <w:color w:val="231F20"/>
        </w:rPr>
        <w:t>September</w:t>
      </w:r>
      <w:r>
        <w:rPr>
          <w:sz w:val="18"/>
          <w:szCs w:val="18"/>
          <w:u w:val="single" w:color="auto"/>
          <w:color w:val="231F20"/>
          <w:spacing w:val="1"/>
        </w:rPr>
        <w:t xml:space="preserve"> 2020, </w:t>
      </w:r>
      <w:r>
        <w:rPr>
          <w:sz w:val="18"/>
          <w:szCs w:val="18"/>
          <w:u w:val="single" w:color="auto"/>
          <w:color w:val="231F20"/>
        </w:rPr>
        <w:t>Vol</w:t>
      </w:r>
      <w:r>
        <w:rPr>
          <w:sz w:val="18"/>
          <w:szCs w:val="18"/>
          <w:u w:val="single" w:color="auto"/>
          <w:color w:val="231F20"/>
          <w:spacing w:val="1"/>
        </w:rPr>
        <w:t>.</w:t>
      </w:r>
      <w:r>
        <w:rPr>
          <w:sz w:val="18"/>
          <w:szCs w:val="18"/>
          <w:u w:val="single" w:color="auto"/>
          <w:color w:val="231F20"/>
        </w:rPr>
        <w:t xml:space="preserve"> 29, No.</w:t>
      </w:r>
      <w:r>
        <w:rPr>
          <w:sz w:val="18"/>
          <w:szCs w:val="18"/>
          <w:u w:val="single" w:color="auto"/>
          <w:color w:val="231F20"/>
          <w:spacing w:val="7"/>
        </w:rPr>
        <w:t xml:space="preserve"> </w:t>
      </w:r>
      <w:r>
        <w:rPr>
          <w:sz w:val="18"/>
          <w:szCs w:val="18"/>
          <w:u w:val="single" w:color="auto"/>
          <w:color w:val="231F20"/>
        </w:rPr>
        <w:t>9</w:t>
      </w:r>
    </w:p>
    <w:p>
      <w:pPr>
        <w:spacing w:line="238" w:lineRule="exact"/>
        <w:rPr/>
      </w:pPr>
      <w:r/>
    </w:p>
    <w:p>
      <w:pPr>
        <w:spacing w:line="238" w:lineRule="exact"/>
        <w:sectPr>
          <w:headerReference w:type="default" r:id="rId1"/>
          <w:pgSz w:w="11906" w:h="16158"/>
          <w:pgMar w:top="400" w:right="400" w:bottom="0" w:left="400" w:header="0" w:footer="0" w:gutter="0"/>
          <w:cols w:equalWidth="0" w:num="1">
            <w:col w:w="11106" w:space="0"/>
          </w:cols>
        </w:sectPr>
        <w:rPr/>
      </w:pPr>
    </w:p>
    <w:p>
      <w:pPr>
        <w:pStyle w:val="BodyText"/>
        <w:ind w:left="1159" w:right="309" w:hanging="413"/>
        <w:spacing w:line="352" w:lineRule="auto"/>
        <w:rPr/>
      </w:pPr>
      <w:r>
        <w:rPr>
          <w:color w:val="231F20"/>
          <w:spacing w:val="-3"/>
        </w:rPr>
        <w:t>[40]    Oshima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T,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Heidegger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3"/>
        </w:rPr>
        <w:t>CP,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Pich</w:t>
      </w:r>
      <w:r>
        <w:rPr>
          <w:color w:val="231F20"/>
          <w:spacing w:val="-4"/>
        </w:rPr>
        <w:t>ard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C.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4"/>
        </w:rPr>
        <w:t>Protein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nutritional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support: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the newborn hero for the critically ill?[J]. Crit Care, 2014,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18(6): 592.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DOI:10.1186/s13054-014-0592-z.</w:t>
      </w:r>
    </w:p>
    <w:p>
      <w:pPr>
        <w:pStyle w:val="BodyText"/>
        <w:ind w:left="1159" w:right="290" w:hanging="404"/>
        <w:spacing w:before="41" w:line="357" w:lineRule="auto"/>
        <w:rPr/>
      </w:pPr>
      <w:r>
        <w:rPr>
          <w:color w:val="231F20"/>
          <w:spacing w:val="6"/>
        </w:rPr>
        <w:t>[41]</w:t>
      </w:r>
      <w:r>
        <w:rPr>
          <w:color w:val="231F20"/>
          <w:spacing w:val="5"/>
        </w:rPr>
        <w:t xml:space="preserve">    </w:t>
      </w:r>
      <w:r>
        <w:rPr>
          <w:color w:val="231F20"/>
          <w:spacing w:val="6"/>
        </w:rPr>
        <w:t>Wiesen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6"/>
        </w:rPr>
        <w:t>P,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6"/>
        </w:rPr>
        <w:t>van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6"/>
        </w:rPr>
        <w:t>Overmeire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6"/>
        </w:rPr>
        <w:t>L,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6"/>
        </w:rPr>
        <w:t>Delanaye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6"/>
        </w:rPr>
        <w:t>P,</w:t>
      </w:r>
      <w:r>
        <w:rPr>
          <w:color w:val="231F20"/>
          <w:spacing w:val="39"/>
        </w:rPr>
        <w:t xml:space="preserve"> </w:t>
      </w:r>
      <w:r>
        <w:rPr>
          <w:color w:val="231F20"/>
          <w:spacing w:val="6"/>
        </w:rPr>
        <w:t>et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6"/>
        </w:rPr>
        <w:t>al.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6"/>
        </w:rPr>
        <w:t>Nutrition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disorders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6"/>
        </w:rPr>
        <w:t>during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6"/>
        </w:rPr>
        <w:t>acute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6"/>
        </w:rPr>
        <w:t>renal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6"/>
        </w:rPr>
        <w:t>fa</w:t>
      </w:r>
      <w:r>
        <w:rPr>
          <w:color w:val="231F20"/>
          <w:spacing w:val="5"/>
        </w:rPr>
        <w:t>ilure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renal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5"/>
        </w:rPr>
        <w:t>replacement</w:t>
      </w:r>
      <w:r>
        <w:rPr>
          <w:color w:val="231F20"/>
        </w:rPr>
        <w:t xml:space="preserve"> </w:t>
      </w:r>
      <w:r>
        <w:rPr>
          <w:color w:val="231F20"/>
        </w:rPr>
        <w:t>therapy[J].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JPEN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Parenter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-1"/>
        </w:rPr>
        <w:t>nteral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Nutr,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2011,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35(2):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217-222.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DOI:10.1177/0148607110377205.</w:t>
      </w:r>
    </w:p>
    <w:p>
      <w:pPr>
        <w:pStyle w:val="BodyText"/>
        <w:ind w:left="1163" w:right="308" w:hanging="417"/>
        <w:spacing w:before="41" w:line="357" w:lineRule="auto"/>
        <w:rPr/>
      </w:pPr>
      <w:r>
        <w:rPr>
          <w:color w:val="231F20"/>
          <w:spacing w:val="-2"/>
        </w:rPr>
        <w:t>[42]    Gentile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LF,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Cuenca AG,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Efron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PA,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Persistent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inflammation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immunosuppressio</w:t>
      </w:r>
      <w:r>
        <w:rPr>
          <w:color w:val="231F20"/>
          <w:spacing w:val="-4"/>
        </w:rPr>
        <w:t>n: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4"/>
        </w:rPr>
        <w:t>a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common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4"/>
        </w:rPr>
        <w:t>syndrome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and new horizon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surgical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intensive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care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[J].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J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Trauma Acute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Care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4"/>
        </w:rPr>
        <w:t>Surg,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2012,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4"/>
        </w:rPr>
        <w:t>72(6):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1491-1501. DOI:10.1097/</w:t>
      </w:r>
      <w:r>
        <w:rPr>
          <w:color w:val="231F20"/>
          <w:spacing w:val="-4"/>
        </w:rPr>
        <w:t>ta.0b013e318256e000.</w:t>
      </w:r>
    </w:p>
    <w:p>
      <w:pPr>
        <w:pStyle w:val="BodyText"/>
        <w:ind w:left="1162" w:right="308" w:hanging="416"/>
        <w:spacing w:before="41" w:line="357" w:lineRule="auto"/>
        <w:rPr/>
      </w:pPr>
      <w:r>
        <w:rPr>
          <w:color w:val="231F20"/>
          <w:spacing w:val="2"/>
        </w:rPr>
        <w:t>[43]    </w:t>
      </w:r>
      <w:r>
        <w:rPr>
          <w:color w:val="231F20"/>
        </w:rPr>
        <w:t>Vanzant</w:t>
      </w:r>
      <w:r>
        <w:rPr>
          <w:color w:val="231F20"/>
          <w:spacing w:val="31"/>
        </w:rPr>
        <w:t xml:space="preserve"> </w:t>
      </w:r>
      <w:r>
        <w:rPr>
          <w:color w:val="231F20"/>
        </w:rPr>
        <w:t>EL</w:t>
      </w:r>
      <w:r>
        <w:rPr>
          <w:color w:val="231F20"/>
          <w:spacing w:val="2"/>
        </w:rPr>
        <w:t>,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Lopez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CM</w:t>
      </w:r>
      <w:r>
        <w:rPr>
          <w:color w:val="231F20"/>
          <w:spacing w:val="2"/>
        </w:rPr>
        <w:t>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Ozrazgat</w:t>
      </w:r>
      <w:r>
        <w:rPr>
          <w:color w:val="231F20"/>
          <w:spacing w:val="2"/>
        </w:rPr>
        <w:t>-</w:t>
      </w:r>
      <w:r>
        <w:rPr>
          <w:color w:val="231F20"/>
        </w:rPr>
        <w:t>Baslanti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2"/>
        </w:rPr>
        <w:t>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2"/>
        </w:rPr>
        <w:t>.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Persistent </w:t>
      </w:r>
      <w:r>
        <w:rPr>
          <w:color w:val="231F20"/>
          <w:spacing w:val="-3"/>
        </w:rPr>
        <w:t>inflammation,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3"/>
        </w:rPr>
        <w:t>immunosuppression,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catabolism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3"/>
        </w:rPr>
        <w:t>syndrome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after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severe blunt trauma[J].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J Trauma Acute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Care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4"/>
        </w:rPr>
        <w:t>Surg,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2014,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4"/>
        </w:rPr>
        <w:t>76(1):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21-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30. DOI:10.1097/ta.</w:t>
      </w:r>
      <w:r>
        <w:rPr>
          <w:color w:val="231F20"/>
          <w:spacing w:val="-4"/>
        </w:rPr>
        <w:t>0b013e3182ab1ab5.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9" w:right="735" w:hanging="439"/>
        <w:spacing w:line="321" w:lineRule="auto"/>
        <w:rPr/>
      </w:pPr>
      <w:r>
        <w:rPr>
          <w:color w:val="231F20"/>
          <w:spacing w:val="-2"/>
        </w:rPr>
        <w:t>[44]    Lamas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D.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Chronic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critical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illness[J]. 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Engl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J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M</w:t>
      </w:r>
      <w:r>
        <w:rPr>
          <w:color w:val="231F20"/>
          <w:spacing w:val="-3"/>
        </w:rPr>
        <w:t>ed,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2014,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370(2):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175-177. DOI:10.1056/nejmms1310</w:t>
      </w:r>
      <w:r>
        <w:rPr>
          <w:color w:val="231F20"/>
          <w:spacing w:val="-5"/>
        </w:rPr>
        <w:t>675.</w:t>
      </w:r>
    </w:p>
    <w:p>
      <w:pPr>
        <w:pStyle w:val="BodyText"/>
        <w:ind w:left="410" w:right="733" w:hanging="411"/>
        <w:spacing w:before="75" w:line="346" w:lineRule="auto"/>
        <w:rPr/>
      </w:pPr>
      <w:r>
        <w:rPr>
          <w:color w:val="231F20"/>
          <w:spacing w:val="2"/>
        </w:rPr>
        <w:t>[45]    </w:t>
      </w:r>
      <w:r>
        <w:rPr>
          <w:color w:val="231F20"/>
        </w:rPr>
        <w:t>Boonen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2"/>
        </w:rPr>
        <w:t>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Langouche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L</w:t>
      </w:r>
      <w:r>
        <w:rPr>
          <w:color w:val="231F20"/>
          <w:spacing w:val="2"/>
        </w:rPr>
        <w:t>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Janssens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2"/>
        </w:rPr>
        <w:t>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2"/>
        </w:rPr>
        <w:t>.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Impact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duration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critical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illness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adrenal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glands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human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intensive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care </w:t>
      </w:r>
      <w:r>
        <w:rPr>
          <w:color w:val="231F20"/>
        </w:rPr>
        <w:t>patients[J].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Clin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Endocrinol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Metab,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2014,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99(11):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4214-4222. </w:t>
      </w:r>
      <w:r>
        <w:rPr>
          <w:color w:val="231F20"/>
          <w:spacing w:val="-3"/>
        </w:rPr>
        <w:t>DOI:10.1210/jc.2014-2429.</w:t>
      </w:r>
    </w:p>
    <w:p>
      <w:pPr>
        <w:pStyle w:val="BodyText"/>
        <w:ind w:left="415" w:right="732" w:hanging="415"/>
        <w:spacing w:before="72" w:line="339" w:lineRule="auto"/>
        <w:rPr/>
      </w:pPr>
      <w:r>
        <w:rPr>
          <w:color w:val="231F20"/>
          <w:spacing w:val="1"/>
        </w:rPr>
        <w:t>[46]    </w:t>
      </w:r>
      <w:r>
        <w:rPr>
          <w:color w:val="231F20"/>
        </w:rPr>
        <w:t>Schulman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</w:rPr>
        <w:t>R</w:t>
      </w:r>
      <w:r>
        <w:rPr>
          <w:color w:val="231F20"/>
          <w:spacing w:val="1"/>
        </w:rPr>
        <w:t>,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Moshier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1"/>
        </w:rPr>
        <w:t>,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Rho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L</w:t>
      </w:r>
      <w:r>
        <w:rPr>
          <w:color w:val="231F20"/>
          <w:spacing w:val="1"/>
        </w:rPr>
        <w:t>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"/>
        </w:rPr>
        <w:t>. </w:t>
      </w:r>
      <w:r>
        <w:rPr>
          <w:color w:val="231F20"/>
        </w:rPr>
        <w:t>Association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glycemic </w:t>
      </w:r>
      <w:r>
        <w:rPr>
          <w:color w:val="231F20"/>
          <w:spacing w:val="-3"/>
        </w:rPr>
        <w:t>control parameters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with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3"/>
        </w:rPr>
        <w:t>clinical outcomesin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3"/>
        </w:rPr>
        <w:t>chronic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critical illness[J].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Endocr Pract, 2014, 20(9): 884-893. DOI:10.4158/ep13324.or.</w:t>
      </w:r>
    </w:p>
    <w:p>
      <w:pPr>
        <w:pStyle w:val="BodyText"/>
        <w:ind w:left="417" w:right="723" w:hanging="417"/>
        <w:spacing w:before="73" w:line="357" w:lineRule="auto"/>
        <w:rPr/>
      </w:pPr>
      <w:r>
        <w:rPr>
          <w:color w:val="231F20"/>
          <w:spacing w:val="8"/>
        </w:rPr>
        <w:t>[47]</w:t>
      </w:r>
      <w:r>
        <w:rPr>
          <w:color w:val="231F20"/>
          <w:spacing w:val="5"/>
        </w:rPr>
        <w:t xml:space="preserve">    </w:t>
      </w:r>
      <w:r>
        <w:rPr>
          <w:color w:val="231F20"/>
          <w:spacing w:val="8"/>
        </w:rPr>
        <w:t>Via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MA,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Potenza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MV,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Hollander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8"/>
        </w:rPr>
        <w:t>J,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8"/>
        </w:rPr>
        <w:t>et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al.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8"/>
        </w:rPr>
        <w:t>Intravenous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ibandronate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acutely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5"/>
        </w:rPr>
        <w:t>reduces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5"/>
        </w:rPr>
        <w:t>bone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5"/>
        </w:rPr>
        <w:t>hyperresorption in</w:t>
      </w:r>
      <w:r>
        <w:rPr>
          <w:color w:val="231F20"/>
          <w:spacing w:val="4"/>
        </w:rPr>
        <w:t xml:space="preserve"> chronic</w:t>
      </w:r>
      <w:r>
        <w:rPr>
          <w:color w:val="231F20"/>
        </w:rPr>
        <w:t xml:space="preserve"> </w:t>
      </w:r>
      <w:r>
        <w:rPr>
          <w:color w:val="231F20"/>
        </w:rPr>
        <w:t>critical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illness</w:t>
      </w:r>
      <w:r>
        <w:rPr>
          <w:color w:val="231F20"/>
          <w:spacing w:val="1"/>
        </w:rPr>
        <w:t>[J].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Intensive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Care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Med</w:t>
      </w:r>
      <w:r>
        <w:rPr>
          <w:color w:val="231F20"/>
          <w:spacing w:val="1"/>
        </w:rPr>
        <w:t>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1"/>
        </w:rPr>
        <w:t>2012,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"/>
        </w:rPr>
        <w:t>27(5):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1"/>
        </w:rPr>
        <w:t>312-318.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DOI:10.1177/0885066611402156.</w:t>
      </w:r>
    </w:p>
    <w:p>
      <w:pPr>
        <w:pStyle w:val="BodyText"/>
        <w:ind w:left="2679"/>
        <w:spacing w:before="41" w:line="22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5"/>
        </w:rPr>
        <w:t>（收稿日期 ：</w:t>
      </w:r>
      <w:r>
        <w:rPr>
          <w:color w:val="231F20"/>
          <w:spacing w:val="-5"/>
        </w:rPr>
        <w:t>2020-07-27</w:t>
      </w:r>
      <w:r>
        <w:rPr>
          <w:rFonts w:ascii="Microsoft YaHei" w:hAnsi="Microsoft YaHei" w:eastAsia="Microsoft YaHei" w:cs="Microsoft YaHei"/>
          <w:color w:val="231F20"/>
          <w:spacing w:val="-5"/>
        </w:rPr>
        <w:t>）</w:t>
      </w:r>
    </w:p>
    <w:p>
      <w:pPr>
        <w:ind w:left="2731"/>
        <w:spacing w:before="54" w:line="17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（本文编辑 ：郑辛甜）</w:t>
      </w:r>
    </w:p>
    <w:p>
      <w:pPr>
        <w:spacing w:line="170" w:lineRule="auto"/>
        <w:sectPr>
          <w:type w:val="continuous"/>
          <w:pgSz w:w="11906" w:h="16158"/>
          <w:pgMar w:top="400" w:right="400" w:bottom="0" w:left="400" w:header="0" w:footer="0" w:gutter="0"/>
          <w:cols w:equalWidth="0" w:num="2">
            <w:col w:w="5665" w:space="100"/>
            <w:col w:w="5342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line="249" w:lineRule="auto"/>
        <w:rPr>
          <w:rFonts w:ascii="Arial"/>
          <w:sz w:val="21"/>
        </w:rPr>
      </w:pPr>
      <w:r/>
    </w:p>
    <w:p>
      <w:pPr>
        <w:ind w:left="784"/>
        <w:spacing w:before="180" w:line="180" w:lineRule="auto"/>
        <w:rPr>
          <w:rFonts w:ascii="Microsoft YaHei" w:hAnsi="Microsoft YaHei" w:eastAsia="Microsoft YaHei" w:cs="Microsoft YaHei"/>
          <w:sz w:val="42"/>
          <w:szCs w:val="42"/>
        </w:rPr>
      </w:pPr>
      <w:r>
        <w:pict>
          <v:shape id="_x0000_s6" style="position:absolute;margin-left:463.183pt;margin-top:15.9182pt;mso-position-vertical-relative:text;mso-position-horizontal-relative:text;width:86.3pt;height:19.8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20" w:lineRule="auto"/>
                    <w:jc w:val="right"/>
                    <w:rPr>
                      <w:rFonts w:ascii="SimSun" w:hAnsi="SimSun" w:eastAsia="SimSun" w:cs="SimSun"/>
                      <w:sz w:val="30"/>
                      <w:szCs w:val="30"/>
                    </w:rPr>
                  </w:pPr>
                  <w:r>
                    <w:rPr>
                      <w:rFonts w:ascii="SimSun" w:hAnsi="SimSun" w:eastAsia="SimSun" w:cs="SimSun"/>
                      <w:sz w:val="30"/>
                      <w:szCs w:val="30"/>
                      <w:spacing w:val="-39"/>
                    </w:rPr>
                    <w:t>·专家共识</w:t>
                  </w:r>
                  <w:r>
                    <w:rPr>
                      <w:rFonts w:ascii="SimSun" w:hAnsi="SimSun" w:eastAsia="SimSun" w:cs="SimSun"/>
                      <w:sz w:val="30"/>
                      <w:szCs w:val="30"/>
                      <w:spacing w:val="-3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0"/>
                      <w:szCs w:val="30"/>
                      <w:spacing w:val="-39"/>
                    </w:rPr>
                    <w:t>·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42"/>
          <w:szCs w:val="42"/>
          <w:color w:val="231F20"/>
          <w:spacing w:val="-19"/>
          <w:w w:val="98"/>
        </w:rPr>
        <w:t>中国高血压急症诊治规范</w:t>
      </w:r>
    </w:p>
    <w:p>
      <w:pPr>
        <w:ind w:left="747" w:right="5428" w:firstLine="21"/>
        <w:spacing w:before="274" w:line="281" w:lineRule="auto"/>
        <w:jc w:val="both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中华急诊医学教育学院  北京市心肺脑复苏重点实验室</w:t>
      </w:r>
      <w:r>
        <w:rPr>
          <w:rFonts w:ascii="SimSun" w:hAnsi="SimSun" w:eastAsia="SimSun" w:cs="SimSun"/>
          <w:sz w:val="21"/>
          <w:szCs w:val="21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首都医科大学附属北京朝阳医院急诊医学临床研究中心</w:t>
      </w:r>
      <w:r>
        <w:rPr>
          <w:rFonts w:ascii="SimSun" w:hAnsi="SimSun" w:eastAsia="SimSun" w:cs="SimSun"/>
          <w:sz w:val="21"/>
          <w:szCs w:val="21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中国研究型医院学会急救医学专业委员会</w:t>
      </w:r>
    </w:p>
    <w:p>
      <w:pPr>
        <w:ind w:left="748" w:right="2896" w:hanging="6"/>
        <w:spacing w:before="1" w:line="27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通信作者：何新华，Email:</w:t>
      </w:r>
      <w:r>
        <w:rPr>
          <w:rFonts w:ascii="SimSun" w:hAnsi="SimSun" w:eastAsia="SimSun" w:cs="SimSun"/>
          <w:sz w:val="21"/>
          <w:szCs w:val="21"/>
          <w:color w:val="231F20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xhhe2000@yeah.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net；杨艳敏，Email:</w:t>
      </w:r>
      <w:r>
        <w:rPr>
          <w:rFonts w:ascii="SimSun" w:hAnsi="SimSun" w:eastAsia="SimSun" w:cs="SimSun"/>
          <w:sz w:val="21"/>
          <w:szCs w:val="21"/>
          <w:color w:val="231F20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yymfuwai@163.com；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郭树彬，Email:</w:t>
      </w:r>
      <w:r>
        <w:rPr>
          <w:rFonts w:ascii="SimSun" w:hAnsi="SimSun" w:eastAsia="SimSun" w:cs="SimSun"/>
          <w:sz w:val="21"/>
          <w:szCs w:val="21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shubinguo@126.com</w:t>
      </w:r>
    </w:p>
    <w:p>
      <w:pPr>
        <w:pStyle w:val="BodyText"/>
        <w:ind w:left="736"/>
        <w:spacing w:line="236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3"/>
        </w:rPr>
        <w:t>DOI: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10.3760/cma.j.issn.1671-0282.2020.09.003</w:t>
      </w:r>
    </w:p>
    <w:p>
      <w:pPr>
        <w:spacing w:line="219" w:lineRule="exact"/>
        <w:rPr/>
      </w:pPr>
      <w:r/>
    </w:p>
    <w:p>
      <w:pPr>
        <w:spacing w:line="219" w:lineRule="exact"/>
        <w:sectPr>
          <w:type w:val="continuous"/>
          <w:pgSz w:w="11906" w:h="16158"/>
          <w:pgMar w:top="400" w:right="400" w:bottom="0" w:left="400" w:header="0" w:footer="0" w:gutter="0"/>
          <w:cols w:equalWidth="0" w:num="1">
            <w:col w:w="11106" w:space="0"/>
          </w:cols>
        </w:sectPr>
        <w:rPr/>
      </w:pPr>
    </w:p>
    <w:p>
      <w:pPr>
        <w:pStyle w:val="BodyText"/>
        <w:ind w:left="742" w:right="225" w:firstLine="373"/>
        <w:spacing w:before="50" w:line="24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高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血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压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急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症（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3"/>
        </w:rPr>
        <w:t>hypertensive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3"/>
        </w:rPr>
        <w:t>emergencies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，</w:t>
      </w:r>
      <w:r>
        <w:rPr>
          <w:sz w:val="18"/>
          <w:szCs w:val="18"/>
          <w:color w:val="231F20"/>
          <w:spacing w:val="-4"/>
        </w:rPr>
        <w:t>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）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是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急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诊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医生经常面对的急危重症之一 </w:t>
      </w:r>
      <w:r>
        <w:rPr>
          <w:sz w:val="10"/>
          <w:szCs w:val="10"/>
          <w:color w:val="231F20"/>
          <w:spacing w:val="3"/>
          <w:position w:val="8"/>
        </w:rPr>
        <w:t>[1]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，由于病因复杂且病理生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理变化多端，导致临床救治困难重重。近些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年来，国内外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在高血压急症领域的大量研究报道不仅为诊断和治疗提供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了充分的循证医学证据，也为起草制定符合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我国临床实际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需要的相关规范提供了条件。因此，笔者邀请了国内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十多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位急危重症领域的专家，在参考 </w:t>
      </w:r>
      <w:r>
        <w:rPr>
          <w:sz w:val="18"/>
          <w:szCs w:val="18"/>
          <w:color w:val="231F20"/>
          <w:spacing w:val="1"/>
        </w:rPr>
        <w:t>2016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年以来国内外发表的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相关指南及共识和近年来发表的相关实验研究等的基础上，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起草了《中国高血压急症治疗规范》（以下简称《规范》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6"/>
          <w:w w:val="85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供临床医生尤其是急诊医生诊疗使用。为了使《规范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》更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好地为临床工作服务，笔者在编写过程中引入思维导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图（图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）方式，旨在模拟临床医师的临床诊疗思维习惯，使内容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能够针对临床诊疗中的问题展开，具有更强的实用性。</w:t>
      </w:r>
    </w:p>
    <w:p>
      <w:pPr>
        <w:ind w:left="763"/>
        <w:spacing w:before="116" w:line="241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4"/>
        </w:rPr>
        <w:t>1</w:t>
      </w:r>
      <w:r>
        <w:rPr>
          <w:rFonts w:ascii="SimHei" w:hAnsi="SimHei" w:eastAsia="SimHei" w:cs="SimHei"/>
          <w:sz w:val="24"/>
          <w:szCs w:val="24"/>
          <w:color w:val="231F20"/>
          <w:spacing w:val="5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231F20"/>
          <w:spacing w:val="-4"/>
        </w:rPr>
        <w:t>相关概念</w:t>
      </w:r>
    </w:p>
    <w:p>
      <w:pPr>
        <w:ind w:left="760"/>
        <w:spacing w:before="145" w:line="241" w:lineRule="auto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8"/>
        </w:rPr>
        <w:t>1.1</w:t>
      </w:r>
      <w:r>
        <w:rPr>
          <w:rFonts w:ascii="SimHei" w:hAnsi="SimHei" w:eastAsia="SimHei" w:cs="SimHei"/>
          <w:sz w:val="21"/>
          <w:szCs w:val="21"/>
          <w:color w:val="231F20"/>
          <w:spacing w:val="10"/>
        </w:rPr>
        <w:t xml:space="preserve">  </w:t>
      </w:r>
      <w:r>
        <w:rPr>
          <w:rFonts w:ascii="SimHei" w:hAnsi="SimHei" w:eastAsia="SimHei" w:cs="SimHei"/>
          <w:sz w:val="21"/>
          <w:szCs w:val="21"/>
          <w:color w:val="231F20"/>
          <w:spacing w:val="-8"/>
        </w:rPr>
        <w:t>高血压急症</w:t>
      </w:r>
    </w:p>
    <w:p>
      <w:pPr>
        <w:pStyle w:val="BodyText"/>
        <w:ind w:left="743" w:right="211" w:firstLine="371"/>
        <w:spacing w:before="55" w:line="251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高血压急症是一组以急性血压升高，伴有靶器官损伤、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或原有功能受损进行性加重为特征的临床综合征 </w:t>
      </w:r>
      <w:r>
        <w:rPr>
          <w:sz w:val="10"/>
          <w:szCs w:val="10"/>
          <w:color w:val="231F20"/>
          <w:spacing w:val="3"/>
          <w:position w:val="8"/>
        </w:rPr>
        <w:t>[1]</w:t>
      </w:r>
      <w:r>
        <w:rPr>
          <w:sz w:val="10"/>
          <w:szCs w:val="10"/>
          <w:color w:val="231F20"/>
          <w:spacing w:val="7"/>
          <w:w w:val="10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。与以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往定义相比，</w:t>
      </w:r>
      <w:r>
        <w:rPr>
          <w:sz w:val="18"/>
          <w:szCs w:val="18"/>
          <w:color w:val="231F20"/>
          <w:spacing w:val="3"/>
        </w:rPr>
        <w:t>2019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年欧洲心脏病学会高血压指南指出，用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675" w:firstLine="3"/>
        <w:spacing w:before="74" w:line="244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血压的突然、快速升高及所导致的调节机制失常来定义高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血压急症，比使用特定的血压阈值进行定义更加准确 ；但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需要注意，若收缩压（</w:t>
      </w:r>
      <w:r>
        <w:rPr>
          <w:sz w:val="18"/>
          <w:szCs w:val="18"/>
          <w:color w:val="231F20"/>
        </w:rPr>
        <w:t>SBP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）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≥</w:t>
      </w:r>
      <w:r>
        <w:rPr>
          <w:rFonts w:ascii="SimSun" w:hAnsi="SimSun" w:eastAsia="SimSun" w:cs="SimSun"/>
          <w:sz w:val="18"/>
          <w:szCs w:val="18"/>
          <w:color w:val="231F20"/>
          <w:spacing w:val="-25"/>
        </w:rPr>
        <w:t xml:space="preserve"> </w:t>
      </w:r>
      <w:r>
        <w:rPr>
          <w:sz w:val="18"/>
          <w:szCs w:val="18"/>
          <w:color w:val="231F20"/>
          <w:spacing w:val="1"/>
        </w:rPr>
        <w:t>220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mmHg</w:t>
      </w:r>
      <w:r>
        <w:rPr>
          <w:sz w:val="18"/>
          <w:szCs w:val="18"/>
          <w:color w:val="231F20"/>
          <w:spacing w:val="1"/>
        </w:rPr>
        <w:t>(1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mmHg</w:t>
      </w:r>
      <w:r>
        <w:rPr>
          <w:sz w:val="18"/>
          <w:szCs w:val="18"/>
          <w:color w:val="231F20"/>
          <w:spacing w:val="1"/>
        </w:rPr>
        <w:t>=0.133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1"/>
        </w:rPr>
        <w:t>kPa)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（或）舒张压（</w:t>
      </w:r>
      <w:r>
        <w:rPr>
          <w:sz w:val="18"/>
          <w:szCs w:val="18"/>
          <w:color w:val="231F20"/>
          <w:spacing w:val="-1"/>
        </w:rPr>
        <w:t>DBP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）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≥</w:t>
      </w:r>
      <w:r>
        <w:rPr>
          <w:rFonts w:ascii="SimSun" w:hAnsi="SimSun" w:eastAsia="SimSun" w:cs="SimSun"/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  <w:spacing w:val="-1"/>
        </w:rPr>
        <w:t>140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mmHg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，则无论有无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症状都应视为高血压急症 </w:t>
      </w:r>
      <w:r>
        <w:rPr>
          <w:sz w:val="10"/>
          <w:szCs w:val="10"/>
          <w:color w:val="231F20"/>
          <w:spacing w:val="2"/>
          <w:position w:val="8"/>
        </w:rPr>
        <w:t>[2]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；某些患者既往血压增高已造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>成相应靶器官损伤，未接受系统的降压 </w:t>
      </w:r>
      <w:r>
        <w:rPr>
          <w:sz w:val="18"/>
          <w:szCs w:val="18"/>
          <w:color w:val="231F20"/>
          <w:spacing w:val="10"/>
        </w:rPr>
        <w:t>/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器官保护治疗，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或降压治疗不充分，就诊时血压虽未显著升高，但检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查明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确提示已经并发急性肺水肿、主动脉夹层、心肌梗死或急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position w:val="-1"/>
        </w:rPr>
        <w:t>性脑卒中者，也应被视为高血压急症 </w:t>
      </w:r>
      <w:r>
        <w:rPr>
          <w:sz w:val="10"/>
          <w:szCs w:val="10"/>
          <w:color w:val="231F20"/>
          <w:position w:val="7"/>
        </w:rPr>
        <w:t>[1-3]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position w:val="-1"/>
        </w:rPr>
        <w:t>。</w:t>
      </w:r>
    </w:p>
    <w:p>
      <w:pPr>
        <w:ind w:left="19"/>
        <w:spacing w:before="8" w:line="242" w:lineRule="auto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7"/>
        </w:rPr>
        <w:t>1.2</w:t>
      </w:r>
      <w:r>
        <w:rPr>
          <w:rFonts w:ascii="SimHei" w:hAnsi="SimHei" w:eastAsia="SimHei" w:cs="SimHei"/>
          <w:sz w:val="21"/>
          <w:szCs w:val="21"/>
          <w:color w:val="231F20"/>
          <w:spacing w:val="10"/>
        </w:rPr>
        <w:t xml:space="preserve">  </w:t>
      </w:r>
      <w:r>
        <w:rPr>
          <w:rFonts w:ascii="SimHei" w:hAnsi="SimHei" w:eastAsia="SimHei" w:cs="SimHei"/>
          <w:sz w:val="21"/>
          <w:szCs w:val="21"/>
          <w:color w:val="231F20"/>
          <w:spacing w:val="-7"/>
        </w:rPr>
        <w:t>高血压性脑病</w:t>
      </w:r>
    </w:p>
    <w:p>
      <w:pPr>
        <w:pStyle w:val="BodyText"/>
        <w:ind w:right="660" w:firstLine="374"/>
        <w:spacing w:before="24" w:line="24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高血压性脑病（</w:t>
      </w:r>
      <w:r>
        <w:rPr>
          <w:sz w:val="18"/>
          <w:szCs w:val="18"/>
          <w:color w:val="231F20"/>
        </w:rPr>
        <w:t>hypertensive encephal</w:t>
      </w:r>
      <w:r>
        <w:rPr>
          <w:sz w:val="18"/>
          <w:szCs w:val="18"/>
          <w:color w:val="231F20"/>
          <w:spacing w:val="-1"/>
        </w:rPr>
        <w:t>opathy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）是指血压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快速和显著升高，并伴有以下一种或多种症状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：癫痫发作、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嗜睡、昏迷和皮质盲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皮质盲（</w:t>
      </w:r>
      <w:r>
        <w:rPr>
          <w:sz w:val="18"/>
          <w:szCs w:val="18"/>
          <w:color w:val="231F20"/>
        </w:rPr>
        <w:t>cortical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blindness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）是大脑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枕叶皮质受血管痉挛缺血或毒素影响而引起的一种中枢性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视功能障碍，尤以血管痉挛性损害最为常见 ；临床表现为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双眼视觉完全丧失，瞳孔光反射正常，眼底正常，可有偏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瘫等 </w:t>
      </w:r>
      <w:r>
        <w:rPr>
          <w:sz w:val="18"/>
          <w:szCs w:val="18"/>
          <w:color w:val="231F20"/>
          <w:spacing w:val="-1"/>
        </w:rPr>
        <w:t>]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等。需要强调的是，有超过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1/3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高血压脑病患者缺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乏晚期高血压视网膜病变的改变 </w:t>
      </w:r>
      <w:r>
        <w:rPr>
          <w:sz w:val="10"/>
          <w:szCs w:val="10"/>
          <w:color w:val="231F20"/>
          <w:spacing w:val="3"/>
          <w:position w:val="8"/>
        </w:rPr>
        <w:t>[4]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，但上述典型症状出现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前会表现出一些细微的神经系统症状，因此需要格外注意</w:t>
      </w:r>
    </w:p>
    <w:p>
      <w:pPr>
        <w:spacing w:line="248" w:lineRule="auto"/>
        <w:sectPr>
          <w:type w:val="continuous"/>
          <w:pgSz w:w="11906" w:h="16158"/>
          <w:pgMar w:top="400" w:right="400" w:bottom="0" w:left="400" w:header="0" w:footer="0" w:gutter="0"/>
          <w:cols w:equalWidth="0" w:num="2">
            <w:col w:w="5653" w:space="100"/>
            <w:col w:w="5353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spacing w:before="69" w:line="186" w:lineRule="auto"/>
        <w:jc w:val="right"/>
        <w:rPr>
          <w:sz w:val="24"/>
          <w:szCs w:val="24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70229</wp:posOffset>
            </wp:positionV>
            <wp:extent cx="1219200" cy="14325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9200" cy="143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b/>
          <w:bCs/>
          <w14:textFill>
            <w14:noFill/>
          </w14:textFill>
          <w14:textOutline w14:w="12700" w14:cap="flat" w14:cmpd="sng">
            <w14:solidFill>
              <w14:srgbClr w14:val="BF4000">
                <w14:alpha w14:val="89803"/>
              </w14:srgbClr>
            </w14:solidFill>
            <w14:prstDash w14:val="solid"/>
            <w14:miter w14:lim="10"/>
          </w14:textOutline>
          <w:spacing w:val="-10"/>
        </w:rPr>
        <w:t>Q2xvdWRWZXJzaW9uLQo?</w:t>
      </w:r>
    </w:p>
    <w:p>
      <w:pPr>
        <w:spacing w:line="186" w:lineRule="auto"/>
        <w:sectPr>
          <w:type w:val="continuous"/>
          <w:pgSz w:w="11906" w:h="16158"/>
          <w:pgMar w:top="400" w:right="400" w:bottom="0" w:left="400" w:header="0" w:footer="0" w:gutter="0"/>
          <w:cols w:equalWidth="0" w:num="1">
            <w:col w:w="11106" w:space="0"/>
          </w:cols>
        </w:sectPr>
        <w:rPr>
          <w:sz w:val="24"/>
          <w:szCs w:val="24"/>
        </w:rPr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>
        <w:pict>
          <v:rect id="_x0000_s10" style="position:absolute;margin-left:43.6586pt;margin-top:2.07709pt;mso-position-vertical-relative:text;mso-position-horizontal-relative:text;width:467.75pt;height:350.8pt;z-index:251660288;" fillcolor="#F2F2F2" filled="true" stroked="false"/>
        </w:pict>
      </w: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2869446</wp:posOffset>
            </wp:positionH>
            <wp:positionV relativeFrom="paragraph">
              <wp:posOffset>45670</wp:posOffset>
            </wp:positionV>
            <wp:extent cx="1428633" cy="814652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8633" cy="814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7632" behindDoc="0" locked="0" layoutInCell="1" allowOverlap="1">
            <wp:simplePos x="0" y="0"/>
            <wp:positionH relativeFrom="column">
              <wp:posOffset>1879735</wp:posOffset>
            </wp:positionH>
            <wp:positionV relativeFrom="paragraph">
              <wp:posOffset>66578</wp:posOffset>
            </wp:positionV>
            <wp:extent cx="846405" cy="1054181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6405" cy="1054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3" w:lineRule="auto"/>
        <w:rPr>
          <w:rFonts w:ascii="Arial"/>
          <w:sz w:val="21"/>
        </w:rPr>
      </w:pPr>
      <w:r>
        <w:pict>
          <v:rect id="_x0000_s12" style="position:absolute;margin-left:225.688pt;margin-top:7.89368pt;mso-position-vertical-relative:text;mso-position-horizontal-relative:text;width:3.95pt;height:2.3pt;z-index:251766784;" fillcolor="#4A148C" filled="true" stroked="false"/>
        </w:pict>
      </w:r>
      <w:r>
        <w:drawing>
          <wp:anchor distT="0" distB="0" distL="0" distR="0" simplePos="0" relativeHeight="251772928" behindDoc="0" locked="0" layoutInCell="1" allowOverlap="1">
            <wp:simplePos x="0" y="0"/>
            <wp:positionH relativeFrom="column">
              <wp:posOffset>2716362</wp:posOffset>
            </wp:positionH>
            <wp:positionV relativeFrom="paragraph">
              <wp:posOffset>127899</wp:posOffset>
            </wp:positionV>
            <wp:extent cx="13300" cy="12703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00" cy="127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" style="position:absolute;margin-left:160.424pt;margin-top:11.3956pt;mso-position-vertical-relative:text;mso-position-horizontal-relative:text;width:50.65pt;height:5.85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76" w:lineRule="exact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15831C"/>
                      <w:spacing w:val="3"/>
                      <w:position w:val="-1"/>
                    </w:rPr>
                    <w:t>艾司洛尔</w:t>
                  </w: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15831C"/>
                      <w:spacing w:val="3"/>
                      <w:position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53AF80"/>
                      <w:spacing w:val="3"/>
                      <w:position w:val="4"/>
                    </w:rPr>
                    <w:t>-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53AF80"/>
                      <w:spacing w:val="3"/>
                      <w:position w:val="4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15831C"/>
                      <w:spacing w:val="3"/>
                      <w:position w:val="-1"/>
                    </w:rPr>
                    <w:t>美托洛尔</w:t>
                  </w: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15831C"/>
                      <w:spacing w:val="3"/>
                      <w:position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53AF80"/>
                      <w:spacing w:val="3"/>
                      <w:position w:val="4"/>
                    </w:rPr>
                    <w:t>-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53AF80"/>
                      <w:spacing w:val="9"/>
                      <w:w w:val="103"/>
                      <w:position w:val="4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15831C"/>
                      <w:spacing w:val="3"/>
                      <w:position w:val="-1"/>
                    </w:rPr>
                    <w:t>拉贝洛尔</w:t>
                  </w: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15831C"/>
                      <w:spacing w:val="3"/>
                      <w:position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53AF80"/>
                      <w:spacing w:val="3"/>
                      <w:position w:val="4"/>
                    </w:rPr>
                    <w:t>-</w:t>
                  </w:r>
                </w:p>
              </w:txbxContent>
            </v:textbox>
          </v:shape>
        </w:pict>
      </w:r>
      <w:r>
        <w:pict>
          <v:shape id="_x0000_s16" style="position:absolute;margin-left:211.521pt;margin-top:11.3956pt;mso-position-vertical-relative:text;mso-position-horizontal-relative:text;width:33.75pt;height:5.85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76" w:lineRule="exact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FF3C00"/>
                      <w:spacing w:val="3"/>
                      <w:position w:val="-1"/>
                    </w:rPr>
                    <w:t>尼卡地平</w:t>
                  </w: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FF3C00"/>
                      <w:spacing w:val="3"/>
                      <w:position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FF3C00"/>
                      <w:spacing w:val="3"/>
                      <w:position w:val="4"/>
                    </w:rPr>
                    <w:t>-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FF3C00"/>
                      <w:spacing w:val="3"/>
                      <w:position w:val="4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FF3C00"/>
                      <w:spacing w:val="3"/>
                      <w:position w:val="-1"/>
                    </w:rPr>
                    <w:t>地尔硫卓</w:t>
                  </w: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FF3C00"/>
                      <w:spacing w:val="3"/>
                      <w:position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FF3C00"/>
                      <w:spacing w:val="3"/>
                      <w:position w:val="4"/>
                    </w:rPr>
                    <w:t>-</w:t>
                  </w:r>
                </w:p>
              </w:txbxContent>
            </v:textbox>
          </v:shape>
        </w:pict>
      </w:r>
      <w:r>
        <w:pict>
          <v:shape id="_x0000_s18" style="position:absolute;margin-left:245.746pt;margin-top:12.0897pt;mso-position-vertical-relative:text;mso-position-horizontal-relative:text;width:32.05pt;height:5.15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2" w:lineRule="exact"/>
                    <w:rPr>
                      <w:rFonts w:ascii="Microsoft YaHei" w:hAnsi="Microsoft YaHei" w:eastAsia="Microsoft YaHei" w:cs="Microsoft YaHei"/>
                      <w:sz w:val="6"/>
                      <w:szCs w:val="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1F5279"/>
                      <w:spacing w:val="6"/>
                    </w:rPr>
                    <w:t>乌拉地尔</w:t>
                  </w: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1F5279"/>
                    </w:rPr>
                    <w:t xml:space="preserve">    </w:t>
                  </w: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1F5279"/>
                      <w:spacing w:val="6"/>
                    </w:rPr>
                    <w:t>酚妥拉明</w:t>
                  </w:r>
                </w:p>
              </w:txbxContent>
            </v:textbox>
          </v:shape>
        </w:pict>
      </w:r>
      <w:r>
        <w:pict>
          <v:shape id="_x0000_s20" style="position:absolute;margin-left:158.754pt;margin-top:10.0352pt;mso-position-vertical-relative:text;mso-position-horizontal-relative:text;width:152.6pt;height:20.1pt;z-index:251701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04" w:type="dxa"/>
                    <w:tblInd w:w="22" w:type="dxa"/>
                    <w:tblLayout w:type="fixed"/>
                    <w:tblBorders>
                      <w:left w:val="single" w:color="0095A4" w:sz="2" w:space="0"/>
                      <w:bottom w:val="single" w:color="0095A4" w:sz="4" w:space="0"/>
                      <w:right w:val="single" w:color="0095A4" w:sz="4" w:space="0"/>
                      <w:top w:val="single" w:color="0095A4" w:sz="2" w:space="0"/>
                    </w:tblBorders>
                  </w:tblPr>
                  <w:tblGrid>
                    <w:gridCol w:w="3004"/>
                  </w:tblGrid>
                  <w:tr>
                    <w:trPr>
                      <w:trHeight w:val="346" w:hRule="atLeast"/>
                    </w:trPr>
                    <w:tc>
                      <w:tcPr>
                        <w:shd w:val="clear" w:fill="84ECE1"/>
                        <w:tcW w:w="3004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4304035</wp:posOffset>
            </wp:positionH>
            <wp:positionV relativeFrom="paragraph">
              <wp:posOffset>105764</wp:posOffset>
            </wp:positionV>
            <wp:extent cx="1102939" cy="599459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2939" cy="599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22" style="position:absolute;margin-left:160.64pt;margin-top:11.9163pt;mso-position-vertical-relative:text;mso-position-horizontal-relative:text;width:117.95pt;height:6.75pt;z-index:251706368;" filled="false" stroked="false" coordsize="2358,135" coordorigin="0,0">
            <v:shape id="_x0000_s24" style="position:absolute;left:0;top:0;width:990;height:135;" filled="false" strokecolor="#53AF80" strokeweight="0.24pt" coordsize="990,135" coordorigin="0,0" path="m299,0l299,119l0,119m311,11l311,131l12,131m637,0l637,119l338,119l338,0m649,11l649,131l350,131m975,0l975,119l676,119l676,0m988,11l988,131l688,131e">
              <v:stroke joinstyle="miter" miterlimit="4"/>
            </v:shape>
            <v:shape id="_x0000_s26" style="position:absolute;left:1019;top:0;width:655;height:135;" filled="false" strokecolor="#FF3C00" strokeweight="0.24pt" coordsize="655,135" coordorigin="0,0" path="m301,0l301,119l2,119l2,0m313,11l313,131l14,131m640,0l640,119l340,119l340,0m652,11l652,131l352,131e">
              <v:stroke joinstyle="miter" miterlimit="4"/>
            </v:shape>
            <v:shape id="_x0000_s28" style="position:absolute;left:1703;top:0;width:655;height:135;" filled="false" strokecolor="#00579B" strokeweight="0.24pt" coordsize="655,135" coordorigin="0,0" path="m301,0l301,119l2,119l2,0m313,11l313,131l14,131m640,0l640,119l340,119l340,0m652,11l652,131l352,131e">
              <v:stroke joinstyle="miter" miterlimit="4"/>
            </v:shape>
          </v:group>
        </w:pict>
      </w:r>
      <w:r/>
    </w:p>
    <w:p>
      <w:pPr>
        <w:spacing w:line="244" w:lineRule="auto"/>
        <w:rPr>
          <w:rFonts w:ascii="Arial"/>
          <w:sz w:val="21"/>
        </w:rPr>
      </w:pPr>
      <w:r>
        <w:pict>
          <v:rect id="_x0000_s30" style="position:absolute;margin-left:218.38pt;margin-top:9.39887pt;mso-position-vertical-relative:text;mso-position-horizontal-relative:text;width:18.5pt;height:6.15pt;z-index:251702272;" fillcolor="#FF5252" filled="true" stroked="false"/>
        </w:pict>
      </w:r>
      <w:r>
        <w:pict>
          <v:rect id="_x0000_s32" style="position:absolute;margin-left:174.025pt;margin-top:9.39887pt;mso-position-vertical-relative:text;mso-position-horizontal-relative:text;width:21.95pt;height:6.15pt;z-index:251714560;" fillcolor="#2CD551" filled="true" stroked="false"/>
        </w:pict>
      </w:r>
      <w:r>
        <w:pict>
          <v:shape id="_x0000_s34" style="position:absolute;margin-left:212.356pt;margin-top:5.8045pt;mso-position-vertical-relative:text;mso-position-horizontal-relative:text;width:0.25pt;height:0.6pt;z-index:251713536;" filled="false" strokecolor="#FF3C00" strokeweight="0.24pt" coordsize="5,12" coordorigin="0,0" path="m2,11l2,0e">
            <v:stroke joinstyle="miter" miterlimit="4"/>
          </v:shape>
        </w:pict>
      </w:r>
      <w:r>
        <w:pict>
          <v:shape id="_x0000_s36" style="position:absolute;margin-left:261.031pt;margin-top:0.290588pt;mso-position-vertical-relative:text;mso-position-horizontal-relative:text;width:17.55pt;height:0.25pt;z-index:251770880;" filled="false" strokecolor="#00579B" strokeweight="0.24pt" coordsize="350,5" coordorigin="0,0" path="m0,2l12,2m338,2l350,2e">
            <v:stroke joinstyle="miter" miterlimit="4"/>
          </v:shape>
        </w:pict>
      </w:r>
      <w:r>
        <w:pict>
          <v:shape id="_x0000_s38" style="position:absolute;margin-left:229.27pt;margin-top:5.8045pt;mso-position-vertical-relative:text;mso-position-horizontal-relative:text;width:0.25pt;height:0.6pt;z-index:251708416;" filled="false" strokecolor="#FF3C00" strokeweight="0.24pt" coordsize="5,12" coordorigin="0,0" path="m2,11l2,0e">
            <v:stroke joinstyle="miter" miterlimit="4"/>
          </v:shape>
        </w:pict>
      </w:r>
      <w:r>
        <w:pict>
          <v:group id="_x0000_s40" style="position:absolute;margin-left:219.355pt;margin-top:6.04224pt;mso-position-vertical-relative:text;mso-position-horizontal-relative:text;width:17.2pt;height:3.5pt;z-index:251699200;" filled="false" stroked="false" coordsize="344,70" coordorigin="0,0">
            <v:shape id="_x0000_s42" style="position:absolute;left:0;top:0;width:344;height:70;" filled="false" strokecolor="#53AF80" strokeweight="0.24pt" coordsize="344,70" coordorigin="0,0" path="m171,67l171,35l21,35c8,35,2,29,2,16l2,2m171,67l171,35l321,35c334,35,340,29,340,16l340,2e">
              <v:stroke endcap="round" joinstyle="miter" miterlimit="4"/>
            </v:shape>
            <v:shape id="_x0000_s44" style="position:absolute;left:171;top:35;width:1;height:1;" filled="false" strokecolor="#53AF80" strokeweight="0.00pt" coordsize="1,1" coordorigin="0,0" path="m,c0,0,0,0,0,0c0,0,0,0,0,0c0,0,0,0,0,0c0,0,0,0,0,0e">
              <v:stroke joinstyle="miter" miterlimit="4"/>
            </v:shape>
          </v:group>
        </w:pict>
      </w:r>
      <w:r>
        <w:pict>
          <v:group id="_x0000_s46" style="position:absolute;margin-left:161.126pt;margin-top:5.68372pt;mso-position-vertical-relative:text;mso-position-horizontal-relative:text;width:41.2pt;height:3.85pt;z-index:251695104;" filled="false" stroked="false" coordsize="824,76" coordorigin="0,0">
            <v:shape id="_x0000_s48" style="position:absolute;left:142;top:7;width:681;height:70;" filled="false" strokecolor="#53AF80" strokeweight="0.24pt" coordsize="681,70" coordorigin="0,0" path="m340,67l340,35l21,35c8,35,2,29,2,16l2,2m340,67l340,35l340,16l340,2m340,67l340,35l659,35c672,35,679,29,679,16l679,2e">
              <v:stroke endcap="round" joinstyle="miter" miterlimit="4"/>
            </v:shape>
            <v:shape id="_x0000_s50" style="position:absolute;left:483;top:43;width:1;height:1;" filled="false" strokecolor="#53AF80" strokeweight="0.00pt" coordsize="1,1" coordorigin="0,0" path="m,c0,0,0,0,0,0c0,0,0,0,0,0c0,0,0,0,0,0c0,0,0,0,0,0e">
              <v:stroke joinstyle="miter" miterlimit="4"/>
            </v:shape>
            <v:shape id="_x0000_s52" style="position:absolute;left:0;top:0;width:681;height:12;" filled="false" strokecolor="#53AF80" strokeweight="0.24pt" coordsize="681,12" coordorigin="0,0" path="m2,11l2,0m340,11l340,0m679,11l679,0e">
              <v:stroke joinstyle="miter" miterlimit="4"/>
            </v:shape>
          </v:group>
        </w:pict>
      </w: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5307365</wp:posOffset>
            </wp:positionH>
            <wp:positionV relativeFrom="paragraph">
              <wp:posOffset>92559</wp:posOffset>
            </wp:positionV>
            <wp:extent cx="474478" cy="467293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478" cy="467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4" style="position:absolute;margin-left:279.015pt;margin-top:8.3988pt;mso-position-vertical-relative:text;mso-position-horizontal-relative:text;width:31.7pt;height:8.85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588" w:type="dxa"/>
                    <w:tblInd w:w="22" w:type="dxa"/>
                    <w:tblLayout w:type="fixed"/>
                    <w:tblBorders>
                      <w:top w:val="single" w:color="53AF80" w:sz="2" w:space="0"/>
                      <w:left w:val="single" w:color="53AF80" w:sz="2" w:space="0"/>
                      <w:bottom w:val="single" w:color="53AF80" w:sz="2" w:space="0"/>
                      <w:right w:val="single" w:color="53AF80" w:sz="2" w:space="0"/>
                      <w:insideH w:val="single" w:color="53AF80" w:sz="2" w:space="0"/>
                      <w:insideV w:val="single" w:color="53AF80" w:sz="2" w:space="0"/>
                    </w:tblBorders>
                  </w:tblPr>
                  <w:tblGrid>
                    <w:gridCol w:w="299"/>
                    <w:gridCol w:w="46"/>
                    <w:gridCol w:w="243"/>
                  </w:tblGrid>
                  <w:tr>
                    <w:trPr>
                      <w:trHeight w:val="126" w:hRule="atLeast"/>
                    </w:trPr>
                    <w:tc>
                      <w:tcPr>
                        <w:shd w:val="clear" w:fill="9C27B0"/>
                        <w:tcW w:w="299" w:type="dxa"/>
                        <w:vAlign w:val="top"/>
                      </w:tcPr>
                      <w:p>
                        <w:pPr>
                          <w:spacing w:line="115" w:lineRule="exact"/>
                          <w:rPr>
                            <w:rFonts w:ascii="Arial"/>
                            <w:sz w:val="10"/>
                          </w:rPr>
                        </w:pPr>
                        <w:r/>
                      </w:p>
                    </w:tc>
                    <w:tc>
                      <w:tcPr>
                        <w:tcW w:w="46" w:type="dxa"/>
                        <w:vAlign w:val="top"/>
                        <w:tcBorders>
                          <w:bottom w:val="nil"/>
                          <w:top w:val="nil"/>
                        </w:tcBorders>
                      </w:tcPr>
                      <w:p>
                        <w:pPr>
                          <w:spacing w:line="115" w:lineRule="exact"/>
                          <w:rPr>
                            <w:rFonts w:ascii="Arial"/>
                            <w:sz w:val="10"/>
                          </w:rPr>
                        </w:pPr>
                        <w:r/>
                      </w:p>
                    </w:tc>
                    <w:tc>
                      <w:tcPr>
                        <w:shd w:val="clear" w:fill="FF9F00"/>
                        <w:tcW w:w="243" w:type="dxa"/>
                        <w:vAlign w:val="top"/>
                      </w:tcPr>
                      <w:p>
                        <w:pPr>
                          <w:spacing w:line="115" w:lineRule="exact"/>
                          <w:rPr>
                            <w:rFonts w:ascii="Arial"/>
                            <w:sz w:val="10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56" style="position:absolute;margin-left:218.242pt;margin-top:8.99805pt;mso-position-vertical-relative:text;mso-position-horizontal-relative:text;width:20.25pt;height:5.85pt;z-index:25175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76" w:lineRule="exact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F8F7F7"/>
                      <w:spacing w:val="4"/>
                      <w:position w:val="-1"/>
                    </w:rPr>
                    <w:t>钙通道拮抗</w:t>
                  </w: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F8F7F7"/>
                      <w:spacing w:val="4"/>
                      <w:position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6"/>
                      <w:szCs w:val="6"/>
                      <w:color w:val="53AF80"/>
                      <w:spacing w:val="4"/>
                      <w:position w:val="5"/>
                    </w:rPr>
                    <w:t>-</w:t>
                  </w:r>
                </w:p>
              </w:txbxContent>
            </v:textbox>
          </v:shape>
        </w:pict>
      </w:r>
      <w:r>
        <w:pict>
          <v:shape id="_x0000_s58" style="position:absolute;margin-left:272.713pt;margin-top:10.1179pt;mso-position-vertical-relative:text;mso-position-horizontal-relative:text;width:0.65pt;height:0.25pt;z-index:251780096;" filled="false" strokecolor="#53AF80" strokeweight="0.24pt" coordsize="12,5" coordorigin="0,0" path="m0,2l12,2e">
            <v:stroke joinstyle="miter" miterlimit="4"/>
          </v:shape>
        </w:pict>
      </w:r>
      <w:r>
        <w:pict>
          <v:shape id="_x0000_s60" style="position:absolute;margin-left:174.007pt;margin-top:9.71118pt;mso-position-vertical-relative:text;mso-position-horizontal-relative:text;width:21.95pt;height:6.1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0" w:lineRule="auto"/>
                    <w:rPr>
                      <w:rFonts w:ascii="Microsoft YaHei" w:hAnsi="Microsoft YaHei" w:eastAsia="Microsoft YaHei" w:cs="Microsoft YaHei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6"/>
                      <w:szCs w:val="6"/>
                      <w:color w:val="1F5279"/>
                      <w:spacing w:val="5"/>
                    </w:rPr>
                    <w:t>B-</w:t>
                  </w: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1F5279"/>
                      <w:spacing w:val="5"/>
                    </w:rPr>
                    <w:t>受体阻滞剂</w:t>
                  </w:r>
                </w:p>
              </w:txbxContent>
            </v:textbox>
          </v:shape>
        </w:pict>
      </w:r>
      <w:r>
        <w:pict>
          <v:shape id="_x0000_s62" style="position:absolute;margin-left:254.018pt;margin-top:9.71118pt;mso-position-vertical-relative:text;mso-position-horizontal-relative:text;width:18.55pt;height:5.15pt;z-index:25175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2" w:lineRule="exact"/>
                    <w:rPr>
                      <w:rFonts w:ascii="Microsoft YaHei" w:hAnsi="Microsoft YaHei" w:eastAsia="Microsoft YaHei" w:cs="Microsoft YaHei"/>
                      <w:sz w:val="6"/>
                      <w:szCs w:val="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F8F7F7"/>
                      <w:spacing w:val="6"/>
                    </w:rPr>
                    <w:t>受体阻滞剂</w:t>
                  </w:r>
                </w:p>
              </w:txbxContent>
            </v:textbox>
          </v:shape>
        </w:pict>
      </w:r>
      <w:r>
        <w:pict>
          <v:shape id="_x0000_s64" style="position:absolute;margin-left:218.501pt;margin-top:9.51959pt;mso-position-vertical-relative:text;mso-position-horizontal-relative:text;width:19.25pt;height:6.85pt;z-index:251703296;" filled="false" strokecolor="#53AF80" strokeweight="0.24pt" coordsize="385,136" coordorigin="0,0" path="m2,2l369,2l369,122l2,122l2,2m382,14l382,134l14,134e">
            <v:stroke joinstyle="miter" miterlimit="4"/>
          </v:shape>
        </w:pict>
      </w: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3188376</wp:posOffset>
            </wp:positionH>
            <wp:positionV relativeFrom="paragraph">
              <wp:posOffset>119364</wp:posOffset>
            </wp:positionV>
            <wp:extent cx="282813" cy="11059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813" cy="11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6" style="position:absolute;margin-left:174.146pt;margin-top:9.51959pt;mso-position-vertical-relative:text;mso-position-horizontal-relative:text;width:22.65pt;height:6.85pt;z-index:251715584;" filled="false" strokecolor="#53AF80" strokeweight="0.24pt" coordsize="452,136" coordorigin="0,0" path="m2,2l438,2l438,122l2,122l2,2xm438,14l450,14l450,134l14,134l14,122e">
            <v:stroke joinstyle="miter" miterlimit="4"/>
          </v:shape>
        </w:pict>
      </w:r>
      <w:r>
        <w:pict>
          <v:shape id="_x0000_s68" style="position:absolute;margin-left:297.162pt;margin-top:9.70789pt;mso-position-vertical-relative:text;mso-position-horizontal-relative:text;width:11.85pt;height:5.15pt;z-index:251764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2" w:lineRule="exact"/>
                    <w:rPr>
                      <w:rFonts w:ascii="Microsoft YaHei" w:hAnsi="Microsoft YaHei" w:eastAsia="Microsoft YaHei" w:cs="Microsoft YaHei"/>
                      <w:sz w:val="6"/>
                      <w:szCs w:val="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00579B"/>
                      <w:spacing w:val="5"/>
                    </w:rPr>
                    <w:t>硝普钠</w:t>
                  </w:r>
                </w:p>
              </w:txbxContent>
            </v:textbox>
          </v:shape>
        </w:pict>
      </w:r>
      <w:r>
        <w:pict>
          <v:shape id="_x0000_s70" style="position:absolute;margin-left:279.882pt;margin-top:9.72461pt;mso-position-vertical-relative:text;mso-position-horizontal-relative:text;width:15.35pt;height:5.15pt;z-index:25176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2" w:lineRule="exact"/>
                    <w:rPr>
                      <w:rFonts w:ascii="Microsoft YaHei" w:hAnsi="Microsoft YaHei" w:eastAsia="Microsoft YaHei" w:cs="Microsoft YaHei"/>
                      <w:sz w:val="6"/>
                      <w:szCs w:val="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F8F7F7"/>
                      <w:spacing w:val="6"/>
                    </w:rPr>
                    <w:t>硝酸酯类</w:t>
                  </w:r>
                </w:p>
              </w:txbxContent>
            </v:textbox>
          </v:shape>
        </w:pict>
      </w:r>
      <w:r>
        <w:pict>
          <v:group id="_x0000_s72" style="position:absolute;margin-left:246.429pt;margin-top:5.68372pt;mso-position-vertical-relative:text;mso-position-horizontal-relative:text;width:24.3pt;height:3.85pt;z-index:251700224;" filled="false" stroked="false" coordsize="485,76" coordorigin="0,0">
            <v:shape id="_x0000_s74" style="position:absolute;left:142;top:7;width:344;height:70;" filled="false" strokecolor="#53AF80" strokeweight="0.24pt" coordsize="344,70" coordorigin="0,0" path="m171,67l171,35l21,35c8,35,2,29,2,16l2,2m171,67l171,35l321,35c334,35,340,29,340,16l340,2e">
              <v:stroke endcap="round" joinstyle="miter" miterlimit="4"/>
            </v:shape>
            <v:shape id="_x0000_s76" style="position:absolute;left:313;top:43;width:1;height:1;" filled="false" strokecolor="#53AF80" strokeweight="0.00pt" coordsize="1,1" coordorigin="0,0" path="m,c0,0,0,0,0,0c0,0,0,0,0,0c0,0,0,0,0,0c0,0,0,0,0,0e">
              <v:stroke joinstyle="miter" miterlimit="4"/>
            </v:shape>
            <v:shape id="_x0000_s78" style="position:absolute;left:0;top:0;width:344;height:12;" filled="false" strokecolor="#00579B" strokeweight="0.24pt" coordsize="344,12" coordorigin="0,0" path="m2,11l2,0m340,11l340,0e">
              <v:stroke joinstyle="miter" miterlimit="4"/>
            </v:shape>
          </v:group>
        </w:pict>
      </w:r>
      <w:r/>
    </w:p>
    <w:p>
      <w:pPr>
        <w:spacing w:line="244" w:lineRule="auto"/>
        <w:rPr>
          <w:rFonts w:ascii="Arial"/>
          <w:sz w:val="21"/>
        </w:rPr>
      </w:pPr>
      <w:r>
        <w:pict>
          <v:shape id="_x0000_s80" style="position:absolute;margin-left:56.055pt;margin-top:4.5918pt;mso-position-vertical-relative:text;mso-position-horizontal-relative:text;width:393.25pt;height:306.45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firstLine="2582"/>
                    <w:spacing w:before="20" w:line="84" w:lineRule="exact"/>
                    <w:rPr/>
                  </w:pPr>
                  <w:r>
                    <w:rPr>
                      <w:position w:val="-1"/>
                    </w:rPr>
                    <w:drawing>
                      <wp:inline distT="0" distB="0" distL="0" distR="0">
                        <wp:extent cx="753398" cy="53778"/>
                        <wp:effectExtent l="0" t="0" r="0" b="0"/>
                        <wp:docPr id="18" name="IM 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" name="IM 18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53398" cy="537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7491" w:right="50" w:hanging="76"/>
                    <w:spacing w:before="122" w:line="198" w:lineRule="auto"/>
                    <w:rPr>
                      <w:rFonts w:ascii="Arial" w:hAnsi="Arial" w:eastAsia="Arial" w:cs="Arial"/>
                      <w:sz w:val="7"/>
                      <w:szCs w:val="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7"/>
                      <w:szCs w:val="7"/>
                      <w:color w:val="F8F7F7"/>
                    </w:rPr>
                    <w:drawing>
                      <wp:inline distT="0" distB="0" distL="0" distR="0">
                        <wp:extent cx="53158" cy="44895"/>
                        <wp:effectExtent l="0" t="0" r="0" b="0"/>
                        <wp:docPr id="20" name="IM 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" name="IM 20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3158" cy="448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7"/>
                      <w:szCs w:val="7"/>
                      <w:color w:val="F8F7F7"/>
                    </w:rPr>
                    <w:drawing>
                      <wp:inline distT="0" distB="0" distL="0" distR="0">
                        <wp:extent cx="53018" cy="43533"/>
                        <wp:effectExtent l="0" t="0" r="0" b="0"/>
                        <wp:docPr id="22" name="IM 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2" name="IM 22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3018" cy="435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7"/>
                      <w:szCs w:val="7"/>
                      <w:color w:val="F8F7F7"/>
                      <w:spacing w:val="7"/>
                    </w:rPr>
                    <w:t>官损伤</w:t>
                  </w:r>
                  <w:r>
                    <w:rPr>
                      <w:rFonts w:ascii="Microsoft YaHei" w:hAnsi="Microsoft YaHei" w:eastAsia="Microsoft YaHei" w:cs="Microsoft YaHei"/>
                      <w:sz w:val="7"/>
                      <w:szCs w:val="7"/>
                      <w:color w:val="F8F7F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color w:val="F8F7F7"/>
                      <w:spacing w:val="7"/>
                    </w:rPr>
                    <w:t>HM</w:t>
                  </w:r>
                  <w:r>
                    <w:rPr>
                      <w:sz w:val="7"/>
                      <w:szCs w:val="7"/>
                      <w:position w:val="-1"/>
                    </w:rPr>
                    <w:drawing>
                      <wp:inline distT="0" distB="0" distL="0" distR="0">
                        <wp:extent cx="39993" cy="36091"/>
                        <wp:effectExtent l="0" t="0" r="0" b="0"/>
                        <wp:docPr id="24" name="IM 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" name="IM 24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9993" cy="360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color w:val="F8F7F7"/>
                      <w:spacing w:val="7"/>
                    </w:rPr>
                    <w:t>D</w:t>
                  </w:r>
                </w:p>
                <w:p>
                  <w:pPr>
                    <w:ind w:firstLine="3186"/>
                    <w:spacing w:line="35" w:lineRule="exact"/>
                    <w:rPr/>
                  </w:pPr>
                  <w:r>
                    <w:rPr/>
                    <w:drawing>
                      <wp:inline distT="0" distB="0" distL="0" distR="0">
                        <wp:extent cx="46740" cy="22763"/>
                        <wp:effectExtent l="0" t="0" r="0" b="0"/>
                        <wp:docPr id="26" name="IM 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" name="IM 26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6740" cy="22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7825"/>
                    <w:spacing w:before="72" w:line="21" w:lineRule="exact"/>
                    <w:rPr/>
                  </w:pPr>
                  <w:r>
                    <w:rPr/>
                    <w:drawing>
                      <wp:inline distT="0" distB="0" distL="0" distR="0">
                        <wp:extent cx="11950" cy="13521"/>
                        <wp:effectExtent l="0" t="0" r="0" b="0"/>
                        <wp:docPr id="28" name="IM 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" name="IM 28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950" cy="135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149"/>
                    <w:rPr/>
                  </w:pPr>
                  <w:r/>
                </w:p>
                <w:tbl>
                  <w:tblPr>
                    <w:tblStyle w:val="TableNormal"/>
                    <w:tblW w:w="354" w:type="dxa"/>
                    <w:tblInd w:w="2261" w:type="dxa"/>
                    <w:tblLayout w:type="fixed"/>
                    <w:tblBorders>
                      <w:top w:val="single" w:color="1A227E" w:sz="2" w:space="0"/>
                      <w:left w:val="single" w:color="1A227E" w:sz="2" w:space="0"/>
                      <w:bottom w:val="single" w:color="1A227E" w:sz="2" w:space="0"/>
                      <w:right w:val="single" w:color="1A227E" w:sz="2" w:space="0"/>
                      <w:insideH w:val="single" w:color="1A227E" w:sz="2" w:space="0"/>
                      <w:insideV w:val="single" w:color="1A227E" w:sz="2" w:space="0"/>
                    </w:tblBorders>
                  </w:tblPr>
                  <w:tblGrid>
                    <w:gridCol w:w="354"/>
                  </w:tblGrid>
                  <w:tr>
                    <w:trPr>
                      <w:trHeight w:val="120" w:hRule="atLeast"/>
                    </w:trPr>
                    <w:tc>
                      <w:tcPr>
                        <w:tcW w:w="354" w:type="dxa"/>
                        <w:vAlign w:val="top"/>
                        <w:tcBorders>
                          <w:bottom w:val="single" w:color="7B1FA2" w:sz="2" w:space="0"/>
                        </w:tcBorders>
                      </w:tcPr>
                      <w:p>
                        <w:pPr>
                          <w:ind w:left="40"/>
                          <w:spacing w:before="34" w:line="62" w:lineRule="exact"/>
                          <w:rPr>
                            <w:rFonts w:ascii="Microsoft YaHei" w:hAnsi="Microsoft YaHei" w:eastAsia="Microsoft YaHei" w:cs="Microsoft YaHei"/>
                            <w:sz w:val="6"/>
                            <w:szCs w:val="6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6"/>
                            <w:szCs w:val="6"/>
                            <w:color w:val="1A227E"/>
                            <w:spacing w:val="7"/>
                          </w:rPr>
                          <w:t>起效快速</w:t>
                        </w:r>
                      </w:p>
                    </w:tc>
                  </w:tr>
                  <w:tr>
                    <w:trPr>
                      <w:trHeight w:val="273" w:hRule="atLeast"/>
                    </w:trPr>
                    <w:tc>
                      <w:tcPr>
                        <w:tcW w:w="354" w:type="dxa"/>
                        <w:vAlign w:val="top"/>
                        <w:tcBorders>
                          <w:top w:val="single" w:color="7B1FA2" w:sz="2" w:space="0"/>
                        </w:tcBorders>
                      </w:tcPr>
                      <w:p>
                        <w:pPr>
                          <w:ind w:left="41"/>
                          <w:spacing w:before="36" w:line="146" w:lineRule="auto"/>
                          <w:rPr>
                            <w:rFonts w:ascii="Microsoft YaHei" w:hAnsi="Microsoft YaHei" w:eastAsia="Microsoft YaHei" w:cs="Microsoft YaHei"/>
                            <w:sz w:val="6"/>
                            <w:szCs w:val="6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6"/>
                            <w:szCs w:val="6"/>
                            <w:u w:val="single" w:color="auto"/>
                            <w:color w:val="1A227E"/>
                            <w:spacing w:val="6"/>
                          </w:rPr>
                          <w:t>可控性强</w:t>
                        </w:r>
                      </w:p>
                      <w:p>
                        <w:pPr>
                          <w:ind w:left="40"/>
                          <w:spacing w:before="66" w:line="144" w:lineRule="auto"/>
                          <w:rPr>
                            <w:rFonts w:ascii="Microsoft YaHei" w:hAnsi="Microsoft YaHei" w:eastAsia="Microsoft YaHei" w:cs="Microsoft YaHei"/>
                            <w:sz w:val="6"/>
                            <w:szCs w:val="6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6"/>
                            <w:szCs w:val="6"/>
                            <w:u w:val="single" w:color="auto"/>
                            <w:color w:val="1A227E"/>
                            <w:spacing w:val="6"/>
                          </w:rPr>
                          <w:t>联合用药</w:t>
                        </w:r>
                      </w:p>
                    </w:tc>
                  </w:tr>
                </w:tbl>
                <w:p>
                  <w:pPr>
                    <w:ind w:firstLine="3125"/>
                    <w:spacing w:line="67" w:lineRule="exact"/>
                    <w:rPr/>
                  </w:pPr>
                  <w:r>
                    <w:rPr>
                      <w:position w:val="-1"/>
                    </w:rPr>
                    <w:drawing>
                      <wp:inline distT="0" distB="0" distL="0" distR="0">
                        <wp:extent cx="24004" cy="42052"/>
                        <wp:effectExtent l="0" t="0" r="0" b="0"/>
                        <wp:docPr id="30" name="IM 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" name="IM 30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4004" cy="420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line="370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227"/>
                    <w:spacing w:before="26" w:line="64" w:lineRule="exact"/>
                    <w:rPr>
                      <w:rFonts w:ascii="Microsoft YaHei" w:hAnsi="Microsoft YaHei" w:eastAsia="Microsoft YaHei" w:cs="Microsoft YaHei"/>
                      <w:sz w:val="6"/>
                      <w:szCs w:val="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1F5279"/>
                      <w:spacing w:val="10"/>
                    </w:rPr>
                    <w:t>控制损伤</w:t>
                  </w:r>
                </w:p>
                <w:p>
                  <w:pPr>
                    <w:ind w:left="1508"/>
                    <w:spacing w:before="74" w:line="323" w:lineRule="exact"/>
                    <w:rPr/>
                  </w:pPr>
                  <w:r>
                    <w:rPr>
                      <w:position w:val="-6"/>
                    </w:rPr>
                    <w:drawing>
                      <wp:inline distT="0" distB="0" distL="0" distR="0">
                        <wp:extent cx="427311" cy="205320"/>
                        <wp:effectExtent l="0" t="0" r="0" b="0"/>
                        <wp:docPr id="32" name="IM 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" name="IM 32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27311" cy="2053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3231"/>
                    <w:spacing w:before="57" w:line="56" w:lineRule="exact"/>
                    <w:rPr>
                      <w:rFonts w:ascii="Microsoft YaHei" w:hAnsi="Microsoft YaHei" w:eastAsia="Microsoft YaHei" w:cs="Microsoft YaHei"/>
                      <w:sz w:val="6"/>
                      <w:szCs w:val="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1F5279"/>
                      <w:spacing w:val="8"/>
                    </w:rPr>
                    <w:t>寻找诱因</w:t>
                  </w:r>
                </w:p>
                <w:p>
                  <w:pPr>
                    <w:ind w:left="316"/>
                    <w:spacing w:line="56" w:lineRule="exact"/>
                    <w:rPr>
                      <w:rFonts w:ascii="Microsoft YaHei" w:hAnsi="Microsoft YaHei" w:eastAsia="Microsoft YaHei" w:cs="Microsoft YaHei"/>
                      <w:sz w:val="6"/>
                      <w:szCs w:val="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F8F7F7"/>
                      <w:spacing w:val="7"/>
                    </w:rPr>
                    <w:t>平均动脉压的降低幅度不超</w:t>
                  </w:r>
                </w:p>
                <w:p>
                  <w:pPr>
                    <w:ind w:left="20" w:right="6038" w:firstLine="71"/>
                    <w:spacing w:before="14" w:line="250" w:lineRule="auto"/>
                    <w:tabs>
                      <w:tab w:val="left" w:pos="369"/>
                    </w:tabs>
                    <w:rPr>
                      <w:sz w:val="7"/>
                      <w:szCs w:val="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8"/>
                      <w:szCs w:val="8"/>
                      <w:color w:val="F8F7F7"/>
                      <w:position w:val="-10"/>
                    </w:rPr>
                    <w:drawing>
                      <wp:inline distT="0" distB="0" distL="0" distR="0">
                        <wp:extent cx="127609" cy="79581"/>
                        <wp:effectExtent l="0" t="0" r="0" b="0"/>
                        <wp:docPr id="34" name="IM 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" name="IM 34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7609" cy="795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8"/>
                      <w:szCs w:val="8"/>
                      <w:strike/>
                      <w:u w:val="single" w:color="FFC009"/>
                      <w:color w:val="F8F7F7"/>
                      <w:spacing w:val="1"/>
                      <w:position w:val="9"/>
                    </w:rPr>
                    <w:t xml:space="preserve">     </w:t>
                  </w:r>
                  <w:r>
                    <w:rPr>
                      <w:rFonts w:ascii="Microsoft YaHei" w:hAnsi="Microsoft YaHei" w:eastAsia="Microsoft YaHei" w:cs="Microsoft YaHei"/>
                      <w:sz w:val="8"/>
                      <w:szCs w:val="8"/>
                      <w:strike/>
                      <w:u w:val="single" w:color="auto"/>
                      <w:color w:val="F8F7F7"/>
                      <w:spacing w:val="-6"/>
                      <w:position w:val="9"/>
                    </w:rPr>
                    <w:t>过治疗前水平的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strike/>
                      <w:u w:val="single" w:color="FFC009"/>
                      <w:color w:val="F8F7F7"/>
                      <w:spacing w:val="-6"/>
                      <w:position w:val="9"/>
                    </w:rPr>
                    <w:t>25%       </w:t>
                  </w:r>
                  <w:r>
                    <w:rPr>
                      <w:sz w:val="7"/>
                      <w:szCs w:val="7"/>
                      <w:position w:val="1"/>
                    </w:rPr>
                    <w:drawing>
                      <wp:inline distT="0" distB="0" distL="0" distR="0">
                        <wp:extent cx="20382" cy="41855"/>
                        <wp:effectExtent l="0" t="0" r="0" b="0"/>
                        <wp:docPr id="36" name="IM 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" name="IM 36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0382" cy="418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u w:val="single" w:color="FFC009"/>
                      <w:color w:val="F8F7F7"/>
                      <w:spacing w:val="12"/>
                      <w:w w:val="103"/>
                      <w:position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color w:val="F8F7F7"/>
                      <w:spacing w:val="2"/>
                      <w:position w:val="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8"/>
                      <w:szCs w:val="8"/>
                      <w:color w:val="F8F7F7"/>
                      <w:spacing w:val="-6"/>
                      <w:position w:val="-1"/>
                    </w:rPr>
                    <w:t>初始阶</w:t>
                  </w:r>
                  <w:r>
                    <w:rPr>
                      <w:rFonts w:ascii="Microsoft YaHei" w:hAnsi="Microsoft YaHei" w:eastAsia="Microsoft YaHei" w:cs="Microsoft YaHei"/>
                      <w:sz w:val="8"/>
                      <w:szCs w:val="8"/>
                      <w:color w:val="F8F7F7"/>
                      <w:spacing w:val="-7"/>
                      <w:position w:val="-1"/>
                    </w:rPr>
                    <w:t>段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color w:val="F8F7F7"/>
                      <w:spacing w:val="-7"/>
                      <w:position w:val="-1"/>
                    </w:rPr>
                    <w:t>(&lt;1h)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color w:val="F8F7F7"/>
                      <w:position w:val="-1"/>
                    </w:rPr>
                    <w:t xml:space="preserve">          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u w:val="double" w:color="000000"/>
                      <w:color w:val="F8F7F7"/>
                    </w:rPr>
                    <w:tab/>
                  </w:r>
                  <w:r>
                    <w:rPr>
                      <w:shd w:val="clear" w:fill="7B1FA2"/>
                      <w:rFonts w:ascii="Arial" w:hAnsi="Arial" w:eastAsia="Arial" w:cs="Arial"/>
                      <w:sz w:val="7"/>
                      <w:szCs w:val="7"/>
                      <w:u w:val="double" w:color="000000"/>
                      <w:color w:val="F8F7F7"/>
                      <w:spacing w:val="3"/>
                    </w:rPr>
                    <w:t xml:space="preserve">   </w:t>
                  </w:r>
                  <w:r>
                    <w:rPr>
                      <w:shd w:val="clear" w:fill="7B1FA2"/>
                      <w:rFonts w:ascii="Arial" w:hAnsi="Arial" w:eastAsia="Arial" w:cs="Arial"/>
                      <w:sz w:val="7"/>
                      <w:szCs w:val="7"/>
                      <w:color w:val="F8F7F7"/>
                    </w:rPr>
                    <w:drawing>
                      <wp:inline distT="0" distB="0" distL="0" distR="0">
                        <wp:extent cx="168349" cy="39329"/>
                        <wp:effectExtent l="0" t="0" r="0" b="0"/>
                        <wp:docPr id="38" name="IM 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" name="IM 38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8349" cy="393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hd w:val="clear" w:fill="7B1FA2"/>
                      <w:rFonts w:ascii="Arial" w:hAnsi="Arial" w:eastAsia="Arial" w:cs="Arial"/>
                      <w:sz w:val="7"/>
                      <w:szCs w:val="7"/>
                      <w:u w:val="double" w:color="auto"/>
                      <w:color w:val="F8F7F7"/>
                      <w:spacing w:val="-1"/>
                    </w:rPr>
                    <w:t>160/100mmHg</w:t>
                  </w:r>
                  <w:r>
                    <w:rPr>
                      <w:shd w:val="clear" w:fill="7B1FA2"/>
                      <w:rFonts w:ascii="Arial" w:hAnsi="Arial" w:eastAsia="Arial" w:cs="Arial"/>
                      <w:sz w:val="7"/>
                      <w:szCs w:val="7"/>
                      <w:u w:val="double" w:color="000000"/>
                      <w:color w:val="F8F7F7"/>
                      <w:spacing w:val="-1"/>
                    </w:rPr>
                    <w:t xml:space="preserve"> </w:t>
                  </w:r>
                  <w:r>
                    <w:rPr>
                      <w:shd w:val="clear" w:fill="7B1FA2"/>
                      <w:sz w:val="7"/>
                      <w:szCs w:val="7"/>
                    </w:rPr>
                    <w:drawing>
                      <wp:inline distT="0" distB="0" distL="0" distR="0">
                        <wp:extent cx="82166" cy="39331"/>
                        <wp:effectExtent l="0" t="0" r="0" b="0"/>
                        <wp:docPr id="40" name="IM 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" name="IM 40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2166" cy="393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hd w:val="clear" w:fill="7B1FA2"/>
                      <w:rFonts w:ascii="Arial" w:hAnsi="Arial" w:eastAsia="Arial" w:cs="Arial"/>
                      <w:sz w:val="7"/>
                      <w:szCs w:val="7"/>
                      <w:u w:val="double" w:color="000000"/>
                      <w:color w:val="F8F7F7"/>
                      <w:spacing w:val="10"/>
                    </w:rPr>
                    <w:t xml:space="preserve">  </w:t>
                  </w:r>
                  <w:r>
                    <w:rPr>
                      <w:sz w:val="7"/>
                      <w:szCs w:val="7"/>
                      <w:position w:val="-19"/>
                    </w:rPr>
                    <w:drawing>
                      <wp:inline distT="0" distB="0" distL="0" distR="0">
                        <wp:extent cx="297359" cy="149920"/>
                        <wp:effectExtent l="0" t="0" r="0" b="0"/>
                        <wp:docPr id="42" name="IM 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" name="IM 42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97359" cy="149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512"/>
                    <w:spacing w:before="49"/>
                    <w:rPr>
                      <w:rFonts w:ascii="Arial" w:hAnsi="Arial" w:eastAsia="Arial" w:cs="Arial"/>
                      <w:sz w:val="7"/>
                      <w:szCs w:val="7"/>
                    </w:rPr>
                  </w:pPr>
                  <w:r>
                    <w:rPr>
                      <w:rFonts w:ascii="Arial" w:hAnsi="Arial" w:eastAsia="Arial" w:cs="Arial"/>
                      <w:sz w:val="7"/>
                      <w:szCs w:val="7"/>
                      <w:color w:val="F8F7F7"/>
                      <w:position w:val="-11"/>
                    </w:rPr>
                    <w:drawing>
                      <wp:inline distT="0" distB="0" distL="0" distR="0">
                        <wp:extent cx="623056" cy="184927"/>
                        <wp:effectExtent l="0" t="0" r="0" b="0"/>
                        <wp:docPr id="44" name="IM 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" name="IM 44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23056" cy="1849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F8F7F7"/>
                    </w:rPr>
                    <w:t xml:space="preserve">     </w:t>
                  </w:r>
                  <w:r>
                    <w:rPr>
                      <w:rFonts w:ascii="Arial" w:hAnsi="Arial" w:eastAsia="Arial" w:cs="Arial"/>
                      <w:sz w:val="7"/>
                      <w:szCs w:val="7"/>
                      <w:b/>
                      <w:bCs/>
                      <w:color w:val="F8F7F7"/>
                      <w:spacing w:val="-2"/>
                    </w:rPr>
                    <w:t>-48h</w:t>
                  </w:r>
                </w:p>
                <w:p>
                  <w:pPr>
                    <w:spacing w:before="55"/>
                    <w:rPr/>
                  </w:pPr>
                  <w:r/>
                </w:p>
                <w:tbl>
                  <w:tblPr>
                    <w:tblStyle w:val="TableNormal"/>
                    <w:tblW w:w="586" w:type="dxa"/>
                    <w:tblInd w:w="3103" w:type="dxa"/>
                    <w:tblLayout w:type="fixed"/>
                    <w:tblBorders>
                      <w:left w:val="single" w:color="53AF80" w:sz="2" w:space="0"/>
                      <w:bottom w:val="single" w:color="53AF80" w:sz="2" w:space="0"/>
                      <w:right w:val="single" w:color="53AF80" w:sz="2" w:space="0"/>
                      <w:top w:val="single" w:color="53AF80" w:sz="2" w:space="0"/>
                    </w:tblBorders>
                  </w:tblPr>
                  <w:tblGrid>
                    <w:gridCol w:w="586"/>
                  </w:tblGrid>
                  <w:tr>
                    <w:trPr>
                      <w:trHeight w:val="235" w:hRule="atLeast"/>
                    </w:trPr>
                    <w:tc>
                      <w:tcPr>
                        <w:tcW w:w="586" w:type="dxa"/>
                        <w:vAlign w:val="top"/>
                      </w:tcPr>
                      <w:p>
                        <w:pPr>
                          <w:ind w:left="48" w:right="50" w:hanging="2"/>
                          <w:spacing w:before="32" w:line="195" w:lineRule="auto"/>
                          <w:rPr>
                            <w:rFonts w:ascii="Microsoft YaHei" w:hAnsi="Microsoft YaHei" w:eastAsia="Microsoft YaHei" w:cs="Microsoft YaHei"/>
                            <w:sz w:val="6"/>
                            <w:szCs w:val="6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6"/>
                            <w:szCs w:val="6"/>
                            <w:color w:val="E32C2D"/>
                            <w:spacing w:val="9"/>
                          </w:rPr>
                          <w:t>靶器官损伤而非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6"/>
                            <w:szCs w:val="6"/>
                            <w:color w:val="E32C2D"/>
                          </w:rPr>
                          <w:t xml:space="preserve"> 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6"/>
                            <w:szCs w:val="6"/>
                            <w:color w:val="E32C2D"/>
                            <w:spacing w:val="8"/>
                          </w:rPr>
                          <w:t>血压水平是关键</w:t>
                        </w:r>
                      </w:p>
                    </w:tc>
                  </w:tr>
                </w:tbl>
                <w:p>
                  <w:pPr>
                    <w:ind w:left="3362"/>
                    <w:spacing w:before="9" w:line="171" w:lineRule="auto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6"/>
                      <w:szCs w:val="6"/>
                      <w:color w:val="E32C2D"/>
                      <w:spacing w:val="8"/>
                    </w:rPr>
                    <w:t>A</w:t>
                  </w:r>
                </w:p>
                <w:p>
                  <w:pPr>
                    <w:ind w:left="2432"/>
                    <w:spacing w:before="208" w:line="54" w:lineRule="exact"/>
                    <w:rPr>
                      <w:rFonts w:ascii="Microsoft YaHei" w:hAnsi="Microsoft YaHei" w:eastAsia="Microsoft YaHei" w:cs="Microsoft YaHei"/>
                      <w:sz w:val="5"/>
                      <w:szCs w:val="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5"/>
                      <w:szCs w:val="5"/>
                      <w:color w:val="E32C2D"/>
                      <w:spacing w:val="8"/>
                    </w:rPr>
                    <w:t>降压原则需针对不同靶器官</w:t>
                  </w:r>
                </w:p>
                <w:p>
                  <w:pPr>
                    <w:ind w:left="2664"/>
                    <w:spacing w:before="23" w:line="53" w:lineRule="exact"/>
                    <w:rPr>
                      <w:rFonts w:ascii="Microsoft YaHei" w:hAnsi="Microsoft YaHei" w:eastAsia="Microsoft YaHei" w:cs="Microsoft YaHei"/>
                      <w:sz w:val="5"/>
                      <w:szCs w:val="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5"/>
                      <w:szCs w:val="5"/>
                      <w:color w:val="E32C2D"/>
                      <w:spacing w:val="9"/>
                    </w:rPr>
                    <w:t>损伤制定</w:t>
                  </w:r>
                </w:p>
                <w:p>
                  <w:pPr>
                    <w:ind w:left="4244"/>
                    <w:spacing w:before="104" w:line="53" w:lineRule="exact"/>
                    <w:rPr/>
                  </w:pPr>
                  <w:r>
                    <w:rPr>
                      <w:position w:val="-1"/>
                    </w:rPr>
                    <w:drawing>
                      <wp:inline distT="0" distB="0" distL="0" distR="0">
                        <wp:extent cx="38158" cy="33268"/>
                        <wp:effectExtent l="0" t="0" r="0" b="0"/>
                        <wp:docPr id="46" name="IM 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6" name="IM 46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8158" cy="332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firstLine="6657"/>
                    <w:spacing w:before="36" w:line="247" w:lineRule="exact"/>
                    <w:rPr/>
                  </w:pPr>
                  <w:r>
                    <w:rPr>
                      <w:position w:val="-4"/>
                    </w:rPr>
                    <w:drawing>
                      <wp:inline distT="0" distB="0" distL="0" distR="0">
                        <wp:extent cx="162187" cy="156640"/>
                        <wp:effectExtent l="0" t="0" r="0" b="0"/>
                        <wp:docPr id="48" name="IM 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8" name="IM 48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2187" cy="1566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4334"/>
                    <w:spacing w:before="204" w:line="44" w:lineRule="exact"/>
                    <w:rPr/>
                  </w:pPr>
                  <w:r>
                    <w:rPr>
                      <w:position w:val="-1"/>
                    </w:rPr>
                    <w:drawing>
                      <wp:inline distT="0" distB="0" distL="0" distR="0">
                        <wp:extent cx="34523" cy="27794"/>
                        <wp:effectExtent l="0" t="0" r="0" b="0"/>
                        <wp:docPr id="50" name="IM 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0" name="IM 50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4523" cy="277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line="30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0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firstLine="5133"/>
                    <w:spacing w:line="132" w:lineRule="exact"/>
                    <w:rPr/>
                  </w:pPr>
                  <w:r>
                    <w:rPr>
                      <w:position w:val="-2"/>
                    </w:rPr>
                    <w:drawing>
                      <wp:inline distT="0" distB="0" distL="0" distR="0">
                        <wp:extent cx="426538" cy="83711"/>
                        <wp:effectExtent l="0" t="0" r="0" b="0"/>
                        <wp:docPr id="52" name="IM 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2" name="IM 52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26538" cy="837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5002"/>
                    <w:spacing w:before="40" w:line="62" w:lineRule="exact"/>
                    <w:rPr>
                      <w:rFonts w:ascii="Microsoft YaHei" w:hAnsi="Microsoft YaHei" w:eastAsia="Microsoft YaHei" w:cs="Microsoft YaHei"/>
                      <w:sz w:val="6"/>
                      <w:szCs w:val="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F8F7F7"/>
                      <w:spacing w:val="6"/>
                    </w:rPr>
                    <w:t>病理改变</w:t>
                  </w:r>
                </w:p>
                <w:p>
                  <w:pPr>
                    <w:ind w:firstLine="3664"/>
                    <w:spacing w:before="3" w:line="48" w:lineRule="exact"/>
                    <w:rPr/>
                  </w:pPr>
                  <w:r>
                    <w:rPr/>
                    <w:drawing>
                      <wp:inline distT="0" distB="0" distL="0" distR="0">
                        <wp:extent cx="32567" cy="30210"/>
                        <wp:effectExtent l="0" t="0" r="0" b="0"/>
                        <wp:docPr id="54" name="IM 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4" name="IM 54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2567" cy="30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firstLine="4976"/>
                    <w:spacing w:before="18" w:line="55" w:lineRule="exact"/>
                    <w:rPr/>
                  </w:pPr>
                  <w:r>
                    <w:rPr>
                      <w:position w:val="-1"/>
                    </w:rPr>
                    <w:drawing>
                      <wp:inline distT="0" distB="0" distL="0" distR="0">
                        <wp:extent cx="625899" cy="35006"/>
                        <wp:effectExtent l="0" t="0" r="0" b="0"/>
                        <wp:docPr id="56" name="IM 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56" name="IM 56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25899" cy="350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5334"/>
                    <w:spacing w:before="116" w:line="61" w:lineRule="exact"/>
                    <w:rPr>
                      <w:rFonts w:ascii="Microsoft YaHei" w:hAnsi="Microsoft YaHei" w:eastAsia="Microsoft YaHei" w:cs="Microsoft YaHei"/>
                      <w:sz w:val="6"/>
                      <w:szCs w:val="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F8F7F7"/>
                      <w:spacing w:val="10"/>
                    </w:rPr>
                    <w:t>恶性循环</w:t>
                  </w:r>
                </w:p>
              </w:txbxContent>
            </v:textbox>
          </v:shape>
        </w:pict>
      </w:r>
      <w:r>
        <w:pict>
          <v:shape id="_x0000_s82" style="position:absolute;margin-left:227.933pt;margin-top:3.71515pt;mso-position-vertical-relative:text;mso-position-horizontal-relative:text;width:0.25pt;height:2.25pt;z-index:251696128;" filled="false" strokecolor="#53AF80" strokeweight="0.24pt" coordsize="5,45" coordorigin="0,0" path="m2,42l2,2e">
            <v:stroke endcap="round" joinstyle="miter" miterlimit="4"/>
          </v:shape>
        </w:pict>
      </w:r>
      <w:r>
        <w:pict>
          <v:shape id="_x0000_s84" style="position:absolute;margin-left:219.109pt;margin-top:3.35645pt;mso-position-vertical-relative:text;mso-position-horizontal-relative:text;width:0.25pt;height:0.6pt;z-index:251779072;" filled="false" strokecolor="#53AF80" strokeweight="0.24pt" coordsize="5,12" coordorigin="0,0" path="m2,11l2,0e">
            <v:stroke joinstyle="miter" miterlimit="4"/>
          </v:shape>
        </w:pict>
      </w:r>
      <w:r>
        <w:pict>
          <v:shape id="_x0000_s86" style="position:absolute;margin-left:185.281pt;margin-top:3.71515pt;mso-position-vertical-relative:text;mso-position-horizontal-relative:text;width:0.25pt;height:2.25pt;z-index:251698176;" filled="false" strokecolor="#53AF80" strokeweight="0.24pt" coordsize="5,45" coordorigin="0,0" path="m2,42l2,2e">
            <v:stroke endcap="round" joinstyle="miter" miterlimit="4"/>
          </v:shape>
        </w:pict>
      </w:r>
      <w:r>
        <w:pict>
          <v:shape id="_x0000_s88" style="position:absolute;margin-left:251.782pt;margin-top:3.35645pt;mso-position-vertical-relative:text;mso-position-horizontal-relative:text;width:0.25pt;height:0.6pt;z-index:251778048;" filled="false" strokecolor="#53AF80" strokeweight="0.24pt" coordsize="5,12" coordorigin="0,0" path="m2,11l2,0e">
            <v:stroke joinstyle="miter" miterlimit="4"/>
          </v:shape>
        </w:pict>
      </w:r>
      <w:r>
        <w:drawing>
          <wp:anchor distT="0" distB="0" distL="0" distR="0" simplePos="0" relativeHeight="251712512" behindDoc="0" locked="0" layoutInCell="1" allowOverlap="1">
            <wp:simplePos x="0" y="0"/>
            <wp:positionH relativeFrom="column">
              <wp:posOffset>2455627</wp:posOffset>
            </wp:positionH>
            <wp:positionV relativeFrom="paragraph">
              <wp:posOffset>121749</wp:posOffset>
            </wp:positionV>
            <wp:extent cx="1616580" cy="1081354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6580" cy="1081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2819034</wp:posOffset>
            </wp:positionH>
            <wp:positionV relativeFrom="paragraph">
              <wp:posOffset>143058</wp:posOffset>
            </wp:positionV>
            <wp:extent cx="576446" cy="385072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446" cy="385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5775011</wp:posOffset>
            </wp:positionH>
            <wp:positionV relativeFrom="paragraph">
              <wp:posOffset>80342</wp:posOffset>
            </wp:positionV>
            <wp:extent cx="601385" cy="707216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385" cy="707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0" style="position:absolute;margin-left:287.864pt;margin-top:3.71515pt;mso-position-vertical-relative:text;mso-position-horizontal-relative:text;width:15.85pt;height:2.25pt;z-index:251697152;" filled="false" strokecolor="#53AF80" strokeweight="0.24pt" coordsize="317,45" coordorigin="0,0" path="m2,42l2,2m313,42l313,2e">
            <v:stroke endcap="round" joinstyle="miter" miterlimit="4"/>
          </v:shape>
        </w:pict>
      </w:r>
      <w:r>
        <w:pict>
          <v:shape id="_x0000_s92" style="position:absolute;margin-left:227.933pt;margin-top:5.71259pt;mso-position-vertical-relative:text;mso-position-horizontal-relative:text;width:75.8pt;height:4.25pt;z-index:251705344;" filled="false" strokecolor="#53AF80" strokeweight="0.24pt" coordsize="1516,85" coordorigin="0,0" path="m330,82l2,2m330,82l686,2m330,82l1201,2m330,82l1512,2e">
            <v:stroke endcap="round" joinstyle="miter" miterlimit="4"/>
          </v:shape>
        </w:pict>
      </w: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5484530</wp:posOffset>
            </wp:positionH>
            <wp:positionV relativeFrom="paragraph">
              <wp:posOffset>23836</wp:posOffset>
            </wp:positionV>
            <wp:extent cx="134616" cy="135939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616" cy="135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720704" behindDoc="0" locked="0" layoutInCell="1" allowOverlap="1">
            <wp:simplePos x="0" y="0"/>
            <wp:positionH relativeFrom="column">
              <wp:posOffset>5991392</wp:posOffset>
            </wp:positionH>
            <wp:positionV relativeFrom="paragraph">
              <wp:posOffset>100515</wp:posOffset>
            </wp:positionV>
            <wp:extent cx="484491" cy="131655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491" cy="13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8832" behindDoc="0" locked="0" layoutInCell="1" allowOverlap="1">
            <wp:simplePos x="0" y="0"/>
            <wp:positionH relativeFrom="column">
              <wp:posOffset>5254251</wp:posOffset>
            </wp:positionH>
            <wp:positionV relativeFrom="paragraph">
              <wp:posOffset>147839</wp:posOffset>
            </wp:positionV>
            <wp:extent cx="51650" cy="21814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650" cy="21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776000" behindDoc="0" locked="0" layoutInCell="1" allowOverlap="1">
            <wp:simplePos x="0" y="0"/>
            <wp:positionH relativeFrom="column">
              <wp:posOffset>5409524</wp:posOffset>
            </wp:positionH>
            <wp:positionV relativeFrom="paragraph">
              <wp:posOffset>72080</wp:posOffset>
            </wp:positionV>
            <wp:extent cx="11461" cy="13595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61" cy="1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4800" behindDoc="0" locked="0" layoutInCell="1" allowOverlap="1">
            <wp:simplePos x="0" y="0"/>
            <wp:positionH relativeFrom="column">
              <wp:posOffset>4512766</wp:posOffset>
            </wp:positionH>
            <wp:positionV relativeFrom="paragraph">
              <wp:posOffset>2835</wp:posOffset>
            </wp:positionV>
            <wp:extent cx="785403" cy="311941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5403" cy="311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2685399</wp:posOffset>
            </wp:positionH>
            <wp:positionV relativeFrom="paragraph">
              <wp:posOffset>21717</wp:posOffset>
            </wp:positionV>
            <wp:extent cx="81183" cy="407796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83" cy="407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5683376</wp:posOffset>
            </wp:positionH>
            <wp:positionV relativeFrom="paragraph">
              <wp:posOffset>68474</wp:posOffset>
            </wp:positionV>
            <wp:extent cx="237638" cy="313225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638" cy="31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94" style="position:absolute;margin-left:282.078pt;margin-top:11.0504pt;mso-position-vertical-relative:text;mso-position-horizontal-relative:text;width:28.35pt;height:4.7pt;z-index:25175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53" w:lineRule="exact"/>
                    <w:rPr>
                      <w:rFonts w:ascii="Microsoft YaHei" w:hAnsi="Microsoft YaHei" w:eastAsia="Microsoft YaHei" w:cs="Microsoft YaHei"/>
                      <w:sz w:val="5"/>
                      <w:szCs w:val="5"/>
                    </w:rPr>
                  </w:pPr>
                  <w:r>
                    <w:rPr>
                      <w:shd w:val="clear" w:fill="F2F2F2"/>
                      <w:rFonts w:ascii="Microsoft YaHei" w:hAnsi="Microsoft YaHei" w:eastAsia="Microsoft YaHei" w:cs="Microsoft YaHei"/>
                      <w:sz w:val="5"/>
                      <w:szCs w:val="5"/>
                      <w:color w:val="1F5279"/>
                      <w:spacing w:val="8"/>
                    </w:rPr>
                    <w:t>考虑对靶器</w:t>
                  </w:r>
                  <w:r>
                    <w:rPr>
                      <w:shd w:val="clear" w:fill="F2F2F2"/>
                      <w:rFonts w:ascii="Microsoft YaHei" w:hAnsi="Microsoft YaHei" w:eastAsia="Microsoft YaHei" w:cs="Microsoft YaHei"/>
                      <w:sz w:val="5"/>
                      <w:szCs w:val="5"/>
                      <w:color w:val="1F5279"/>
                      <w:spacing w:val="5"/>
                      <w:w w:val="105"/>
                    </w:rPr>
                    <w:t xml:space="preserve">   </w:t>
                  </w:r>
                  <w:r>
                    <w:rPr>
                      <w:shd w:val="clear" w:fill="F2F2F2"/>
                      <w:rFonts w:ascii="Microsoft YaHei" w:hAnsi="Microsoft YaHei" w:eastAsia="Microsoft YaHei" w:cs="Microsoft YaHei"/>
                      <w:sz w:val="5"/>
                      <w:szCs w:val="5"/>
                      <w:color w:val="1F5279"/>
                      <w:spacing w:val="8"/>
                    </w:rPr>
                    <w:t>的影响</w:t>
                  </w:r>
                </w:p>
              </w:txbxContent>
            </v:textbox>
          </v:shape>
        </w:pict>
      </w:r>
      <w:r>
        <w:pict>
          <v:shape id="_x0000_s96" style="position:absolute;margin-left:320.072pt;margin-top:6.0014pt;mso-position-vertical-relative:text;mso-position-horizontal-relative:text;width:36.5pt;height:35.15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684" w:type="dxa"/>
                    <w:tblInd w:w="22" w:type="dxa"/>
                    <w:tblLayout w:type="fixed"/>
                    <w:tblBorders>
                      <w:left w:val="single" w:color="53AF80" w:sz="2" w:space="0"/>
                      <w:bottom w:val="single" w:color="53AF80" w:sz="2" w:space="0"/>
                      <w:right w:val="single" w:color="53AF80" w:sz="2" w:space="0"/>
                      <w:top w:val="single" w:color="53AF80" w:sz="2" w:space="0"/>
                    </w:tblBorders>
                  </w:tblPr>
                  <w:tblGrid>
                    <w:gridCol w:w="684"/>
                  </w:tblGrid>
                  <w:tr>
                    <w:trPr>
                      <w:trHeight w:val="652" w:hRule="atLeast"/>
                    </w:trPr>
                    <w:tc>
                      <w:tcPr>
                        <w:tcW w:w="684" w:type="dxa"/>
                        <w:vAlign w:val="top"/>
                      </w:tcPr>
                      <w:p>
                        <w:pPr>
                          <w:ind w:firstLine="225"/>
                          <w:spacing w:before="84" w:line="260" w:lineRule="exact"/>
                          <w:rPr/>
                        </w:pPr>
                        <w:r>
                          <w:rPr>
                            <w:position w:val="-5"/>
                          </w:rPr>
                          <w:drawing>
                            <wp:inline distT="0" distB="0" distL="0" distR="0">
                              <wp:extent cx="123080" cy="164711"/>
                              <wp:effectExtent l="0" t="0" r="0" b="0"/>
                              <wp:docPr id="78" name="IM 7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8" name="IM 78"/>
                                      <pic:cNvPicPr/>
                                    </pic:nvPicPr>
                                    <pic:blipFill>
                                      <a:blip r:embed="rId4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23080" cy="16471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5279186</wp:posOffset>
            </wp:positionH>
            <wp:positionV relativeFrom="paragraph">
              <wp:posOffset>76743</wp:posOffset>
            </wp:positionV>
            <wp:extent cx="140162" cy="293544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162" cy="293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4077619</wp:posOffset>
            </wp:positionH>
            <wp:positionV relativeFrom="paragraph">
              <wp:posOffset>88916</wp:posOffset>
            </wp:positionV>
            <wp:extent cx="429629" cy="412470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9629" cy="412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>
        <w:pict>
          <v:rect id="_x0000_s98" style="position:absolute;margin-left:422.984pt;margin-top:6.80469pt;mso-position-vertical-relative:text;mso-position-horizontal-relative:text;width:31.6pt;height:11.6pt;z-index:251671552;" fillcolor="#8EDE99" filled="true" stroked="false"/>
        </w:pict>
      </w:r>
      <w:r>
        <w:pict>
          <v:shape id="_x0000_s100" style="position:absolute;margin-left:196.643pt;margin-top:1.80688pt;mso-position-vertical-relative:text;mso-position-horizontal-relative:text;width:31.1pt;height:4.7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53" w:lineRule="exact"/>
                    <w:rPr>
                      <w:rFonts w:ascii="Microsoft YaHei" w:hAnsi="Microsoft YaHei" w:eastAsia="Microsoft YaHei" w:cs="Microsoft YaHei"/>
                      <w:sz w:val="5"/>
                      <w:szCs w:val="5"/>
                    </w:rPr>
                  </w:pPr>
                  <w:r>
                    <w:rPr>
                      <w:shd w:val="clear" w:fill="F2F2F2"/>
                      <w:rFonts w:ascii="Microsoft YaHei" w:hAnsi="Microsoft YaHei" w:eastAsia="Microsoft YaHei" w:cs="Microsoft YaHei"/>
                      <w:sz w:val="5"/>
                      <w:szCs w:val="5"/>
                      <w:color w:val="00526B"/>
                      <w:spacing w:val="8"/>
                    </w:rPr>
                    <w:t>针对临床疾病特点使用</w:t>
                  </w:r>
                </w:p>
              </w:txbxContent>
            </v:textbox>
          </v:shape>
        </w:pict>
      </w:r>
      <w:r>
        <w:pict>
          <v:shape id="_x0000_s102" style="position:absolute;margin-left:424.27pt;margin-top:7.63293pt;mso-position-vertical-relative:text;mso-position-horizontal-relative:text;width:29.6pt;height:9.6pt;z-index:25174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2"/>
                    <w:spacing w:before="19" w:line="194" w:lineRule="auto"/>
                    <w:rPr>
                      <w:rFonts w:ascii="Microsoft YaHei" w:hAnsi="Microsoft YaHei" w:eastAsia="Microsoft YaHei" w:cs="Microsoft YaHei"/>
                      <w:sz w:val="6"/>
                      <w:szCs w:val="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FF5252"/>
                      <w:spacing w:val="8"/>
                    </w:rPr>
                    <w:t>不建议继续使用高</w:t>
                  </w: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FF5252"/>
                      <w:spacing w:val="1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FF5252"/>
                      <w:spacing w:val="8"/>
                    </w:rPr>
                    <w:t>血压亚急症的概念</w:t>
                  </w:r>
                </w:p>
              </w:txbxContent>
            </v:textbox>
          </v:shape>
        </w:pict>
      </w:r>
      <w:r/>
    </w:p>
    <w:p>
      <w:pPr>
        <w:spacing w:line="244" w:lineRule="auto"/>
        <w:rPr>
          <w:rFonts w:ascii="Arial"/>
          <w:sz w:val="21"/>
        </w:rPr>
      </w:pPr>
      <w:r>
        <w:pict>
          <v:rect id="_x0000_s104" style="position:absolute;margin-left:168.989pt;margin-top:1.13141pt;mso-position-vertical-relative:text;mso-position-horizontal-relative:text;width:17.95pt;height:20.7pt;z-index:251664384;" fillcolor="#0095A4" filled="true" stroked="false">
            <v:fill opacity="0.501961"/>
          </v:rect>
        </w:pict>
      </w:r>
      <w:r>
        <w:pict>
          <v:shape id="_x0000_s106" style="position:absolute;margin-left:422.982pt;margin-top:5.49512pt;mso-position-vertical-relative:text;mso-position-horizontal-relative:text;width:31.7pt;height:0.75pt;z-index:251765760;" filled="false" strokecolor="#53AF80" strokeweight="0.12pt" coordsize="634,15" coordorigin="0,0" path="m1,1l632,1m1,13l632,13e">
            <v:stroke joinstyle="miter" miterlimit="4"/>
          </v:shape>
        </w:pict>
      </w:r>
      <w:r>
        <w:drawing>
          <wp:anchor distT="0" distB="0" distL="0" distR="0" simplePos="0" relativeHeight="251777024" behindDoc="0" locked="0" layoutInCell="1" allowOverlap="1">
            <wp:simplePos x="0" y="0"/>
            <wp:positionH relativeFrom="column">
              <wp:posOffset>6262869</wp:posOffset>
            </wp:positionH>
            <wp:positionV relativeFrom="paragraph">
              <wp:posOffset>154499</wp:posOffset>
            </wp:positionV>
            <wp:extent cx="13818" cy="11016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18" cy="11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8" style="position:absolute;margin-left:190.714pt;margin-top:11.1808pt;mso-position-vertical-relative:text;mso-position-horizontal-relative:text;width:41.35pt;height:5.65pt;z-index:25174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72" w:lineRule="exact"/>
                    <w:rPr>
                      <w:rFonts w:ascii="Microsoft YaHei" w:hAnsi="Microsoft YaHei" w:eastAsia="Microsoft YaHei" w:cs="Microsoft YaHei"/>
                      <w:sz w:val="7"/>
                      <w:szCs w:val="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7"/>
                      <w:szCs w:val="7"/>
                      <w:color w:val="F8F7F7"/>
                      <w:position w:val="2"/>
                    </w:rPr>
                    <w:drawing>
                      <wp:inline distT="0" distB="0" distL="0" distR="0">
                        <wp:extent cx="19" cy="18"/>
                        <wp:effectExtent l="0" t="0" r="0" b="0"/>
                        <wp:docPr id="86" name="IM 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6" name="IM 86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9" cy="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7"/>
                      <w:szCs w:val="7"/>
                      <w:color w:val="F8F7F7"/>
                      <w:spacing w:val="2"/>
                    </w:rPr>
                    <w:t xml:space="preserve">       </w:t>
                  </w:r>
                  <w:r>
                    <w:rPr>
                      <w:rFonts w:ascii="Microsoft YaHei" w:hAnsi="Microsoft YaHei" w:eastAsia="Microsoft YaHei" w:cs="Microsoft YaHei"/>
                      <w:sz w:val="7"/>
                      <w:szCs w:val="7"/>
                      <w:color w:val="F8F7F7"/>
                    </w:rPr>
                    <w:drawing>
                      <wp:inline distT="0" distB="0" distL="0" distR="0">
                        <wp:extent cx="51672" cy="44993"/>
                        <wp:effectExtent l="0" t="0" r="0" b="0"/>
                        <wp:docPr id="88" name="IM 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8" name="IM 88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1672" cy="449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7"/>
                      <w:szCs w:val="7"/>
                      <w:color w:val="F8F7F7"/>
                    </w:rPr>
                    <w:drawing>
                      <wp:inline distT="0" distB="0" distL="0" distR="0">
                        <wp:extent cx="52850" cy="43581"/>
                        <wp:effectExtent l="0" t="0" r="0" b="0"/>
                        <wp:docPr id="90" name="IM 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0" name="IM 90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2850" cy="435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7"/>
                      <w:szCs w:val="7"/>
                      <w:color w:val="F8F7F7"/>
                      <w:spacing w:val="7"/>
                    </w:rPr>
                    <w:t>药物使用原则</w:t>
                  </w:r>
                </w:p>
              </w:txbxContent>
            </v:textbox>
          </v:shape>
        </w:pict>
      </w:r>
      <w:r>
        <w:pict>
          <v:shape id="_x0000_s110" style="position:absolute;margin-left:185.75pt;margin-top:7.5741pt;mso-position-vertical-relative:text;mso-position-horizontal-relative:text;width:10pt;height:13.2pt;z-index:251663360;" filled="false" strokecolor="#7B1FA2" strokeweight="0.24pt" coordsize="200,263" coordorigin="0,0" path="m197,131l121,131c105,45,66,2,2,2m197,131l121,131l2,131m197,131l121,131c105,218,66,261,2,261e">
            <v:stroke endcap="round" joinstyle="miter" miterlimit="4"/>
          </v:shape>
        </w:pict>
      </w: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4868652</wp:posOffset>
            </wp:positionH>
            <wp:positionV relativeFrom="paragraph">
              <wp:posOffset>3822</wp:posOffset>
            </wp:positionV>
            <wp:extent cx="494087" cy="486605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087" cy="486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5812651</wp:posOffset>
            </wp:positionH>
            <wp:positionV relativeFrom="paragraph">
              <wp:posOffset>40878</wp:posOffset>
            </wp:positionV>
            <wp:extent cx="461467" cy="454479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467" cy="454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2454937</wp:posOffset>
            </wp:positionH>
            <wp:positionV relativeFrom="paragraph">
              <wp:posOffset>123690</wp:posOffset>
            </wp:positionV>
            <wp:extent cx="550781" cy="110117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781" cy="110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763712" behindDoc="0" locked="0" layoutInCell="1" allowOverlap="1">
            <wp:simplePos x="0" y="0"/>
            <wp:positionH relativeFrom="column">
              <wp:posOffset>5364734</wp:posOffset>
            </wp:positionH>
            <wp:positionV relativeFrom="paragraph">
              <wp:posOffset>44388</wp:posOffset>
            </wp:positionV>
            <wp:extent cx="443039" cy="11808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039" cy="11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8592" behindDoc="0" locked="0" layoutInCell="1" allowOverlap="1">
            <wp:simplePos x="0" y="0"/>
            <wp:positionH relativeFrom="column">
              <wp:posOffset>4280530</wp:posOffset>
            </wp:positionH>
            <wp:positionV relativeFrom="paragraph">
              <wp:posOffset>40520</wp:posOffset>
            </wp:positionV>
            <wp:extent cx="9883" cy="734762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83" cy="73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2417686</wp:posOffset>
            </wp:positionH>
            <wp:positionV relativeFrom="paragraph">
              <wp:posOffset>130002</wp:posOffset>
            </wp:positionV>
            <wp:extent cx="314168" cy="384446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168" cy="384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5361320</wp:posOffset>
            </wp:positionH>
            <wp:positionV relativeFrom="paragraph">
              <wp:posOffset>144451</wp:posOffset>
            </wp:positionV>
            <wp:extent cx="610747" cy="713219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747" cy="713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4704221</wp:posOffset>
            </wp:positionH>
            <wp:positionV relativeFrom="paragraph">
              <wp:posOffset>40590</wp:posOffset>
            </wp:positionV>
            <wp:extent cx="173925" cy="226512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925" cy="226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1894876</wp:posOffset>
            </wp:positionH>
            <wp:positionV relativeFrom="paragraph">
              <wp:posOffset>75481</wp:posOffset>
            </wp:positionV>
            <wp:extent cx="523920" cy="261156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3920" cy="261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767808" behindDoc="0" locked="0" layoutInCell="1" allowOverlap="1">
            <wp:simplePos x="0" y="0"/>
            <wp:positionH relativeFrom="column">
              <wp:posOffset>1904789</wp:posOffset>
            </wp:positionH>
            <wp:positionV relativeFrom="paragraph">
              <wp:posOffset>114936</wp:posOffset>
            </wp:positionV>
            <wp:extent cx="27908" cy="43019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08" cy="43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2390239</wp:posOffset>
            </wp:positionH>
            <wp:positionV relativeFrom="paragraph">
              <wp:posOffset>120922</wp:posOffset>
            </wp:positionV>
            <wp:extent cx="311199" cy="422793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199" cy="422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2" style="position:absolute;margin-left:212.589pt;margin-top:3.82983pt;mso-position-vertical-relative:text;mso-position-horizontal-relative:text;width:23.65pt;height:12.15pt;z-index:251669504;" filled="false" strokecolor="#53AF80" strokeweight="0.24pt" coordsize="472,242" coordorigin="0,0" path="m2,121c2,118,2,115,2,113c3,110,3,108,4,105c5,102,5,100,6,97c7,95,9,92,10,90c11,87,13,85,14,82c16,80,18,78,20,75c22,73,24,70,26,68c28,66,31,63,33,61c36,59,38,57,41,55c44,52,47,50,50,48c53,46,57,44,60,42c63,40,67,38,70,37c74,35,78,33,82,31c85,30,89,28,93,26c97,25,102,23,106,22c110,20,114,19,119,18c123,16,128,15,132,14c137,13,141,12,146,11c151,10,156,9,160,8c165,7,170,7,175,6c180,5,185,5,190,4c195,4,200,3,205,3c210,3,215,2,220,2c225,2,230,2,236,2c241,2,246,2,251,2c256,2,261,3,266,3c271,3,276,4,281,4c286,5,291,5,296,6c301,7,306,7,311,8c316,9,320,10,325,11c330,12,334,13,339,14c343,15,348,16,352,18c357,19,361,20,365,22c370,23,374,25,378,26c382,28,386,30,390,31c393,33,397,35,401,37c404,38,408,40,411,42c415,44,418,46,421,48c424,50,427,52,430,55c433,57,435,59,438,61c440,63,443,66,445,68c447,70,449,73,451,75c453,78,455,80,457,82c458,85,460,87,461,90c463,92,464,95,465,97c466,100,467,102,467,105c468,108,468,110,469,113c469,115,469,118,469,121c469,123,469,126,469,128c468,131,468,133,467,136c467,139,466,141,465,144c464,146,463,149,461,151c460,154,458,156,457,159c455,161,453,164,451,166c449,168,447,171,445,173c443,175,440,178,438,180c435,182,433,184,430,186c427,189,424,191,421,193c418,195,415,197,411,199c408,201,404,203,401,204c397,206,393,208,390,210c386,211,382,213,378,215c374,216,370,218,365,219c361,221,357,222,352,223c348,225,343,226,339,227c334,228,330,229,325,230c320,231,316,232,311,233c306,234,301,234,296,235c291,236,286,236,281,237c276,237,271,238,266,238c261,239,256,239,251,239c246,239,241,239,236,239c230,239,225,239,220,239c215,239,210,239,205,238c200,238,195,237,190,237c185,236,180,236,175,235c170,234,165,234,160,233c156,232,151,231,146,230c141,229,137,228,132,227c128,226,123,225,119,223c114,222,110,221,106,219c102,218,97,216,93,215c89,213,85,211,82,210c78,208,74,206,70,204c67,203,63,201,60,199c57,197,53,195,50,193c47,191,44,189,41,186c38,184,36,182,33,180c31,178,28,175,26,173c24,171,22,168,20,166c18,164,16,161,14,159c13,156,11,154,10,151c9,149,7,146,6,144c5,141,5,139,4,136c3,133,3,131,2,128c2,126,2,123,2,121e">
            <v:stroke joinstyle="miter" miterlimit="4"/>
          </v:shape>
        </w:pict>
      </w: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4404123</wp:posOffset>
            </wp:positionH>
            <wp:positionV relativeFrom="paragraph">
              <wp:posOffset>109001</wp:posOffset>
            </wp:positionV>
            <wp:extent cx="305254" cy="418255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254" cy="41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3775278</wp:posOffset>
            </wp:positionH>
            <wp:positionV relativeFrom="paragraph">
              <wp:posOffset>108254</wp:posOffset>
            </wp:positionV>
            <wp:extent cx="405325" cy="407313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5325" cy="407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>
        <w:pict>
          <v:shape id="_x0000_s114" style="position:absolute;margin-left:207.723pt;margin-top:10.2495pt;mso-position-vertical-relative:text;mso-position-horizontal-relative:text;width:0.05pt;height:0.05pt;z-index:251781120;" filled="false" strokecolor="#53AF80" strokeweight="0.00pt" coordsize="1,1" coordorigin="0,0" path="m,c0,0,0,0,0,0c0,0,0,0,0,0c0,0,0,0,0,0c0,0,0,0,0,0e">
            <v:stroke joinstyle="miter" miterlimit="4"/>
          </v:shape>
        </w:pict>
      </w:r>
      <w:r>
        <w:drawing>
          <wp:anchor distT="0" distB="0" distL="0" distR="0" simplePos="0" relativeHeight="251735040" behindDoc="0" locked="0" layoutInCell="1" allowOverlap="1">
            <wp:simplePos x="0" y="0"/>
            <wp:positionH relativeFrom="column">
              <wp:posOffset>2203813</wp:posOffset>
            </wp:positionH>
            <wp:positionV relativeFrom="paragraph">
              <wp:posOffset>29409</wp:posOffset>
            </wp:positionV>
            <wp:extent cx="414946" cy="202277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946" cy="202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6" style="position:absolute;margin-left:216.701pt;margin-top:7.65955pt;mso-position-vertical-relative:text;mso-position-horizontal-relative:text;width:15.7pt;height:5.15pt;z-index:25175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2" w:lineRule="exact"/>
                    <w:rPr>
                      <w:rFonts w:ascii="Microsoft YaHei" w:hAnsi="Microsoft YaHei" w:eastAsia="Microsoft YaHei" w:cs="Microsoft YaHei"/>
                      <w:sz w:val="6"/>
                      <w:szCs w:val="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1F5279"/>
                      <w:spacing w:val="8"/>
                    </w:rPr>
                    <w:t>保证灌注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1670284</wp:posOffset>
            </wp:positionH>
            <wp:positionV relativeFrom="paragraph">
              <wp:posOffset>33748</wp:posOffset>
            </wp:positionV>
            <wp:extent cx="425765" cy="203799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765" cy="203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8" style="position:absolute;margin-left:212.589pt;margin-top:4.49786pt;mso-position-vertical-relative:text;mso-position-horizontal-relative:text;width:23.65pt;height:12.15pt;z-index:251736064;" filled="false" strokecolor="#53AF80" strokeweight="0.24pt" coordsize="472,242" coordorigin="0,0" path="m2,121c2,118,2,115,2,113c3,110,3,108,4,105c5,102,5,100,6,97c7,95,9,92,10,90c11,87,13,85,14,82c16,80,18,78,20,75c22,73,24,70,26,68c28,66,31,63,33,61c36,59,38,57,41,55c44,52,47,50,50,48c53,46,57,44,60,42c63,40,67,38,70,37c74,35,78,33,82,31c85,30,89,28,93,26c97,25,102,23,106,22c110,20,114,19,119,18c123,16,128,15,132,14c137,13,141,12,146,11c151,10,156,9,160,8c165,7,170,7,175,6c180,5,185,5,190,4c195,4,200,3,205,3c210,3,215,2,220,2c225,2,230,2,236,2c241,2,246,2,251,2c256,2,261,3,266,3c271,3,276,4,281,4c286,5,291,5,296,6c301,7,306,7,311,8c316,9,320,10,325,11c330,12,334,13,339,14c343,15,348,16,352,18c357,19,361,20,365,22c370,23,374,25,378,26c382,28,386,30,390,31c393,33,397,35,401,37c404,38,408,40,411,42c415,44,418,46,421,48c424,50,427,52,430,55c433,57,435,59,438,61c440,63,443,66,445,68c447,70,449,73,451,75c453,78,455,80,457,82c458,85,460,87,461,90c463,92,464,95,465,97c466,100,467,102,467,105c468,108,468,110,469,113c469,115,469,118,469,121c469,123,469,126,469,128c468,131,468,133,467,136c467,139,466,141,465,144c464,146,463,149,461,151c460,154,458,156,457,159c455,161,453,164,451,166c449,168,447,171,445,173c443,175,440,178,438,180c435,182,433,184,430,186c427,189,424,191,421,193c418,195,415,197,411,199c408,201,404,203,401,204c397,206,393,208,390,210c386,211,382,213,378,215c374,216,370,218,365,219c361,221,357,222,352,223c348,225,343,226,339,227c334,228,330,229,325,230c320,231,316,232,311,233c306,234,301,234,296,235c291,236,286,236,281,237c276,237,271,238,266,238c261,239,256,239,251,239c246,239,241,239,236,239c230,239,225,239,220,239c215,239,210,239,205,238c200,238,195,237,190,237c185,236,180,236,175,235c170,234,165,234,160,233c156,232,151,231,146,230c141,229,137,228,132,227c128,226,123,225,119,223c114,222,110,221,106,219c102,218,97,216,93,215c89,213,85,211,82,210c78,208,74,206,70,204c67,203,63,201,60,199c57,197,53,195,50,193c47,191,44,189,41,186c38,184,36,182,33,180c31,178,28,175,26,173c24,171,22,168,20,166c18,164,16,161,14,159c13,156,11,154,10,151c9,149,7,146,6,144c5,141,5,139,4,136c3,133,3,131,2,128c2,126,2,123,2,121e">
            <v:stroke joinstyle="miter" miterlimit="4"/>
          </v:shape>
        </w:pict>
      </w:r>
      <w:r/>
    </w:p>
    <w:p>
      <w:pPr>
        <w:spacing w:line="244" w:lineRule="auto"/>
        <w:rPr>
          <w:rFonts w:ascii="Arial"/>
          <w:sz w:val="21"/>
        </w:rPr>
      </w:pPr>
      <w:r>
        <w:pict>
          <v:rect id="_x0000_s120" style="position:absolute;margin-left:70.4935pt;margin-top:11.2235pt;mso-position-vertical-relative:text;mso-position-horizontal-relative:text;width:43.3pt;height:9.2pt;z-index:251677696;" fillcolor="#FF3C00" filled="true" stroked="false"/>
        </w:pict>
      </w:r>
      <w:r>
        <w:pict>
          <v:shape id="_x0000_s122" style="position:absolute;margin-left:148.25pt;margin-top:7.98731pt;mso-position-vertical-relative:text;mso-position-horizontal-relative:text;width:0.05pt;height:0.05pt;z-index:251782144;" filled="false" strokecolor="#FFC009" strokeweight="0.00pt" coordsize="1,1" coordorigin="0,0" path="m,c0,0,0,0,0,0c0,0,0,0,0,0c0,0,0,0,0,0c0,0,0,0,0,0e">
            <v:stroke joinstyle="miter" miterlimit="4"/>
          </v:shape>
        </w:pict>
      </w:r>
      <w:r>
        <w:pict>
          <v:shape id="_x0000_s124" style="position:absolute;margin-left:146.909pt;margin-top:6.49158pt;mso-position-vertical-relative:text;mso-position-horizontal-relative:text;width:2.05pt;height:47.4pt;z-index:251680768;" filled="false" strokecolor="#FFC009" strokeweight="0.60pt" coordsize="40,948" coordorigin="0,0" path="m34,5l34,37c30,237,21,337,6,337m34,5l34,37c30,427,21,623,6,623m34,5l34,37c30,640,21,941,6,941e">
            <v:stroke endcap="round" joinstyle="miter" miterlimit="4"/>
          </v:shape>
        </w:pict>
      </w:r>
      <w:r>
        <w:pict>
          <v:shape id="_x0000_s126" style="position:absolute;margin-left:212.589pt;margin-top:5.16602pt;mso-position-vertical-relative:text;mso-position-horizontal-relative:text;width:23.65pt;height:12.15pt;z-index:251681792;" filled="false" strokecolor="#53AF80" strokeweight="0.24pt" coordsize="472,242" coordorigin="0,0" path="m2,121c2,118,2,115,2,113c3,110,3,108,4,105c5,102,5,100,6,97c7,95,9,92,10,90c11,87,13,85,14,82c16,80,18,78,20,75c22,73,24,70,26,68c28,66,31,63,33,61c36,59,38,57,41,55c44,52,47,50,50,48c53,46,57,44,60,42c63,40,67,38,70,37c74,35,78,33,82,31c85,30,89,28,93,26c97,25,102,23,106,22c110,20,114,19,119,18c123,16,128,15,132,14c137,13,141,12,146,11c151,10,156,9,160,8c165,7,170,7,175,6c180,5,185,5,190,4c195,4,200,3,205,3c210,3,215,2,220,2c225,2,230,2,236,2c241,2,246,2,251,2c256,2,261,3,266,3c271,3,276,4,281,4c286,5,291,5,296,6c301,7,306,7,311,8c316,9,320,10,325,11c330,12,334,13,339,14c343,15,348,16,352,18c357,19,361,20,365,22c370,23,374,25,378,26c382,28,386,30,390,31c393,33,397,35,401,37c404,38,408,40,411,42c415,44,418,46,421,48c424,50,427,52,430,55c433,57,435,59,438,61c440,63,443,66,445,68c447,70,449,73,451,75c453,78,455,80,457,82c458,85,460,87,461,90c463,92,464,95,465,97c466,100,467,102,467,105c468,108,468,110,469,113c469,115,469,118,469,121c469,123,469,126,469,128c468,131,468,133,467,136c467,139,466,141,465,144c464,146,463,149,461,151c460,154,458,156,457,159c455,161,453,164,451,166c449,168,447,171,445,173c443,175,440,178,438,180c435,182,433,184,430,186c427,189,424,191,421,193c418,195,415,197,411,199c408,201,404,203,401,204c397,206,393,208,390,210c386,211,382,213,378,215c374,216,370,218,365,219c361,221,357,222,352,223c348,225,343,226,339,227c334,228,330,229,325,230c320,231,316,232,311,233c306,234,301,234,296,235c291,236,286,236,281,237c276,237,271,238,266,238c261,239,256,239,251,239c246,239,241,239,236,239c230,239,225,239,220,239c215,239,210,239,205,238c200,238,195,237,190,237c185,236,180,236,175,235c170,234,165,234,160,233c156,232,151,231,146,230c141,229,137,228,132,227c128,226,123,225,119,223c114,222,110,221,106,219c102,218,97,216,93,215c89,213,85,211,82,210c78,208,74,206,70,204c67,203,63,201,60,199c57,197,53,195,50,193c47,191,44,189,41,186c38,184,36,182,33,180c31,178,28,175,26,173c24,171,22,168,20,166c18,164,16,161,14,159c13,156,11,154,10,151c9,149,7,146,6,144c5,141,5,139,4,136c3,133,3,131,2,128c2,126,2,123,2,121e">
            <v:stroke joinstyle="miter" miterlimit="4"/>
          </v:shape>
        </w:pict>
      </w:r>
      <w:r>
        <w:drawing>
          <wp:anchor distT="0" distB="0" distL="0" distR="0" simplePos="0" relativeHeight="251769856" behindDoc="0" locked="0" layoutInCell="1" allowOverlap="1">
            <wp:simplePos x="0" y="0"/>
            <wp:positionH relativeFrom="column">
              <wp:posOffset>4270599</wp:posOffset>
            </wp:positionH>
            <wp:positionV relativeFrom="paragraph">
              <wp:posOffset>136483</wp:posOffset>
            </wp:positionV>
            <wp:extent cx="30892" cy="30919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92" cy="30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1475959</wp:posOffset>
            </wp:positionH>
            <wp:positionV relativeFrom="paragraph">
              <wp:posOffset>64262</wp:posOffset>
            </wp:positionV>
            <wp:extent cx="395233" cy="149920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233" cy="14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767810</wp:posOffset>
            </wp:positionH>
            <wp:positionV relativeFrom="paragraph">
              <wp:posOffset>60999</wp:posOffset>
            </wp:positionV>
            <wp:extent cx="129485" cy="149376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485" cy="149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8656" behindDoc="0" locked="0" layoutInCell="1" allowOverlap="1">
            <wp:simplePos x="0" y="0"/>
            <wp:positionH relativeFrom="column">
              <wp:posOffset>2299361</wp:posOffset>
            </wp:positionH>
            <wp:positionV relativeFrom="paragraph">
              <wp:posOffset>82099</wp:posOffset>
            </wp:positionV>
            <wp:extent cx="1586170" cy="510288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6170" cy="510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9680" behindDoc="0" locked="0" layoutInCell="1" allowOverlap="1">
            <wp:simplePos x="0" y="0"/>
            <wp:positionH relativeFrom="column">
              <wp:posOffset>3890984</wp:posOffset>
            </wp:positionH>
            <wp:positionV relativeFrom="paragraph">
              <wp:posOffset>39534</wp:posOffset>
            </wp:positionV>
            <wp:extent cx="763385" cy="752134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3385" cy="752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3776" behindDoc="0" locked="0" layoutInCell="1" allowOverlap="1">
            <wp:simplePos x="0" y="0"/>
            <wp:positionH relativeFrom="column">
              <wp:posOffset>5703572</wp:posOffset>
            </wp:positionH>
            <wp:positionV relativeFrom="paragraph">
              <wp:posOffset>74259</wp:posOffset>
            </wp:positionV>
            <wp:extent cx="539655" cy="568298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655" cy="568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747328" behindDoc="0" locked="0" layoutInCell="1" allowOverlap="1">
            <wp:simplePos x="0" y="0"/>
            <wp:positionH relativeFrom="column">
              <wp:posOffset>600975</wp:posOffset>
            </wp:positionH>
            <wp:positionV relativeFrom="paragraph">
              <wp:posOffset>86226</wp:posOffset>
            </wp:positionV>
            <wp:extent cx="129485" cy="152641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485" cy="152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>
        <w:pict>
          <v:shape id="_x0000_s128" style="position:absolute;margin-left:333.143pt;margin-top:0.841614pt;mso-position-vertical-relative:text;mso-position-horizontal-relative:text;width:16.2pt;height:6.55pt;z-index:251784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90" w:lineRule="exact"/>
                    <w:rPr>
                      <w:rFonts w:ascii="Microsoft YaHei" w:hAnsi="Microsoft YaHei" w:eastAsia="Microsoft YaHei" w:cs="Microsoft YaHei"/>
                      <w:sz w:val="9"/>
                      <w:szCs w:val="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9"/>
                      <w:szCs w:val="9"/>
                      <w:color w:val="F8F7F7"/>
                      <w:spacing w:val="4"/>
                    </w:rPr>
                    <w:t>压急症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39136" behindDoc="0" locked="0" layoutInCell="1" allowOverlap="1">
            <wp:simplePos x="0" y="0"/>
            <wp:positionH relativeFrom="column">
              <wp:posOffset>728431</wp:posOffset>
            </wp:positionH>
            <wp:positionV relativeFrom="paragraph">
              <wp:posOffset>37095</wp:posOffset>
            </wp:positionV>
            <wp:extent cx="629533" cy="60120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533" cy="6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0" style="position:absolute;margin-left:106.927pt;margin-top:0.526062pt;mso-position-vertical-relative:text;mso-position-horizontal-relative:text;width:3.25pt;height:7.75pt;z-index:251676672;" filled="false" strokecolor="#FFC009" strokeweight="0.60pt" coordsize="65,155" coordorigin="0,0" path="m58,5l58,5l6,148e">
            <v:stroke endcap="round" joinstyle="miter" miterlimit="4"/>
          </v:shape>
        </w:pict>
      </w: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4647376</wp:posOffset>
            </wp:positionH>
            <wp:positionV relativeFrom="paragraph">
              <wp:posOffset>52498</wp:posOffset>
            </wp:positionV>
            <wp:extent cx="1042299" cy="31705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2299" cy="3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1664" behindDoc="0" locked="0" layoutInCell="1" allowOverlap="1">
            <wp:simplePos x="0" y="0"/>
            <wp:positionH relativeFrom="column">
              <wp:posOffset>4121484</wp:posOffset>
            </wp:positionH>
            <wp:positionV relativeFrom="paragraph">
              <wp:posOffset>23753</wp:posOffset>
            </wp:positionV>
            <wp:extent cx="116203" cy="56735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203" cy="5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1656507</wp:posOffset>
            </wp:positionH>
            <wp:positionV relativeFrom="paragraph">
              <wp:posOffset>136025</wp:posOffset>
            </wp:positionV>
            <wp:extent cx="214684" cy="149920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684" cy="149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913686</wp:posOffset>
            </wp:positionH>
            <wp:positionV relativeFrom="paragraph">
              <wp:posOffset>132762</wp:posOffset>
            </wp:positionV>
            <wp:extent cx="129485" cy="152641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485" cy="152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6304" behindDoc="0" locked="0" layoutInCell="1" allowOverlap="1">
            <wp:simplePos x="0" y="0"/>
            <wp:positionH relativeFrom="column">
              <wp:posOffset>3993816</wp:posOffset>
            </wp:positionH>
            <wp:positionV relativeFrom="paragraph">
              <wp:posOffset>133515</wp:posOffset>
            </wp:positionV>
            <wp:extent cx="557709" cy="36525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709" cy="3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2688" behindDoc="0" locked="0" layoutInCell="1" allowOverlap="1">
            <wp:simplePos x="0" y="0"/>
            <wp:positionH relativeFrom="column">
              <wp:posOffset>5917294</wp:posOffset>
            </wp:positionH>
            <wp:positionV relativeFrom="paragraph">
              <wp:posOffset>149309</wp:posOffset>
            </wp:positionV>
            <wp:extent cx="119936" cy="51111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936" cy="51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>
        <w:pict>
          <v:shape id="_x0000_s132" style="position:absolute;margin-left:110.699pt;margin-top:4.19037pt;mso-position-vertical-relative:text;mso-position-horizontal-relative:text;width:3.25pt;height:7.75pt;z-index:251675648;" filled="false" strokecolor="#FFC009" strokeweight="0.60pt" coordsize="65,155" coordorigin="0,0" path="m58,5l58,5l6,148e">
            <v:stroke endcap="round" joinstyle="miter" miterlimit="4"/>
          </v:shape>
        </w:pict>
      </w:r>
      <w:r>
        <w:drawing>
          <wp:anchor distT="0" distB="0" distL="0" distR="0" simplePos="0" relativeHeight="251757568" behindDoc="0" locked="0" layoutInCell="1" allowOverlap="1">
            <wp:simplePos x="0" y="0"/>
            <wp:positionH relativeFrom="column">
              <wp:posOffset>2447456</wp:posOffset>
            </wp:positionH>
            <wp:positionV relativeFrom="paragraph">
              <wp:posOffset>133758</wp:posOffset>
            </wp:positionV>
            <wp:extent cx="196847" cy="38148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847" cy="38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2254504</wp:posOffset>
            </wp:positionH>
            <wp:positionV relativeFrom="paragraph">
              <wp:posOffset>142510</wp:posOffset>
            </wp:positionV>
            <wp:extent cx="654643" cy="897546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4643" cy="897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4419786</wp:posOffset>
            </wp:positionH>
            <wp:positionV relativeFrom="paragraph">
              <wp:posOffset>141865</wp:posOffset>
            </wp:positionV>
            <wp:extent cx="417202" cy="497219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202" cy="497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2752" behindDoc="0" locked="0" layoutInCell="1" allowOverlap="1">
            <wp:simplePos x="0" y="0"/>
            <wp:positionH relativeFrom="column">
              <wp:posOffset>3442273</wp:posOffset>
            </wp:positionH>
            <wp:positionV relativeFrom="paragraph">
              <wp:posOffset>120640</wp:posOffset>
            </wp:positionV>
            <wp:extent cx="640153" cy="533514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153" cy="533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5328087</wp:posOffset>
            </wp:positionH>
            <wp:positionV relativeFrom="paragraph">
              <wp:posOffset>23914</wp:posOffset>
            </wp:positionV>
            <wp:extent cx="671339" cy="828596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1339" cy="8285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>
        <w:pict>
          <v:rect id="_x0000_s134" style="position:absolute;margin-left:211.089pt;margin-top:1.55188pt;mso-position-vertical-relative:text;mso-position-horizontal-relative:text;width:28.95pt;height:11.65pt;z-index:251685888;" fillcolor="#8EDDF9" filled="true" stroked="false"/>
        </w:pict>
      </w:r>
      <w:r/>
    </w:p>
    <w:p>
      <w:pPr>
        <w:spacing w:line="244" w:lineRule="auto"/>
        <w:rPr>
          <w:rFonts w:ascii="Arial"/>
          <w:sz w:val="21"/>
        </w:rPr>
      </w:pPr>
      <w:r>
        <w:pict>
          <v:shape id="_x0000_s136" style="position:absolute;margin-left:211.21pt;margin-top:0.901489pt;mso-position-vertical-relative:text;mso-position-horizontal-relative:text;width:28.9pt;height:0.15pt;z-index:251689984;" filled="false" strokecolor="#53AF80" strokeweight="0.12pt" coordsize="577,3" coordorigin="0,0" path="m577,1l0,1e">
            <v:stroke joinstyle="miter" miterlimit="4"/>
          </v:shape>
        </w:pict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2859190</wp:posOffset>
            </wp:positionH>
            <wp:positionV relativeFrom="paragraph">
              <wp:posOffset>40946</wp:posOffset>
            </wp:positionV>
            <wp:extent cx="292697" cy="247559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697" cy="247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3476463</wp:posOffset>
            </wp:positionH>
            <wp:positionV relativeFrom="paragraph">
              <wp:posOffset>122523</wp:posOffset>
            </wp:positionV>
            <wp:extent cx="1823005" cy="667014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23005" cy="667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2915195</wp:posOffset>
            </wp:positionH>
            <wp:positionV relativeFrom="paragraph">
              <wp:posOffset>134797</wp:posOffset>
            </wp:positionV>
            <wp:extent cx="552930" cy="544560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930" cy="544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3037791</wp:posOffset>
            </wp:positionH>
            <wp:positionV relativeFrom="paragraph">
              <wp:posOffset>103570</wp:posOffset>
            </wp:positionV>
            <wp:extent cx="314907" cy="307525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907" cy="30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771904" behindDoc="0" locked="0" layoutInCell="1" allowOverlap="1">
            <wp:simplePos x="0" y="0"/>
            <wp:positionH relativeFrom="column">
              <wp:posOffset>5327915</wp:posOffset>
            </wp:positionH>
            <wp:positionV relativeFrom="paragraph">
              <wp:posOffset>61231</wp:posOffset>
            </wp:positionV>
            <wp:extent cx="9381" cy="30806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81" cy="30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2831999</wp:posOffset>
            </wp:positionH>
            <wp:positionV relativeFrom="paragraph">
              <wp:posOffset>110717</wp:posOffset>
            </wp:positionV>
            <wp:extent cx="224397" cy="536760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4397" cy="53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0944" behindDoc="0" locked="0" layoutInCell="1" allowOverlap="1">
            <wp:simplePos x="0" y="0"/>
            <wp:positionH relativeFrom="column">
              <wp:posOffset>3981570</wp:posOffset>
            </wp:positionH>
            <wp:positionV relativeFrom="paragraph">
              <wp:posOffset>81967</wp:posOffset>
            </wp:positionV>
            <wp:extent cx="408461" cy="418798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8461" cy="418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773952" behindDoc="0" locked="0" layoutInCell="1" allowOverlap="1">
            <wp:simplePos x="0" y="0"/>
            <wp:positionH relativeFrom="column">
              <wp:posOffset>3966283</wp:posOffset>
            </wp:positionH>
            <wp:positionV relativeFrom="paragraph">
              <wp:posOffset>35777</wp:posOffset>
            </wp:positionV>
            <wp:extent cx="13681" cy="11553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81" cy="11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3091162</wp:posOffset>
            </wp:positionH>
            <wp:positionV relativeFrom="paragraph">
              <wp:posOffset>79045</wp:posOffset>
            </wp:positionV>
            <wp:extent cx="449830" cy="443019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830" cy="443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3547117</wp:posOffset>
            </wp:positionH>
            <wp:positionV relativeFrom="paragraph">
              <wp:posOffset>38191</wp:posOffset>
            </wp:positionV>
            <wp:extent cx="427479" cy="267484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479" cy="267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>
        <w:pict>
          <v:shape id="_x0000_s138" style="position:absolute;margin-left:338.516pt;margin-top:8.51196pt;mso-position-vertical-relative:text;mso-position-horizontal-relative:text;width:15.2pt;height:5.15pt;z-index:251785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2" w:lineRule="exact"/>
                    <w:rPr>
                      <w:rFonts w:ascii="Microsoft YaHei" w:hAnsi="Microsoft YaHei" w:eastAsia="Microsoft YaHei" w:cs="Microsoft YaHei"/>
                      <w:sz w:val="6"/>
                      <w:szCs w:val="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F8F7F7"/>
                      <w:spacing w:val="5"/>
                    </w:rPr>
                    <w:t>起病诱因</w:t>
                  </w:r>
                </w:p>
              </w:txbxContent>
            </v:textbox>
          </v:shape>
        </w:pict>
      </w:r>
      <w:r>
        <w:pict>
          <v:shape id="_x0000_s140" style="position:absolute;margin-left:321.835pt;margin-top:8.52869pt;mso-position-vertical-relative:text;mso-position-horizontal-relative:text;width:15.4pt;height:5.15pt;z-index:251783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2" w:lineRule="exact"/>
                    <w:rPr>
                      <w:rFonts w:ascii="Microsoft YaHei" w:hAnsi="Microsoft YaHei" w:eastAsia="Microsoft YaHei" w:cs="Microsoft YaHei"/>
                      <w:sz w:val="6"/>
                      <w:szCs w:val="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F8F7F7"/>
                      <w:spacing w:val="6"/>
                    </w:rPr>
                    <w:t>伴</w:t>
                  </w:r>
                  <w:r>
                    <w:rPr>
                      <w:sz w:val="6"/>
                      <w:szCs w:val="6"/>
                    </w:rPr>
                    <w:drawing>
                      <wp:inline distT="0" distB="0" distL="0" distR="0">
                        <wp:extent cx="43310" cy="38948"/>
                        <wp:effectExtent l="0" t="0" r="0" b="0"/>
                        <wp:docPr id="180" name="IM 1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0" name="IM 180"/>
                                <pic:cNvPicPr/>
                              </pic:nvPicPr>
                              <pic:blipFill>
                                <a:blip r:embed="rId9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310" cy="389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6"/>
                      <w:szCs w:val="6"/>
                      <w:color w:val="F8F7F7"/>
                      <w:spacing w:val="6"/>
                    </w:rPr>
                    <w:t>症状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3874398</wp:posOffset>
            </wp:positionH>
            <wp:positionV relativeFrom="paragraph">
              <wp:posOffset>91215</wp:posOffset>
            </wp:positionV>
            <wp:extent cx="199360" cy="102255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360" cy="10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4086119</wp:posOffset>
            </wp:positionH>
            <wp:positionV relativeFrom="paragraph">
              <wp:posOffset>91215</wp:posOffset>
            </wp:positionV>
            <wp:extent cx="199360" cy="102255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360" cy="10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4297841</wp:posOffset>
            </wp:positionH>
            <wp:positionV relativeFrom="paragraph">
              <wp:posOffset>91215</wp:posOffset>
            </wp:positionV>
            <wp:extent cx="199360" cy="102255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9360" cy="102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4027391</wp:posOffset>
            </wp:positionH>
            <wp:positionV relativeFrom="paragraph">
              <wp:posOffset>95729</wp:posOffset>
            </wp:positionV>
            <wp:extent cx="315269" cy="162247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5269" cy="162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4462"/>
        <w:spacing w:before="69" w:line="180" w:lineRule="auto"/>
        <w:outlineLvl w:val="0"/>
        <w:rPr>
          <w:rFonts w:ascii="Microsoft YaHei" w:hAnsi="Microsoft YaHei" w:eastAsia="Microsoft YaHei" w:cs="Microsoft YaHei"/>
          <w:sz w:val="16"/>
          <w:szCs w:val="16"/>
        </w:rPr>
      </w:pPr>
      <w:r>
        <w:drawing>
          <wp:anchor distT="0" distB="0" distL="0" distR="0" simplePos="0" relativeHeight="251774976" behindDoc="0" locked="0" layoutInCell="1" allowOverlap="1">
            <wp:simplePos x="0" y="0"/>
            <wp:positionH relativeFrom="column">
              <wp:posOffset>1634508</wp:posOffset>
            </wp:positionH>
            <wp:positionV relativeFrom="paragraph">
              <wp:posOffset>-2567068</wp:posOffset>
            </wp:positionV>
            <wp:extent cx="3780015" cy="4391488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0015" cy="439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图</w:t>
      </w:r>
      <w:r>
        <w:rPr>
          <w:rFonts w:ascii="SimHei" w:hAnsi="SimHei" w:eastAsia="SimHei" w:cs="SimHei"/>
          <w:sz w:val="16"/>
          <w:szCs w:val="16"/>
          <w:color w:val="231F20"/>
          <w:spacing w:val="-19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>1</w:t>
      </w:r>
      <w:r>
        <w:rPr>
          <w:rFonts w:ascii="SimHei" w:hAnsi="SimHei" w:eastAsia="SimHei" w:cs="SimHei"/>
          <w:sz w:val="16"/>
          <w:szCs w:val="16"/>
          <w:color w:val="231F20"/>
          <w:spacing w:val="-2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高血压急症诊治思维导图</w:t>
      </w:r>
    </w:p>
    <w:p>
      <w:pPr>
        <w:spacing w:line="37" w:lineRule="exact"/>
        <w:rPr/>
      </w:pPr>
      <w:r/>
    </w:p>
    <w:p>
      <w:pPr>
        <w:spacing w:line="37" w:lineRule="exact"/>
        <w:sectPr>
          <w:headerReference w:type="default" r:id="rId3"/>
          <w:footerReference w:type="default" r:id="rId4"/>
          <w:pgSz w:w="11906" w:h="16158"/>
          <w:pgMar w:top="1301" w:right="400" w:bottom="566" w:left="402" w:header="1024" w:footer="297" w:gutter="0"/>
          <w:cols w:equalWidth="0" w:num="1">
            <w:col w:w="11104" w:space="0"/>
          </w:cols>
        </w:sectPr>
        <w:rPr/>
      </w:pPr>
    </w:p>
    <w:p>
      <w:pPr>
        <w:pStyle w:val="BodyText"/>
        <w:ind w:left="736"/>
        <w:spacing w:before="47" w:line="21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  <w:position w:val="-1"/>
        </w:rPr>
        <w:t>神经系统症状体征 </w:t>
      </w:r>
      <w:r>
        <w:rPr>
          <w:sz w:val="10"/>
          <w:szCs w:val="10"/>
          <w:color w:val="231F20"/>
          <w:spacing w:val="-1"/>
          <w:position w:val="7"/>
        </w:rPr>
        <w:t>[5]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  <w:position w:val="-1"/>
        </w:rPr>
        <w:t>。</w:t>
      </w:r>
    </w:p>
    <w:p>
      <w:pPr>
        <w:ind w:left="752"/>
        <w:spacing w:before="73" w:line="276" w:lineRule="exact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7"/>
          <w:position w:val="1"/>
        </w:rPr>
        <w:t>1.3</w:t>
      </w:r>
      <w:r>
        <w:rPr>
          <w:rFonts w:ascii="SimHei" w:hAnsi="SimHei" w:eastAsia="SimHei" w:cs="SimHei"/>
          <w:sz w:val="21"/>
          <w:szCs w:val="21"/>
          <w:color w:val="231F20"/>
          <w:spacing w:val="6"/>
          <w:position w:val="1"/>
        </w:rPr>
        <w:t xml:space="preserve">  </w:t>
      </w:r>
      <w:r>
        <w:rPr>
          <w:rFonts w:ascii="SimHei" w:hAnsi="SimHei" w:eastAsia="SimHei" w:cs="SimHei"/>
          <w:sz w:val="21"/>
          <w:szCs w:val="21"/>
          <w:color w:val="231F20"/>
          <w:spacing w:val="-7"/>
          <w:position w:val="1"/>
        </w:rPr>
        <w:t>恶性高血压</w:t>
      </w:r>
    </w:p>
    <w:p>
      <w:pPr>
        <w:pStyle w:val="BodyText"/>
        <w:ind w:left="733" w:right="240" w:firstLine="372"/>
        <w:spacing w:before="23" w:line="247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恶性高血压（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</w:rPr>
        <w:t>malignant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hypertension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，</w:t>
      </w:r>
      <w:r>
        <w:rPr>
          <w:sz w:val="18"/>
          <w:szCs w:val="18"/>
          <w:color w:val="231F20"/>
        </w:rPr>
        <w:t>MH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）是指血压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显著升高（通常 </w:t>
      </w:r>
      <w:r>
        <w:rPr>
          <w:sz w:val="18"/>
          <w:szCs w:val="18"/>
          <w:color w:val="231F20"/>
          <w:spacing w:val="-1"/>
        </w:rPr>
        <w:t>&gt;200/120 mmHg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4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同时可伴有显著视网膜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病变（双侧火焰状出血、棉絮斑或视乳头水肿）。研究显示，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在没有接受治疗的情况下，此类患者的生存期有限 </w:t>
      </w:r>
      <w:r>
        <w:rPr>
          <w:sz w:val="10"/>
          <w:szCs w:val="10"/>
          <w:color w:val="231F20"/>
          <w:spacing w:val="4"/>
          <w:position w:val="8"/>
        </w:rPr>
        <w:t>[1]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，这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也是恶性高血压一词的由来。需要指出的是，全身微循环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损伤是恶性高血压的病理特征 </w:t>
      </w:r>
      <w:r>
        <w:rPr>
          <w:sz w:val="10"/>
          <w:szCs w:val="10"/>
          <w:color w:val="231F20"/>
          <w:spacing w:val="3"/>
          <w:position w:val="8"/>
        </w:rPr>
        <w:t>[6]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，在肾脏和脑急性微血管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损伤的患者中可能不合并视网膜病变 </w:t>
      </w:r>
      <w:r>
        <w:rPr>
          <w:sz w:val="10"/>
          <w:szCs w:val="10"/>
          <w:color w:val="231F20"/>
          <w:spacing w:val="1"/>
          <w:position w:val="7"/>
        </w:rPr>
        <w:t>[4</w:t>
      </w:r>
      <w:r>
        <w:rPr>
          <w:sz w:val="10"/>
          <w:szCs w:val="10"/>
          <w:color w:val="231F20"/>
          <w:position w:val="7"/>
        </w:rPr>
        <w:t>-5]</w:t>
      </w:r>
      <w:r>
        <w:rPr>
          <w:sz w:val="10"/>
          <w:szCs w:val="10"/>
          <w:color w:val="231F20"/>
          <w:spacing w:val="-5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。因此有指南建议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将“急性高血压微血管病”作为恶性高血压的替代术语 </w:t>
      </w:r>
      <w:r>
        <w:rPr>
          <w:sz w:val="10"/>
          <w:szCs w:val="10"/>
          <w:color w:val="231F20"/>
          <w:position w:val="8"/>
        </w:rPr>
        <w:t>[1]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本《规范》仍然使用“恶性高血压”一词。</w:t>
      </w:r>
    </w:p>
    <w:p>
      <w:pPr>
        <w:ind w:left="752"/>
        <w:spacing w:before="1" w:line="242" w:lineRule="auto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3"/>
        </w:rPr>
        <w:t>1.4</w:t>
      </w:r>
      <w:r>
        <w:rPr>
          <w:rFonts w:ascii="SimHei" w:hAnsi="SimHei" w:eastAsia="SimHei" w:cs="SimHei"/>
          <w:sz w:val="21"/>
          <w:szCs w:val="21"/>
          <w:color w:val="231F20"/>
          <w:spacing w:val="-3"/>
        </w:rPr>
        <w:t xml:space="preserve">  </w:t>
      </w:r>
      <w:r>
        <w:rPr>
          <w:rFonts w:ascii="SimHei" w:hAnsi="SimHei" w:eastAsia="SimHei" w:cs="SimHei"/>
          <w:sz w:val="21"/>
          <w:szCs w:val="21"/>
          <w:color w:val="231F20"/>
          <w:spacing w:val="-3"/>
        </w:rPr>
        <w:t>高血压血栓性微血管病</w:t>
      </w:r>
    </w:p>
    <w:p>
      <w:pPr>
        <w:pStyle w:val="BodyText"/>
        <w:ind w:left="732" w:right="237" w:firstLine="374"/>
        <w:spacing w:before="24" w:line="24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高 血 压 血 栓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性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微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血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管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病（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  <w:spacing w:val="-1"/>
        </w:rPr>
        <w:t>hypertensive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"/>
        </w:rPr>
        <w:t>thrombotic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</w:rPr>
        <w:t>microangiopathy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>，</w:t>
      </w:r>
      <w:r>
        <w:rPr>
          <w:sz w:val="18"/>
          <w:szCs w:val="18"/>
          <w:color w:val="231F20"/>
        </w:rPr>
        <w:t>HTM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>）是指出现血压显著升高，伴有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</w:rPr>
        <w:t>Coombs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试验阴性的溶血（乳酸脱氢酶水平升高，结合珠蛋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白降低或检测不到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，可见破碎红细胞）以及血小板减少 ；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降压治疗可使上述相应症状有所改善时，应考虑此病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 xml:space="preserve"> </w:t>
      </w:r>
      <w:r>
        <w:rPr>
          <w:sz w:val="10"/>
          <w:szCs w:val="10"/>
          <w:color w:val="231F20"/>
          <w:spacing w:val="-1"/>
          <w:position w:val="8"/>
        </w:rPr>
        <w:t>[1]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。</w:t>
      </w:r>
    </w:p>
    <w:p>
      <w:pPr>
        <w:ind w:left="752"/>
        <w:spacing w:line="241" w:lineRule="auto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3"/>
        </w:rPr>
        <w:t>1.5</w:t>
      </w:r>
      <w:r>
        <w:rPr>
          <w:rFonts w:ascii="SimHei" w:hAnsi="SimHei" w:eastAsia="SimHei" w:cs="SimHei"/>
          <w:sz w:val="21"/>
          <w:szCs w:val="21"/>
          <w:color w:val="231F20"/>
          <w:spacing w:val="-3"/>
        </w:rPr>
        <w:t xml:space="preserve">  </w:t>
      </w:r>
      <w:r>
        <w:rPr>
          <w:rFonts w:ascii="SimHei" w:hAnsi="SimHei" w:eastAsia="SimHei" w:cs="SimHei"/>
          <w:sz w:val="21"/>
          <w:szCs w:val="21"/>
          <w:color w:val="231F20"/>
          <w:spacing w:val="-3"/>
        </w:rPr>
        <w:t>高血压亚急症与高血压危象</w:t>
      </w:r>
    </w:p>
    <w:p>
      <w:pPr>
        <w:pStyle w:val="BodyText"/>
        <w:ind w:left="1107"/>
        <w:spacing w:before="23" w:line="18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高血压亚急症（</w:t>
      </w:r>
      <w:r>
        <w:rPr>
          <w:sz w:val="18"/>
          <w:szCs w:val="18"/>
          <w:color w:val="231F20"/>
        </w:rPr>
        <w:t>hypertensive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urgency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）曾被用来描述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555" w:firstLine="2"/>
        <w:spacing w:before="56" w:line="252" w:lineRule="auto"/>
        <w:tabs>
          <w:tab w:val="left" w:pos="4795"/>
        </w:tabs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血压 </w:t>
      </w:r>
      <w:r>
        <w:rPr>
          <w:sz w:val="18"/>
          <w:szCs w:val="18"/>
          <w:color w:val="231F20"/>
          <w:spacing w:val="2"/>
        </w:rPr>
        <w:t>&gt;180/110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mmHg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，需要接受治疗但没有急性高血压导</w:t>
      </w:r>
      <w:r>
        <w:rPr>
          <w:rFonts w:ascii="Microsoft YaHei" w:hAnsi="Microsoft YaHei" w:eastAsia="Microsoft YaHei" w:cs="Microsoft YaHei"/>
          <w:sz w:val="18"/>
          <w:szCs w:val="18"/>
        </w:rPr>
        <w:tab/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致的靶器官损伤的情况。研究显示，与未控制高血压的患</w:t>
      </w:r>
      <w:r>
        <w:rPr>
          <w:rFonts w:ascii="Microsoft YaHei" w:hAnsi="Microsoft YaHei" w:eastAsia="Microsoft YaHei" w:cs="Microsoft YaHei"/>
          <w:sz w:val="18"/>
          <w:szCs w:val="18"/>
        </w:rPr>
        <w:tab/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者相比，在急诊接受降压治疗的高血压患者，其 </w:t>
      </w:r>
      <w:r>
        <w:rPr>
          <w:sz w:val="18"/>
          <w:szCs w:val="18"/>
          <w:color w:val="231F20"/>
          <w:spacing w:val="5"/>
        </w:rPr>
        <w:t>6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个月预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后及心血管疾病发生风险并未改善 ；在急性高血压导致的 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器官损害的患者与无症状的未控制的高血压患者之间，所</w:t>
      </w:r>
      <w:r>
        <w:rPr>
          <w:rFonts w:ascii="Microsoft YaHei" w:hAnsi="Microsoft YaHei" w:eastAsia="Microsoft YaHei" w:cs="Microsoft YaHei"/>
          <w:sz w:val="18"/>
          <w:szCs w:val="18"/>
        </w:rPr>
        <w:tab/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采用的治疗并无明显差异 </w:t>
      </w:r>
      <w:r>
        <w:rPr>
          <w:sz w:val="10"/>
          <w:szCs w:val="10"/>
          <w:color w:val="231F20"/>
          <w:spacing w:val="3"/>
          <w:position w:val="8"/>
        </w:rPr>
        <w:t>[7]</w:t>
      </w:r>
      <w:r>
        <w:rPr>
          <w:sz w:val="10"/>
          <w:szCs w:val="10"/>
          <w:color w:val="231F20"/>
          <w:spacing w:val="6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。因此，目前高血压急症仅指</w:t>
      </w:r>
      <w:r>
        <w:rPr>
          <w:rFonts w:ascii="Microsoft YaHei" w:hAnsi="Microsoft YaHei" w:eastAsia="Microsoft YaHei" w:cs="Microsoft YaHei"/>
          <w:sz w:val="18"/>
          <w:szCs w:val="18"/>
        </w:rPr>
        <w:tab/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那些需要立即治疗的情况，而不建议使用“高血压亚急症”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和“高血压危象”（</w:t>
      </w:r>
      <w:r>
        <w:rPr>
          <w:sz w:val="18"/>
          <w:szCs w:val="18"/>
          <w:color w:val="231F20"/>
          <w:spacing w:val="-3"/>
        </w:rPr>
        <w:t>hypertensive crisis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）的表述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sz w:val="10"/>
          <w:szCs w:val="10"/>
          <w:color w:val="231F20"/>
          <w:spacing w:val="-3"/>
          <w:position w:val="8"/>
        </w:rPr>
        <w:t>[7]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。</w:t>
      </w:r>
    </w:p>
    <w:p>
      <w:pPr>
        <w:ind w:left="4"/>
        <w:spacing w:before="93" w:line="241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</w:rPr>
        <w:t>2</w:t>
      </w:r>
      <w:r>
        <w:rPr>
          <w:rFonts w:ascii="SimHei" w:hAnsi="SimHei" w:eastAsia="SimHei" w:cs="SimHei"/>
          <w:sz w:val="24"/>
          <w:szCs w:val="24"/>
          <w:color w:val="231F20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231F20"/>
        </w:rPr>
        <w:t>流行病学特点</w:t>
      </w:r>
    </w:p>
    <w:p>
      <w:pPr>
        <w:pStyle w:val="BodyText"/>
        <w:ind w:right="664" w:firstLine="369"/>
        <w:spacing w:before="158" w:line="24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虽然高血压的治疗在过去几十年里有所改善，但是世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界范围内高血压急症的发病率和病死率却没有显著下降 </w:t>
      </w:r>
      <w:r>
        <w:rPr>
          <w:sz w:val="10"/>
          <w:szCs w:val="10"/>
          <w:color w:val="231F20"/>
          <w:spacing w:val="-3"/>
          <w:position w:val="7"/>
        </w:rPr>
        <w:t>[8-9]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在过去 </w:t>
      </w:r>
      <w:r>
        <w:rPr>
          <w:sz w:val="18"/>
          <w:szCs w:val="18"/>
          <w:color w:val="231F20"/>
          <w:spacing w:val="2"/>
        </w:rPr>
        <w:t>20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年，欧美国家每 </w:t>
      </w:r>
      <w:r>
        <w:rPr>
          <w:sz w:val="18"/>
          <w:szCs w:val="18"/>
          <w:color w:val="231F20"/>
          <w:spacing w:val="2"/>
        </w:rPr>
        <w:t>200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例急诊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就诊患者中，就有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1</w:t>
      </w:r>
      <w:r>
        <w:rPr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  <w:position w:val="-1"/>
        </w:rPr>
        <w:t>例疑似高血压急症，且这一比例始终没有太大改变 </w:t>
      </w:r>
      <w:r>
        <w:rPr>
          <w:sz w:val="10"/>
          <w:szCs w:val="10"/>
          <w:color w:val="231F20"/>
          <w:spacing w:val="4"/>
          <w:position w:val="7"/>
        </w:rPr>
        <w:t>[10-16]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  <w:position w:val="-1"/>
        </w:rPr>
        <w:t>；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在我国，成人高血压患病率为 </w:t>
      </w:r>
      <w:r>
        <w:rPr>
          <w:sz w:val="18"/>
          <w:szCs w:val="18"/>
          <w:color w:val="231F20"/>
          <w:spacing w:val="-7"/>
        </w:rPr>
        <w:t>25.2%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（预测人数为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7"/>
        </w:rPr>
        <w:t>2.7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亿）</w:t>
      </w:r>
      <w:r>
        <w:rPr>
          <w:sz w:val="10"/>
          <w:szCs w:val="10"/>
          <w:color w:val="231F20"/>
          <w:spacing w:val="-7"/>
          <w:position w:val="8"/>
        </w:rPr>
        <w:t>[8]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其中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2"/>
        </w:rPr>
        <w:t>1%~2%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的高血压患者可发生高血压急症 </w:t>
      </w:r>
      <w:r>
        <w:rPr>
          <w:sz w:val="10"/>
          <w:szCs w:val="10"/>
          <w:color w:val="231F20"/>
          <w:spacing w:val="-2"/>
          <w:position w:val="7"/>
        </w:rPr>
        <w:t>[8-9]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。</w:t>
      </w:r>
    </w:p>
    <w:p>
      <w:pPr>
        <w:pStyle w:val="BodyText"/>
        <w:ind w:right="675" w:firstLine="369"/>
        <w:spacing w:before="1" w:line="226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受到族群、遗传差异、生活方式、社会经济地位等影响，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高血压急症的发病率尤其是靶器官损伤存在较大差异 </w:t>
      </w:r>
      <w:r>
        <w:rPr>
          <w:sz w:val="10"/>
          <w:szCs w:val="10"/>
          <w:color w:val="231F20"/>
          <w:spacing w:val="-3"/>
          <w:position w:val="8"/>
        </w:rPr>
        <w:t>[3]</w:t>
      </w:r>
      <w:r>
        <w:rPr>
          <w:sz w:val="10"/>
          <w:szCs w:val="10"/>
          <w:color w:val="231F20"/>
          <w:spacing w:val="1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。在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美国，心力衰竭、卒中和心肌梗死在所有高血压急症中所</w:t>
      </w:r>
    </w:p>
    <w:p>
      <w:pPr>
        <w:spacing w:line="226" w:lineRule="auto"/>
        <w:sectPr>
          <w:type w:val="continuous"/>
          <w:pgSz w:w="11906" w:h="16158"/>
          <w:pgMar w:top="1301" w:right="400" w:bottom="566" w:left="402" w:header="1024" w:footer="297" w:gutter="0"/>
          <w:cols w:equalWidth="0" w:num="2">
            <w:col w:w="5652" w:space="100"/>
            <w:col w:w="5353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before="9"/>
        <w:rPr/>
      </w:pPr>
      <w:r/>
    </w:p>
    <w:p>
      <w:pPr>
        <w:sectPr>
          <w:headerReference w:type="default" r:id="rId98"/>
          <w:footerReference w:type="default" r:id="rId99"/>
          <w:pgSz w:w="11906" w:h="16158"/>
          <w:pgMar w:top="1301" w:right="2" w:bottom="566" w:left="400" w:header="1024" w:footer="2" w:gutter="0"/>
          <w:cols w:equalWidth="0" w:num="1">
            <w:col w:w="11503" w:space="0"/>
          </w:cols>
        </w:sectPr>
        <w:rPr/>
      </w:pPr>
    </w:p>
    <w:p>
      <w:pPr>
        <w:pStyle w:val="BodyText"/>
        <w:ind w:left="736" w:right="238" w:firstLine="26"/>
        <w:spacing w:before="38" w:line="243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占比例最大，其次是颅内出血和主动脉夹层，而高血压急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症伴晚期视网膜病变的发病率相当低 </w:t>
      </w:r>
      <w:r>
        <w:rPr>
          <w:sz w:val="10"/>
          <w:szCs w:val="10"/>
          <w:color w:val="231F20"/>
          <w:spacing w:val="-2"/>
          <w:position w:val="7"/>
        </w:rPr>
        <w:t>[14]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；在非洲裔人群中，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在较年轻时发生高血压及相关靶器官损害、难治性高血压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和夜间高血压的频率更高，发生肾脏疾病、脑卒中、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心力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衰竭和死亡的风险更高；在亚洲裔人群特别是东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亚裔人中，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高血压患者对盐敏感并伴有轻度肥胖的可能性更大。与西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方人相比，东亚裔人更易罹患脑卒中（特别是出血性脑卒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中）和非缺血性心力衰竭，且清晨高血压和夜间高血压也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position w:val="-3"/>
        </w:rPr>
        <w:t>更常见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  <w:position w:val="-3"/>
        </w:rPr>
        <w:t xml:space="preserve"> </w:t>
      </w:r>
      <w:r>
        <w:rPr>
          <w:sz w:val="10"/>
          <w:szCs w:val="10"/>
          <w:color w:val="231F20"/>
          <w:position w:val="5"/>
        </w:rPr>
        <w:t>[3]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position w:val="-3"/>
        </w:rPr>
        <w:t>。</w:t>
      </w:r>
    </w:p>
    <w:p>
      <w:pPr>
        <w:pStyle w:val="BodyText"/>
        <w:ind w:left="737" w:right="296" w:firstLine="371"/>
        <w:spacing w:before="4" w:line="244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高血压急症患者急性期病死率达 </w:t>
      </w:r>
      <w:r>
        <w:rPr>
          <w:sz w:val="18"/>
          <w:szCs w:val="18"/>
          <w:color w:val="231F20"/>
        </w:rPr>
        <w:t>6.9%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，发病后 </w:t>
      </w:r>
      <w:r>
        <w:rPr>
          <w:sz w:val="18"/>
          <w:szCs w:val="18"/>
          <w:color w:val="231F20"/>
        </w:rPr>
        <w:t>90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</w:rPr>
        <w:t>d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病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死率和再住院率达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11%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，其中约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1/4</w:t>
      </w:r>
      <w:r>
        <w:rPr>
          <w:sz w:val="18"/>
          <w:szCs w:val="18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是反复出现血压突然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和显著升高 </w:t>
      </w:r>
      <w:r>
        <w:rPr>
          <w:sz w:val="10"/>
          <w:szCs w:val="10"/>
          <w:color w:val="231F20"/>
          <w:spacing w:val="3"/>
          <w:position w:val="8"/>
        </w:rPr>
        <w:t>[17]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；部分严重的高血压急症患者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12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个月内病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死率可达 </w:t>
      </w:r>
      <w:r>
        <w:rPr>
          <w:sz w:val="18"/>
          <w:szCs w:val="18"/>
          <w:color w:val="231F20"/>
          <w:spacing w:val="2"/>
        </w:rPr>
        <w:t>50%</w:t>
      </w:r>
      <w:r>
        <w:rPr>
          <w:sz w:val="10"/>
          <w:szCs w:val="10"/>
          <w:color w:val="231F20"/>
          <w:spacing w:val="2"/>
          <w:position w:val="7"/>
        </w:rPr>
        <w:t>[18]</w:t>
      </w:r>
      <w:r>
        <w:rPr>
          <w:sz w:val="10"/>
          <w:szCs w:val="10"/>
          <w:color w:val="231F20"/>
          <w:spacing w:val="8"/>
          <w:w w:val="103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。高血压急症患者的高病死率与许多因素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相关，社会医疗水平与条件以及患者对治疗的依从性可能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position w:val="-3"/>
        </w:rPr>
        <w:t>是最主要的原因 </w:t>
      </w:r>
      <w:r>
        <w:rPr>
          <w:sz w:val="10"/>
          <w:szCs w:val="10"/>
          <w:color w:val="231F20"/>
          <w:position w:val="5"/>
        </w:rPr>
        <w:t>[19-20]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position w:val="-3"/>
        </w:rPr>
        <w:t>。</w:t>
      </w:r>
    </w:p>
    <w:p>
      <w:pPr>
        <w:ind w:left="742"/>
        <w:spacing w:before="166" w:line="242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</w:rPr>
        <w:t>3</w:t>
      </w:r>
      <w:r>
        <w:rPr>
          <w:rFonts w:ascii="SimHei" w:hAnsi="SimHei" w:eastAsia="SimHei" w:cs="SimHei"/>
          <w:sz w:val="24"/>
          <w:szCs w:val="24"/>
          <w:color w:val="231F20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231F20"/>
        </w:rPr>
        <w:t>病理生理变化</w:t>
      </w:r>
    </w:p>
    <w:p>
      <w:pPr>
        <w:pStyle w:val="BodyText"/>
        <w:ind w:left="736" w:right="223" w:firstLine="373"/>
        <w:spacing w:before="147" w:line="246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高血压急症以动脉血压快速和显著升高，小动脉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痉挛、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坏死及继发性组织损伤为主要特点，有多种复杂的神经体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液及内分泌因素参与其中，且几种不同的病理生理改变在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疾病的进展过程中相互促进，形成恶性循环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0"/>
          <w:szCs w:val="10"/>
          <w:color w:val="231F20"/>
          <w:spacing w:val="3"/>
          <w:position w:val="8"/>
        </w:rPr>
        <w:t>[</w:t>
      </w:r>
      <w:r>
        <w:rPr>
          <w:sz w:val="10"/>
          <w:szCs w:val="10"/>
          <w:color w:val="231F20"/>
          <w:spacing w:val="2"/>
          <w:position w:val="8"/>
        </w:rPr>
        <w:t>4]</w:t>
      </w:r>
      <w:r>
        <w:rPr>
          <w:sz w:val="10"/>
          <w:szCs w:val="10"/>
          <w:color w:val="231F20"/>
          <w:spacing w:val="-5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。在应激因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素（严重精神创伤、情绪过于激动等）、神经反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射异常、内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分泌激素水平异常等诱因的作用下，交感神经张力亢进和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缩血管活性物质（如肾素、血管紧张素Ⅱ等）激活并释放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  <w:position w:val="-1"/>
        </w:rPr>
        <w:t>增加，诱发短期内血压急剧升高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position w:val="-1"/>
        </w:rPr>
        <w:t xml:space="preserve"> </w:t>
      </w:r>
      <w:r>
        <w:rPr>
          <w:sz w:val="10"/>
          <w:szCs w:val="10"/>
          <w:color w:val="231F20"/>
          <w:spacing w:val="2"/>
          <w:position w:val="7"/>
        </w:rPr>
        <w:t>[16,19]</w:t>
      </w:r>
      <w:r>
        <w:rPr>
          <w:sz w:val="10"/>
          <w:szCs w:val="10"/>
          <w:color w:val="231F20"/>
          <w:spacing w:val="23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  <w:position w:val="-1"/>
        </w:rPr>
        <w:t>；与此同时，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  <w:position w:val="-1"/>
        </w:rPr>
        <w:t>全身小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  <w:position w:val="-1"/>
        </w:rPr>
        <w:t>动脉痉挛导致压力性多尿和循环血容量减少 </w:t>
      </w:r>
      <w:r>
        <w:rPr>
          <w:sz w:val="10"/>
          <w:szCs w:val="10"/>
          <w:color w:val="231F20"/>
          <w:spacing w:val="4"/>
          <w:position w:val="7"/>
        </w:rPr>
        <w:t>[21-22]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  <w:position w:val="-1"/>
        </w:rPr>
        <w:t>，反射性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引起缩血管活性物质激活导致进一步的血管收缩和炎症因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子（如 </w:t>
      </w:r>
      <w:r>
        <w:rPr>
          <w:sz w:val="18"/>
          <w:szCs w:val="18"/>
          <w:color w:val="231F20"/>
        </w:rPr>
        <w:t>IL</w:t>
      </w:r>
      <w:r>
        <w:rPr>
          <w:sz w:val="18"/>
          <w:szCs w:val="18"/>
          <w:color w:val="231F20"/>
          <w:spacing w:val="4"/>
        </w:rPr>
        <w:t>-6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）的产生，使相应的病理性损伤进一步加重 ；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升高的血压导致内皮受损，小动脉纤维素样坏死，引发缺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血、血管活性物质的进一步释放，形成病理损伤的恶性循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环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sz w:val="10"/>
          <w:szCs w:val="10"/>
          <w:color w:val="231F20"/>
          <w:spacing w:val="-1"/>
          <w:position w:val="8"/>
        </w:rPr>
        <w:t>[23-24]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；此外，由于肾素 </w:t>
      </w:r>
      <w:r>
        <w:rPr>
          <w:sz w:val="18"/>
          <w:szCs w:val="18"/>
          <w:color w:val="231F20"/>
          <w:spacing w:val="-7"/>
        </w:rPr>
        <w:t>-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血管紧张素系统（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7"/>
        </w:rPr>
        <w:t>renin-angiotensin</w:t>
      </w:r>
      <w:r>
        <w:rPr>
          <w:sz w:val="18"/>
          <w:szCs w:val="18"/>
          <w:color w:val="231F20"/>
        </w:rPr>
        <w:t xml:space="preserve">   </w:t>
      </w:r>
      <w:r>
        <w:rPr>
          <w:sz w:val="18"/>
          <w:szCs w:val="18"/>
          <w:color w:val="231F20"/>
          <w:spacing w:val="-1"/>
        </w:rPr>
        <w:t>system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，</w:t>
      </w:r>
      <w:r>
        <w:rPr>
          <w:sz w:val="18"/>
          <w:szCs w:val="18"/>
          <w:color w:val="231F20"/>
          <w:spacing w:val="-1"/>
        </w:rPr>
        <w:t>RAS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）、压力性利钠作用等因素的综合作用，导致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终末器官灌注减少和功能损伤，最终诱发心、脑、肾等重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要脏器缺血，导致高血压急症的靶器官功能损伤（图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2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）。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需要指出的是，妊娠期妇女或某些急性肾小球肾炎患者（尤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其是儿童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发生高血压急症时血压升高可能并不显著，但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  <w:position w:val="-1"/>
        </w:rPr>
        <w:t>靶器官损伤更加严重 </w:t>
      </w:r>
      <w:r>
        <w:rPr>
          <w:sz w:val="10"/>
          <w:szCs w:val="10"/>
          <w:color w:val="231F20"/>
          <w:spacing w:val="-1"/>
          <w:position w:val="7"/>
        </w:rPr>
        <w:t>[3]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  <w:position w:val="-1"/>
        </w:rPr>
        <w:t>。</w:t>
      </w:r>
    </w:p>
    <w:p>
      <w:pPr>
        <w:ind w:left="739"/>
        <w:spacing w:before="126" w:line="315" w:lineRule="exact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1"/>
          <w:position w:val="1"/>
        </w:rPr>
        <w:t>4</w:t>
      </w:r>
      <w:r>
        <w:rPr>
          <w:rFonts w:ascii="SimHei" w:hAnsi="SimHei" w:eastAsia="SimHei" w:cs="SimHei"/>
          <w:sz w:val="24"/>
          <w:szCs w:val="24"/>
          <w:color w:val="231F20"/>
          <w:spacing w:val="1"/>
          <w:position w:val="1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231F20"/>
          <w:spacing w:val="1"/>
          <w:position w:val="1"/>
        </w:rPr>
        <w:t>靶器官损伤</w:t>
      </w:r>
    </w:p>
    <w:p>
      <w:pPr>
        <w:pStyle w:val="BodyText"/>
        <w:ind w:left="736" w:right="297" w:firstLine="368"/>
        <w:spacing w:before="154" w:line="236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靶器官损伤而非单纯血压数值是鉴别高血压急症与高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血压控制不佳的关键。靶器官损伤直接决定了治疗方案的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选择和患者的预后，而且，当前血压较基础血压升高的速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率和幅度，比血压的绝对值更为重要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sz w:val="10"/>
          <w:szCs w:val="10"/>
          <w:color w:val="231F20"/>
          <w:spacing w:val="1"/>
          <w:position w:val="7"/>
        </w:rPr>
        <w:t>[25]</w:t>
      </w:r>
      <w:r>
        <w:rPr>
          <w:sz w:val="10"/>
          <w:szCs w:val="10"/>
          <w:color w:val="231F20"/>
          <w:spacing w:val="-5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。因此，高血压急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3" w:line="2697" w:lineRule="exact"/>
        <w:rPr/>
      </w:pPr>
      <w:r>
        <w:rPr>
          <w:position w:val="-53"/>
        </w:rPr>
        <w:drawing>
          <wp:inline distT="0" distB="0" distL="0" distR="0">
            <wp:extent cx="2933999" cy="1712466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3999" cy="171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62"/>
        <w:spacing w:before="83" w:line="180" w:lineRule="auto"/>
        <w:outlineLvl w:val="2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图</w:t>
      </w:r>
      <w:r>
        <w:rPr>
          <w:rFonts w:ascii="SimHei" w:hAnsi="SimHei" w:eastAsia="SimHei" w:cs="SimHei"/>
          <w:sz w:val="16"/>
          <w:szCs w:val="16"/>
          <w:color w:val="231F20"/>
          <w:spacing w:val="-32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>2</w:t>
      </w:r>
      <w:r>
        <w:rPr>
          <w:rFonts w:ascii="SimHei" w:hAnsi="SimHei" w:eastAsia="SimHei" w:cs="SimHei"/>
          <w:sz w:val="16"/>
          <w:szCs w:val="16"/>
          <w:color w:val="231F20"/>
          <w:spacing w:val="-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高血压急症病理生理变化趋势</w:t>
      </w:r>
    </w:p>
    <w:p>
      <w:pPr>
        <w:ind w:right="1072" w:firstLine="2"/>
        <w:spacing w:before="58" w:line="244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症的治疗关键在于快速诊断并立即降低血压，以避免发生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进行性器官衰竭。需要注意的是，急诊医师接诊高血压急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症患者时，需要从临床症状入手，首先尽可能稳定患者生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命体征，同时完成针对性病史采集、体格检查及辅助检查等，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始终遵循“先救命再治病原则”。</w:t>
      </w:r>
    </w:p>
    <w:p>
      <w:pPr>
        <w:ind w:left="4"/>
        <w:spacing w:line="241" w:lineRule="auto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6"/>
        </w:rPr>
        <w:t>4.1</w:t>
      </w:r>
      <w:r>
        <w:rPr>
          <w:rFonts w:ascii="SimHei" w:hAnsi="SimHei" w:eastAsia="SimHei" w:cs="SimHei"/>
          <w:sz w:val="21"/>
          <w:szCs w:val="21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21"/>
          <w:szCs w:val="21"/>
          <w:color w:val="231F20"/>
          <w:spacing w:val="-6"/>
        </w:rPr>
        <w:t>临床表现</w:t>
      </w:r>
    </w:p>
    <w:p>
      <w:pPr>
        <w:pStyle w:val="BodyText"/>
        <w:ind w:right="1058" w:firstLine="10"/>
        <w:spacing w:before="27" w:line="23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4.1.1 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常见临床表现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高血压急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症常见临床表现包括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：短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时间内血压急剧升高，同时出现明显的头痛、头晕、眩晕、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视物模糊与视力障碍、烦躁、胸痛、心悸、呼吸困难等表现，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此外还可能出现一些不典型的临床表现，如胃肠道症状（腹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痛、恶心、厌食等）等（表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）</w:t>
      </w:r>
      <w:r>
        <w:rPr>
          <w:sz w:val="10"/>
          <w:szCs w:val="10"/>
          <w:color w:val="231F20"/>
          <w:spacing w:val="4"/>
          <w:position w:val="7"/>
        </w:rPr>
        <w:t>[26]</w:t>
      </w:r>
      <w:r>
        <w:rPr>
          <w:sz w:val="10"/>
          <w:szCs w:val="10"/>
          <w:color w:val="231F20"/>
          <w:spacing w:val="-5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。一些非靶器官损害症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状如植物神经功能紊乱等容易被误判为靶器官损害，需要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  <w:position w:val="-3"/>
        </w:rPr>
        <w:t>注意区分 </w:t>
      </w:r>
      <w:r>
        <w:rPr>
          <w:sz w:val="10"/>
          <w:szCs w:val="10"/>
          <w:color w:val="231F20"/>
          <w:spacing w:val="-1"/>
          <w:position w:val="5"/>
        </w:rPr>
        <w:t>[26]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  <w:position w:val="-3"/>
        </w:rPr>
        <w:t>。</w:t>
      </w:r>
    </w:p>
    <w:p>
      <w:pPr>
        <w:pStyle w:val="BodyText"/>
        <w:ind w:left="1" w:right="1071" w:firstLine="10"/>
        <w:spacing w:before="55" w:line="23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4.1.2</w:t>
      </w:r>
      <w:r>
        <w:rPr>
          <w:sz w:val="18"/>
          <w:szCs w:val="18"/>
          <w:color w:val="231F20"/>
          <w:spacing w:val="19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嗜铬细胞瘤   临床表现为阵发性或持续性血压升高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伴“心动过速、头痛、多汗”三联征，并可伴有糖、脂代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谢异常。发生嗜铬细胞瘤危象时，大量儿茶酚胺释放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入血，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导致血压急剧升高，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出现心、脑、肾等脏器功能损伤，甚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  <w:position w:val="-2"/>
        </w:rPr>
        <w:t>至危及生命 </w:t>
      </w:r>
      <w:r>
        <w:rPr>
          <w:sz w:val="10"/>
          <w:szCs w:val="10"/>
          <w:color w:val="231F20"/>
          <w:spacing w:val="-1"/>
          <w:position w:val="6"/>
        </w:rPr>
        <w:t>[3]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  <w:position w:val="-2"/>
        </w:rPr>
        <w:t>。</w:t>
      </w:r>
    </w:p>
    <w:p>
      <w:pPr>
        <w:ind w:left="1254"/>
        <w:spacing w:before="288" w:line="189" w:lineRule="auto"/>
        <w:outlineLvl w:val="2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表</w:t>
      </w:r>
      <w:r>
        <w:rPr>
          <w:rFonts w:ascii="SimHei" w:hAnsi="SimHei" w:eastAsia="SimHei" w:cs="SimHei"/>
          <w:sz w:val="18"/>
          <w:szCs w:val="18"/>
          <w:color w:val="231F20"/>
          <w:spacing w:val="-16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1</w:t>
      </w: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高血压急症临床表现</w:t>
      </w:r>
    </w:p>
    <w:tbl>
      <w:tblPr>
        <w:tblStyle w:val="TableNormal"/>
        <w:tblW w:w="462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25"/>
        <w:gridCol w:w="3795"/>
      </w:tblGrid>
      <w:tr>
        <w:trPr>
          <w:trHeight w:val="214" w:hRule="atLeast"/>
        </w:trPr>
        <w:tc>
          <w:tcPr>
            <w:tcW w:w="82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200"/>
              <w:spacing w:before="28" w:line="176" w:lineRule="exact"/>
              <w:rPr/>
            </w:pPr>
            <w:r>
              <w:rPr>
                <w:color w:val="231F20"/>
                <w:spacing w:val="-1"/>
                <w:position w:val="-1"/>
              </w:rPr>
              <w:t>疾病</w:t>
            </w:r>
          </w:p>
        </w:tc>
        <w:tc>
          <w:tcPr>
            <w:tcW w:w="379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598"/>
              <w:spacing w:before="28" w:line="176" w:lineRule="exact"/>
              <w:rPr/>
            </w:pPr>
            <w:r>
              <w:rPr>
                <w:color w:val="231F20"/>
                <w:spacing w:val="-3"/>
                <w:position w:val="1"/>
              </w:rPr>
              <w:t>临床表现</w:t>
            </w:r>
          </w:p>
        </w:tc>
      </w:tr>
      <w:tr>
        <w:trPr>
          <w:trHeight w:val="247" w:hRule="atLeast"/>
        </w:trPr>
        <w:tc>
          <w:tcPr>
            <w:tcW w:w="82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"/>
              <w:spacing w:before="62" w:line="175" w:lineRule="exact"/>
              <w:rPr/>
            </w:pPr>
            <w:r>
              <w:rPr>
                <w:color w:val="231F20"/>
                <w:spacing w:val="13"/>
                <w:position w:val="-1"/>
              </w:rPr>
              <w:t>急性冠脉</w:t>
            </w:r>
          </w:p>
        </w:tc>
        <w:tc>
          <w:tcPr>
            <w:tcW w:w="379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spacing w:before="61" w:line="176" w:lineRule="exact"/>
              <w:jc w:val="right"/>
              <w:rPr/>
            </w:pPr>
            <w:r>
              <w:rPr>
                <w:color w:val="231F20"/>
                <w:spacing w:val="-7"/>
                <w:position w:val="1"/>
              </w:rPr>
              <w:t>急性胸痛、胸闷、放射性肩背痛、咽部紧缩感、烦躁、</w:t>
            </w:r>
          </w:p>
        </w:tc>
      </w:tr>
      <w:tr>
        <w:trPr>
          <w:trHeight w:val="254" w:hRule="atLeast"/>
        </w:trPr>
        <w:tc>
          <w:tcPr>
            <w:tcW w:w="825" w:type="dxa"/>
            <w:vAlign w:val="top"/>
          </w:tcPr>
          <w:p>
            <w:pPr>
              <w:pStyle w:val="TableText"/>
              <w:ind w:left="30"/>
              <w:spacing w:before="34" w:line="180" w:lineRule="auto"/>
              <w:rPr/>
            </w:pPr>
            <w:r>
              <w:rPr>
                <w:color w:val="231F20"/>
                <w:spacing w:val="-1"/>
              </w:rPr>
              <w:t>综合征</w:t>
            </w:r>
          </w:p>
        </w:tc>
        <w:tc>
          <w:tcPr>
            <w:tcW w:w="3795" w:type="dxa"/>
            <w:vAlign w:val="top"/>
          </w:tcPr>
          <w:p>
            <w:pPr>
              <w:pStyle w:val="TableText"/>
              <w:ind w:left="267"/>
              <w:spacing w:before="36" w:line="178" w:lineRule="auto"/>
              <w:rPr/>
            </w:pPr>
            <w:r>
              <w:rPr>
                <w:color w:val="231F20"/>
                <w:spacing w:val="-1"/>
              </w:rPr>
              <w:t>大汗、心悸、心电图有缺血表现</w:t>
            </w:r>
          </w:p>
        </w:tc>
      </w:tr>
      <w:tr>
        <w:trPr>
          <w:trHeight w:val="253" w:hRule="atLeast"/>
        </w:trPr>
        <w:tc>
          <w:tcPr>
            <w:tcW w:w="825" w:type="dxa"/>
            <w:vAlign w:val="top"/>
          </w:tcPr>
          <w:p>
            <w:pPr>
              <w:pStyle w:val="TableText"/>
              <w:ind w:left="33"/>
              <w:spacing w:before="70" w:line="172" w:lineRule="exact"/>
              <w:rPr/>
            </w:pPr>
            <w:r>
              <w:rPr>
                <w:color w:val="231F20"/>
                <w:spacing w:val="13"/>
                <w:position w:val="-1"/>
              </w:rPr>
              <w:t>急性心力</w:t>
            </w:r>
          </w:p>
        </w:tc>
        <w:tc>
          <w:tcPr>
            <w:tcW w:w="3795" w:type="dxa"/>
            <w:vAlign w:val="top"/>
          </w:tcPr>
          <w:p>
            <w:pPr>
              <w:pStyle w:val="TableText"/>
              <w:spacing w:before="69" w:line="173" w:lineRule="exact"/>
              <w:jc w:val="right"/>
              <w:rPr/>
            </w:pPr>
            <w:r>
              <w:rPr>
                <w:color w:val="231F20"/>
                <w:spacing w:val="-7"/>
                <w:w w:val="96"/>
                <w:position w:val="-1"/>
              </w:rPr>
              <w:t>呼吸困难、发绀、咳粉红泡沫痰、肺部啰音、心脏扩大、</w:t>
            </w:r>
          </w:p>
        </w:tc>
      </w:tr>
      <w:tr>
        <w:trPr>
          <w:trHeight w:val="243" w:hRule="atLeast"/>
        </w:trPr>
        <w:tc>
          <w:tcPr>
            <w:tcW w:w="825" w:type="dxa"/>
            <w:vAlign w:val="top"/>
          </w:tcPr>
          <w:p>
            <w:pPr>
              <w:pStyle w:val="TableText"/>
              <w:ind w:left="33"/>
              <w:spacing w:before="36" w:line="172" w:lineRule="auto"/>
              <w:rPr/>
            </w:pPr>
            <w:r>
              <w:rPr>
                <w:color w:val="231F20"/>
                <w:spacing w:val="-2"/>
              </w:rPr>
              <w:t>衰竭</w:t>
            </w:r>
          </w:p>
        </w:tc>
        <w:tc>
          <w:tcPr>
            <w:tcW w:w="3795" w:type="dxa"/>
            <w:vAlign w:val="top"/>
          </w:tcPr>
          <w:p>
            <w:pPr>
              <w:pStyle w:val="TableText"/>
              <w:ind w:left="265"/>
              <w:spacing w:before="35" w:line="173" w:lineRule="auto"/>
              <w:rPr/>
            </w:pPr>
            <w:r>
              <w:rPr>
                <w:color w:val="231F20"/>
                <w:spacing w:val="-1"/>
              </w:rPr>
              <w:t>心率增快、奔马律等</w:t>
            </w:r>
          </w:p>
        </w:tc>
      </w:tr>
      <w:tr>
        <w:trPr>
          <w:trHeight w:val="244" w:hRule="atLeast"/>
        </w:trPr>
        <w:tc>
          <w:tcPr>
            <w:tcW w:w="825" w:type="dxa"/>
            <w:vAlign w:val="top"/>
          </w:tcPr>
          <w:p>
            <w:pPr>
              <w:pStyle w:val="TableText"/>
              <w:ind w:left="33"/>
              <w:spacing w:before="64" w:line="169" w:lineRule="exact"/>
              <w:rPr/>
            </w:pPr>
            <w:r>
              <w:rPr>
                <w:color w:val="231F20"/>
                <w:spacing w:val="-2"/>
                <w:position w:val="-1"/>
              </w:rPr>
              <w:t>急性脑</w:t>
            </w:r>
          </w:p>
        </w:tc>
        <w:tc>
          <w:tcPr>
            <w:tcW w:w="3795" w:type="dxa"/>
            <w:vAlign w:val="top"/>
          </w:tcPr>
          <w:p>
            <w:pPr>
              <w:pStyle w:val="TableText"/>
              <w:ind w:left="104"/>
              <w:spacing w:before="60" w:line="173" w:lineRule="exact"/>
              <w:rPr/>
            </w:pPr>
            <w:r>
              <w:rPr>
                <w:color w:val="231F20"/>
                <w:spacing w:val="-3"/>
                <w:position w:val="-1"/>
              </w:rPr>
              <w:t>脑梗死</w:t>
            </w:r>
            <w:r>
              <w:rPr>
                <w:color w:val="231F20"/>
                <w:spacing w:val="2"/>
                <w:position w:val="-1"/>
              </w:rPr>
              <w:t xml:space="preserve"> </w:t>
            </w:r>
            <w:r>
              <w:rPr>
                <w:color w:val="231F20"/>
                <w:spacing w:val="-3"/>
                <w:position w:val="-1"/>
              </w:rPr>
              <w:t>：失语、面舌瘫、偏身感觉障碍、肢体瘫痪、</w:t>
            </w:r>
          </w:p>
        </w:tc>
      </w:tr>
      <w:tr>
        <w:trPr>
          <w:trHeight w:val="253" w:hRule="atLeast"/>
        </w:trPr>
        <w:tc>
          <w:tcPr>
            <w:tcW w:w="825" w:type="dxa"/>
            <w:vAlign w:val="top"/>
          </w:tcPr>
          <w:p>
            <w:pPr>
              <w:pStyle w:val="TableText"/>
              <w:ind w:left="30"/>
              <w:spacing w:before="36" w:line="180" w:lineRule="auto"/>
              <w:rPr/>
            </w:pPr>
            <w:r>
              <w:rPr>
                <w:color w:val="231F20"/>
                <w:spacing w:val="-1"/>
              </w:rPr>
              <w:t>卒中</w:t>
            </w:r>
          </w:p>
        </w:tc>
        <w:tc>
          <w:tcPr>
            <w:tcW w:w="3795" w:type="dxa"/>
            <w:vAlign w:val="top"/>
          </w:tcPr>
          <w:p>
            <w:pPr>
              <w:pStyle w:val="TableText"/>
              <w:ind w:left="267"/>
              <w:spacing w:before="36" w:line="180" w:lineRule="auto"/>
              <w:rPr/>
            </w:pPr>
            <w:r>
              <w:rPr>
                <w:color w:val="231F20"/>
                <w:spacing w:val="-1"/>
              </w:rPr>
              <w:t>意识障碍、癫痫样发作</w:t>
            </w:r>
          </w:p>
        </w:tc>
      </w:tr>
      <w:tr>
        <w:trPr>
          <w:trHeight w:val="1485" w:hRule="atLeast"/>
        </w:trPr>
        <w:tc>
          <w:tcPr>
            <w:tcW w:w="8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"/>
              <w:spacing w:before="69" w:line="181" w:lineRule="auto"/>
              <w:rPr/>
            </w:pPr>
            <w:r>
              <w:rPr>
                <w:color w:val="231F20"/>
                <w:spacing w:val="13"/>
              </w:rPr>
              <w:t>高血压脑</w:t>
            </w:r>
          </w:p>
          <w:p>
            <w:pPr>
              <w:pStyle w:val="TableText"/>
              <w:ind w:left="31"/>
              <w:spacing w:before="13" w:line="181" w:lineRule="auto"/>
              <w:rPr/>
            </w:pPr>
            <w:r>
              <w:rPr>
                <w:color w:val="231F20"/>
              </w:rPr>
              <w:t>病</w:t>
            </w:r>
          </w:p>
        </w:tc>
        <w:tc>
          <w:tcPr>
            <w:tcW w:w="3795" w:type="dxa"/>
            <w:vAlign w:val="top"/>
          </w:tcPr>
          <w:p>
            <w:pPr>
              <w:pStyle w:val="TableText"/>
              <w:ind w:left="262" w:hanging="158"/>
              <w:spacing w:before="70" w:line="204" w:lineRule="auto"/>
              <w:rPr/>
            </w:pPr>
            <w:r>
              <w:rPr>
                <w:color w:val="231F20"/>
                <w:spacing w:val="-8"/>
                <w:w w:val="97"/>
              </w:rPr>
              <w:t>脑出血：头痛、喷射样呕吐、不同程度意识障碍、偏瘫、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2"/>
              </w:rPr>
              <w:t>失语、以及上述表现可进行性加重</w:t>
            </w:r>
          </w:p>
          <w:p>
            <w:pPr>
              <w:pStyle w:val="TableText"/>
              <w:ind w:left="265" w:hanging="160"/>
              <w:spacing w:before="20" w:line="203" w:lineRule="auto"/>
              <w:rPr/>
            </w:pPr>
            <w:r>
              <w:rPr>
                <w:color w:val="231F20"/>
                <w:spacing w:val="-7"/>
              </w:rPr>
              <w:t>蛛网膜下腔出血：剧烈头痛、恶心、呕吐、颈背部痛、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意识障碍、抽搐、偏瘫、失语、脑膜刺激征</w:t>
            </w:r>
          </w:p>
          <w:p>
            <w:pPr>
              <w:pStyle w:val="TableText"/>
              <w:ind w:left="105"/>
              <w:spacing w:before="12" w:line="180" w:lineRule="auto"/>
              <w:rPr/>
            </w:pPr>
            <w:r>
              <w:rPr>
                <w:color w:val="231F20"/>
                <w:spacing w:val="-3"/>
              </w:rPr>
              <w:t>血压显著升高并伴有嗜睡、昏迷、癫痫发作</w:t>
            </w:r>
            <w:r>
              <w:rPr>
                <w:color w:val="231F20"/>
                <w:spacing w:val="-4"/>
              </w:rPr>
              <w:t>和皮质盲</w:t>
            </w:r>
          </w:p>
        </w:tc>
      </w:tr>
      <w:tr>
        <w:trPr>
          <w:trHeight w:val="269" w:hRule="atLeast"/>
        </w:trPr>
        <w:tc>
          <w:tcPr>
            <w:tcW w:w="825" w:type="dxa"/>
            <w:vAlign w:val="top"/>
          </w:tcPr>
          <w:p>
            <w:pPr>
              <w:pStyle w:val="TableText"/>
              <w:ind w:left="33"/>
              <w:spacing w:before="92" w:line="166" w:lineRule="exact"/>
              <w:rPr/>
            </w:pPr>
            <w:r>
              <w:rPr>
                <w:color w:val="231F20"/>
                <w:spacing w:val="13"/>
                <w:position w:val="-1"/>
              </w:rPr>
              <w:t>急性主动</w:t>
            </w:r>
          </w:p>
        </w:tc>
        <w:tc>
          <w:tcPr>
            <w:tcW w:w="3795" w:type="dxa"/>
            <w:vAlign w:val="top"/>
          </w:tcPr>
          <w:p>
            <w:pPr>
              <w:pStyle w:val="TableText"/>
              <w:ind w:left="103"/>
              <w:spacing w:before="91" w:line="167" w:lineRule="exact"/>
              <w:rPr/>
            </w:pPr>
            <w:r>
              <w:rPr>
                <w:color w:val="231F20"/>
                <w:spacing w:val="-4"/>
              </w:rPr>
              <w:t>撕裂样胸背部痛（波及血管范围不同可差异明显</w:t>
            </w:r>
            <w:r>
              <w:rPr>
                <w:color w:val="231F20"/>
                <w:spacing w:val="3"/>
              </w:rPr>
              <w:t>），</w:t>
            </w:r>
          </w:p>
        </w:tc>
      </w:tr>
      <w:tr>
        <w:trPr>
          <w:trHeight w:val="263" w:hRule="atLeast"/>
        </w:trPr>
        <w:tc>
          <w:tcPr>
            <w:tcW w:w="825" w:type="dxa"/>
            <w:vAlign w:val="top"/>
          </w:tcPr>
          <w:p>
            <w:pPr>
              <w:pStyle w:val="TableText"/>
              <w:ind w:left="33"/>
              <w:spacing w:before="42" w:line="178" w:lineRule="auto"/>
              <w:rPr/>
            </w:pPr>
            <w:r>
              <w:rPr>
                <w:color w:val="231F20"/>
                <w:spacing w:val="-2"/>
              </w:rPr>
              <w:t>脉夹层</w:t>
            </w:r>
          </w:p>
        </w:tc>
        <w:tc>
          <w:tcPr>
            <w:tcW w:w="3795" w:type="dxa"/>
            <w:vAlign w:val="top"/>
          </w:tcPr>
          <w:p>
            <w:pPr>
              <w:pStyle w:val="TableText"/>
              <w:ind w:left="266"/>
              <w:spacing w:before="41" w:line="180" w:lineRule="auto"/>
              <w:rPr/>
            </w:pPr>
            <w:r>
              <w:rPr>
                <w:color w:val="231F20"/>
                <w:spacing w:val="-1"/>
              </w:rPr>
              <w:t>双侧上肢血压测量值不一致</w:t>
            </w:r>
          </w:p>
        </w:tc>
      </w:tr>
      <w:tr>
        <w:trPr>
          <w:trHeight w:val="264" w:hRule="atLeast"/>
        </w:trPr>
        <w:tc>
          <w:tcPr>
            <w:tcW w:w="825" w:type="dxa"/>
            <w:vAlign w:val="top"/>
          </w:tcPr>
          <w:p>
            <w:pPr>
              <w:pStyle w:val="TableText"/>
              <w:ind w:left="32"/>
              <w:spacing w:before="88" w:line="165" w:lineRule="exact"/>
              <w:rPr/>
            </w:pPr>
            <w:r>
              <w:rPr>
                <w:color w:val="231F20"/>
                <w:spacing w:val="13"/>
                <w:position w:val="-1"/>
              </w:rPr>
              <w:t>子痫前期</w:t>
            </w:r>
          </w:p>
        </w:tc>
        <w:tc>
          <w:tcPr>
            <w:tcW w:w="3795" w:type="dxa"/>
            <w:vAlign w:val="top"/>
          </w:tcPr>
          <w:p>
            <w:pPr>
              <w:pStyle w:val="TableText"/>
              <w:spacing w:before="60" w:line="169" w:lineRule="auto"/>
              <w:jc w:val="right"/>
              <w:rPr/>
            </w:pPr>
            <w:r>
              <w:rPr>
                <w:color w:val="231F20"/>
                <w:spacing w:val="-3"/>
              </w:rPr>
              <w:t>从妊娠 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>20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-3"/>
              </w:rPr>
              <w:t>周到分娩第一周期间出现血压高、蛋白尿、</w:t>
            </w:r>
          </w:p>
        </w:tc>
      </w:tr>
      <w:tr>
        <w:trPr>
          <w:trHeight w:val="280" w:hRule="atLeast"/>
        </w:trPr>
        <w:tc>
          <w:tcPr>
            <w:tcW w:w="82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7"/>
              <w:spacing w:before="43" w:line="178" w:lineRule="auto"/>
              <w:rPr/>
            </w:pPr>
            <w:r>
              <w:rPr>
                <w:color w:val="231F20"/>
                <w:spacing w:val="-2"/>
              </w:rPr>
              <w:t>和子痫</w:t>
            </w:r>
          </w:p>
        </w:tc>
        <w:tc>
          <w:tcPr>
            <w:tcW w:w="379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63"/>
              <w:spacing w:before="42" w:line="181" w:lineRule="auto"/>
              <w:rPr/>
            </w:pPr>
            <w:r>
              <w:rPr>
                <w:color w:val="231F20"/>
                <w:spacing w:val="-1"/>
              </w:rPr>
              <w:t>水肿，可伴神经系统症状如抽搐、昏迷等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158"/>
          <w:pgMar w:top="1301" w:right="2" w:bottom="566" w:left="400" w:header="1024" w:footer="2" w:gutter="0"/>
          <w:cols w:equalWidth="0" w:num="2">
            <w:col w:w="5652" w:space="100"/>
            <w:col w:w="575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11" w:lineRule="exact"/>
        <w:rPr/>
      </w:pPr>
      <w:r/>
    </w:p>
    <w:p>
      <w:pPr>
        <w:spacing w:line="211" w:lineRule="exact"/>
        <w:sectPr>
          <w:headerReference w:type="default" r:id="rId101"/>
          <w:footerReference w:type="default" r:id="rId4"/>
          <w:pgSz w:w="11906" w:h="16158"/>
          <w:pgMar w:top="1301" w:right="400" w:bottom="566" w:left="402" w:header="1024" w:footer="297" w:gutter="0"/>
          <w:cols w:equalWidth="0" w:num="1">
            <w:col w:w="11104" w:space="0"/>
          </w:cols>
        </w:sectPr>
        <w:rPr/>
      </w:pPr>
    </w:p>
    <w:p>
      <w:pPr>
        <w:pStyle w:val="BodyText"/>
        <w:ind w:left="734" w:right="229" w:firstLine="8"/>
        <w:spacing w:before="48" w:line="249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4.1.3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交感神经反应亢进    由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于各种原因所致的交感神经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>兴奋性增强，而引起效应器官表现出的一系列综合症状。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其中苯丙胺类药物中毒，如安非他明、拟交感神经药物或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可卡因中毒而引起的高血压急症在急诊均可能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遇到 </w:t>
      </w:r>
      <w:r>
        <w:rPr>
          <w:sz w:val="10"/>
          <w:szCs w:val="10"/>
          <w:color w:val="231F20"/>
          <w:spacing w:val="-1"/>
          <w:position w:val="8"/>
        </w:rPr>
        <w:t>[3]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。</w:t>
      </w:r>
    </w:p>
    <w:p>
      <w:pPr>
        <w:ind w:left="736"/>
        <w:spacing w:line="242" w:lineRule="auto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5"/>
        </w:rPr>
        <w:t>4.2</w:t>
      </w:r>
      <w:r>
        <w:rPr>
          <w:rFonts w:ascii="SimHei" w:hAnsi="SimHei" w:eastAsia="SimHei" w:cs="SimHei"/>
          <w:sz w:val="21"/>
          <w:szCs w:val="21"/>
          <w:color w:val="231F20"/>
          <w:spacing w:val="3"/>
        </w:rPr>
        <w:t xml:space="preserve">  </w:t>
      </w:r>
      <w:r>
        <w:rPr>
          <w:rFonts w:ascii="SimHei" w:hAnsi="SimHei" w:eastAsia="SimHei" w:cs="SimHei"/>
          <w:sz w:val="21"/>
          <w:szCs w:val="21"/>
          <w:color w:val="231F20"/>
          <w:spacing w:val="-5"/>
        </w:rPr>
        <w:t>病史采集</w:t>
      </w:r>
    </w:p>
    <w:p>
      <w:pPr>
        <w:ind w:left="736" w:right="226" w:firstLine="370"/>
        <w:spacing w:before="48" w:line="246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>高血压急症患者基础条件不同，临床表现形式各异，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简洁且完整的病史收集有助于了解高血压的持续时间、严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重程度、合并症、药物使用情况， 以及是否有心血管、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肾脏、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神经系统疾病病史。</w:t>
      </w:r>
    </w:p>
    <w:p>
      <w:pPr>
        <w:ind w:left="734" w:right="229" w:firstLine="369"/>
        <w:spacing w:before="5" w:line="243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drawing>
          <wp:anchor distT="0" distB="0" distL="0" distR="0" simplePos="0" relativeHeight="251920384" behindDoc="1" locked="0" layoutInCell="1" allowOverlap="1">
            <wp:simplePos x="0" y="0"/>
            <wp:positionH relativeFrom="column">
              <wp:posOffset>1634508</wp:posOffset>
            </wp:positionH>
            <wp:positionV relativeFrom="paragraph">
              <wp:posOffset>121941</wp:posOffset>
            </wp:positionV>
            <wp:extent cx="3780015" cy="4391488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80015" cy="4391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病史采集时，应着重询问患者有无高血压病史。如有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>高血压病史，应继续询问药物治疗和平时血压控制情况。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应注意此次有无导致血压快速升高的诱因，包括 ：突然停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止降压治疗、急性感染、急性尿潴留、急慢性疼痛、惊恐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发作、服用拟交感神经药品或限制降压治疗效果的药物等。</w:t>
      </w:r>
    </w:p>
    <w:p>
      <w:pPr>
        <w:ind w:left="736"/>
        <w:spacing w:line="277" w:lineRule="exact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4"/>
          <w:position w:val="1"/>
        </w:rPr>
        <w:t>4.3</w:t>
      </w:r>
      <w:r>
        <w:rPr>
          <w:rFonts w:ascii="SimHei" w:hAnsi="SimHei" w:eastAsia="SimHei" w:cs="SimHei"/>
          <w:sz w:val="21"/>
          <w:szCs w:val="21"/>
          <w:color w:val="231F20"/>
          <w:spacing w:val="-4"/>
          <w:position w:val="1"/>
        </w:rPr>
        <w:t xml:space="preserve">  </w:t>
      </w:r>
      <w:r>
        <w:rPr>
          <w:rFonts w:ascii="SimHei" w:hAnsi="SimHei" w:eastAsia="SimHei" w:cs="SimHei"/>
          <w:sz w:val="21"/>
          <w:szCs w:val="21"/>
          <w:color w:val="231F20"/>
          <w:spacing w:val="-4"/>
          <w:position w:val="1"/>
        </w:rPr>
        <w:t>体格检查</w:t>
      </w:r>
    </w:p>
    <w:p>
      <w:pPr>
        <w:ind w:left="733" w:right="307" w:firstLine="369"/>
        <w:spacing w:before="48" w:line="246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体格检查的核心是了解靶器官损伤程度，同时评估有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无继发性高血压的可能，特别是对于症状不典型但血压显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著升高的急诊就诊患者，系统、详实的体格检查有助于尽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早明确高血压急症的诊断。</w:t>
      </w:r>
    </w:p>
    <w:p>
      <w:pPr>
        <w:ind w:left="733" w:right="299" w:firstLine="367"/>
        <w:spacing w:before="3" w:line="24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148" style="position:absolute;margin-left:52.584pt;margin-top:86.8967pt;mso-position-vertical-relative:text;mso-position-horizontal-relative:text;width:449.1pt;height:231.1pt;z-index:-251403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145" w:type="dxa"/>
                    <w:tblInd w:w="22" w:type="dxa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1145"/>
                  </w:tblGrid>
                  <w:tr>
                    <w:trPr>
                      <w:trHeight w:val="155" w:hRule="atLeast"/>
                    </w:trPr>
                    <w:tc>
                      <w:tcPr>
                        <w:tcW w:w="1145" w:type="dxa"/>
                        <w:vAlign w:val="top"/>
                      </w:tcPr>
                      <w:p>
                        <w:pPr>
                          <w:spacing w:line="145" w:lineRule="exact"/>
                          <w:tabs>
                            <w:tab w:val="left" w:pos="75"/>
                          </w:tabs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shd w:val="clear" w:fill="FFFFFE"/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position w:val="1"/>
                          </w:rPr>
                          <w:tab/>
                        </w:r>
                        <w:r>
                          <w:rPr>
                            <w:shd w:val="clear" w:fill="FFFFFE"/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1"/>
                            <w:position w:val="1"/>
                          </w:rPr>
                          <w:t>BP &gt;180/100 mmHg</w:t>
                        </w:r>
                        <w:r>
                          <w:rPr>
                            <w:shd w:val="clear" w:fill="FFFFFE"/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1"/>
                            <w:position w:val="1"/>
                          </w:rPr>
                          <w:t xml:space="preserve">   </w:t>
                        </w:r>
                      </w:p>
                    </w:tc>
                  </w:tr>
                </w:tbl>
                <w:p>
                  <w:pPr>
                    <w:spacing w:before="28"/>
                    <w:rPr/>
                  </w:pPr>
                  <w:r/>
                </w:p>
                <w:p>
                  <w:pPr>
                    <w:spacing w:before="27"/>
                    <w:rPr/>
                  </w:pPr>
                  <w:r/>
                </w:p>
                <w:tbl>
                  <w:tblPr>
                    <w:tblStyle w:val="TableNormal"/>
                    <w:tblW w:w="1083" w:type="dxa"/>
                    <w:tblInd w:w="7834" w:type="dxa"/>
                    <w:shd w:val="clear" w:fill="FFFFFF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1083"/>
                  </w:tblGrid>
                  <w:tr>
                    <w:trPr>
                      <w:trHeight w:val="352" w:hRule="atLeast"/>
                    </w:trPr>
                    <w:tc>
                      <w:tcPr>
                        <w:shd w:val="clear" w:fill="FFFFFF"/>
                        <w:tcW w:w="1083" w:type="dxa"/>
                        <w:vAlign w:val="top"/>
                      </w:tcPr>
                      <w:p>
                        <w:pPr>
                          <w:pStyle w:val="TableText"/>
                          <w:ind w:left="428" w:right="58" w:hanging="366"/>
                          <w:spacing w:line="199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调整口服药并安排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随访</w:t>
                        </w:r>
                      </w:p>
                    </w:tc>
                  </w:tr>
                </w:tbl>
                <w:p>
                  <w:pPr>
                    <w:spacing w:before="217"/>
                    <w:rPr/>
                  </w:pPr>
                  <w:r/>
                </w:p>
                <w:tbl>
                  <w:tblPr>
                    <w:tblStyle w:val="TableNormal"/>
                    <w:tblW w:w="1267" w:type="dxa"/>
                    <w:tblInd w:w="7691" w:type="dxa"/>
                    <w:shd w:val="clear" w:fill="FFFFFF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1267"/>
                  </w:tblGrid>
                  <w:tr>
                    <w:trPr>
                      <w:trHeight w:val="358" w:hRule="atLeast"/>
                    </w:trPr>
                    <w:tc>
                      <w:tcPr>
                        <w:shd w:val="clear" w:fill="FFFFFF"/>
                        <w:tcW w:w="1267" w:type="dxa"/>
                        <w:vAlign w:val="top"/>
                      </w:tcPr>
                      <w:p>
                        <w:pPr>
                          <w:pStyle w:val="TableText"/>
                          <w:ind w:left="394" w:right="330" w:hanging="62"/>
                          <w:spacing w:before="5" w:line="19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严重的血压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急剧升高</w:t>
                        </w:r>
                      </w:p>
                    </w:tc>
                  </w:tr>
                </w:tbl>
                <w:p>
                  <w:pPr>
                    <w:spacing w:before="31"/>
                    <w:rPr/>
                  </w:pPr>
                  <w:r/>
                </w:p>
                <w:p>
                  <w:pPr>
                    <w:spacing w:before="30"/>
                    <w:rPr/>
                  </w:pPr>
                  <w:r/>
                </w:p>
                <w:tbl>
                  <w:tblPr>
                    <w:tblStyle w:val="TableNormal"/>
                    <w:tblW w:w="934" w:type="dxa"/>
                    <w:tblInd w:w="4026" w:type="dxa"/>
                    <w:shd w:val="clear" w:fill="FFFFFF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934"/>
                  </w:tblGrid>
                  <w:tr>
                    <w:trPr>
                      <w:trHeight w:val="480" w:hRule="atLeast"/>
                    </w:trPr>
                    <w:tc>
                      <w:tcPr>
                        <w:shd w:val="clear" w:fill="FFFFFF"/>
                        <w:tcW w:w="934" w:type="dxa"/>
                        <w:vAlign w:val="top"/>
                      </w:tcPr>
                      <w:p>
                        <w:pPr>
                          <w:pStyle w:val="TableText"/>
                          <w:ind w:right="18" w:firstLine="19"/>
                          <w:spacing w:before="4" w:line="181" w:lineRule="auto"/>
                          <w:jc w:val="righ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脑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2"/>
                          </w:rPr>
                          <w:t>CT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、凝血功能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（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>INR/APTT/PT/ 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血小板计数）</w:t>
                        </w:r>
                      </w:p>
                    </w:tc>
                  </w:tr>
                </w:tbl>
                <w:p>
                  <w:pPr>
                    <w:spacing w:before="141"/>
                    <w:rPr/>
                  </w:pPr>
                  <w:r/>
                </w:p>
                <w:tbl>
                  <w:tblPr>
                    <w:tblStyle w:val="TableNormal"/>
                    <w:tblW w:w="1001" w:type="dxa"/>
                    <w:tblInd w:w="2035" w:type="dxa"/>
                    <w:shd w:val="clear" w:fill="FFFFFF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1001"/>
                  </w:tblGrid>
                  <w:tr>
                    <w:trPr>
                      <w:trHeight w:val="480" w:hRule="atLeast"/>
                    </w:trPr>
                    <w:tc>
                      <w:tcPr>
                        <w:shd w:val="clear" w:fill="FFFFFF"/>
                        <w:tcW w:w="1001" w:type="dxa"/>
                        <w:vAlign w:val="top"/>
                      </w:tcPr>
                      <w:p>
                        <w:pPr>
                          <w:pStyle w:val="TableText"/>
                          <w:ind w:left="180"/>
                          <w:spacing w:before="3" w:line="17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肌钙蛋白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2"/>
                          </w:rPr>
                          <w:t>T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、</w:t>
                        </w:r>
                      </w:p>
                      <w:p>
                        <w:pPr>
                          <w:pStyle w:val="TableText"/>
                          <w:ind w:left="125"/>
                          <w:spacing w:before="6" w:line="17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2"/>
                          </w:rPr>
                          <w:t>CK-MB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、胸片</w:t>
                        </w:r>
                      </w:p>
                      <w:p>
                        <w:pPr>
                          <w:pStyle w:val="TableText"/>
                          <w:ind w:left="261"/>
                          <w:spacing w:before="8" w:line="171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心肺超声</w:t>
                        </w:r>
                      </w:p>
                    </w:tc>
                  </w:tr>
                </w:tbl>
                <w:p>
                  <w:pPr>
                    <w:spacing w:before="163"/>
                    <w:rPr/>
                  </w:pPr>
                  <w:r/>
                </w:p>
                <w:tbl>
                  <w:tblPr>
                    <w:tblStyle w:val="TableNormal"/>
                    <w:tblW w:w="1542" w:type="dxa"/>
                    <w:tblInd w:w="3679" w:type="dxa"/>
                    <w:shd w:val="clear" w:fill="FFFFFF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1542"/>
                  </w:tblGrid>
                  <w:tr>
                    <w:trPr>
                      <w:trHeight w:val="364" w:hRule="atLeast"/>
                    </w:trPr>
                    <w:tc>
                      <w:tcPr>
                        <w:shd w:val="clear" w:fill="FFFFFF"/>
                        <w:tcW w:w="1542" w:type="dxa"/>
                        <w:vAlign w:val="top"/>
                      </w:tcPr>
                      <w:p>
                        <w:pPr>
                          <w:pStyle w:val="TableText"/>
                          <w:ind w:left="57"/>
                          <w:spacing w:line="203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7"/>
                          </w:rPr>
                          <w:t>130mmHg&lt;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7"/>
                          </w:rPr>
                          <w:t>收缩压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7"/>
                          </w:rPr>
                          <w:t>&lt;180mmHg</w:t>
                        </w:r>
                      </w:p>
                      <w:p>
                        <w:pPr>
                          <w:pStyle w:val="TableText"/>
                          <w:ind w:left="244"/>
                          <w:spacing w:line="173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5"/>
                            <w:w w:val="97"/>
                          </w:rPr>
                          <w:t>药物干预（外科手术）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912192" behindDoc="1" locked="0" layoutInCell="1" allowOverlap="1">
            <wp:simplePos x="0" y="0"/>
            <wp:positionH relativeFrom="column">
              <wp:posOffset>453408</wp:posOffset>
            </wp:positionH>
            <wp:positionV relativeFrom="paragraph">
              <wp:posOffset>1075334</wp:posOffset>
            </wp:positionV>
            <wp:extent cx="6075755" cy="3023996"/>
            <wp:effectExtent l="0" t="0" r="0" b="0"/>
            <wp:wrapNone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75755" cy="3023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⑴在保障患者安全的前提下，测量患者平卧和站立两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种姿势下的血压，以评估患者容量状态 ；⑵双上臂血压差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异明显需警惕大血管病变，如主动脉夹层或大动脉炎 ；⑶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循环系统查体侧重于心力衰竭的判定，如颈静脉怒张、双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肺湿啰音、病理性第三心音或奔马律 ；⑷神经系统查体注</w:t>
      </w:r>
    </w:p>
    <w:p>
      <w:pPr>
        <w:spacing w:line="132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733" w:firstLine="4"/>
        <w:spacing w:before="74" w:line="243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意评估意识状态、脑膜刺激征、视野改变及病理征等 ；⑸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眼底镜检查发现新发的出血、渗出、视神经乳头水肿均提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示高血压急症可能。</w:t>
      </w:r>
    </w:p>
    <w:p>
      <w:pPr>
        <w:ind w:left="3"/>
        <w:spacing w:line="241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6"/>
        </w:rPr>
        <w:t>4.4</w:t>
      </w:r>
      <w:r>
        <w:rPr>
          <w:rFonts w:ascii="SimHei" w:hAnsi="SimHei" w:eastAsia="SimHei" w:cs="SimHei"/>
          <w:sz w:val="21"/>
          <w:szCs w:val="21"/>
          <w:color w:val="231F20"/>
          <w:spacing w:val="39"/>
        </w:rPr>
        <w:t xml:space="preserve">  </w:t>
      </w:r>
      <w:r>
        <w:rPr>
          <w:rFonts w:ascii="SimHei" w:hAnsi="SimHei" w:eastAsia="SimHei" w:cs="SimHei"/>
          <w:sz w:val="21"/>
          <w:szCs w:val="21"/>
          <w:color w:val="231F20"/>
          <w:spacing w:val="-6"/>
        </w:rPr>
        <w:t>实验室检查</w:t>
      </w:r>
    </w:p>
    <w:p>
      <w:pPr>
        <w:pStyle w:val="BodyText"/>
        <w:ind w:left="4" w:right="733" w:firstLine="372"/>
        <w:spacing w:before="51" w:line="244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常规检查项目包括血常规、尿常规、血液生化、凝血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功能、</w:t>
      </w:r>
      <w:r>
        <w:rPr>
          <w:sz w:val="18"/>
          <w:szCs w:val="18"/>
          <w:color w:val="231F20"/>
          <w:spacing w:val="2"/>
        </w:rPr>
        <w:t>D-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二聚体、血气分析和心电图，还可进一步完善心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肌损伤标志物、脑钠肽（</w:t>
      </w:r>
      <w:r>
        <w:rPr>
          <w:sz w:val="18"/>
          <w:szCs w:val="18"/>
          <w:color w:val="231F20"/>
        </w:rPr>
        <w:t>BNP</w:t>
      </w:r>
      <w:r>
        <w:rPr>
          <w:sz w:val="18"/>
          <w:szCs w:val="18"/>
          <w:color w:val="231F20"/>
          <w:spacing w:val="3"/>
        </w:rPr>
        <w:t>/</w:t>
      </w:r>
      <w:r>
        <w:rPr>
          <w:sz w:val="18"/>
          <w:szCs w:val="18"/>
          <w:color w:val="231F20"/>
        </w:rPr>
        <w:t>NT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proBNP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）等项目。需要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指出的是，对患者靶器官损伤的评估应动态进行，必要时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复查相关项目。</w:t>
      </w:r>
    </w:p>
    <w:p>
      <w:pPr>
        <w:ind w:left="3"/>
        <w:spacing w:line="241" w:lineRule="auto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5"/>
        </w:rPr>
        <w:t>4.5</w:t>
      </w:r>
      <w:r>
        <w:rPr>
          <w:rFonts w:ascii="SimHei" w:hAnsi="SimHei" w:eastAsia="SimHei" w:cs="SimHei"/>
          <w:sz w:val="21"/>
          <w:szCs w:val="21"/>
          <w:color w:val="231F20"/>
          <w:spacing w:val="6"/>
        </w:rPr>
        <w:t xml:space="preserve">  </w:t>
      </w:r>
      <w:r>
        <w:rPr>
          <w:rFonts w:ascii="SimHei" w:hAnsi="SimHei" w:eastAsia="SimHei" w:cs="SimHei"/>
          <w:sz w:val="21"/>
          <w:szCs w:val="21"/>
          <w:color w:val="231F20"/>
          <w:spacing w:val="-5"/>
        </w:rPr>
        <w:t>影像学检查</w:t>
      </w:r>
    </w:p>
    <w:p>
      <w:pPr>
        <w:pStyle w:val="BodyText"/>
        <w:ind w:left="4" w:right="739" w:firstLine="365"/>
        <w:spacing w:before="53" w:line="24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影像学方面检查包括胸部 </w:t>
      </w:r>
      <w:r>
        <w:rPr>
          <w:sz w:val="18"/>
          <w:szCs w:val="18"/>
          <w:color w:val="231F20"/>
          <w:spacing w:val="9"/>
        </w:rPr>
        <w:t>X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线、超声心动图、头颅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CT/MRI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、胸部 </w:t>
      </w:r>
      <w:r>
        <w:rPr>
          <w:sz w:val="18"/>
          <w:szCs w:val="18"/>
          <w:color w:val="231F20"/>
        </w:rPr>
        <w:t>/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腹部 </w:t>
      </w:r>
      <w:r>
        <w:rPr>
          <w:sz w:val="18"/>
          <w:szCs w:val="18"/>
          <w:color w:val="231F20"/>
        </w:rPr>
        <w:t>CT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、血管造影术等。</w:t>
      </w:r>
    </w:p>
    <w:p>
      <w:pPr>
        <w:ind w:left="3"/>
        <w:spacing w:line="241" w:lineRule="auto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>4.6</w:t>
      </w: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>高血压急症患者严重程度评估</w:t>
      </w:r>
    </w:p>
    <w:p>
      <w:pPr>
        <w:pStyle w:val="BodyText"/>
        <w:ind w:right="674" w:firstLine="10"/>
        <w:spacing w:before="28" w:line="23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4.6.1 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高血压急症患者评估   可以从下列三个方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面对高血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压急症的严重程度进行评估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：⑴基础血压值，通过了解基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础血压可以反映血压急性升高的程度，以评估对脏器损害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存在的风险 </w:t>
      </w:r>
      <w:r>
        <w:rPr>
          <w:sz w:val="10"/>
          <w:szCs w:val="10"/>
          <w:color w:val="231F20"/>
          <w:spacing w:val="1"/>
          <w:position w:val="8"/>
        </w:rPr>
        <w:t>[25]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；⑵急性血压升高的速度和持续时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间与病情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严重程度相关，血压缓慢升高和（或）持续时间短则严重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程度较轻，反之则较重 ；⑶影响短期预后的脏器受损表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现，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包括肺水肿、胸痛、抽搐及神经系统功能障碍等。</w:t>
      </w:r>
    </w:p>
    <w:p>
      <w:pPr>
        <w:pStyle w:val="BodyText"/>
        <w:ind w:left="1" w:right="733" w:firstLine="8"/>
        <w:spacing w:before="56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4.6.2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高血压急症患者整体评价流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程    高血压急症的治疗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前，必须关注血压急性升高所导致的关键靶器官损伤范围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与程度 </w:t>
      </w:r>
      <w:r>
        <w:rPr>
          <w:sz w:val="10"/>
          <w:szCs w:val="10"/>
          <w:color w:val="231F20"/>
          <w:spacing w:val="3"/>
          <w:position w:val="8"/>
        </w:rPr>
        <w:t>[1]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，更重要的是及时发现并识别已经出现的和正在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发生的靶器官损伤（图 </w:t>
      </w:r>
      <w:r>
        <w:rPr>
          <w:sz w:val="18"/>
          <w:szCs w:val="18"/>
          <w:color w:val="231F20"/>
          <w:spacing w:val="-4"/>
        </w:rPr>
        <w:t>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）。</w:t>
      </w:r>
    </w:p>
    <w:p>
      <w:pPr>
        <w:sectPr>
          <w:type w:val="continuous"/>
          <w:pgSz w:w="11906" w:h="16158"/>
          <w:pgMar w:top="1301" w:right="400" w:bottom="566" w:left="402" w:header="1024" w:footer="297" w:gutter="0"/>
          <w:cols w:equalWidth="0" w:num="2">
            <w:col w:w="5651" w:space="100"/>
            <w:col w:w="5353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>
        <w:pict>
          <v:shape id="_x0000_s150" style="position:absolute;margin-left:259.654pt;margin-top:4.10635pt;mso-position-vertical-relative:text;mso-position-horizontal-relative:text;width:36.85pt;height:16.8pt;z-index:-251397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691" w:type="dxa"/>
                    <w:tblInd w:w="22" w:type="dxa"/>
                    <w:shd w:val="clear" w:fill="FFFFFF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691"/>
                  </w:tblGrid>
                  <w:tr>
                    <w:trPr>
                      <w:trHeight w:val="285" w:hRule="atLeast"/>
                    </w:trPr>
                    <w:tc>
                      <w:tcPr>
                        <w:shd w:val="clear" w:fill="FFFFFF"/>
                        <w:tcW w:w="691" w:type="dxa"/>
                        <w:vAlign w:val="top"/>
                      </w:tcPr>
                      <w:p>
                        <w:pPr>
                          <w:pStyle w:val="TableText"/>
                          <w:ind w:left="224" w:right="102" w:hanging="118"/>
                          <w:spacing w:before="2" w:line="159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神经系统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症状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52" style="position:absolute;margin-left:355.04pt;margin-top:4.49637pt;mso-position-vertical-relative:text;mso-position-horizontal-relative:text;width:37.75pt;height:17.75pt;z-index:-251402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09" w:type="dxa"/>
                    <w:tblInd w:w="22" w:type="dxa"/>
                    <w:shd w:val="clear" w:fill="FFFFFF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709"/>
                  </w:tblGrid>
                  <w:tr>
                    <w:trPr>
                      <w:trHeight w:val="304" w:hRule="atLeast"/>
                    </w:trPr>
                    <w:tc>
                      <w:tcPr>
                        <w:shd w:val="clear" w:fill="FFFFFF"/>
                        <w:tcW w:w="709" w:type="dxa"/>
                        <w:vAlign w:val="top"/>
                      </w:tcPr>
                      <w:p>
                        <w:pPr>
                          <w:pStyle w:val="TableText"/>
                          <w:ind w:left="236"/>
                          <w:spacing w:before="3" w:line="17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头痛</w:t>
                        </w:r>
                      </w:p>
                      <w:p>
                        <w:pPr>
                          <w:pStyle w:val="TableText"/>
                          <w:ind w:left="114"/>
                          <w:spacing w:before="8" w:line="13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  <w:position w:val="-1"/>
                          </w:rPr>
                          <w:t>视野缺损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54" style="position:absolute;margin-left:161.15pt;margin-top:4.28436pt;mso-position-vertical-relative:text;mso-position-horizontal-relative:text;width:39.45pt;height:17.6pt;z-index:-251401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43" w:type="dxa"/>
                    <w:tblInd w:w="22" w:type="dxa"/>
                    <w:shd w:val="clear" w:fill="FFFFFF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743"/>
                  </w:tblGrid>
                  <w:tr>
                    <w:trPr>
                      <w:trHeight w:val="301" w:hRule="atLeast"/>
                    </w:trPr>
                    <w:tc>
                      <w:tcPr>
                        <w:shd w:val="clear" w:fill="FFFFFF"/>
                        <w:tcW w:w="743" w:type="dxa"/>
                        <w:vAlign w:val="top"/>
                      </w:tcPr>
                      <w:p>
                        <w:pPr>
                          <w:pStyle w:val="TableText"/>
                          <w:ind w:left="253"/>
                          <w:spacing w:before="4" w:line="17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急性</w:t>
                        </w:r>
                      </w:p>
                      <w:p>
                        <w:pPr>
                          <w:pStyle w:val="TableText"/>
                          <w:ind w:left="138"/>
                          <w:spacing w:before="9" w:line="126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  <w:position w:val="-1"/>
                          </w:rPr>
                          <w:t>呼吸困难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56" style="position:absolute;margin-left:63.639pt;margin-top:8.53638pt;mso-position-vertical-relative:text;mso-position-horizontal-relative:text;width:37.75pt;height:9.7pt;z-index:251934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09" w:type="dxa"/>
                    <w:tblInd w:w="22" w:type="dxa"/>
                    <w:shd w:val="clear" w:fill="FFFFFF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709"/>
                  </w:tblGrid>
                  <w:tr>
                    <w:trPr>
                      <w:trHeight w:val="143" w:hRule="atLeast"/>
                    </w:trPr>
                    <w:tc>
                      <w:tcPr>
                        <w:shd w:val="clear" w:fill="FFFFFF"/>
                        <w:tcW w:w="709" w:type="dxa"/>
                        <w:vAlign w:val="top"/>
                      </w:tcPr>
                      <w:p>
                        <w:pPr>
                          <w:pStyle w:val="TableText"/>
                          <w:ind w:left="234"/>
                          <w:spacing w:before="3" w:line="129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胸痛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>
        <w:pict>
          <v:shape id="_x0000_s158" style="position:absolute;margin-left:61.371pt;margin-top:9.42859pt;mso-position-vertical-relative:text;mso-position-horizontal-relative:text;width:50.5pt;height:21pt;z-index:251927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964" w:type="dxa"/>
                    <w:tblInd w:w="22" w:type="dxa"/>
                    <w:shd w:val="clear" w:fill="FFFFFF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964"/>
                  </w:tblGrid>
                  <w:tr>
                    <w:trPr>
                      <w:trHeight w:val="369" w:hRule="atLeast"/>
                    </w:trPr>
                    <w:tc>
                      <w:tcPr>
                        <w:shd w:val="clear" w:fill="FFFFFF"/>
                        <w:tcW w:w="964" w:type="dxa"/>
                        <w:vAlign w:val="top"/>
                      </w:tcPr>
                      <w:p>
                        <w:pPr>
                          <w:pStyle w:val="TableText"/>
                          <w:ind w:left="241" w:right="179" w:hanging="55"/>
                          <w:spacing w:before="3"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主动脉夹层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冠脉缺血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60" style="position:absolute;margin-left:148.395pt;margin-top:9.42859pt;mso-position-vertical-relative:text;mso-position-horizontal-relative:text;width:61.55pt;height:21pt;z-index:-251400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185" w:type="dxa"/>
                    <w:tblInd w:w="22" w:type="dxa"/>
                    <w:shd w:val="clear" w:fill="FFFFFF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1185"/>
                  </w:tblGrid>
                  <w:tr>
                    <w:trPr>
                      <w:trHeight w:val="369" w:hRule="atLeast"/>
                    </w:trPr>
                    <w:tc>
                      <w:tcPr>
                        <w:shd w:val="clear" w:fill="FFFFFF"/>
                        <w:tcW w:w="1185" w:type="dxa"/>
                        <w:vAlign w:val="top"/>
                      </w:tcPr>
                      <w:p>
                        <w:pPr>
                          <w:pStyle w:val="TableText"/>
                          <w:ind w:left="293"/>
                          <w:spacing w:before="3" w:line="163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充血性心衰</w:t>
                        </w:r>
                      </w:p>
                      <w:p>
                        <w:pPr>
                          <w:pStyle w:val="TableText"/>
                          <w:ind w:left="58"/>
                          <w:spacing w:line="22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3"/>
                          </w:rPr>
                          <w:t>（有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/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3"/>
                          </w:rPr>
                          <w:t>无冠脉缺血）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62" style="position:absolute;margin-left:339.887pt;margin-top:10.8466pt;mso-position-vertical-relative:text;mso-position-horizontal-relative:text;width:65.65pt;height:19.05pt;z-index:-251398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267" w:type="dxa"/>
                    <w:tblInd w:w="22" w:type="dxa"/>
                    <w:shd w:val="clear" w:fill="FFFFFF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1267"/>
                  </w:tblGrid>
                  <w:tr>
                    <w:trPr>
                      <w:trHeight w:val="330" w:hRule="atLeast"/>
                    </w:trPr>
                    <w:tc>
                      <w:tcPr>
                        <w:shd w:val="clear" w:fill="FFFFFF"/>
                        <w:tcW w:w="1267" w:type="dxa"/>
                        <w:vAlign w:val="top"/>
                      </w:tcPr>
                      <w:p>
                        <w:pPr>
                          <w:pStyle w:val="TableText"/>
                          <w:ind w:left="335" w:right="51" w:hanging="216"/>
                          <w:spacing w:before="4" w:line="18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>MH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、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>TMA 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和（或）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急性肾衰竭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64" style="position:absolute;margin-left:253.07pt;margin-top:11.9806pt;mso-position-vertical-relative:text;mso-position-horizontal-relative:text;width:43.7pt;height:18.2pt;z-index:-251399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28" w:type="dxa"/>
                    <w:tblInd w:w="22" w:type="dxa"/>
                    <w:shd w:val="clear" w:fill="FFFFFF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828"/>
                  </w:tblGrid>
                  <w:tr>
                    <w:trPr>
                      <w:trHeight w:val="313" w:hRule="atLeast"/>
                    </w:trPr>
                    <w:tc>
                      <w:tcPr>
                        <w:shd w:val="clear" w:fill="FFFFFF"/>
                        <w:tcW w:w="828" w:type="dxa"/>
                        <w:vAlign w:val="top"/>
                      </w:tcPr>
                      <w:p>
                        <w:pPr>
                          <w:pStyle w:val="TableText"/>
                          <w:ind w:left="122" w:right="51" w:hanging="68"/>
                          <w:spacing w:before="2" w:line="17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缺血性脑病或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出血性卒中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>
        <w:pict>
          <v:shape id="_x0000_s166" style="position:absolute;margin-left:55.418pt;margin-top:6.36824pt;mso-position-vertical-relative:text;mso-position-horizontal-relative:text;width:50.5pt;height:21pt;z-index:251928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964" w:type="dxa"/>
                    <w:tblInd w:w="22" w:type="dxa"/>
                    <w:shd w:val="clear" w:fill="FFFFFF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964"/>
                  </w:tblGrid>
                  <w:tr>
                    <w:trPr>
                      <w:trHeight w:val="369" w:hRule="atLeast"/>
                    </w:trPr>
                    <w:tc>
                      <w:tcPr>
                        <w:shd w:val="clear" w:fill="FFFFFF"/>
                        <w:tcW w:w="964" w:type="dxa"/>
                        <w:vAlign w:val="top"/>
                      </w:tcPr>
                      <w:p>
                        <w:pPr>
                          <w:pStyle w:val="TableText"/>
                          <w:ind w:left="241" w:right="179" w:hanging="55"/>
                          <w:spacing w:before="3"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主动脉夹层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冠脉缺血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68" style="position:absolute;margin-left:344.552pt;margin-top:3.53424pt;mso-position-vertical-relative:text;mso-position-horizontal-relative:text;width:50.6pt;height:25pt;z-index:251925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966" w:type="dxa"/>
                    <w:tblInd w:w="22" w:type="dxa"/>
                    <w:shd w:val="clear" w:fill="FFFFFF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966"/>
                  </w:tblGrid>
                  <w:tr>
                    <w:trPr>
                      <w:trHeight w:val="449" w:hRule="atLeast"/>
                    </w:trPr>
                    <w:tc>
                      <w:tcPr>
                        <w:shd w:val="clear" w:fill="FFFFFF"/>
                        <w:tcW w:w="966" w:type="dxa"/>
                        <w:vAlign w:val="top"/>
                      </w:tcPr>
                      <w:p>
                        <w:pPr>
                          <w:pStyle w:val="TableText"/>
                          <w:ind w:left="48" w:hanging="20"/>
                          <w:spacing w:before="100" w:line="197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4"/>
                          </w:rPr>
                          <w:t>眼底检查、体温、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2"/>
                          </w:rPr>
                          <w:t>LDH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、裂孔细胞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70" style="position:absolute;margin-left:161.15pt;margin-top:6.36925pt;mso-position-vertical-relative:text;mso-position-horizontal-relative:text;width:37.75pt;height:18.2pt;z-index:251932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09" w:type="dxa"/>
                    <w:tblInd w:w="22" w:type="dxa"/>
                    <w:shd w:val="clear" w:fill="FFFFFF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709"/>
                  </w:tblGrid>
                  <w:tr>
                    <w:trPr>
                      <w:trHeight w:val="313" w:hRule="atLeast"/>
                    </w:trPr>
                    <w:tc>
                      <w:tcPr>
                        <w:shd w:val="clear" w:fill="FFFFFF"/>
                        <w:tcW w:w="709" w:type="dxa"/>
                        <w:vAlign w:val="top"/>
                      </w:tcPr>
                      <w:p>
                        <w:pPr>
                          <w:pStyle w:val="TableText"/>
                          <w:ind w:left="236"/>
                          <w:spacing w:before="5" w:line="173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双肺</w:t>
                        </w:r>
                      </w:p>
                      <w:p>
                        <w:pPr>
                          <w:pStyle w:val="TableText"/>
                          <w:ind w:left="242"/>
                          <w:spacing w:before="10" w:line="162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啰音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72" style="position:absolute;margin-left:449.009pt;margin-top:6.65224pt;mso-position-vertical-relative:text;mso-position-horizontal-relative:text;width:37.1pt;height:21.85pt;z-index:251930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696" w:type="dxa"/>
                    <w:tblInd w:w="22" w:type="dxa"/>
                    <w:shd w:val="clear" w:fill="FFFFFF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696"/>
                  </w:tblGrid>
                  <w:tr>
                    <w:trPr>
                      <w:trHeight w:val="386" w:hRule="atLeast"/>
                    </w:trPr>
                    <w:tc>
                      <w:tcPr>
                        <w:shd w:val="clear" w:fill="FFFFFF"/>
                        <w:tcW w:w="696" w:type="dxa"/>
                        <w:vAlign w:val="top"/>
                      </w:tcPr>
                      <w:p>
                        <w:pPr>
                          <w:pStyle w:val="TableText"/>
                          <w:ind w:left="29" w:right="3" w:hanging="21"/>
                          <w:spacing w:before="3" w:line="229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2"/>
                          </w:rPr>
                          <w:t>Grade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10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2"/>
                          </w:rPr>
                          <w:t>Ⅲ或Ⅳ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1"/>
                          </w:rPr>
                          <w:t>HRP? TMA?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>
        <w:pict>
          <v:shape id="_x0000_s174" style="position:absolute;margin-left:435.751pt;margin-top:2.74089pt;mso-position-vertical-relative:text;mso-position-horizontal-relative:text;width:61.55pt;height:22.15pt;z-index:251922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185" w:type="dxa"/>
                    <w:tblInd w:w="22" w:type="dxa"/>
                    <w:shd w:val="clear" w:fill="FFFFFF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1185"/>
                  </w:tblGrid>
                  <w:tr>
                    <w:trPr>
                      <w:trHeight w:val="392" w:hRule="atLeast"/>
                    </w:trPr>
                    <w:tc>
                      <w:tcPr>
                        <w:shd w:val="clear" w:fill="FFFFFF"/>
                        <w:tcW w:w="1185" w:type="dxa"/>
                        <w:vAlign w:val="top"/>
                      </w:tcPr>
                      <w:p>
                        <w:pPr>
                          <w:pStyle w:val="TableText"/>
                          <w:ind w:left="294" w:right="229" w:hanging="60"/>
                          <w:spacing w:before="3" w:line="198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恶性高血压或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高血压脑病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76" style="position:absolute;margin-left:59.103pt;margin-top:3.30789pt;mso-position-vertical-relative:text;mso-position-horizontal-relative:text;width:43.7pt;height:18.2pt;z-index:251931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28" w:type="dxa"/>
                    <w:tblInd w:w="22" w:type="dxa"/>
                    <w:shd w:val="clear" w:fill="FFFFFF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828"/>
                  </w:tblGrid>
                  <w:tr>
                    <w:trPr>
                      <w:trHeight w:val="313" w:hRule="atLeast"/>
                    </w:trPr>
                    <w:tc>
                      <w:tcPr>
                        <w:shd w:val="clear" w:fill="FFFFFF"/>
                        <w:tcW w:w="828" w:type="dxa"/>
                        <w:vAlign w:val="top"/>
                      </w:tcPr>
                      <w:p>
                        <w:pPr>
                          <w:pStyle w:val="TableText"/>
                          <w:ind w:left="292" w:right="111" w:hanging="177"/>
                          <w:spacing w:before="2" w:line="17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急性主动脉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疾病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78" style="position:absolute;margin-left:354.757pt;margin-top:3.87589pt;mso-position-vertical-relative:text;mso-position-horizontal-relative:text;width:43.7pt;height:19.05pt;z-index:251929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28" w:type="dxa"/>
                    <w:tblInd w:w="22" w:type="dxa"/>
                    <w:shd w:val="clear" w:fill="FFFFFF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828"/>
                  </w:tblGrid>
                  <w:tr>
                    <w:trPr>
                      <w:trHeight w:val="330" w:hRule="atLeast"/>
                    </w:trPr>
                    <w:tc>
                      <w:tcPr>
                        <w:shd w:val="clear" w:fill="FFFFFF"/>
                        <w:tcW w:w="828" w:type="dxa"/>
                        <w:vAlign w:val="top"/>
                      </w:tcPr>
                      <w:p>
                        <w:pPr>
                          <w:pStyle w:val="TableText"/>
                          <w:ind w:left="114" w:right="111" w:firstLine="59"/>
                          <w:spacing w:before="4" w:line="184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局部症状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 xml:space="preserve">  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缺血性卒中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80" style="position:absolute;margin-left:255.686pt;margin-top:6.70988pt;mso-position-vertical-relative:text;mso-position-horizontal-relative:text;width:39.6pt;height:16.65pt;z-index:251933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746" w:type="dxa"/>
                    <w:tblInd w:w="22" w:type="dxa"/>
                    <w:shd w:val="clear" w:fill="FFFFFF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746"/>
                  </w:tblGrid>
                  <w:tr>
                    <w:trPr>
                      <w:trHeight w:val="282" w:hRule="atLeast"/>
                    </w:trPr>
                    <w:tc>
                      <w:tcPr>
                        <w:shd w:val="clear" w:fill="FFFFFF"/>
                        <w:tcW w:w="746" w:type="dxa"/>
                        <w:vAlign w:val="top"/>
                      </w:tcPr>
                      <w:p>
                        <w:pPr>
                          <w:pStyle w:val="TableText"/>
                          <w:ind w:left="201"/>
                          <w:spacing w:before="4" w:line="175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>出血性</w:t>
                        </w:r>
                      </w:p>
                      <w:p>
                        <w:pPr>
                          <w:pStyle w:val="TableText"/>
                          <w:ind w:left="252"/>
                          <w:spacing w:before="7" w:line="110" w:lineRule="exact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  <w:position w:val="-1"/>
                          </w:rPr>
                          <w:t>卒中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>
        <w:pict>
          <v:shape id="_x0000_s182" style="position:absolute;margin-left:344.552pt;margin-top:9.11757pt;mso-position-vertical-relative:text;mso-position-horizontal-relative:text;width:61.55pt;height:19.35pt;z-index:251926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185" w:type="dxa"/>
                    <w:tblInd w:w="22" w:type="dxa"/>
                    <w:shd w:val="clear" w:fill="FFFFFF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1185"/>
                  </w:tblGrid>
                  <w:tr>
                    <w:trPr>
                      <w:trHeight w:val="336" w:hRule="atLeast"/>
                    </w:trPr>
                    <w:tc>
                      <w:tcPr>
                        <w:shd w:val="clear" w:fill="FFFFFF"/>
                        <w:tcW w:w="1185" w:type="dxa"/>
                        <w:vAlign w:val="top"/>
                      </w:tcPr>
                      <w:p>
                        <w:pPr>
                          <w:pStyle w:val="TableText"/>
                          <w:ind w:left="352" w:right="89" w:hanging="256"/>
                          <w:spacing w:line="190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收缩压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1"/>
                          </w:rPr>
                          <w:t>&lt;180 mmHg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溶栓治疗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84" style="position:absolute;margin-left:46.347pt;margin-top:8.83417pt;mso-position-vertical-relative:text;mso-position-horizontal-relative:text;width:72.05pt;height:19.05pt;z-index:251923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395" w:type="dxa"/>
                    <w:tblInd w:w="22" w:type="dxa"/>
                    <w:shd w:val="clear" w:fill="FFFFFF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1395"/>
                  </w:tblGrid>
                  <w:tr>
                    <w:trPr>
                      <w:trHeight w:val="330" w:hRule="atLeast"/>
                    </w:trPr>
                    <w:tc>
                      <w:tcPr>
                        <w:shd w:val="clear" w:fill="FFFFFF"/>
                        <w:tcW w:w="1395" w:type="dxa"/>
                        <w:vAlign w:val="top"/>
                      </w:tcPr>
                      <w:p>
                        <w:pPr>
                          <w:pStyle w:val="TableText"/>
                          <w:ind w:left="127" w:right="60" w:firstLine="73"/>
                          <w:spacing w:line="18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收缩压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1"/>
                          </w:rPr>
                          <w:t>&lt;180 mmHg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 xml:space="preserve">      </w:t>
                        </w:r>
                        <w:r>
                          <w:rPr>
                            <w:sz w:val="12"/>
                            <w:szCs w:val="12"/>
                            <w:color w:val="231F20"/>
                          </w:rPr>
                          <w:t>药物干预（外科手术）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86" style="position:absolute;margin-left:430.158pt;margin-top:9.11757pt;mso-position-vertical-relative:text;mso-position-horizontal-relative:text;width:74.6pt;height:19.35pt;z-index:251921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46" w:type="dxa"/>
                    <w:tblInd w:w="22" w:type="dxa"/>
                    <w:shd w:val="clear" w:fill="FFFFFF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1446"/>
                  </w:tblGrid>
                  <w:tr>
                    <w:trPr>
                      <w:trHeight w:val="336" w:hRule="atLeast"/>
                    </w:trPr>
                    <w:tc>
                      <w:tcPr>
                        <w:shd w:val="clear" w:fill="FFFFFF"/>
                        <w:tcW w:w="1446" w:type="dxa"/>
                        <w:vAlign w:val="top"/>
                      </w:tcPr>
                      <w:p>
                        <w:pPr>
                          <w:pStyle w:val="TableText"/>
                          <w:ind w:left="119" w:right="115" w:firstLine="106"/>
                          <w:spacing w:line="190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收缩压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1"/>
                          </w:rPr>
                          <w:t>&lt;180 mmHg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 xml:space="preserve">    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或平均动脉压降低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1"/>
                          </w:rPr>
                          <w:t>25%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88" style="position:absolute;margin-left:143.15pt;margin-top:9.68457pt;mso-position-vertical-relative:text;mso-position-horizontal-relative:text;width:72.05pt;height:19.05pt;z-index:251924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395" w:type="dxa"/>
                    <w:tblInd w:w="22" w:type="dxa"/>
                    <w:shd w:val="clear" w:fill="FFFFFF"/>
                    <w:tblLayout w:type="fixed"/>
                    <w:tblBorders>
                      <w:left w:val="single" w:color="FFFFFF" w:sz="2" w:space="0"/>
                      <w:bottom w:val="single" w:color="FFFFFF" w:sz="2" w:space="0"/>
                      <w:right w:val="single" w:color="FFFFFF" w:sz="2" w:space="0"/>
                      <w:top w:val="single" w:color="FFFFFF" w:sz="2" w:space="0"/>
                    </w:tblBorders>
                  </w:tblPr>
                  <w:tblGrid>
                    <w:gridCol w:w="1395"/>
                  </w:tblGrid>
                  <w:tr>
                    <w:trPr>
                      <w:trHeight w:val="330" w:hRule="atLeast"/>
                    </w:trPr>
                    <w:tc>
                      <w:tcPr>
                        <w:shd w:val="clear" w:fill="FFFFFF"/>
                        <w:tcW w:w="1395" w:type="dxa"/>
                        <w:vAlign w:val="top"/>
                      </w:tcPr>
                      <w:p>
                        <w:pPr>
                          <w:pStyle w:val="TableText"/>
                          <w:ind w:left="259" w:right="191" w:hanging="58"/>
                          <w:spacing w:line="186" w:lineRule="auto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  <w:color w:val="231F20"/>
                            <w:spacing w:val="-1"/>
                          </w:rPr>
                          <w:t>收缩压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1"/>
                          </w:rPr>
                          <w:t>&lt;140 mmHg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药物干预（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6"/>
                          </w:rPr>
                          <w:t>PCI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2"/>
                            <w:szCs w:val="12"/>
                            <w:color w:val="231F20"/>
                            <w:spacing w:val="-6"/>
                          </w:rPr>
                          <w:t>）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714" w:right="733" w:firstLine="171"/>
        <w:spacing w:before="69" w:line="192" w:lineRule="auto"/>
        <w:rPr/>
      </w:pPr>
      <w:r>
        <w:rPr>
          <w:color w:val="231F20"/>
          <w:spacing w:val="-1"/>
        </w:rPr>
        <w:t>APTT</w:t>
      </w:r>
      <w:r>
        <w:rPr>
          <w:rFonts w:ascii="Microsoft YaHei" w:hAnsi="Microsoft YaHei" w:eastAsia="Microsoft YaHei" w:cs="Microsoft YaHei"/>
          <w:color w:val="231F20"/>
          <w:spacing w:val="-1"/>
        </w:rPr>
        <w:t>（</w:t>
      </w:r>
      <w:r>
        <w:rPr>
          <w:color w:val="231F20"/>
          <w:spacing w:val="-1"/>
        </w:rPr>
        <w:t>activated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partial thromboplasti</w:t>
      </w:r>
      <w:r>
        <w:rPr>
          <w:color w:val="231F20"/>
          <w:spacing w:val="-2"/>
        </w:rPr>
        <w:t>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time</w:t>
      </w:r>
      <w:r>
        <w:rPr>
          <w:rFonts w:ascii="Microsoft YaHei" w:hAnsi="Microsoft YaHei" w:eastAsia="Microsoft YaHei" w:cs="Microsoft YaHei"/>
          <w:color w:val="231F20"/>
          <w:spacing w:val="-22"/>
          <w:w w:val="50"/>
        </w:rPr>
        <w:t>）：</w:t>
      </w:r>
      <w:r>
        <w:rPr>
          <w:rFonts w:ascii="Microsoft YaHei" w:hAnsi="Microsoft YaHei" w:eastAsia="Microsoft YaHei" w:cs="Microsoft YaHei"/>
          <w:color w:val="231F20"/>
          <w:spacing w:val="-2"/>
        </w:rPr>
        <w:t>活化部分凝血活酶时间；</w:t>
      </w:r>
      <w:r>
        <w:rPr>
          <w:color w:val="231F20"/>
          <w:spacing w:val="-2"/>
        </w:rPr>
        <w:t>HRP</w:t>
      </w:r>
      <w:r>
        <w:rPr>
          <w:rFonts w:ascii="Microsoft YaHei" w:hAnsi="Microsoft YaHei" w:eastAsia="Microsoft YaHei" w:cs="Microsoft YaHei"/>
          <w:color w:val="231F20"/>
          <w:spacing w:val="-2"/>
        </w:rPr>
        <w:t>（</w:t>
      </w:r>
      <w:r>
        <w:rPr>
          <w:color w:val="231F20"/>
          <w:spacing w:val="-2"/>
        </w:rPr>
        <w:t>hypertensive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retinopathy</w:t>
      </w:r>
      <w:r>
        <w:rPr>
          <w:rFonts w:ascii="Microsoft YaHei" w:hAnsi="Microsoft YaHei" w:eastAsia="Microsoft YaHei" w:cs="Microsoft YaHei"/>
          <w:color w:val="231F20"/>
          <w:spacing w:val="-22"/>
          <w:w w:val="50"/>
        </w:rPr>
        <w:t>）：</w:t>
      </w:r>
      <w:r>
        <w:rPr>
          <w:rFonts w:ascii="Microsoft YaHei" w:hAnsi="Microsoft YaHei" w:eastAsia="Microsoft YaHei" w:cs="Microsoft YaHei"/>
          <w:color w:val="231F20"/>
          <w:spacing w:val="-2"/>
        </w:rPr>
        <w:t>高血压视网膜病变；</w:t>
      </w:r>
      <w:r>
        <w:rPr>
          <w:color w:val="231F20"/>
          <w:spacing w:val="-2"/>
        </w:rPr>
        <w:t>INR</w:t>
      </w:r>
      <w:r>
        <w:rPr>
          <w:rFonts w:ascii="Microsoft YaHei" w:hAnsi="Microsoft YaHei" w:eastAsia="Microsoft YaHei" w:cs="Microsoft YaHei"/>
          <w:color w:val="231F20"/>
          <w:spacing w:val="-2"/>
        </w:rPr>
        <w:t>（</w:t>
      </w:r>
      <w:r>
        <w:rPr>
          <w:rFonts w:ascii="Microsoft YaHei" w:hAnsi="Microsoft YaHei" w:eastAsia="Microsoft YaHei" w:cs="Microsoft YaHei"/>
          <w:color w:val="231F20"/>
          <w:spacing w:val="-12"/>
        </w:rPr>
        <w:t xml:space="preserve"> </w:t>
      </w:r>
      <w:r>
        <w:rPr>
          <w:color w:val="231F20"/>
          <w:spacing w:val="-2"/>
        </w:rPr>
        <w:t>international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normalized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ratio</w:t>
      </w:r>
      <w:r>
        <w:rPr>
          <w:rFonts w:ascii="Microsoft YaHei" w:hAnsi="Microsoft YaHei" w:eastAsia="Microsoft YaHei" w:cs="Microsoft YaHei"/>
          <w:color w:val="231F20"/>
          <w:spacing w:val="-35"/>
        </w:rPr>
        <w:t>）：</w:t>
      </w:r>
      <w:r>
        <w:rPr>
          <w:rFonts w:ascii="Microsoft YaHei" w:hAnsi="Microsoft YaHei" w:eastAsia="Microsoft YaHei" w:cs="Microsoft YaHei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国际标准化比值 ；</w:t>
      </w:r>
      <w:r>
        <w:rPr>
          <w:color w:val="231F20"/>
          <w:spacing w:val="-1"/>
        </w:rPr>
        <w:t>LDH</w:t>
      </w:r>
      <w:r>
        <w:rPr>
          <w:rFonts w:ascii="Microsoft YaHei" w:hAnsi="Microsoft YaHei" w:eastAsia="Microsoft YaHei" w:cs="Microsoft YaHei"/>
          <w:color w:val="231F20"/>
          <w:spacing w:val="-1"/>
        </w:rPr>
        <w:t>（</w:t>
      </w:r>
      <w:r>
        <w:rPr>
          <w:rFonts w:ascii="Microsoft YaHei" w:hAnsi="Microsoft YaHei" w:eastAsia="Microsoft YaHei" w:cs="Microsoft YaHei"/>
          <w:color w:val="231F20"/>
          <w:spacing w:val="-13"/>
        </w:rPr>
        <w:t xml:space="preserve"> </w:t>
      </w:r>
      <w:r>
        <w:rPr>
          <w:color w:val="231F20"/>
          <w:spacing w:val="-1"/>
        </w:rPr>
        <w:t>lactic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dehydrogenase</w:t>
      </w:r>
      <w:r>
        <w:rPr>
          <w:rFonts w:ascii="Microsoft YaHei" w:hAnsi="Microsoft YaHei" w:eastAsia="Microsoft YaHei" w:cs="Microsoft YaHei"/>
          <w:color w:val="231F20"/>
          <w:spacing w:val="-35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"/>
        </w:rPr>
        <w:t>乳酸脱氢酶 ；</w:t>
      </w:r>
      <w:r>
        <w:rPr>
          <w:color w:val="231F20"/>
          <w:spacing w:val="-1"/>
        </w:rPr>
        <w:t>MH</w:t>
      </w:r>
      <w:r>
        <w:rPr>
          <w:rFonts w:ascii="Microsoft YaHei" w:hAnsi="Microsoft YaHei" w:eastAsia="Microsoft YaHei" w:cs="Microsoft YaHei"/>
          <w:color w:val="231F20"/>
          <w:spacing w:val="-1"/>
        </w:rPr>
        <w:t>（</w:t>
      </w:r>
      <w:r>
        <w:rPr>
          <w:color w:val="231F20"/>
          <w:spacing w:val="-1"/>
        </w:rPr>
        <w:t>malignant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hypertension</w:t>
      </w:r>
      <w:r>
        <w:rPr>
          <w:rFonts w:ascii="Microsoft YaHei" w:hAnsi="Microsoft YaHei" w:eastAsia="Microsoft YaHei" w:cs="Microsoft YaHei"/>
          <w:color w:val="231F20"/>
          <w:spacing w:val="-35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"/>
        </w:rPr>
        <w:t>恶性高血压</w:t>
      </w:r>
      <w:r>
        <w:rPr>
          <w:rFonts w:ascii="Microsoft YaHei" w:hAnsi="Microsoft YaHei" w:eastAsia="Microsoft YaHei" w:cs="Microsoft YaHei"/>
          <w:color w:val="231F20"/>
          <w:spacing w:val="-2"/>
        </w:rPr>
        <w:t xml:space="preserve"> ；</w:t>
      </w:r>
      <w:r>
        <w:rPr>
          <w:color w:val="231F20"/>
          <w:spacing w:val="-2"/>
        </w:rPr>
        <w:t>PT</w:t>
      </w:r>
      <w:r>
        <w:rPr>
          <w:rFonts w:ascii="Microsoft YaHei" w:hAnsi="Microsoft YaHei" w:eastAsia="Microsoft YaHei" w:cs="Microsoft YaHei"/>
          <w:color w:val="231F20"/>
          <w:spacing w:val="-2"/>
        </w:rPr>
        <w:t>（</w:t>
      </w:r>
      <w:r>
        <w:rPr>
          <w:color w:val="231F20"/>
          <w:spacing w:val="-2"/>
        </w:rPr>
        <w:t>partial</w:t>
      </w:r>
    </w:p>
    <w:p>
      <w:pPr>
        <w:pStyle w:val="BodyText"/>
        <w:ind w:left="717"/>
        <w:spacing w:before="1" w:line="213" w:lineRule="auto"/>
        <w:rPr>
          <w:rFonts w:ascii="Microsoft YaHei" w:hAnsi="Microsoft YaHei" w:eastAsia="Microsoft YaHei" w:cs="Microsoft YaHei"/>
        </w:rPr>
      </w:pPr>
      <w:r>
        <w:rPr>
          <w:color w:val="231F20"/>
        </w:rPr>
        <w:t>thromboplastin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time</w:t>
      </w:r>
      <w:r>
        <w:rPr>
          <w:rFonts w:ascii="Microsoft YaHei" w:hAnsi="Microsoft YaHei" w:eastAsia="Microsoft YaHei" w:cs="Microsoft YaHei"/>
          <w:color w:val="231F20"/>
          <w:spacing w:val="-42"/>
        </w:rPr>
        <w:t>）：</w:t>
      </w:r>
      <w:r>
        <w:rPr>
          <w:rFonts w:ascii="Microsoft YaHei" w:hAnsi="Microsoft YaHei" w:eastAsia="Microsoft YaHei" w:cs="Microsoft YaHei"/>
          <w:color w:val="231F20"/>
        </w:rPr>
        <w:t>部分凝血活酶时间 ；</w:t>
      </w:r>
      <w:r>
        <w:rPr>
          <w:color w:val="231F20"/>
        </w:rPr>
        <w:t>TM</w:t>
      </w:r>
      <w:r>
        <w:rPr>
          <w:color w:val="231F20"/>
          <w:spacing w:val="-1"/>
        </w:rPr>
        <w:t>A</w:t>
      </w:r>
      <w:r>
        <w:rPr>
          <w:rFonts w:ascii="Microsoft YaHei" w:hAnsi="Microsoft YaHei" w:eastAsia="Microsoft YaHei" w:cs="Microsoft YaHei"/>
          <w:color w:val="231F20"/>
          <w:spacing w:val="-1"/>
        </w:rPr>
        <w:t>（</w:t>
      </w:r>
      <w:r>
        <w:rPr>
          <w:color w:val="231F20"/>
          <w:spacing w:val="-1"/>
        </w:rPr>
        <w:t>thrombotic microangiopathy</w:t>
      </w:r>
      <w:r>
        <w:rPr>
          <w:rFonts w:ascii="Microsoft YaHei" w:hAnsi="Microsoft YaHei" w:eastAsia="Microsoft YaHei" w:cs="Microsoft YaHei"/>
          <w:color w:val="231F20"/>
          <w:spacing w:val="-42"/>
        </w:rPr>
        <w:t>）：</w:t>
      </w:r>
      <w:r>
        <w:rPr>
          <w:rFonts w:ascii="Microsoft YaHei" w:hAnsi="Microsoft YaHei" w:eastAsia="Microsoft YaHei" w:cs="Microsoft YaHei"/>
          <w:color w:val="231F20"/>
          <w:spacing w:val="-1"/>
        </w:rPr>
        <w:t>血栓性微血管病变</w:t>
      </w:r>
    </w:p>
    <w:p>
      <w:pPr>
        <w:ind w:left="4213"/>
        <w:spacing w:line="155" w:lineRule="exact"/>
        <w:outlineLvl w:val="2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1"/>
          <w:position w:val="-1"/>
        </w:rPr>
        <w:t>图</w:t>
      </w:r>
      <w:r>
        <w:rPr>
          <w:rFonts w:ascii="SimHei" w:hAnsi="SimHei" w:eastAsia="SimHei" w:cs="SimHei"/>
          <w:sz w:val="16"/>
          <w:szCs w:val="16"/>
          <w:color w:val="231F20"/>
          <w:spacing w:val="-31"/>
          <w:position w:val="-1"/>
        </w:rPr>
        <w:t xml:space="preserve"> </w:t>
      </w:r>
      <w:r>
        <w:rPr>
          <w:rFonts w:ascii="SimHei" w:hAnsi="SimHei" w:eastAsia="SimHei" w:cs="SimHei"/>
          <w:sz w:val="16"/>
          <w:szCs w:val="16"/>
          <w:color w:val="231F20"/>
          <w:spacing w:val="-1"/>
          <w:position w:val="-1"/>
        </w:rPr>
        <w:t>3</w:t>
      </w:r>
      <w:r>
        <w:rPr>
          <w:rFonts w:ascii="SimHei" w:hAnsi="SimHei" w:eastAsia="SimHei" w:cs="SimHei"/>
          <w:sz w:val="16"/>
          <w:szCs w:val="16"/>
          <w:color w:val="231F20"/>
          <w:spacing w:val="-1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  <w:position w:val="-1"/>
        </w:rPr>
        <w:t>高血压急症患者的整体评价流程</w:t>
      </w:r>
    </w:p>
    <w:p>
      <w:pPr>
        <w:spacing w:line="155" w:lineRule="exact"/>
        <w:sectPr>
          <w:type w:val="continuous"/>
          <w:pgSz w:w="11906" w:h="16158"/>
          <w:pgMar w:top="1301" w:right="400" w:bottom="566" w:left="402" w:header="1024" w:footer="297" w:gutter="0"/>
          <w:cols w:equalWidth="0" w:num="1">
            <w:col w:w="11104" w:space="0"/>
          </w:cols>
        </w:sectPr>
        <w:rPr>
          <w:rFonts w:ascii="Microsoft YaHei" w:hAnsi="Microsoft YaHei" w:eastAsia="Microsoft YaHei" w:cs="Microsoft YaHei"/>
          <w:sz w:val="16"/>
          <w:szCs w:val="16"/>
        </w:rPr>
      </w:pPr>
    </w:p>
    <w:p>
      <w:pPr>
        <w:spacing w:line="211" w:lineRule="exact"/>
        <w:rPr/>
      </w:pPr>
      <w:r/>
    </w:p>
    <w:p>
      <w:pPr>
        <w:spacing w:line="211" w:lineRule="exact"/>
        <w:sectPr>
          <w:headerReference w:type="default" r:id="rId103"/>
          <w:footerReference w:type="default" r:id="rId99"/>
          <w:pgSz w:w="11906" w:h="16158"/>
          <w:pgMar w:top="1301" w:right="2" w:bottom="566" w:left="400" w:header="1024" w:footer="2" w:gutter="0"/>
          <w:cols w:equalWidth="0" w:num="1">
            <w:col w:w="11503" w:space="0"/>
          </w:cols>
        </w:sectPr>
        <w:rPr/>
      </w:pPr>
    </w:p>
    <w:p>
      <w:pPr>
        <w:pStyle w:val="BodyText"/>
        <w:ind w:left="736" w:right="226" w:firstLine="9"/>
        <w:spacing w:before="47" w:line="256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4.6.3</w:t>
      </w:r>
      <w:r>
        <w:rPr>
          <w:sz w:val="18"/>
          <w:szCs w:val="18"/>
          <w:color w:val="231F20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>其他评估工具    目前临床上被用于评估、分析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>危重患者病情的工具主要为各类评分，如 </w:t>
      </w:r>
      <w:r>
        <w:rPr>
          <w:sz w:val="18"/>
          <w:szCs w:val="18"/>
          <w:color w:val="231F20"/>
        </w:rPr>
        <w:t>GCS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>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>分、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APACHE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Ⅱ评分和 </w:t>
      </w:r>
      <w:r>
        <w:rPr>
          <w:sz w:val="18"/>
          <w:szCs w:val="18"/>
          <w:color w:val="231F20"/>
          <w:spacing w:val="-4"/>
        </w:rPr>
        <w:t>MODS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评分等。</w:t>
      </w:r>
    </w:p>
    <w:p>
      <w:pPr>
        <w:ind w:left="741"/>
        <w:spacing w:before="118" w:line="241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</w:rPr>
        <w:t>5</w:t>
      </w:r>
      <w:r>
        <w:rPr>
          <w:rFonts w:ascii="SimHei" w:hAnsi="SimHei" w:eastAsia="SimHei" w:cs="SimHei"/>
          <w:sz w:val="24"/>
          <w:szCs w:val="24"/>
          <w:color w:val="231F20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231F20"/>
        </w:rPr>
        <w:t>高血压急症降压原则</w:t>
      </w:r>
    </w:p>
    <w:p>
      <w:pPr>
        <w:ind w:left="740"/>
        <w:spacing w:before="145" w:line="242" w:lineRule="auto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6"/>
        </w:rPr>
        <w:t>5.1</w:t>
      </w:r>
      <w:r>
        <w:rPr>
          <w:rFonts w:ascii="SimHei" w:hAnsi="SimHei" w:eastAsia="SimHei" w:cs="SimHei"/>
          <w:sz w:val="21"/>
          <w:szCs w:val="21"/>
          <w:color w:val="231F20"/>
          <w:spacing w:val="6"/>
        </w:rPr>
        <w:t xml:space="preserve">  </w:t>
      </w:r>
      <w:r>
        <w:rPr>
          <w:rFonts w:ascii="SimHei" w:hAnsi="SimHei" w:eastAsia="SimHei" w:cs="SimHei"/>
          <w:sz w:val="21"/>
          <w:szCs w:val="21"/>
          <w:color w:val="231F20"/>
          <w:spacing w:val="-6"/>
        </w:rPr>
        <w:t>指导原则</w:t>
      </w:r>
    </w:p>
    <w:p>
      <w:pPr>
        <w:ind w:left="736" w:right="298" w:firstLine="372"/>
        <w:spacing w:before="47" w:line="246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高血压急症早期治疗原则是减少血压过高对靶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器官的持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续损伤，同时避免降压过快导致脏器灌注不足，积极寻找血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压升高的诱因并尽快纠正。所有高血压急症都应当给予起效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快、可控性强的静脉降压药物，根据不同疾病的特点单用一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种或者联合使用静脉降压药物进行快速而又平稳地降压，最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终达到目标血压。本规范主要对高血压急症的血压控制进行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规范，不同疾病的其他治疗方法和手段不在再赘述。</w:t>
      </w:r>
    </w:p>
    <w:p>
      <w:pPr>
        <w:ind w:left="736" w:right="300" w:firstLine="372"/>
        <w:spacing w:before="4" w:line="237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高血压急症包括多种致命性靶器官损伤，不同疾病的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降压目标、降压速度也不尽相同，因此笔者制定一个高血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压急症总体降压原则作为指导，当明确诊断后再根据不同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疾病的降压目标和速度进行控制性降压。</w:t>
      </w:r>
    </w:p>
    <w:p>
      <w:pPr>
        <w:pStyle w:val="BodyText"/>
        <w:ind w:left="739" w:right="298" w:firstLine="369"/>
        <w:spacing w:before="2" w:line="328" w:lineRule="auto"/>
        <w:jc w:val="both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4"/>
        </w:rPr>
        <w:t>规范</w:t>
      </w:r>
      <w:r>
        <w:rPr>
          <w:rFonts w:ascii="SimHei" w:hAnsi="SimHei" w:eastAsia="SimHei" w:cs="SimHei"/>
          <w:sz w:val="18"/>
          <w:szCs w:val="18"/>
          <w:color w:val="231F20"/>
          <w:spacing w:val="-25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-4"/>
        </w:rPr>
        <w:t>1：高血压急症早期降压原则</w:t>
      </w:r>
      <w:r>
        <w:rPr>
          <w:rFonts w:ascii="SimHei" w:hAnsi="SimHei" w:eastAsia="SimHei" w:cs="SimHei"/>
          <w:sz w:val="18"/>
          <w:szCs w:val="18"/>
          <w:color w:val="231F20"/>
          <w:spacing w:val="-31"/>
        </w:rPr>
        <w:t xml:space="preserve"> </w:t>
      </w:r>
      <w:r>
        <w:rPr>
          <w:sz w:val="10"/>
          <w:szCs w:val="10"/>
          <w:color w:val="231F20"/>
          <w:spacing w:val="-4"/>
          <w:position w:val="7"/>
        </w:rPr>
        <w:t>[2,</w:t>
      </w:r>
      <w:r>
        <w:rPr>
          <w:sz w:val="10"/>
          <w:szCs w:val="10"/>
          <w:color w:val="231F20"/>
          <w:spacing w:val="8"/>
          <w:w w:val="101"/>
          <w:position w:val="7"/>
        </w:rPr>
        <w:t xml:space="preserve"> </w:t>
      </w:r>
      <w:r>
        <w:rPr>
          <w:sz w:val="10"/>
          <w:szCs w:val="10"/>
          <w:color w:val="231F20"/>
          <w:spacing w:val="-4"/>
          <w:position w:val="7"/>
        </w:rPr>
        <w:t>27]</w:t>
      </w:r>
      <w:r>
        <w:rPr>
          <w:rFonts w:ascii="SimHei" w:hAnsi="SimHei" w:eastAsia="SimHei" w:cs="SimHei"/>
          <w:sz w:val="18"/>
          <w:szCs w:val="18"/>
          <w:color w:val="231F20"/>
          <w:spacing w:val="-14"/>
        </w:rPr>
        <w:t>：(1)</w:t>
      </w:r>
      <w:r>
        <w:rPr>
          <w:rFonts w:ascii="SimHei" w:hAnsi="SimHei" w:eastAsia="SimHei" w:cs="SimHei"/>
          <w:sz w:val="18"/>
          <w:szCs w:val="18"/>
          <w:color w:val="231F20"/>
          <w:spacing w:val="-36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-14"/>
        </w:rPr>
        <w:t>初始阶段</w:t>
      </w:r>
      <w:r>
        <w:rPr>
          <w:rFonts w:ascii="SimHei" w:hAnsi="SimHei" w:eastAsia="SimHei" w:cs="SimHei"/>
          <w:sz w:val="18"/>
          <w:szCs w:val="18"/>
          <w:color w:val="231F20"/>
          <w:spacing w:val="-35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-14"/>
        </w:rPr>
        <w:t>(1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8"/>
        </w:rPr>
        <w:t>h</w:t>
      </w:r>
      <w:r>
        <w:rPr>
          <w:rFonts w:ascii="SimHei" w:hAnsi="SimHei" w:eastAsia="SimHei" w:cs="SimHei"/>
          <w:sz w:val="18"/>
          <w:szCs w:val="18"/>
          <w:color w:val="231F20"/>
          <w:spacing w:val="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8"/>
        </w:rPr>
        <w:t>内</w:t>
      </w:r>
      <w:r>
        <w:rPr>
          <w:rFonts w:ascii="SimHei" w:hAnsi="SimHei" w:eastAsia="SimHei" w:cs="SimHei"/>
          <w:sz w:val="18"/>
          <w:szCs w:val="18"/>
          <w:color w:val="231F20"/>
          <w:spacing w:val="-37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8"/>
        </w:rPr>
        <w:t>)</w:t>
      </w:r>
      <w:r>
        <w:rPr>
          <w:rFonts w:ascii="SimHei" w:hAnsi="SimHei" w:eastAsia="SimHei" w:cs="SimHei"/>
          <w:sz w:val="18"/>
          <w:szCs w:val="18"/>
          <w:color w:val="231F20"/>
          <w:spacing w:val="-34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8"/>
        </w:rPr>
        <w:t>血压控制的目标为平均动脉压（</w:t>
      </w:r>
      <w:r>
        <w:rPr>
          <w:rFonts w:ascii="SimHei" w:hAnsi="SimHei" w:eastAsia="SimHei" w:cs="SimHei"/>
          <w:sz w:val="18"/>
          <w:szCs w:val="18"/>
          <w:color w:val="231F20"/>
        </w:rPr>
        <w:t>MAP</w:t>
      </w:r>
      <w:r>
        <w:rPr>
          <w:rFonts w:ascii="SimHei" w:hAnsi="SimHei" w:eastAsia="SimHei" w:cs="SimHei"/>
          <w:sz w:val="18"/>
          <w:szCs w:val="18"/>
          <w:color w:val="231F20"/>
          <w:spacing w:val="8"/>
        </w:rPr>
        <w:t>）的降低幅度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>不超过治疗前水平的</w:t>
      </w:r>
      <w:r>
        <w:rPr>
          <w:rFonts w:ascii="SimHei" w:hAnsi="SimHei" w:eastAsia="SimHei" w:cs="SimHei"/>
          <w:sz w:val="18"/>
          <w:szCs w:val="18"/>
          <w:color w:val="231F20"/>
          <w:spacing w:val="-38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>25%。(2)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>在随后的</w:t>
      </w:r>
      <w:r>
        <w:rPr>
          <w:rFonts w:ascii="SimHei" w:hAnsi="SimHei" w:eastAsia="SimHei" w:cs="SimHei"/>
          <w:sz w:val="18"/>
          <w:szCs w:val="18"/>
          <w:color w:val="231F20"/>
          <w:spacing w:val="-38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>2~6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>h</w:t>
      </w:r>
      <w:r>
        <w:rPr>
          <w:rFonts w:ascii="SimHei" w:hAnsi="SimHei" w:eastAsia="SimHei" w:cs="SimHei"/>
          <w:sz w:val="18"/>
          <w:szCs w:val="18"/>
          <w:color w:val="231F20"/>
          <w:spacing w:val="-18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>内</w:t>
      </w:r>
      <w:r>
        <w:rPr>
          <w:rFonts w:ascii="SimHei" w:hAnsi="SimHei" w:eastAsia="SimHei" w:cs="SimHei"/>
          <w:sz w:val="18"/>
          <w:szCs w:val="18"/>
          <w:color w:val="231F20"/>
          <w:spacing w:val="3"/>
        </w:rPr>
        <w:t>将血压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>降至较安全水平</w:t>
      </w:r>
      <w:r>
        <w:rPr>
          <w:rFonts w:ascii="SimHei" w:hAnsi="SimHei" w:eastAsia="SimHei" w:cs="SimHei"/>
          <w:sz w:val="18"/>
          <w:szCs w:val="18"/>
          <w:color w:val="231F20"/>
          <w:spacing w:val="-15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>,</w:t>
      </w:r>
      <w:r>
        <w:rPr>
          <w:rFonts w:ascii="SimHei" w:hAnsi="SimHei" w:eastAsia="SimHei" w:cs="SimHei"/>
          <w:sz w:val="18"/>
          <w:szCs w:val="18"/>
          <w:color w:val="231F20"/>
          <w:spacing w:val="-33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>一般为</w:t>
      </w:r>
      <w:r>
        <w:rPr>
          <w:rFonts w:ascii="SimHei" w:hAnsi="SimHei" w:eastAsia="SimHei" w:cs="SimHei"/>
          <w:sz w:val="18"/>
          <w:szCs w:val="18"/>
          <w:color w:val="231F20"/>
          <w:spacing w:val="-26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>160/100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mmHg</w:t>
      </w:r>
      <w:r>
        <w:rPr>
          <w:rFonts w:ascii="SimHei" w:hAnsi="SimHei" w:eastAsia="SimHei" w:cs="SimHei"/>
          <w:sz w:val="18"/>
          <w:szCs w:val="18"/>
          <w:color w:val="231F20"/>
          <w:spacing w:val="-15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>左右。但需根据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"/>
        </w:rPr>
        <w:t>不同疾病的降压目标和降压速度进行后续的血压管理。</w:t>
      </w:r>
      <w:r>
        <w:rPr>
          <w:rFonts w:ascii="SimHei" w:hAnsi="SimHei" w:eastAsia="SimHei" w:cs="SimHei"/>
          <w:sz w:val="18"/>
          <w:szCs w:val="18"/>
          <w:color w:val="231F20"/>
        </w:rPr>
        <w:t>(3)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"/>
        </w:rPr>
        <w:t>当病情稳定后，24~48</w:t>
      </w:r>
      <w:r>
        <w:rPr>
          <w:rFonts w:ascii="SimHei" w:hAnsi="SimHei" w:eastAsia="SimHei" w:cs="SimHei"/>
          <w:sz w:val="18"/>
          <w:szCs w:val="18"/>
          <w:color w:val="231F20"/>
          <w:spacing w:val="-29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"/>
        </w:rPr>
        <w:t>h</w:t>
      </w:r>
      <w:r>
        <w:rPr>
          <w:rFonts w:ascii="SimHei" w:hAnsi="SimHei" w:eastAsia="SimHei" w:cs="SimHei"/>
          <w:sz w:val="18"/>
          <w:szCs w:val="18"/>
          <w:color w:val="231F20"/>
          <w:spacing w:val="-36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"/>
        </w:rPr>
        <w:t>血压逐渐降至正常水平。</w:t>
      </w:r>
    </w:p>
    <w:p>
      <w:pPr>
        <w:ind w:left="740"/>
        <w:spacing w:before="5" w:line="241" w:lineRule="auto"/>
        <w:outlineLvl w:val="1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>5.2</w:t>
      </w: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 xml:space="preserve">  </w:t>
      </w:r>
      <w:r>
        <w:rPr>
          <w:rFonts w:ascii="SimHei" w:hAnsi="SimHei" w:eastAsia="SimHei" w:cs="SimHei"/>
          <w:sz w:val="21"/>
          <w:szCs w:val="21"/>
          <w:color w:val="231F20"/>
          <w:spacing w:val="-2"/>
        </w:rPr>
        <w:t>高血压急症相关疾病的降压原则</w:t>
      </w:r>
    </w:p>
    <w:p>
      <w:pPr>
        <w:pStyle w:val="BodyText"/>
        <w:ind w:left="734" w:right="239" w:firstLine="12"/>
        <w:spacing w:before="24" w:line="243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color w:val="231F20"/>
        </w:rPr>
        <w:t>5.2.1 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急性冠脉综合征（</w:t>
      </w:r>
      <w:r>
        <w:rPr>
          <w:sz w:val="18"/>
          <w:szCs w:val="18"/>
          <w:color w:val="231F20"/>
        </w:rPr>
        <w:t>ACS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）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ACS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患者应当严格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控制血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压和心率，主要目的是降低心脏后负荷，减少心肌耗氧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量，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>改善心肌缺血。建议 </w:t>
      </w:r>
      <w:r>
        <w:rPr>
          <w:sz w:val="18"/>
          <w:szCs w:val="18"/>
          <w:color w:val="231F20"/>
        </w:rPr>
        <w:t>ACS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>患者血压控制在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130/80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mmHg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以下 </w:t>
      </w:r>
      <w:r>
        <w:rPr>
          <w:sz w:val="18"/>
          <w:szCs w:val="18"/>
          <w:color w:val="231F20"/>
          <w:spacing w:val="-1"/>
        </w:rPr>
        <w:t>,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但维持 </w:t>
      </w:r>
      <w:r>
        <w:rPr>
          <w:sz w:val="18"/>
          <w:szCs w:val="18"/>
          <w:color w:val="231F20"/>
          <w:spacing w:val="-1"/>
        </w:rPr>
        <w:t>DBP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&gt;60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mmHg</w:t>
      </w:r>
      <w:r>
        <w:rPr>
          <w:sz w:val="10"/>
          <w:szCs w:val="10"/>
          <w:color w:val="231F20"/>
          <w:spacing w:val="-1"/>
          <w:position w:val="7"/>
        </w:rPr>
        <w:t>[27]</w:t>
      </w:r>
      <w:r>
        <w:rPr>
          <w:sz w:val="10"/>
          <w:szCs w:val="10"/>
          <w:color w:val="231F20"/>
          <w:spacing w:val="-5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。推荐药物 ：硝酸酯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类、</w:t>
      </w:r>
      <w:r>
        <w:rPr>
          <w:sz w:val="18"/>
          <w:szCs w:val="18"/>
          <w:color w:val="231F20"/>
          <w:spacing w:val="-2"/>
        </w:rPr>
        <w:t>β</w:t>
      </w:r>
      <w:r>
        <w:rPr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受体阻滞剂、地尔硫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草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。硝酸酯类是 </w:t>
      </w:r>
      <w:r>
        <w:rPr>
          <w:sz w:val="18"/>
          <w:szCs w:val="18"/>
          <w:color w:val="231F20"/>
        </w:rPr>
        <w:t>ACS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治疗的首选扩血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管药物，当合并血压升高或心率偏快时需要在控制心率的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情况下降低后负荷，减少心肌耗氧量，而不影响舒张期充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>盈时间，如果能除外急性左心衰建议硝酸酯类联合应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用 </w:t>
      </w:r>
      <w:r>
        <w:rPr>
          <w:sz w:val="18"/>
          <w:szCs w:val="18"/>
          <w:color w:val="231F20"/>
          <w:spacing w:val="5"/>
        </w:rPr>
        <w:t>β</w:t>
      </w:r>
      <w:r>
        <w:rPr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受体阻滞剂。如果硝酸酯类药物联合 </w:t>
      </w:r>
      <w:r>
        <w:rPr>
          <w:sz w:val="18"/>
          <w:szCs w:val="18"/>
          <w:color w:val="231F20"/>
          <w:spacing w:val="4"/>
        </w:rPr>
        <w:t>β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受体阻滞剂情况下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血压仍难以控制，可以选用乌拉地尔降压，也可联合使用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>血管紧张素转换酶抑制剂（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angiotensin</w:t>
      </w:r>
      <w:r>
        <w:rPr>
          <w:sz w:val="18"/>
          <w:szCs w:val="18"/>
          <w:color w:val="231F20"/>
          <w:spacing w:val="20"/>
          <w:w w:val="102"/>
        </w:rPr>
        <w:t xml:space="preserve"> </w:t>
      </w:r>
      <w:r>
        <w:rPr>
          <w:sz w:val="18"/>
          <w:szCs w:val="18"/>
          <w:color w:val="231F20"/>
        </w:rPr>
        <w:t>converting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enzyme  </w:t>
      </w:r>
      <w:r>
        <w:rPr>
          <w:sz w:val="18"/>
          <w:szCs w:val="18"/>
          <w:color w:val="231F20"/>
        </w:rPr>
        <w:t>inhibitors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，</w:t>
      </w:r>
      <w:r>
        <w:rPr>
          <w:sz w:val="18"/>
          <w:szCs w:val="18"/>
          <w:color w:val="231F20"/>
        </w:rPr>
        <w:t>ACEI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）</w:t>
      </w:r>
      <w:r>
        <w:rPr>
          <w:sz w:val="18"/>
          <w:szCs w:val="18"/>
          <w:color w:val="231F20"/>
          <w:spacing w:val="3"/>
        </w:rPr>
        <w:t>/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血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管紧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张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素受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体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阻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滞剂（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 xml:space="preserve"> </w:t>
      </w:r>
      <w:r>
        <w:rPr>
          <w:sz w:val="18"/>
          <w:szCs w:val="18"/>
          <w:color w:val="231F20"/>
        </w:rPr>
        <w:t>angiotensin  </w:t>
      </w:r>
      <w:r>
        <w:rPr>
          <w:sz w:val="18"/>
          <w:szCs w:val="18"/>
          <w:color w:val="231F20"/>
        </w:rPr>
        <w:t>receptor blockers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，</w:t>
      </w:r>
      <w:r>
        <w:rPr>
          <w:sz w:val="18"/>
          <w:szCs w:val="18"/>
          <w:color w:val="231F20"/>
        </w:rPr>
        <w:t>ARB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）以及利尿剂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0"/>
          <w:szCs w:val="10"/>
          <w:color w:val="231F20"/>
          <w:position w:val="8"/>
        </w:rPr>
        <w:t>[27]</w:t>
      </w:r>
      <w:r>
        <w:rPr>
          <w:sz w:val="10"/>
          <w:szCs w:val="10"/>
          <w:color w:val="231F20"/>
          <w:spacing w:val="-5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。</w:t>
      </w:r>
      <w:r>
        <w:rPr>
          <w:sz w:val="18"/>
          <w:szCs w:val="18"/>
          <w:color w:val="231F20"/>
        </w:rPr>
        <w:t>ACS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不推荐应用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硝普钠降压，因为其可能引起冠脉窃血，并诱发反射性心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动过速，增加心肌耗氧 </w:t>
      </w:r>
      <w:r>
        <w:rPr>
          <w:sz w:val="10"/>
          <w:szCs w:val="10"/>
          <w:color w:val="231F20"/>
          <w:spacing w:val="-3"/>
          <w:position w:val="7"/>
        </w:rPr>
        <w:t>[28]</w:t>
      </w:r>
      <w:r>
        <w:rPr>
          <w:sz w:val="10"/>
          <w:szCs w:val="10"/>
          <w:color w:val="231F20"/>
          <w:spacing w:val="-4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。</w:t>
      </w:r>
      <w:r>
        <w:rPr>
          <w:sz w:val="18"/>
          <w:szCs w:val="18"/>
          <w:color w:val="231F20"/>
          <w:spacing w:val="-3"/>
        </w:rPr>
        <w:t>ACS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合并难以控制的心绞痛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时，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在使用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β </w:t>
      </w:r>
      <w:r>
        <w:rPr>
          <w:rFonts w:ascii="Microsoft YaHei" w:hAnsi="Microsoft YaHei" w:eastAsia="Microsoft YaHei" w:cs="Microsoft YaHei"/>
          <w:sz w:val="18"/>
          <w:szCs w:val="18"/>
          <w:strike/>
          <w:color w:val="231F20"/>
        </w:rPr>
        <w:t>受体阻滞剂无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效情况下可应用地尔硫</w:t>
      </w:r>
      <w:r>
        <w:rPr>
          <w:rFonts w:ascii="Microsoft YaHei" w:hAnsi="Microsoft YaHei" w:eastAsia="Microsoft YaHei" w:cs="Microsoft YaHei"/>
          <w:sz w:val="15"/>
          <w:szCs w:val="15"/>
          <w:color w:val="231F20"/>
          <w:position w:val="11"/>
        </w:rPr>
        <w:t>草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。</w:t>
      </w:r>
    </w:p>
    <w:p>
      <w:pPr>
        <w:ind w:left="737" w:right="298" w:firstLine="371"/>
        <w:spacing w:line="267" w:lineRule="auto"/>
        <w:jc w:val="both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6"/>
        </w:rPr>
        <w:t>规范2：建议</w:t>
      </w:r>
      <w:r>
        <w:rPr>
          <w:rFonts w:ascii="SimHei" w:hAnsi="SimHei" w:eastAsia="SimHei" w:cs="SimHei"/>
          <w:sz w:val="18"/>
          <w:szCs w:val="18"/>
          <w:color w:val="231F20"/>
        </w:rPr>
        <w:t>ACS</w:t>
      </w:r>
      <w:r>
        <w:rPr>
          <w:rFonts w:ascii="SimHei" w:hAnsi="SimHei" w:eastAsia="SimHei" w:cs="SimHei"/>
          <w:sz w:val="18"/>
          <w:szCs w:val="18"/>
          <w:color w:val="231F20"/>
          <w:spacing w:val="-49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6"/>
        </w:rPr>
        <w:t>患者血压控制在</w:t>
      </w:r>
      <w:r>
        <w:rPr>
          <w:rFonts w:ascii="SimHei" w:hAnsi="SimHei" w:eastAsia="SimHei" w:cs="SimHei"/>
          <w:sz w:val="18"/>
          <w:szCs w:val="18"/>
          <w:color w:val="231F20"/>
          <w:spacing w:val="-43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6"/>
        </w:rPr>
        <w:t>130/80</w:t>
      </w:r>
      <w:r>
        <w:rPr>
          <w:rFonts w:ascii="SimHei" w:hAnsi="SimHei" w:eastAsia="SimHei" w:cs="SimHei"/>
          <w:sz w:val="18"/>
          <w:szCs w:val="18"/>
          <w:color w:val="231F20"/>
          <w:spacing w:val="-29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mmHg</w:t>
      </w:r>
      <w:r>
        <w:rPr>
          <w:rFonts w:ascii="SimHei" w:hAnsi="SimHei" w:eastAsia="SimHei" w:cs="SimHei"/>
          <w:sz w:val="18"/>
          <w:szCs w:val="18"/>
          <w:color w:val="231F20"/>
          <w:spacing w:val="-42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6"/>
        </w:rPr>
        <w:t>以下</w:t>
      </w:r>
      <w:r>
        <w:rPr>
          <w:rFonts w:ascii="SimHei" w:hAnsi="SimHei" w:eastAsia="SimHei" w:cs="SimHei"/>
          <w:sz w:val="18"/>
          <w:szCs w:val="18"/>
          <w:color w:val="231F20"/>
          <w:spacing w:val="-45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6"/>
        </w:rPr>
        <w:t>,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1"/>
        </w:rPr>
        <w:t>但维持</w:t>
      </w:r>
      <w:r>
        <w:rPr>
          <w:rFonts w:ascii="SimHei" w:hAnsi="SimHei" w:eastAsia="SimHei" w:cs="SimHei"/>
          <w:sz w:val="18"/>
          <w:szCs w:val="18"/>
          <w:color w:val="231F20"/>
          <w:spacing w:val="-23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DBP</w:t>
      </w:r>
      <w:r>
        <w:rPr>
          <w:rFonts w:ascii="SimHei" w:hAnsi="SimHei" w:eastAsia="SimHei" w:cs="SimHei"/>
          <w:sz w:val="18"/>
          <w:szCs w:val="18"/>
          <w:color w:val="231F20"/>
          <w:spacing w:val="11"/>
        </w:rPr>
        <w:t>&gt;60</w:t>
      </w:r>
      <w:r>
        <w:rPr>
          <w:rFonts w:ascii="SimHei" w:hAnsi="SimHei" w:eastAsia="SimHei" w:cs="SimHei"/>
          <w:sz w:val="18"/>
          <w:szCs w:val="18"/>
          <w:color w:val="231F20"/>
          <w:spacing w:val="-12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mmHg</w:t>
      </w:r>
      <w:r>
        <w:rPr>
          <w:rFonts w:ascii="SimHei" w:hAnsi="SimHei" w:eastAsia="SimHei" w:cs="SimHei"/>
          <w:sz w:val="18"/>
          <w:szCs w:val="18"/>
          <w:color w:val="231F20"/>
          <w:spacing w:val="11"/>
        </w:rPr>
        <w:t>。推荐药物</w:t>
      </w:r>
      <w:r>
        <w:rPr>
          <w:rFonts w:ascii="SimHei" w:hAnsi="SimHei" w:eastAsia="SimHei" w:cs="SimHei"/>
          <w:sz w:val="18"/>
          <w:szCs w:val="18"/>
          <w:color w:val="231F20"/>
          <w:spacing w:val="-46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1"/>
        </w:rPr>
        <w:t>：硝酸酯类、β</w:t>
      </w:r>
      <w:r>
        <w:rPr>
          <w:rFonts w:ascii="SimHei" w:hAnsi="SimHei" w:eastAsia="SimHei" w:cs="SimHei"/>
          <w:sz w:val="18"/>
          <w:szCs w:val="18"/>
          <w:color w:val="231F20"/>
          <w:spacing w:val="-34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1"/>
        </w:rPr>
        <w:t>受体阻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6"/>
        </w:rPr>
        <w:t>滞剂、地尔硫</w:t>
      </w:r>
      <w:r>
        <w:rPr>
          <w:sz w:val="18"/>
          <w:szCs w:val="18"/>
          <w:position w:val="9"/>
        </w:rPr>
        <w:drawing>
          <wp:inline distT="0" distB="0" distL="0" distR="0">
            <wp:extent cx="49217" cy="25400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17" cy="2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drawing>
          <wp:inline distT="0" distB="0" distL="0" distR="0">
            <wp:extent cx="50341" cy="61201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41" cy="6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18"/>
          <w:szCs w:val="18"/>
          <w:color w:val="231F20"/>
          <w:spacing w:val="-35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6"/>
        </w:rPr>
        <w:t>；利尿剂及</w:t>
      </w:r>
      <w:r>
        <w:rPr>
          <w:rFonts w:ascii="SimHei" w:hAnsi="SimHei" w:eastAsia="SimHei" w:cs="SimHei"/>
          <w:sz w:val="18"/>
          <w:szCs w:val="18"/>
          <w:color w:val="231F20"/>
          <w:spacing w:val="-42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ACEI</w:t>
      </w:r>
      <w:r>
        <w:rPr>
          <w:rFonts w:ascii="SimHei" w:hAnsi="SimHei" w:eastAsia="SimHei" w:cs="SimHei"/>
          <w:sz w:val="18"/>
          <w:szCs w:val="18"/>
          <w:color w:val="231F20"/>
          <w:spacing w:val="6"/>
        </w:rPr>
        <w:t>、</w:t>
      </w:r>
      <w:r>
        <w:rPr>
          <w:rFonts w:ascii="SimHei" w:hAnsi="SimHei" w:eastAsia="SimHei" w:cs="SimHei"/>
          <w:sz w:val="18"/>
          <w:szCs w:val="18"/>
          <w:color w:val="231F20"/>
        </w:rPr>
        <w:t>ARB</w:t>
      </w:r>
      <w:r>
        <w:rPr>
          <w:rFonts w:ascii="SimHei" w:hAnsi="SimHei" w:eastAsia="SimHei" w:cs="SimHei"/>
          <w:sz w:val="18"/>
          <w:szCs w:val="18"/>
          <w:color w:val="231F20"/>
          <w:spacing w:val="6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058" w:firstLine="10"/>
        <w:spacing w:before="43" w:line="247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5.2.2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急性心力衰竭    急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性心力衰竭常常表现为充血性急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性左心衰，并伴有肺水肿的发生。大部分急性心力衰竭患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者血压往往升高 </w:t>
      </w:r>
      <w:r>
        <w:rPr>
          <w:sz w:val="18"/>
          <w:szCs w:val="18"/>
          <w:color w:val="231F20"/>
        </w:rPr>
        <w:t>SBP</w:t>
      </w:r>
      <w:r>
        <w:rPr>
          <w:sz w:val="18"/>
          <w:szCs w:val="18"/>
          <w:color w:val="231F20"/>
          <w:spacing w:val="1"/>
        </w:rPr>
        <w:t xml:space="preserve"> &gt;140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mmHg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，部分患者血压正常或者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降低。急性心力衰竭发作时降低心脏前、后负荷，减轻心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脏负担是治疗关键所在。主要是静脉给予襻利尿剂和血管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扩张药 </w:t>
      </w:r>
      <w:r>
        <w:rPr>
          <w:sz w:val="10"/>
          <w:szCs w:val="10"/>
          <w:color w:val="231F20"/>
          <w:spacing w:val="2"/>
          <w:position w:val="7"/>
        </w:rPr>
        <w:t>[27]</w:t>
      </w:r>
      <w:r>
        <w:rPr>
          <w:sz w:val="10"/>
          <w:szCs w:val="10"/>
          <w:color w:val="231F20"/>
          <w:spacing w:val="-5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。急性心力衰竭合并血压升高时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应尽快降压，但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在初始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1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内 </w:t>
      </w:r>
      <w:r>
        <w:rPr>
          <w:sz w:val="18"/>
          <w:szCs w:val="18"/>
          <w:color w:val="231F20"/>
        </w:rPr>
        <w:t>MAP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的降低幅度不超过治疗前水平的 </w:t>
      </w:r>
      <w:r>
        <w:rPr>
          <w:sz w:val="18"/>
          <w:szCs w:val="18"/>
          <w:color w:val="231F20"/>
          <w:spacing w:val="1"/>
        </w:rPr>
        <w:t>25%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目标血压 </w:t>
      </w:r>
      <w:r>
        <w:rPr>
          <w:sz w:val="18"/>
          <w:szCs w:val="18"/>
          <w:color w:val="231F20"/>
        </w:rPr>
        <w:t>SBP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降至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140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mmHg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以下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，但为保证冠脉灌注血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压应不低于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120/70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3"/>
        </w:rPr>
        <w:t>mmHg</w:t>
      </w:r>
      <w:r>
        <w:rPr>
          <w:sz w:val="10"/>
          <w:szCs w:val="10"/>
          <w:color w:val="231F20"/>
          <w:spacing w:val="-3"/>
          <w:position w:val="8"/>
        </w:rPr>
        <w:t>[27]</w:t>
      </w:r>
      <w:r>
        <w:rPr>
          <w:sz w:val="10"/>
          <w:szCs w:val="10"/>
          <w:color w:val="231F20"/>
          <w:spacing w:val="-5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。推荐扩血管药物 ：硝酸酯类、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硝普钠、乌拉地尔，并联合 </w:t>
      </w:r>
      <w:r>
        <w:rPr>
          <w:sz w:val="18"/>
          <w:szCs w:val="18"/>
          <w:color w:val="231F20"/>
        </w:rPr>
        <w:t>ACEI</w:t>
      </w:r>
      <w:r>
        <w:rPr>
          <w:sz w:val="18"/>
          <w:szCs w:val="18"/>
          <w:color w:val="231F20"/>
          <w:spacing w:val="3"/>
        </w:rPr>
        <w:t>/</w:t>
      </w:r>
      <w:r>
        <w:rPr>
          <w:sz w:val="18"/>
          <w:szCs w:val="18"/>
          <w:color w:val="231F20"/>
        </w:rPr>
        <w:t>ARB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等药物。严重心衰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发作合并血压升高时建议应用硝普钠扩张血管。如果硝普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钠有禁忌，可以选择乌拉地尔。</w:t>
      </w:r>
    </w:p>
    <w:p>
      <w:pPr>
        <w:ind w:left="1" w:right="1072" w:firstLine="371"/>
        <w:spacing w:line="286" w:lineRule="auto"/>
        <w:jc w:val="both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2"/>
        </w:rPr>
        <w:t>规范</w:t>
      </w:r>
      <w:r>
        <w:rPr>
          <w:rFonts w:ascii="SimHei" w:hAnsi="SimHei" w:eastAsia="SimHei" w:cs="SimHei"/>
          <w:sz w:val="18"/>
          <w:szCs w:val="18"/>
          <w:color w:val="231F20"/>
          <w:spacing w:val="-25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2"/>
        </w:rPr>
        <w:t>3</w:t>
      </w:r>
      <w:r>
        <w:rPr>
          <w:rFonts w:ascii="SimHei" w:hAnsi="SimHei" w:eastAsia="SimHei" w:cs="SimHei"/>
          <w:sz w:val="18"/>
          <w:szCs w:val="18"/>
          <w:color w:val="231F20"/>
          <w:spacing w:val="-5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2"/>
        </w:rPr>
        <w:t>：急性左心衰患者在初始</w:t>
      </w:r>
      <w:r>
        <w:rPr>
          <w:rFonts w:ascii="SimHei" w:hAnsi="SimHei" w:eastAsia="SimHei" w:cs="SimHei"/>
          <w:sz w:val="18"/>
          <w:szCs w:val="18"/>
          <w:color w:val="231F20"/>
          <w:spacing w:val="-29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2"/>
        </w:rPr>
        <w:t>1</w:t>
      </w:r>
      <w:r>
        <w:rPr>
          <w:rFonts w:ascii="SimHei" w:hAnsi="SimHei" w:eastAsia="SimHei" w:cs="SimHei"/>
          <w:sz w:val="18"/>
          <w:szCs w:val="18"/>
          <w:color w:val="231F20"/>
          <w:spacing w:val="-18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2"/>
        </w:rPr>
        <w:t>h</w:t>
      </w:r>
      <w:r>
        <w:rPr>
          <w:rFonts w:ascii="SimHei" w:hAnsi="SimHei" w:eastAsia="SimHei" w:cs="SimHei"/>
          <w:sz w:val="18"/>
          <w:szCs w:val="18"/>
          <w:color w:val="231F20"/>
          <w:spacing w:val="-22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2"/>
        </w:rPr>
        <w:t>内</w:t>
      </w:r>
      <w:r>
        <w:rPr>
          <w:rFonts w:ascii="SimHei" w:hAnsi="SimHei" w:eastAsia="SimHei" w:cs="SimHei"/>
          <w:sz w:val="18"/>
          <w:szCs w:val="18"/>
          <w:color w:val="231F20"/>
          <w:spacing w:val="-34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MAP</w:t>
      </w:r>
      <w:r>
        <w:rPr>
          <w:rFonts w:ascii="SimHei" w:hAnsi="SimHei" w:eastAsia="SimHei" w:cs="SimHei"/>
          <w:sz w:val="18"/>
          <w:szCs w:val="18"/>
          <w:color w:val="231F20"/>
          <w:spacing w:val="-3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2"/>
        </w:rPr>
        <w:t>的降低幅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1"/>
        </w:rPr>
        <w:t>度不超过治疗前水平的</w:t>
      </w:r>
      <w:r>
        <w:rPr>
          <w:rFonts w:ascii="SimHei" w:hAnsi="SimHei" w:eastAsia="SimHei" w:cs="SimHei"/>
          <w:sz w:val="18"/>
          <w:szCs w:val="18"/>
          <w:color w:val="231F20"/>
          <w:spacing w:val="-32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1"/>
        </w:rPr>
        <w:t>25%，</w:t>
      </w:r>
      <w:r>
        <w:rPr>
          <w:rFonts w:ascii="SimHei" w:hAnsi="SimHei" w:eastAsia="SimHei" w:cs="SimHei"/>
          <w:sz w:val="18"/>
          <w:szCs w:val="18"/>
          <w:color w:val="231F20"/>
          <w:spacing w:val="1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1"/>
        </w:rPr>
        <w:t>目标血压</w:t>
      </w:r>
      <w:r>
        <w:rPr>
          <w:rFonts w:ascii="SimHei" w:hAnsi="SimHei" w:eastAsia="SimHei" w:cs="SimHei"/>
          <w:sz w:val="18"/>
          <w:szCs w:val="18"/>
          <w:color w:val="231F20"/>
          <w:spacing w:val="-39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SBP</w:t>
      </w:r>
      <w:r>
        <w:rPr>
          <w:rFonts w:ascii="SimHei" w:hAnsi="SimHei" w:eastAsia="SimHei" w:cs="SimHei"/>
          <w:sz w:val="18"/>
          <w:szCs w:val="18"/>
          <w:color w:val="231F20"/>
          <w:spacing w:val="11"/>
        </w:rPr>
        <w:t>&lt;140</w:t>
      </w:r>
      <w:r>
        <w:rPr>
          <w:rFonts w:ascii="SimHei" w:hAnsi="SimHei" w:eastAsia="SimHei" w:cs="SimHei"/>
          <w:sz w:val="18"/>
          <w:szCs w:val="18"/>
          <w:color w:val="231F20"/>
          <w:spacing w:val="-19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mmHg</w:t>
      </w:r>
      <w:r>
        <w:rPr>
          <w:rFonts w:ascii="SimHei" w:hAnsi="SimHei" w:eastAsia="SimHei" w:cs="SimHei"/>
          <w:sz w:val="18"/>
          <w:szCs w:val="18"/>
          <w:color w:val="231F20"/>
          <w:spacing w:val="11"/>
        </w:rPr>
        <w:t>，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6"/>
        </w:rPr>
        <w:t>但不低于</w:t>
      </w:r>
      <w:r>
        <w:rPr>
          <w:rFonts w:ascii="SimHei" w:hAnsi="SimHei" w:eastAsia="SimHei" w:cs="SimHei"/>
          <w:sz w:val="18"/>
          <w:szCs w:val="18"/>
          <w:color w:val="231F20"/>
          <w:spacing w:val="-27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6"/>
        </w:rPr>
        <w:t>120/70</w:t>
      </w:r>
      <w:r>
        <w:rPr>
          <w:rFonts w:ascii="SimHei" w:hAnsi="SimHei" w:eastAsia="SimHei" w:cs="SimHei"/>
          <w:sz w:val="18"/>
          <w:szCs w:val="18"/>
          <w:color w:val="231F20"/>
          <w:spacing w:val="-19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mmHg</w:t>
      </w:r>
      <w:r>
        <w:rPr>
          <w:rFonts w:ascii="SimHei" w:hAnsi="SimHei" w:eastAsia="SimHei" w:cs="SimHei"/>
          <w:sz w:val="18"/>
          <w:szCs w:val="18"/>
          <w:color w:val="231F20"/>
          <w:spacing w:val="6"/>
        </w:rPr>
        <w:t>。在联合使用利尿剂基础上，推荐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231F20"/>
        </w:rPr>
        <w:t>扩血管药物</w:t>
      </w:r>
      <w:r>
        <w:rPr>
          <w:rFonts w:ascii="SimHei" w:hAnsi="SimHei" w:eastAsia="SimHei" w:cs="SimHei"/>
          <w:sz w:val="18"/>
          <w:szCs w:val="18"/>
          <w:color w:val="231F20"/>
          <w:spacing w:val="-49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：硝酸酯类、硝普钠、乌拉地尔和</w:t>
      </w:r>
      <w:r>
        <w:rPr>
          <w:rFonts w:ascii="SimHei" w:hAnsi="SimHei" w:eastAsia="SimHei" w:cs="SimHei"/>
          <w:sz w:val="18"/>
          <w:szCs w:val="18"/>
          <w:color w:val="231F20"/>
          <w:spacing w:val="-46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ACEI</w:t>
      </w:r>
      <w:r>
        <w:rPr>
          <w:rFonts w:ascii="SimHei" w:hAnsi="SimHei" w:eastAsia="SimHei" w:cs="SimHei"/>
          <w:sz w:val="18"/>
          <w:szCs w:val="18"/>
          <w:color w:val="231F20"/>
          <w:spacing w:val="-1"/>
        </w:rPr>
        <w:t>、ARB。</w:t>
      </w:r>
    </w:p>
    <w:p>
      <w:pPr>
        <w:pStyle w:val="BodyText"/>
        <w:ind w:right="1072" w:firstLine="11"/>
        <w:spacing w:before="9" w:line="244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5.2.3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急性缺血性脑卒中    一般情况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下缺血性卒中后 </w:t>
      </w:r>
      <w:r>
        <w:rPr>
          <w:sz w:val="18"/>
          <w:szCs w:val="18"/>
          <w:color w:val="231F20"/>
          <w:spacing w:val="3"/>
        </w:rPr>
        <w:t>24 h</w:t>
      </w:r>
      <w:r>
        <w:rPr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>内血压升高的患者降压应谨慎。但当血压持续升高，</w:t>
      </w:r>
      <w:r>
        <w:rPr>
          <w:sz w:val="18"/>
          <w:szCs w:val="18"/>
          <w:color w:val="231F20"/>
        </w:rPr>
        <w:t>SBP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2"/>
        </w:rPr>
        <w:t>&gt;220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mmHg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或 </w:t>
      </w:r>
      <w:r>
        <w:rPr>
          <w:sz w:val="18"/>
          <w:szCs w:val="18"/>
          <w:color w:val="231F20"/>
          <w:spacing w:val="-2"/>
        </w:rPr>
        <w:t>DBP</w:t>
      </w:r>
      <w:r>
        <w:rPr>
          <w:sz w:val="18"/>
          <w:szCs w:val="18"/>
          <w:color w:val="231F20"/>
          <w:spacing w:val="1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&gt;120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mmHg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，或伴有其他高血压急症，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>或需要溶栓治疗伴有血压 </w:t>
      </w:r>
      <w:r>
        <w:rPr>
          <w:sz w:val="18"/>
          <w:szCs w:val="18"/>
          <w:color w:val="231F20"/>
          <w:spacing w:val="7"/>
        </w:rPr>
        <w:t>&gt;180/110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mmHg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>可给予降压治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疗，但 </w:t>
      </w:r>
      <w:r>
        <w:rPr>
          <w:sz w:val="18"/>
          <w:szCs w:val="18"/>
          <w:color w:val="231F20"/>
          <w:spacing w:val="-3"/>
        </w:rPr>
        <w:t>SBP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不低于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160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mmHg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。降压目标为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1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3"/>
        </w:rPr>
        <w:t>h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内 </w:t>
      </w:r>
      <w:r>
        <w:rPr>
          <w:sz w:val="18"/>
          <w:szCs w:val="18"/>
          <w:color w:val="231F20"/>
          <w:spacing w:val="-3"/>
        </w:rPr>
        <w:t>MAP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降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低不超过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15%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，急性缺血性卒中准备溶栓者血压应控制在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3"/>
        </w:rPr>
        <w:t>&lt;180/110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mmHg</w:t>
      </w:r>
      <w:r>
        <w:rPr>
          <w:sz w:val="10"/>
          <w:szCs w:val="10"/>
          <w:color w:val="231F20"/>
          <w:spacing w:val="-3"/>
          <w:position w:val="8"/>
        </w:rPr>
        <w:t>[1-2]</w:t>
      </w:r>
      <w:r>
        <w:rPr>
          <w:sz w:val="10"/>
          <w:szCs w:val="10"/>
          <w:color w:val="231F20"/>
          <w:spacing w:val="-5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。推荐降压药物 ：拉贝洛尔、尼卡地平，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  <w:position w:val="-1"/>
        </w:rPr>
        <w:t>必要时可选用硝普钠 </w:t>
      </w:r>
      <w:r>
        <w:rPr>
          <w:sz w:val="10"/>
          <w:szCs w:val="10"/>
          <w:color w:val="231F20"/>
          <w:spacing w:val="-1"/>
          <w:position w:val="6"/>
        </w:rPr>
        <w:t>[1-2]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  <w:position w:val="-1"/>
        </w:rPr>
        <w:t>。</w:t>
      </w:r>
    </w:p>
    <w:p>
      <w:pPr>
        <w:ind w:left="5" w:right="1130" w:firstLine="367"/>
        <w:spacing w:before="28" w:line="287" w:lineRule="auto"/>
        <w:jc w:val="both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21"/>
        </w:rPr>
        <w:t>规范</w:t>
      </w:r>
      <w:r>
        <w:rPr>
          <w:rFonts w:ascii="SimHei" w:hAnsi="SimHei" w:eastAsia="SimHei" w:cs="SimHei"/>
          <w:sz w:val="18"/>
          <w:szCs w:val="18"/>
          <w:color w:val="231F20"/>
          <w:spacing w:val="-22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21"/>
        </w:rPr>
        <w:t>4</w:t>
      </w:r>
      <w:r>
        <w:rPr>
          <w:rFonts w:ascii="SimHei" w:hAnsi="SimHei" w:eastAsia="SimHei" w:cs="SimHei"/>
          <w:sz w:val="18"/>
          <w:szCs w:val="18"/>
          <w:color w:val="231F20"/>
          <w:spacing w:val="-46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21"/>
        </w:rPr>
        <w:t>：急性缺血性卒中溶栓患者血压应控制在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2"/>
        </w:rPr>
        <w:t>&lt;180/110</w:t>
      </w:r>
      <w:r>
        <w:rPr>
          <w:rFonts w:ascii="SimHei" w:hAnsi="SimHei" w:eastAsia="SimHei" w:cs="SimHei"/>
          <w:sz w:val="18"/>
          <w:szCs w:val="18"/>
          <w:color w:val="231F20"/>
          <w:spacing w:val="-3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mmHg</w:t>
      </w:r>
      <w:r>
        <w:rPr>
          <w:rFonts w:ascii="SimHei" w:hAnsi="SimHei" w:eastAsia="SimHei" w:cs="SimHei"/>
          <w:sz w:val="18"/>
          <w:szCs w:val="18"/>
          <w:color w:val="231F20"/>
          <w:spacing w:val="-45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2"/>
        </w:rPr>
        <w:t>；不溶栓患者降压应谨慎，当</w:t>
      </w:r>
      <w:r>
        <w:rPr>
          <w:rFonts w:ascii="SimHei" w:hAnsi="SimHei" w:eastAsia="SimHei" w:cs="SimHei"/>
          <w:sz w:val="18"/>
          <w:szCs w:val="18"/>
          <w:color w:val="231F20"/>
          <w:spacing w:val="-36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SBP</w:t>
      </w:r>
      <w:r>
        <w:rPr>
          <w:rFonts w:ascii="SimHei" w:hAnsi="SimHei" w:eastAsia="SimHei" w:cs="SimHei"/>
          <w:sz w:val="18"/>
          <w:szCs w:val="18"/>
          <w:color w:val="231F20"/>
          <w:spacing w:val="-15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2"/>
        </w:rPr>
        <w:t>&gt;220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mmHg</w:t>
      </w:r>
      <w:r>
        <w:rPr>
          <w:rFonts w:ascii="SimHei" w:hAnsi="SimHei" w:eastAsia="SimHei" w:cs="SimHei"/>
          <w:sz w:val="18"/>
          <w:szCs w:val="18"/>
          <w:color w:val="231F20"/>
          <w:spacing w:val="13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3"/>
        </w:rPr>
        <w:t>或</w:t>
      </w:r>
      <w:r>
        <w:rPr>
          <w:rFonts w:ascii="SimHei" w:hAnsi="SimHei" w:eastAsia="SimHei" w:cs="SimHei"/>
          <w:sz w:val="18"/>
          <w:szCs w:val="18"/>
          <w:color w:val="231F20"/>
          <w:spacing w:val="-14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DBP</w:t>
      </w:r>
      <w:r>
        <w:rPr>
          <w:rFonts w:ascii="SimHei" w:hAnsi="SimHei" w:eastAsia="SimHei" w:cs="SimHei"/>
          <w:sz w:val="18"/>
          <w:szCs w:val="18"/>
          <w:color w:val="231F20"/>
          <w:spacing w:val="13"/>
        </w:rPr>
        <w:t>&gt;120</w:t>
      </w:r>
      <w:r>
        <w:rPr>
          <w:rFonts w:ascii="SimHei" w:hAnsi="SimHei" w:eastAsia="SimHei" w:cs="SimHei"/>
          <w:sz w:val="18"/>
          <w:szCs w:val="18"/>
          <w:color w:val="231F20"/>
          <w:spacing w:val="-13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mmHg</w:t>
      </w:r>
      <w:r>
        <w:rPr>
          <w:rFonts w:ascii="SimHei" w:hAnsi="SimHei" w:eastAsia="SimHei" w:cs="SimHei"/>
          <w:sz w:val="18"/>
          <w:szCs w:val="18"/>
          <w:color w:val="231F20"/>
          <w:spacing w:val="13"/>
        </w:rPr>
        <w:t>，</w:t>
      </w:r>
      <w:r>
        <w:rPr>
          <w:rFonts w:ascii="SimHei" w:hAnsi="SimHei" w:eastAsia="SimHei" w:cs="SimHei"/>
          <w:sz w:val="18"/>
          <w:szCs w:val="18"/>
          <w:color w:val="231F20"/>
          <w:spacing w:val="73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3"/>
        </w:rPr>
        <w:t>可</w:t>
      </w:r>
      <w:r>
        <w:rPr>
          <w:rFonts w:ascii="SimHei" w:hAnsi="SimHei" w:eastAsia="SimHei" w:cs="SimHei"/>
          <w:sz w:val="18"/>
          <w:szCs w:val="18"/>
          <w:color w:val="231F20"/>
          <w:spacing w:val="-39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3"/>
        </w:rPr>
        <w:t>以</w:t>
      </w:r>
      <w:r>
        <w:rPr>
          <w:rFonts w:ascii="SimHei" w:hAnsi="SimHei" w:eastAsia="SimHei" w:cs="SimHei"/>
          <w:sz w:val="18"/>
          <w:szCs w:val="18"/>
          <w:color w:val="231F20"/>
          <w:spacing w:val="-5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3"/>
        </w:rPr>
        <w:t>控</w:t>
      </w:r>
      <w:r>
        <w:rPr>
          <w:rFonts w:ascii="SimHei" w:hAnsi="SimHei" w:eastAsia="SimHei" w:cs="SimHei"/>
          <w:sz w:val="18"/>
          <w:szCs w:val="18"/>
          <w:color w:val="231F20"/>
          <w:spacing w:val="-45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3"/>
        </w:rPr>
        <w:t>制</w:t>
      </w:r>
      <w:r>
        <w:rPr>
          <w:rFonts w:ascii="SimHei" w:hAnsi="SimHei" w:eastAsia="SimHei" w:cs="SimHei"/>
          <w:sz w:val="18"/>
          <w:szCs w:val="18"/>
          <w:color w:val="231F20"/>
          <w:spacing w:val="-5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3"/>
        </w:rPr>
        <w:t>性</w:t>
      </w:r>
      <w:r>
        <w:rPr>
          <w:rFonts w:ascii="SimHei" w:hAnsi="SimHei" w:eastAsia="SimHei" w:cs="SimHei"/>
          <w:sz w:val="18"/>
          <w:szCs w:val="18"/>
          <w:color w:val="231F20"/>
          <w:spacing w:val="-43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3"/>
        </w:rPr>
        <w:t>降</w:t>
      </w:r>
      <w:r>
        <w:rPr>
          <w:rFonts w:ascii="SimHei" w:hAnsi="SimHei" w:eastAsia="SimHei" w:cs="SimHei"/>
          <w:sz w:val="18"/>
          <w:szCs w:val="18"/>
          <w:color w:val="231F20"/>
          <w:spacing w:val="-53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3"/>
        </w:rPr>
        <w:t>压，1</w:t>
      </w:r>
      <w:r>
        <w:rPr>
          <w:rFonts w:ascii="SimHei" w:hAnsi="SimHei" w:eastAsia="SimHei" w:cs="SimHei"/>
          <w:sz w:val="18"/>
          <w:szCs w:val="18"/>
          <w:color w:val="231F20"/>
          <w:spacing w:val="-12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3"/>
        </w:rPr>
        <w:t>h</w:t>
      </w:r>
      <w:r>
        <w:rPr>
          <w:rFonts w:ascii="SimHei" w:hAnsi="SimHei" w:eastAsia="SimHei" w:cs="SimHei"/>
          <w:sz w:val="18"/>
          <w:szCs w:val="18"/>
          <w:color w:val="231F20"/>
          <w:spacing w:val="34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3"/>
        </w:rPr>
        <w:t>内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MAP</w:t>
      </w:r>
      <w:r>
        <w:rPr>
          <w:rFonts w:ascii="SimHei" w:hAnsi="SimHei" w:eastAsia="SimHei" w:cs="SimHei"/>
          <w:sz w:val="18"/>
          <w:szCs w:val="18"/>
          <w:color w:val="231F20"/>
          <w:spacing w:val="-2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7"/>
        </w:rPr>
        <w:t>下降</w:t>
      </w:r>
      <w:r>
        <w:rPr>
          <w:rFonts w:ascii="SimHei" w:hAnsi="SimHei" w:eastAsia="SimHei" w:cs="SimHei"/>
          <w:sz w:val="18"/>
          <w:szCs w:val="18"/>
          <w:color w:val="231F20"/>
          <w:spacing w:val="-25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7"/>
        </w:rPr>
        <w:t>15%，</w:t>
      </w:r>
      <w:r>
        <w:rPr>
          <w:rFonts w:ascii="SimHei" w:hAnsi="SimHei" w:eastAsia="SimHei" w:cs="SimHei"/>
          <w:sz w:val="18"/>
          <w:szCs w:val="18"/>
          <w:color w:val="231F20"/>
          <w:spacing w:val="-1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7"/>
        </w:rPr>
        <w:t>但</w:t>
      </w:r>
      <w:r>
        <w:rPr>
          <w:rFonts w:ascii="SimHei" w:hAnsi="SimHei" w:eastAsia="SimHei" w:cs="SimHei"/>
          <w:sz w:val="18"/>
          <w:szCs w:val="18"/>
          <w:color w:val="231F20"/>
          <w:spacing w:val="-35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SBP</w:t>
      </w:r>
      <w:r>
        <w:rPr>
          <w:rFonts w:ascii="SimHei" w:hAnsi="SimHei" w:eastAsia="SimHei" w:cs="SimHei"/>
          <w:sz w:val="18"/>
          <w:szCs w:val="18"/>
          <w:color w:val="231F20"/>
          <w:spacing w:val="-38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7"/>
        </w:rPr>
        <w:t>不低于</w:t>
      </w:r>
      <w:r>
        <w:rPr>
          <w:rFonts w:ascii="SimHei" w:hAnsi="SimHei" w:eastAsia="SimHei" w:cs="SimHei"/>
          <w:sz w:val="18"/>
          <w:szCs w:val="18"/>
          <w:color w:val="231F20"/>
          <w:spacing w:val="-26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7"/>
        </w:rPr>
        <w:t>160</w:t>
      </w:r>
      <w:r>
        <w:rPr>
          <w:rFonts w:ascii="SimHei" w:hAnsi="SimHei" w:eastAsia="SimHei" w:cs="SimHei"/>
          <w:sz w:val="18"/>
          <w:szCs w:val="18"/>
          <w:color w:val="231F20"/>
          <w:spacing w:val="-13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mmHg</w:t>
      </w:r>
      <w:r>
        <w:rPr>
          <w:rFonts w:ascii="SimHei" w:hAnsi="SimHei" w:eastAsia="SimHei" w:cs="SimHei"/>
          <w:sz w:val="18"/>
          <w:szCs w:val="18"/>
          <w:color w:val="231F20"/>
          <w:spacing w:val="-44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7"/>
        </w:rPr>
        <w:t>；推荐降压药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物优选拉贝洛尔、尼卡地平，次选硝普钠。</w:t>
      </w:r>
    </w:p>
    <w:p>
      <w:pPr>
        <w:pStyle w:val="BodyText"/>
        <w:ind w:right="1072" w:firstLine="11"/>
        <w:spacing w:before="1" w:line="245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5.2.4  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急性脑出血   急性脑出血应积极使用静脉降压药物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降低血压，减少出血进一步加重风险。既往把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3"/>
        </w:rPr>
        <w:t>160/90 m</w:t>
      </w:r>
      <w:r>
        <w:rPr>
          <w:sz w:val="18"/>
          <w:szCs w:val="18"/>
          <w:color w:val="231F20"/>
          <w:spacing w:val="-4"/>
        </w:rPr>
        <w:t>mHg</w:t>
      </w:r>
      <w:r>
        <w:rPr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可作为参考的降压目标值。已有研究表明发病 </w:t>
      </w:r>
      <w:r>
        <w:rPr>
          <w:sz w:val="18"/>
          <w:szCs w:val="18"/>
          <w:color w:val="231F20"/>
          <w:spacing w:val="-1"/>
        </w:rPr>
        <w:t>6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"/>
        </w:rPr>
        <w:t>h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内把 </w:t>
      </w:r>
      <w:r>
        <w:rPr>
          <w:sz w:val="18"/>
          <w:szCs w:val="18"/>
          <w:color w:val="231F20"/>
          <w:spacing w:val="-1"/>
        </w:rPr>
        <w:t>SBP</w:t>
      </w:r>
      <w:r>
        <w:rPr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降至 </w:t>
      </w:r>
      <w:r>
        <w:rPr>
          <w:sz w:val="18"/>
          <w:szCs w:val="18"/>
          <w:color w:val="231F20"/>
          <w:spacing w:val="-2"/>
        </w:rPr>
        <w:t>140 mmHg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以下是安全的 </w:t>
      </w:r>
      <w:r>
        <w:rPr>
          <w:sz w:val="10"/>
          <w:szCs w:val="10"/>
          <w:color w:val="231F20"/>
          <w:spacing w:val="-2"/>
          <w:position w:val="7"/>
        </w:rPr>
        <w:t>[29]</w:t>
      </w:r>
      <w:r>
        <w:rPr>
          <w:sz w:val="10"/>
          <w:szCs w:val="10"/>
          <w:color w:val="231F20"/>
          <w:spacing w:val="-7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。所以推荐强化降压治疗 </w:t>
      </w:r>
      <w:r>
        <w:rPr>
          <w:sz w:val="18"/>
          <w:szCs w:val="18"/>
          <w:color w:val="231F20"/>
          <w:spacing w:val="-2"/>
        </w:rPr>
        <w:t>,</w:t>
      </w:r>
      <w:r>
        <w:rPr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当 </w:t>
      </w:r>
      <w:r>
        <w:rPr>
          <w:sz w:val="18"/>
          <w:szCs w:val="18"/>
          <w:color w:val="231F20"/>
          <w:spacing w:val="-2"/>
        </w:rPr>
        <w:t>SBP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为 </w:t>
      </w:r>
      <w:r>
        <w:rPr>
          <w:sz w:val="18"/>
          <w:szCs w:val="18"/>
          <w:color w:val="231F20"/>
          <w:spacing w:val="-2"/>
        </w:rPr>
        <w:t>150~220 mmHg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时，在没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有明显禁忌证的情况下，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快速把 </w:t>
      </w:r>
      <w:r>
        <w:rPr>
          <w:sz w:val="18"/>
          <w:szCs w:val="18"/>
          <w:color w:val="231F20"/>
        </w:rPr>
        <w:t>SBP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降至 </w:t>
      </w:r>
      <w:r>
        <w:rPr>
          <w:sz w:val="18"/>
          <w:szCs w:val="18"/>
          <w:color w:val="231F20"/>
          <w:spacing w:val="2"/>
        </w:rPr>
        <w:t>140 </w:t>
      </w:r>
      <w:r>
        <w:rPr>
          <w:sz w:val="18"/>
          <w:szCs w:val="18"/>
          <w:color w:val="231F20"/>
        </w:rPr>
        <w:t>mmHg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是安全有效的 </w:t>
      </w:r>
      <w:r>
        <w:rPr>
          <w:sz w:val="10"/>
          <w:szCs w:val="10"/>
          <w:color w:val="231F20"/>
          <w:spacing w:val="2"/>
          <w:position w:val="8"/>
        </w:rPr>
        <w:t>[2]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。但最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新的指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>南建议当 </w:t>
      </w:r>
      <w:r>
        <w:rPr>
          <w:sz w:val="18"/>
          <w:szCs w:val="18"/>
          <w:color w:val="231F20"/>
        </w:rPr>
        <w:t>SBP</w:t>
      </w:r>
      <w:r>
        <w:rPr>
          <w:sz w:val="18"/>
          <w:szCs w:val="18"/>
          <w:color w:val="231F20"/>
          <w:spacing w:val="6"/>
        </w:rPr>
        <w:t xml:space="preserve"> &gt;180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mmHg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>时给予降压治疗，</w:t>
      </w:r>
      <w:r>
        <w:rPr>
          <w:sz w:val="18"/>
          <w:szCs w:val="18"/>
          <w:color w:val="231F20"/>
        </w:rPr>
        <w:t>SBP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>维持在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6"/>
        </w:rPr>
        <w:t>130~180 mmHg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是恰当的 </w:t>
      </w:r>
      <w:r>
        <w:rPr>
          <w:sz w:val="10"/>
          <w:szCs w:val="10"/>
          <w:color w:val="231F20"/>
          <w:spacing w:val="-6"/>
          <w:position w:val="7"/>
        </w:rPr>
        <w:t>[1,3]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</w:rPr>
        <w:t>。脑出血量大，占位效应明显时，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需要使用甘露醇等脱水治疗。推荐药物 ：拉贝洛尔、尼卡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地平、乌拉地尔。</w:t>
      </w:r>
    </w:p>
    <w:p>
      <w:pPr>
        <w:ind w:left="372"/>
        <w:spacing w:before="26" w:line="233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4"/>
        </w:rPr>
        <w:t>规范</w:t>
      </w:r>
      <w:r>
        <w:rPr>
          <w:rFonts w:ascii="SimHei" w:hAnsi="SimHei" w:eastAsia="SimHei" w:cs="SimHei"/>
          <w:sz w:val="18"/>
          <w:szCs w:val="18"/>
          <w:color w:val="231F20"/>
          <w:spacing w:val="-34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>5</w:t>
      </w:r>
      <w:r>
        <w:rPr>
          <w:rFonts w:ascii="SimHei" w:hAnsi="SimHei" w:eastAsia="SimHei" w:cs="SimHei"/>
          <w:sz w:val="18"/>
          <w:szCs w:val="18"/>
          <w:color w:val="231F20"/>
          <w:spacing w:val="-45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>：脑出血患者血压升高时，在没有明显禁忌证</w:t>
      </w:r>
    </w:p>
    <w:p>
      <w:pPr>
        <w:ind w:left="3" w:right="1056" w:firstLine="10"/>
        <w:spacing w:before="57" w:line="28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15"/>
        </w:rPr>
        <w:t>的情况下，</w:t>
      </w:r>
      <w:r>
        <w:rPr>
          <w:rFonts w:ascii="SimHei" w:hAnsi="SimHei" w:eastAsia="SimHei" w:cs="SimHei"/>
          <w:sz w:val="18"/>
          <w:szCs w:val="18"/>
          <w:color w:val="231F20"/>
          <w:spacing w:val="-5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5"/>
        </w:rPr>
        <w:t>将</w:t>
      </w:r>
      <w:r>
        <w:rPr>
          <w:rFonts w:ascii="SimHei" w:hAnsi="SimHei" w:eastAsia="SimHei" w:cs="SimHei"/>
          <w:sz w:val="18"/>
          <w:szCs w:val="18"/>
          <w:color w:val="231F20"/>
          <w:spacing w:val="-34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SBP</w:t>
      </w:r>
      <w:r>
        <w:rPr>
          <w:rFonts w:ascii="SimHei" w:hAnsi="SimHei" w:eastAsia="SimHei" w:cs="SimHei"/>
          <w:sz w:val="18"/>
          <w:szCs w:val="18"/>
          <w:color w:val="231F20"/>
          <w:spacing w:val="-33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5"/>
        </w:rPr>
        <w:t>维持在</w:t>
      </w:r>
      <w:r>
        <w:rPr>
          <w:rFonts w:ascii="SimHei" w:hAnsi="SimHei" w:eastAsia="SimHei" w:cs="SimHei"/>
          <w:sz w:val="18"/>
          <w:szCs w:val="18"/>
          <w:color w:val="231F20"/>
          <w:spacing w:val="-23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5"/>
        </w:rPr>
        <w:t>130~180</w:t>
      </w:r>
      <w:r>
        <w:rPr>
          <w:rFonts w:ascii="SimHei" w:hAnsi="SimHei" w:eastAsia="SimHei" w:cs="SimHei"/>
          <w:sz w:val="18"/>
          <w:szCs w:val="18"/>
          <w:color w:val="231F20"/>
          <w:spacing w:val="-13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mmHg</w:t>
      </w:r>
      <w:r>
        <w:rPr>
          <w:rFonts w:ascii="SimHei" w:hAnsi="SimHei" w:eastAsia="SimHei" w:cs="SimHei"/>
          <w:sz w:val="18"/>
          <w:szCs w:val="18"/>
          <w:color w:val="231F20"/>
          <w:spacing w:val="-44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5"/>
        </w:rPr>
        <w:t>；推荐药物</w:t>
      </w:r>
      <w:r>
        <w:rPr>
          <w:rFonts w:ascii="SimHei" w:hAnsi="SimHei" w:eastAsia="SimHei" w:cs="SimHei"/>
          <w:sz w:val="18"/>
          <w:szCs w:val="18"/>
          <w:color w:val="231F20"/>
          <w:spacing w:val="-46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5"/>
        </w:rPr>
        <w:t>：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-7"/>
        </w:rPr>
        <w:t>拉贝洛尔、尼卡地平、乌拉地尔。可联合甘露醇等脱水治疗。</w:t>
      </w:r>
    </w:p>
    <w:p>
      <w:pPr>
        <w:pStyle w:val="BodyText"/>
        <w:ind w:right="1131" w:firstLine="10"/>
        <w:spacing w:line="20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5.2.5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蛛网膜下腔出血（</w:t>
      </w:r>
      <w:r>
        <w:rPr>
          <w:sz w:val="18"/>
          <w:szCs w:val="18"/>
          <w:color w:val="231F20"/>
        </w:rPr>
        <w:t>SAH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）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SAH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分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为外伤性和非外伤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性，后者主要原因是动脉瘤破裂。动脉瘤手术之前控制血</w:t>
      </w:r>
    </w:p>
    <w:p>
      <w:pPr>
        <w:spacing w:line="202" w:lineRule="auto"/>
        <w:sectPr>
          <w:type w:val="continuous"/>
          <w:pgSz w:w="11906" w:h="16158"/>
          <w:pgMar w:top="1301" w:right="2" w:bottom="566" w:left="400" w:header="1024" w:footer="2" w:gutter="0"/>
          <w:cols w:equalWidth="0" w:num="2">
            <w:col w:w="5654" w:space="100"/>
            <w:col w:w="5750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line="211" w:lineRule="exact"/>
        <w:rPr/>
      </w:pPr>
      <w:r/>
    </w:p>
    <w:p>
      <w:pPr>
        <w:spacing w:line="211" w:lineRule="exact"/>
        <w:sectPr>
          <w:headerReference w:type="default" r:id="rId106"/>
          <w:footerReference w:type="default" r:id="rId4"/>
          <w:pgSz w:w="11906" w:h="16158"/>
          <w:pgMar w:top="1301" w:right="400" w:bottom="566" w:left="402" w:header="1024" w:footer="297" w:gutter="0"/>
          <w:cols w:equalWidth="0" w:num="1">
            <w:col w:w="11104" w:space="0"/>
          </w:cols>
        </w:sectPr>
        <w:rPr/>
      </w:pPr>
    </w:p>
    <w:p>
      <w:pPr>
        <w:pStyle w:val="BodyText"/>
        <w:ind w:left="749" w:right="228"/>
        <w:spacing w:before="74" w:line="244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压是主要治疗之一，降低血压减少出血加重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风险，但要避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免血压过低影响脑灌注。一般建议血压维持在基础血压以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上 </w:t>
      </w:r>
      <w:r>
        <w:rPr>
          <w:sz w:val="18"/>
          <w:szCs w:val="18"/>
          <w:color w:val="231F20"/>
          <w:spacing w:val="2"/>
        </w:rPr>
        <w:t>20%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。动脉瘤手术后 </w:t>
      </w:r>
      <w:r>
        <w:rPr>
          <w:sz w:val="18"/>
          <w:szCs w:val="18"/>
          <w:color w:val="231F20"/>
        </w:rPr>
        <w:t>SBP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可以维持在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140~160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mmHg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推荐药物 ：尼卡地平、乌拉地尔 </w:t>
      </w:r>
      <w:r>
        <w:rPr>
          <w:sz w:val="10"/>
          <w:szCs w:val="10"/>
          <w:color w:val="231F20"/>
          <w:spacing w:val="-3"/>
          <w:position w:val="7"/>
        </w:rPr>
        <w:t>[2]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、尼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莫地平。</w:t>
      </w:r>
    </w:p>
    <w:p>
      <w:pPr>
        <w:ind w:left="749" w:right="297" w:firstLine="370"/>
        <w:spacing w:before="1" w:line="284" w:lineRule="auto"/>
        <w:jc w:val="both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3"/>
        </w:rPr>
        <w:t>规范</w:t>
      </w:r>
      <w:r>
        <w:rPr>
          <w:rFonts w:ascii="SimHei" w:hAnsi="SimHei" w:eastAsia="SimHei" w:cs="SimHei"/>
          <w:sz w:val="18"/>
          <w:szCs w:val="18"/>
          <w:color w:val="231F20"/>
          <w:spacing w:val="-25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3"/>
        </w:rPr>
        <w:t>6</w:t>
      </w:r>
      <w:r>
        <w:rPr>
          <w:rFonts w:ascii="SimHei" w:hAnsi="SimHei" w:eastAsia="SimHei" w:cs="SimHei"/>
          <w:sz w:val="18"/>
          <w:szCs w:val="18"/>
          <w:color w:val="231F20"/>
          <w:spacing w:val="-46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3"/>
        </w:rPr>
        <w:t>：蛛网膜下腔出血患者建议血压维持在基础血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2"/>
        </w:rPr>
        <w:t>压</w:t>
      </w:r>
      <w:r>
        <w:rPr>
          <w:rFonts w:ascii="SimHei" w:hAnsi="SimHei" w:eastAsia="SimHei" w:cs="SimHei"/>
          <w:sz w:val="18"/>
          <w:szCs w:val="18"/>
          <w:color w:val="231F20"/>
          <w:spacing w:val="-45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2"/>
        </w:rPr>
        <w:t>以上</w:t>
      </w:r>
      <w:r>
        <w:rPr>
          <w:rFonts w:ascii="SimHei" w:hAnsi="SimHei" w:eastAsia="SimHei" w:cs="SimHei"/>
          <w:sz w:val="18"/>
          <w:szCs w:val="18"/>
          <w:color w:val="231F20"/>
          <w:spacing w:val="-35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2"/>
        </w:rPr>
        <w:t>20%，</w:t>
      </w:r>
      <w:r>
        <w:rPr>
          <w:rFonts w:ascii="SimHei" w:hAnsi="SimHei" w:eastAsia="SimHei" w:cs="SimHei"/>
          <w:sz w:val="18"/>
          <w:szCs w:val="18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2"/>
        </w:rPr>
        <w:t>动脉瘤手术后</w:t>
      </w:r>
      <w:r>
        <w:rPr>
          <w:rFonts w:ascii="SimHei" w:hAnsi="SimHei" w:eastAsia="SimHei" w:cs="SimHei"/>
          <w:sz w:val="18"/>
          <w:szCs w:val="18"/>
          <w:color w:val="231F20"/>
          <w:spacing w:val="-3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SBP</w:t>
      </w:r>
      <w:r>
        <w:rPr>
          <w:rFonts w:ascii="SimHei" w:hAnsi="SimHei" w:eastAsia="SimHei" w:cs="SimHei"/>
          <w:sz w:val="18"/>
          <w:szCs w:val="18"/>
          <w:color w:val="231F20"/>
          <w:spacing w:val="-3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2"/>
        </w:rPr>
        <w:t>可</w:t>
      </w:r>
      <w:r>
        <w:rPr>
          <w:rFonts w:ascii="SimHei" w:hAnsi="SimHei" w:eastAsia="SimHei" w:cs="SimHei"/>
          <w:sz w:val="18"/>
          <w:szCs w:val="18"/>
          <w:color w:val="231F20"/>
          <w:spacing w:val="-49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2"/>
        </w:rPr>
        <w:t>以维持在</w:t>
      </w:r>
      <w:r>
        <w:rPr>
          <w:rFonts w:ascii="SimHei" w:hAnsi="SimHei" w:eastAsia="SimHei" w:cs="SimHei"/>
          <w:sz w:val="18"/>
          <w:szCs w:val="18"/>
          <w:color w:val="231F20"/>
          <w:spacing w:val="-2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2"/>
        </w:rPr>
        <w:t>140~160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mmHg</w:t>
      </w:r>
      <w:r>
        <w:rPr>
          <w:rFonts w:ascii="SimHei" w:hAnsi="SimHei" w:eastAsia="SimHei" w:cs="SimHei"/>
          <w:sz w:val="18"/>
          <w:szCs w:val="18"/>
          <w:color w:val="231F20"/>
          <w:spacing w:val="-28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2"/>
        </w:rPr>
        <w:t>；推荐药物</w:t>
      </w:r>
      <w:r>
        <w:rPr>
          <w:rFonts w:ascii="SimHei" w:hAnsi="SimHei" w:eastAsia="SimHei" w:cs="SimHei"/>
          <w:sz w:val="18"/>
          <w:szCs w:val="18"/>
          <w:color w:val="231F20"/>
          <w:spacing w:val="-46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2"/>
        </w:rPr>
        <w:t>：尼卡地平、乌拉地尔、尼莫地平。</w:t>
      </w:r>
    </w:p>
    <w:p>
      <w:pPr>
        <w:pStyle w:val="BodyText"/>
        <w:ind w:left="747" w:right="224" w:firstLine="11"/>
        <w:spacing w:before="7" w:line="247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5.2.6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高血压脑病    高血压脑病的诊断必须要除外出血性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>及缺血性脑卒中。高血压脑病的降压策略是控制性降压，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避免血压下降过快导致脑灌注不足。第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1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小时将 </w:t>
      </w:r>
      <w:r>
        <w:rPr>
          <w:sz w:val="18"/>
          <w:szCs w:val="18"/>
          <w:color w:val="231F20"/>
        </w:rPr>
        <w:t>MAP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降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低 </w:t>
      </w:r>
      <w:r>
        <w:rPr>
          <w:sz w:val="18"/>
          <w:szCs w:val="18"/>
          <w:color w:val="231F20"/>
        </w:rPr>
        <w:t>20%~25%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，初步降压目标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160~180/100~110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mmHg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，等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>病情平稳后逐渐降至正常水平。降压药物推荐拉贝洛尔、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>尼卡地平、硝普钠，可联合使用脱水降颅压药物甘露醇、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  <w:position w:val="-3"/>
        </w:rPr>
        <w:t>利尿剂等 </w:t>
      </w:r>
      <w:r>
        <w:rPr>
          <w:sz w:val="10"/>
          <w:szCs w:val="10"/>
          <w:color w:val="231F20"/>
          <w:spacing w:val="-1"/>
          <w:position w:val="5"/>
        </w:rPr>
        <w:t>[1-2]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  <w:position w:val="-3"/>
        </w:rPr>
        <w:t>。</w:t>
      </w:r>
    </w:p>
    <w:p>
      <w:pPr>
        <w:ind w:left="751" w:right="297" w:firstLine="369"/>
        <w:spacing w:before="1" w:line="286" w:lineRule="auto"/>
        <w:jc w:val="both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2"/>
        </w:rPr>
        <w:t>规范</w:t>
      </w:r>
      <w:r>
        <w:rPr>
          <w:rFonts w:ascii="SimHei" w:hAnsi="SimHei" w:eastAsia="SimHei" w:cs="SimHei"/>
          <w:sz w:val="18"/>
          <w:szCs w:val="18"/>
          <w:color w:val="231F20"/>
          <w:spacing w:val="-28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2"/>
        </w:rPr>
        <w:t>7</w:t>
      </w:r>
      <w:r>
        <w:rPr>
          <w:rFonts w:ascii="SimHei" w:hAnsi="SimHei" w:eastAsia="SimHei" w:cs="SimHei"/>
          <w:sz w:val="18"/>
          <w:szCs w:val="18"/>
          <w:color w:val="231F20"/>
          <w:spacing w:val="-45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2"/>
        </w:rPr>
        <w:t>：高血压脑病血压急剧升高时，建议第</w:t>
      </w:r>
      <w:r>
        <w:rPr>
          <w:rFonts w:ascii="SimHei" w:hAnsi="SimHei" w:eastAsia="SimHei" w:cs="SimHei"/>
          <w:sz w:val="18"/>
          <w:szCs w:val="18"/>
          <w:color w:val="231F20"/>
          <w:spacing w:val="-26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2"/>
        </w:rPr>
        <w:t>1</w:t>
      </w:r>
      <w:r>
        <w:rPr>
          <w:rFonts w:ascii="SimHei" w:hAnsi="SimHei" w:eastAsia="SimHei" w:cs="SimHei"/>
          <w:sz w:val="18"/>
          <w:szCs w:val="18"/>
          <w:color w:val="231F20"/>
          <w:spacing w:val="-38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2"/>
        </w:rPr>
        <w:t>小时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7"/>
        </w:rPr>
        <w:t>将</w:t>
      </w:r>
      <w:r>
        <w:rPr>
          <w:rFonts w:ascii="SimHei" w:hAnsi="SimHei" w:eastAsia="SimHei" w:cs="SimHei"/>
          <w:sz w:val="18"/>
          <w:szCs w:val="18"/>
          <w:color w:val="231F20"/>
          <w:spacing w:val="-33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MAP</w:t>
      </w:r>
      <w:r>
        <w:rPr>
          <w:rFonts w:ascii="SimHei" w:hAnsi="SimHei" w:eastAsia="SimHei" w:cs="SimHei"/>
          <w:sz w:val="18"/>
          <w:szCs w:val="18"/>
          <w:color w:val="231F20"/>
          <w:spacing w:val="-3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7"/>
        </w:rPr>
        <w:t>降低</w:t>
      </w:r>
      <w:r>
        <w:rPr>
          <w:rFonts w:ascii="SimHei" w:hAnsi="SimHei" w:eastAsia="SimHei" w:cs="SimHei"/>
          <w:sz w:val="18"/>
          <w:szCs w:val="18"/>
          <w:color w:val="231F20"/>
          <w:spacing w:val="-4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7"/>
        </w:rPr>
        <w:t>20%~25%，</w:t>
      </w:r>
      <w:r>
        <w:rPr>
          <w:rFonts w:ascii="SimHei" w:hAnsi="SimHei" w:eastAsia="SimHei" w:cs="SimHei"/>
          <w:sz w:val="18"/>
          <w:szCs w:val="18"/>
          <w:color w:val="231F20"/>
          <w:spacing w:val="7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7"/>
        </w:rPr>
        <w:t>初步降压目标</w:t>
      </w:r>
      <w:r>
        <w:rPr>
          <w:rFonts w:ascii="SimHei" w:hAnsi="SimHei" w:eastAsia="SimHei" w:cs="SimHei"/>
          <w:sz w:val="18"/>
          <w:szCs w:val="18"/>
          <w:color w:val="231F20"/>
          <w:spacing w:val="-27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7"/>
        </w:rPr>
        <w:t>160~180/100~110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mmHg</w:t>
      </w:r>
      <w:r>
        <w:rPr>
          <w:rFonts w:ascii="SimHei" w:hAnsi="SimHei" w:eastAsia="SimHei" w:cs="SimHei"/>
          <w:sz w:val="18"/>
          <w:szCs w:val="18"/>
          <w:color w:val="231F20"/>
          <w:spacing w:val="-38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0"/>
        </w:rPr>
        <w:t>；降压药物推荐拉贝洛尔、尼卡地平、硝普钠，可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联合使用脱水降颅压药物甘露醇、利尿剂等。</w:t>
      </w:r>
    </w:p>
    <w:p>
      <w:pPr>
        <w:pStyle w:val="BodyText"/>
        <w:ind w:left="747" w:right="272" w:firstLine="12"/>
        <w:spacing w:before="7" w:line="247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5.2.7</w:t>
      </w:r>
      <w:r>
        <w:rPr>
          <w:sz w:val="18"/>
          <w:szCs w:val="18"/>
          <w:color w:val="231F20"/>
          <w:spacing w:val="13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主动脉夹层   主动脉夹层治疗的关键是快速降低血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压和控制心率，原则上在不影响重要脏器灌注的情况下快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速把血压和心率降至尽可能低的水平。目标 </w:t>
      </w:r>
      <w:r>
        <w:rPr>
          <w:sz w:val="18"/>
          <w:szCs w:val="18"/>
          <w:color w:val="231F20"/>
        </w:rPr>
        <w:t>SBP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至少</w:t>
      </w:r>
      <w:r>
        <w:rPr>
          <w:sz w:val="18"/>
          <w:szCs w:val="18"/>
          <w:color w:val="231F20"/>
          <w:spacing w:val="2"/>
        </w:rPr>
        <w:t>&lt;120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mmHg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心率（</w:t>
      </w:r>
      <w:r>
        <w:rPr>
          <w:sz w:val="18"/>
          <w:szCs w:val="18"/>
          <w:color w:val="231F20"/>
        </w:rPr>
        <w:t>HR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）</w:t>
      </w:r>
      <w:r>
        <w:rPr>
          <w:sz w:val="18"/>
          <w:szCs w:val="18"/>
          <w:color w:val="231F20"/>
          <w:spacing w:val="3"/>
        </w:rPr>
        <w:t>50~60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次 </w:t>
      </w:r>
      <w:r>
        <w:rPr>
          <w:sz w:val="18"/>
          <w:szCs w:val="18"/>
          <w:color w:val="231F20"/>
          <w:spacing w:val="3"/>
        </w:rPr>
        <w:t>/</w:t>
      </w:r>
      <w:r>
        <w:rPr>
          <w:sz w:val="18"/>
          <w:szCs w:val="18"/>
          <w:color w:val="231F20"/>
        </w:rPr>
        <w:t>min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。推荐首先使用  β 受体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阻滞剂，并联合硝普钠、尼卡地平、乌拉地尔等药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物把血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position w:val="-1"/>
        </w:rPr>
        <w:t>压和心率控制到目标水平 </w:t>
      </w:r>
      <w:r>
        <w:rPr>
          <w:sz w:val="10"/>
          <w:szCs w:val="10"/>
          <w:color w:val="231F20"/>
          <w:position w:val="7"/>
        </w:rPr>
        <w:t>[1-2]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position w:val="-1"/>
        </w:rPr>
        <w:t>。</w:t>
      </w:r>
    </w:p>
    <w:p>
      <w:pPr>
        <w:ind w:left="754" w:right="239" w:firstLine="366"/>
        <w:spacing w:before="3" w:line="284" w:lineRule="auto"/>
        <w:jc w:val="both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21"/>
        </w:rPr>
        <w:t>规范</w:t>
      </w:r>
      <w:r>
        <w:rPr>
          <w:rFonts w:ascii="SimHei" w:hAnsi="SimHei" w:eastAsia="SimHei" w:cs="SimHei"/>
          <w:sz w:val="18"/>
          <w:szCs w:val="18"/>
          <w:color w:val="231F20"/>
          <w:spacing w:val="-29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21"/>
        </w:rPr>
        <w:t>8</w:t>
      </w:r>
      <w:r>
        <w:rPr>
          <w:rFonts w:ascii="SimHei" w:hAnsi="SimHei" w:eastAsia="SimHei" w:cs="SimHei"/>
          <w:sz w:val="18"/>
          <w:szCs w:val="18"/>
          <w:color w:val="231F20"/>
          <w:spacing w:val="-46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21"/>
        </w:rPr>
        <w:t>：在保证组织灌注条件下，目标</w:t>
      </w:r>
      <w:r>
        <w:rPr>
          <w:rFonts w:ascii="SimHei" w:hAnsi="SimHei" w:eastAsia="SimHei" w:cs="SimHei"/>
          <w:sz w:val="18"/>
          <w:szCs w:val="18"/>
          <w:color w:val="231F20"/>
          <w:spacing w:val="-24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SBP</w:t>
      </w:r>
      <w:r>
        <w:rPr>
          <w:rFonts w:ascii="SimHei" w:hAnsi="SimHei" w:eastAsia="SimHei" w:cs="SimHei"/>
          <w:sz w:val="18"/>
          <w:szCs w:val="18"/>
          <w:color w:val="231F20"/>
          <w:spacing w:val="-3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21"/>
        </w:rPr>
        <w:t>至少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>&lt;120</w:t>
      </w:r>
      <w:r>
        <w:rPr>
          <w:rFonts w:ascii="SimHei" w:hAnsi="SimHei" w:eastAsia="SimHei" w:cs="SimHei"/>
          <w:sz w:val="18"/>
          <w:szCs w:val="18"/>
          <w:color w:val="231F20"/>
          <w:spacing w:val="-13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mmHg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>,</w:t>
      </w:r>
      <w:r>
        <w:rPr>
          <w:rFonts w:ascii="SimHei" w:hAnsi="SimHei" w:eastAsia="SimHei" w:cs="SimHei"/>
          <w:sz w:val="18"/>
          <w:szCs w:val="18"/>
          <w:color w:val="231F20"/>
          <w:spacing w:val="-26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HR</w:t>
      </w:r>
      <w:r>
        <w:rPr>
          <w:rFonts w:ascii="SimHei" w:hAnsi="SimHei" w:eastAsia="SimHei" w:cs="SimHei"/>
          <w:sz w:val="18"/>
          <w:szCs w:val="18"/>
          <w:color w:val="231F20"/>
          <w:spacing w:val="-35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>50~60</w:t>
      </w:r>
      <w:r>
        <w:rPr>
          <w:rFonts w:ascii="SimHei" w:hAnsi="SimHei" w:eastAsia="SimHei" w:cs="SimHei"/>
          <w:sz w:val="18"/>
          <w:szCs w:val="18"/>
          <w:color w:val="231F20"/>
          <w:spacing w:val="-47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>次</w:t>
      </w:r>
      <w:r>
        <w:rPr>
          <w:rFonts w:ascii="SimHei" w:hAnsi="SimHei" w:eastAsia="SimHei" w:cs="SimHei"/>
          <w:sz w:val="18"/>
          <w:szCs w:val="18"/>
          <w:color w:val="231F20"/>
          <w:spacing w:val="-53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>/</w:t>
      </w:r>
      <w:r>
        <w:rPr>
          <w:rFonts w:ascii="SimHei" w:hAnsi="SimHei" w:eastAsia="SimHei" w:cs="SimHei"/>
          <w:sz w:val="18"/>
          <w:szCs w:val="18"/>
          <w:color w:val="231F20"/>
        </w:rPr>
        <w:t>min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>。推荐首选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>β</w:t>
      </w:r>
      <w:r>
        <w:rPr>
          <w:rFonts w:ascii="SimHei" w:hAnsi="SimHei" w:eastAsia="SimHei" w:cs="SimHei"/>
          <w:sz w:val="18"/>
          <w:szCs w:val="18"/>
          <w:color w:val="231F20"/>
          <w:spacing w:val="-4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4"/>
        </w:rPr>
        <w:t>受体阻滞剂，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并联合尼卡地平、硝普钠、乌拉地尔等药物。</w:t>
      </w:r>
    </w:p>
    <w:p>
      <w:pPr>
        <w:pStyle w:val="BodyText"/>
        <w:ind w:left="747" w:right="297" w:firstLine="11"/>
        <w:spacing w:before="2" w:line="253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5.2.8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子痫前期和子痫    在严密观察母婴状态的前提下 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>应明确治疗的持续时间、降压目标、药物选择和终止妊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娠的指征 </w:t>
      </w:r>
      <w:r>
        <w:rPr>
          <w:sz w:val="10"/>
          <w:szCs w:val="10"/>
          <w:color w:val="231F20"/>
          <w:spacing w:val="2"/>
          <w:position w:val="7"/>
        </w:rPr>
        <w:t>[27]</w:t>
      </w:r>
      <w:r>
        <w:rPr>
          <w:sz w:val="10"/>
          <w:szCs w:val="10"/>
          <w:color w:val="231F20"/>
          <w:spacing w:val="13"/>
          <w:position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。对重度先兆子痫或子痫 </w:t>
      </w:r>
      <w:r>
        <w:rPr>
          <w:sz w:val="18"/>
          <w:szCs w:val="18"/>
          <w:color w:val="231F20"/>
          <w:spacing w:val="2"/>
        </w:rPr>
        <w:t>,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建议静脉应用硫酸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镁 </w:t>
      </w:r>
      <w:r>
        <w:rPr>
          <w:sz w:val="18"/>
          <w:szCs w:val="18"/>
          <w:color w:val="231F20"/>
          <w:spacing w:val="4"/>
        </w:rPr>
        <w:t>,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并确定终止妊娠的时机。推荐静脉应用降压药物控制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血压 </w:t>
      </w:r>
      <w:r>
        <w:rPr>
          <w:sz w:val="18"/>
          <w:szCs w:val="18"/>
          <w:color w:val="231F20"/>
          <w:spacing w:val="2"/>
        </w:rPr>
        <w:t>&lt;160/110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mmHg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，当存在脏器功能损伤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时血压控制在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679" w:hanging="2"/>
        <w:spacing w:before="45" w:line="245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color w:val="231F20"/>
        </w:rPr>
        <w:t>&lt;140/90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mmHg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，但要避免降压过快影响胎儿供血。推荐药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物：尼卡地平、拉贝洛尔、肼屈嗪、硫酸镁、乌拉地尔 </w:t>
      </w:r>
      <w:r>
        <w:rPr>
          <w:sz w:val="10"/>
          <w:szCs w:val="10"/>
          <w:color w:val="231F20"/>
          <w:spacing w:val="-3"/>
          <w:position w:val="7"/>
        </w:rPr>
        <w:t>[1-2]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>。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  <w:position w:val="-1"/>
        </w:rPr>
        <w:t>硝普钠可致胎儿氰化物中毒，不能应用 </w:t>
      </w:r>
      <w:r>
        <w:rPr>
          <w:sz w:val="10"/>
          <w:szCs w:val="10"/>
          <w:color w:val="231F20"/>
          <w:spacing w:val="-1"/>
          <w:position w:val="7"/>
        </w:rPr>
        <w:t>[27]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  <w:position w:val="-1"/>
        </w:rPr>
        <w:t>。</w:t>
      </w:r>
    </w:p>
    <w:p>
      <w:pPr>
        <w:ind w:left="7" w:right="747" w:firstLine="366"/>
        <w:spacing w:before="23" w:line="286" w:lineRule="auto"/>
        <w:jc w:val="both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3"/>
        </w:rPr>
        <w:t>规范</w:t>
      </w:r>
      <w:r>
        <w:rPr>
          <w:rFonts w:ascii="SimHei" w:hAnsi="SimHei" w:eastAsia="SimHei" w:cs="SimHei"/>
          <w:sz w:val="18"/>
          <w:szCs w:val="18"/>
          <w:color w:val="231F20"/>
          <w:spacing w:val="-28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3"/>
        </w:rPr>
        <w:t>9</w:t>
      </w:r>
      <w:r>
        <w:rPr>
          <w:rFonts w:ascii="SimHei" w:hAnsi="SimHei" w:eastAsia="SimHei" w:cs="SimHei"/>
          <w:sz w:val="18"/>
          <w:szCs w:val="18"/>
          <w:color w:val="231F20"/>
          <w:spacing w:val="-45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3"/>
        </w:rPr>
        <w:t>：对重度先兆子痫或子痫</w:t>
      </w:r>
      <w:r>
        <w:rPr>
          <w:rFonts w:ascii="SimHei" w:hAnsi="SimHei" w:eastAsia="SimHei" w:cs="SimHei"/>
          <w:sz w:val="18"/>
          <w:szCs w:val="18"/>
          <w:color w:val="231F20"/>
          <w:spacing w:val="-26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3"/>
        </w:rPr>
        <w:t>,</w:t>
      </w:r>
      <w:r>
        <w:rPr>
          <w:rFonts w:ascii="SimHei" w:hAnsi="SimHei" w:eastAsia="SimHei" w:cs="SimHei"/>
          <w:sz w:val="18"/>
          <w:szCs w:val="18"/>
          <w:color w:val="231F20"/>
          <w:spacing w:val="-33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3"/>
        </w:rPr>
        <w:t>静脉应用硫酸镁</w:t>
      </w:r>
      <w:r>
        <w:rPr>
          <w:rFonts w:ascii="SimHei" w:hAnsi="SimHei" w:eastAsia="SimHei" w:cs="SimHei"/>
          <w:sz w:val="18"/>
          <w:szCs w:val="18"/>
          <w:color w:val="231F20"/>
          <w:spacing w:val="-26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3"/>
        </w:rPr>
        <w:t>,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3"/>
        </w:rPr>
        <w:t>并确定终止妊娠的时机。推荐静脉应用降压药物控制血压</w:t>
      </w:r>
      <w:r>
        <w:rPr>
          <w:rFonts w:ascii="SimHei" w:hAnsi="SimHei" w:eastAsia="SimHei" w:cs="SimHei"/>
          <w:sz w:val="18"/>
          <w:szCs w:val="18"/>
          <w:color w:val="231F20"/>
          <w:spacing w:val="1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6"/>
        </w:rPr>
        <w:t>&lt;160/110</w:t>
      </w:r>
      <w:r>
        <w:rPr>
          <w:rFonts w:ascii="SimHei" w:hAnsi="SimHei" w:eastAsia="SimHei" w:cs="SimHei"/>
          <w:sz w:val="18"/>
          <w:szCs w:val="18"/>
          <w:color w:val="231F20"/>
          <w:spacing w:val="-12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mmHg</w:t>
      </w:r>
      <w:r>
        <w:rPr>
          <w:rFonts w:ascii="SimHei" w:hAnsi="SimHei" w:eastAsia="SimHei" w:cs="SimHei"/>
          <w:sz w:val="18"/>
          <w:szCs w:val="18"/>
          <w:color w:val="231F20"/>
          <w:spacing w:val="6"/>
        </w:rPr>
        <w:t>。推荐药物</w:t>
      </w:r>
      <w:r>
        <w:rPr>
          <w:rFonts w:ascii="SimHei" w:hAnsi="SimHei" w:eastAsia="SimHei" w:cs="SimHei"/>
          <w:sz w:val="18"/>
          <w:szCs w:val="18"/>
          <w:color w:val="231F20"/>
          <w:spacing w:val="-46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6"/>
        </w:rPr>
        <w:t>：尼卡地平、拉贝洛尔</w:t>
      </w:r>
      <w:r>
        <w:rPr>
          <w:rFonts w:ascii="SimHei" w:hAnsi="SimHei" w:eastAsia="SimHei" w:cs="SimHei"/>
          <w:sz w:val="18"/>
          <w:szCs w:val="18"/>
          <w:color w:val="231F20"/>
          <w:spacing w:val="5"/>
        </w:rPr>
        <w:t>、肼屈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嗪、硫酸镁、乌拉地尔。</w:t>
      </w:r>
    </w:p>
    <w:p>
      <w:pPr>
        <w:pStyle w:val="BodyText"/>
        <w:ind w:right="689" w:firstLine="12"/>
        <w:spacing w:before="6" w:line="244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5.2.9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>恶性高血压    恶性高血压可同时存在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>急性肾衰竭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>和（或）血栓性微血管病（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thrombotic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microangiopathy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TMA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7"/>
          <w:w w:val="87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其降压速度不宜过快，建议数小时内将 </w:t>
      </w:r>
      <w:r>
        <w:rPr>
          <w:sz w:val="18"/>
          <w:szCs w:val="18"/>
          <w:color w:val="231F20"/>
        </w:rPr>
        <w:t>MAP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降低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</w:rPr>
        <w:t>20%~25%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，待病情稳定后再逐渐降至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正常 </w:t>
      </w:r>
      <w:r>
        <w:rPr>
          <w:sz w:val="10"/>
          <w:szCs w:val="10"/>
          <w:color w:val="231F20"/>
          <w:spacing w:val="-1"/>
          <w:position w:val="7"/>
        </w:rPr>
        <w:t>[1,3]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。推荐药物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：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拉贝洛尔、尼卡地平、乌拉地尔。</w:t>
      </w:r>
    </w:p>
    <w:p>
      <w:pPr>
        <w:ind w:left="13" w:right="673" w:firstLine="360"/>
        <w:spacing w:before="24" w:line="281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7"/>
        </w:rPr>
        <w:t>规范</w:t>
      </w:r>
      <w:r>
        <w:rPr>
          <w:rFonts w:ascii="SimHei" w:hAnsi="SimHei" w:eastAsia="SimHei" w:cs="SimHei"/>
          <w:sz w:val="18"/>
          <w:szCs w:val="18"/>
          <w:color w:val="231F20"/>
          <w:spacing w:val="-19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7"/>
        </w:rPr>
        <w:t>10</w:t>
      </w:r>
      <w:r>
        <w:rPr>
          <w:rFonts w:ascii="SimHei" w:hAnsi="SimHei" w:eastAsia="SimHei" w:cs="SimHei"/>
          <w:sz w:val="18"/>
          <w:szCs w:val="18"/>
          <w:color w:val="231F20"/>
          <w:spacing w:val="-45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7"/>
        </w:rPr>
        <w:t>：恶性高血压降压不宜过快，数小时内</w:t>
      </w:r>
      <w:r>
        <w:rPr>
          <w:rFonts w:ascii="SimHei" w:hAnsi="SimHei" w:eastAsia="SimHei" w:cs="SimHei"/>
          <w:sz w:val="18"/>
          <w:szCs w:val="18"/>
          <w:color w:val="231F20"/>
          <w:spacing w:val="7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MAP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 </w:t>
      </w:r>
      <w:r>
        <w:rPr>
          <w:rFonts w:ascii="SimHei" w:hAnsi="SimHei" w:eastAsia="SimHei" w:cs="SimHei"/>
          <w:sz w:val="18"/>
          <w:szCs w:val="18"/>
          <w:color w:val="231F20"/>
          <w:spacing w:val="-5"/>
        </w:rPr>
        <w:t>降低</w:t>
      </w:r>
      <w:r>
        <w:rPr>
          <w:rFonts w:ascii="SimHei" w:hAnsi="SimHei" w:eastAsia="SimHei" w:cs="SimHei"/>
          <w:sz w:val="18"/>
          <w:szCs w:val="18"/>
          <w:color w:val="231F20"/>
          <w:spacing w:val="-41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-5"/>
        </w:rPr>
        <w:t>20%~25%；推荐药物：拉贝洛尔、尼卡地平、</w:t>
      </w:r>
      <w:r>
        <w:rPr>
          <w:rFonts w:ascii="SimHei" w:hAnsi="SimHei" w:eastAsia="SimHei" w:cs="SimHei"/>
          <w:sz w:val="18"/>
          <w:szCs w:val="18"/>
          <w:color w:val="231F20"/>
          <w:spacing w:val="-6"/>
        </w:rPr>
        <w:t>乌拉地尔。</w:t>
      </w:r>
    </w:p>
    <w:p>
      <w:pPr>
        <w:pStyle w:val="BodyText"/>
        <w:ind w:left="1" w:right="748" w:firstLine="11"/>
        <w:spacing w:before="4" w:line="247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color w:val="231F20"/>
        </w:rPr>
        <w:t>5.2.10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嗜铬细胞瘤危象    嗜铬细胞瘤危象目前没有明确的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降压目标和降压速度，但由于周期性释放的儿茶酚胺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半衰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期短，导致嗜铬细胞瘤患者血压波动较大，降压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时必须进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行严密监测，避免低血压的发生。嗜铬细胞瘤危象时控制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血压首选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α 受体阻滞剂如酚妥拉明、乌拉地尔，也可选择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硝普钠、尼卡地平。当合并心动过速和心律失常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时可以联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合应用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β 受体阻滞剂，但不推荐单独使用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β 受体阻滞剂 </w:t>
      </w:r>
      <w:r>
        <w:rPr>
          <w:sz w:val="10"/>
          <w:szCs w:val="10"/>
          <w:color w:val="231F20"/>
          <w:spacing w:val="-1"/>
          <w:position w:val="8"/>
        </w:rPr>
        <w:t>[2,</w:t>
      </w:r>
      <w:r>
        <w:rPr>
          <w:sz w:val="10"/>
          <w:szCs w:val="10"/>
          <w:color w:val="231F20"/>
          <w:position w:val="8"/>
        </w:rPr>
        <w:t xml:space="preserve"> </w:t>
      </w:r>
      <w:r>
        <w:rPr>
          <w:sz w:val="10"/>
          <w:szCs w:val="10"/>
          <w:color w:val="231F20"/>
          <w:spacing w:val="-1"/>
          <w:position w:val="7"/>
        </w:rPr>
        <w:t>27]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。手术切除肿瘤是根本的治疗方法。</w:t>
      </w:r>
    </w:p>
    <w:p>
      <w:pPr>
        <w:ind w:left="6" w:right="689" w:firstLine="367"/>
        <w:spacing w:before="1" w:line="291" w:lineRule="auto"/>
        <w:jc w:val="both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10"/>
        </w:rPr>
        <w:t>规范</w:t>
      </w:r>
      <w:r>
        <w:rPr>
          <w:rFonts w:ascii="SimHei" w:hAnsi="SimHei" w:eastAsia="SimHei" w:cs="SimHei"/>
          <w:sz w:val="18"/>
          <w:szCs w:val="18"/>
          <w:color w:val="231F20"/>
          <w:spacing w:val="-4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0"/>
        </w:rPr>
        <w:t>11</w:t>
      </w:r>
      <w:r>
        <w:rPr>
          <w:rFonts w:ascii="SimHei" w:hAnsi="SimHei" w:eastAsia="SimHei" w:cs="SimHei"/>
          <w:sz w:val="18"/>
          <w:szCs w:val="18"/>
          <w:color w:val="231F20"/>
          <w:spacing w:val="-45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0"/>
        </w:rPr>
        <w:t>：嗜铬细胞瘤危象术前血压控制在</w:t>
      </w:r>
      <w:r>
        <w:rPr>
          <w:rFonts w:ascii="SimHei" w:hAnsi="SimHei" w:eastAsia="SimHei" w:cs="SimHei"/>
          <w:sz w:val="18"/>
          <w:szCs w:val="18"/>
          <w:color w:val="231F20"/>
          <w:spacing w:val="-22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10"/>
        </w:rPr>
        <w:t>160/90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mmHg</w:t>
      </w:r>
      <w:r>
        <w:rPr>
          <w:rFonts w:ascii="SimHei" w:hAnsi="SimHei" w:eastAsia="SimHei" w:cs="SimHei"/>
          <w:sz w:val="18"/>
          <w:szCs w:val="18"/>
          <w:color w:val="231F20"/>
          <w:spacing w:val="-16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5"/>
        </w:rPr>
        <w:t>以下，首选</w:t>
      </w:r>
      <w:r>
        <w:rPr>
          <w:rFonts w:ascii="SimHei" w:hAnsi="SimHei" w:eastAsia="SimHei" w:cs="SimHei"/>
          <w:sz w:val="18"/>
          <w:szCs w:val="18"/>
          <w:color w:val="231F20"/>
          <w:spacing w:val="5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5"/>
        </w:rPr>
        <w:t>α</w:t>
      </w:r>
      <w:r>
        <w:rPr>
          <w:rFonts w:ascii="SimHei" w:hAnsi="SimHei" w:eastAsia="SimHei" w:cs="SimHei"/>
          <w:sz w:val="18"/>
          <w:szCs w:val="18"/>
          <w:color w:val="231F20"/>
          <w:spacing w:val="-33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5"/>
        </w:rPr>
        <w:t>受体阻滞剂如酚妥拉明、乌拉地尔，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也可选择尼卡地平、硝普钠。</w:t>
      </w:r>
    </w:p>
    <w:p>
      <w:pPr>
        <w:pStyle w:val="BodyText"/>
        <w:ind w:left="2" w:right="752" w:firstLine="371"/>
        <w:spacing w:before="8" w:line="248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高血压急症相关疾病的降压时机、降压目标、降压速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度以及首选药物概述见表 </w:t>
      </w:r>
      <w:r>
        <w:rPr>
          <w:sz w:val="18"/>
          <w:szCs w:val="18"/>
          <w:color w:val="231F20"/>
          <w:spacing w:val="5"/>
        </w:rPr>
        <w:t>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>。部分静脉降压药物的使用方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法、起效时间、持续时间以及常见不良反应概述见表 </w:t>
      </w:r>
      <w:r>
        <w:rPr>
          <w:sz w:val="18"/>
          <w:szCs w:val="18"/>
          <w:color w:val="231F20"/>
        </w:rPr>
        <w:t>3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。</w:t>
      </w:r>
    </w:p>
    <w:p>
      <w:pPr>
        <w:ind w:left="7"/>
        <w:spacing w:before="122" w:line="315" w:lineRule="exact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color w:val="231F20"/>
          <w:spacing w:val="-1"/>
          <w:position w:val="1"/>
        </w:rPr>
        <w:t>6</w:t>
      </w:r>
      <w:r>
        <w:rPr>
          <w:rFonts w:ascii="SimHei" w:hAnsi="SimHei" w:eastAsia="SimHei" w:cs="SimHei"/>
          <w:sz w:val="24"/>
          <w:szCs w:val="24"/>
          <w:color w:val="231F20"/>
          <w:spacing w:val="7"/>
          <w:position w:val="1"/>
        </w:rPr>
        <w:t xml:space="preserve">  </w:t>
      </w:r>
      <w:r>
        <w:rPr>
          <w:rFonts w:ascii="SimHei" w:hAnsi="SimHei" w:eastAsia="SimHei" w:cs="SimHei"/>
          <w:sz w:val="24"/>
          <w:szCs w:val="24"/>
          <w:color w:val="231F20"/>
          <w:spacing w:val="-1"/>
          <w:position w:val="1"/>
        </w:rPr>
        <w:t>结语</w:t>
      </w:r>
    </w:p>
    <w:p>
      <w:pPr>
        <w:ind w:left="3" w:right="675" w:firstLine="371"/>
        <w:spacing w:before="154" w:line="25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  <w:w w:val="99"/>
        </w:rPr>
        <w:t>高血压急症的病死率和致残率均较高。早期快速、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  <w:w w:val="99"/>
        </w:rPr>
        <w:t>合理、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>安全、控制性降压是改善患者预后的基础。高血压急症不</w:t>
      </w:r>
    </w:p>
    <w:p>
      <w:pPr>
        <w:spacing w:line="254" w:lineRule="auto"/>
        <w:sectPr>
          <w:type w:val="continuous"/>
          <w:pgSz w:w="11906" w:h="16158"/>
          <w:pgMar w:top="1301" w:right="400" w:bottom="566" w:left="402" w:header="1024" w:footer="297" w:gutter="0"/>
          <w:cols w:equalWidth="0" w:num="2">
            <w:col w:w="5650" w:space="100"/>
            <w:col w:w="5354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ind w:left="3594"/>
        <w:spacing w:line="189" w:lineRule="auto"/>
        <w:outlineLvl w:val="2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</w:rPr>
        <w:t>表</w:t>
      </w:r>
      <w:r>
        <w:rPr>
          <w:rFonts w:ascii="SimHei" w:hAnsi="SimHei" w:eastAsia="SimHei" w:cs="SimHei"/>
          <w:sz w:val="18"/>
          <w:szCs w:val="18"/>
          <w:color w:val="231F20"/>
          <w:spacing w:val="-4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2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不同病因致高血压急疹降压原则与药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物选择</w:t>
      </w:r>
    </w:p>
    <w:tbl>
      <w:tblPr>
        <w:tblStyle w:val="TableNormal"/>
        <w:tblW w:w="9609" w:type="dxa"/>
        <w:tblInd w:w="74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34"/>
        <w:gridCol w:w="4790"/>
        <w:gridCol w:w="2059"/>
        <w:gridCol w:w="1526"/>
      </w:tblGrid>
      <w:tr>
        <w:trPr>
          <w:trHeight w:val="213" w:hRule="atLeast"/>
        </w:trPr>
        <w:tc>
          <w:tcPr>
            <w:tcW w:w="1234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74"/>
              <w:spacing w:before="137" w:line="179" w:lineRule="auto"/>
              <w:rPr/>
            </w:pPr>
            <w:r>
              <w:rPr>
                <w:color w:val="231F20"/>
                <w:spacing w:val="-3"/>
                <w:w w:val="96"/>
              </w:rPr>
              <w:t>疾病</w:t>
            </w:r>
          </w:p>
        </w:tc>
        <w:tc>
          <w:tcPr>
            <w:tcW w:w="4790" w:type="dxa"/>
            <w:vAlign w:val="top"/>
            <w:vMerge w:val="restart"/>
            <w:tcBorders>
              <w:bottom w:val="nil"/>
              <w:top w:val="single" w:color="231F20" w:sz="4" w:space="0"/>
            </w:tcBorders>
          </w:tcPr>
          <w:p>
            <w:pPr>
              <w:pStyle w:val="TableText"/>
              <w:ind w:left="1072"/>
              <w:spacing w:before="135" w:line="181" w:lineRule="auto"/>
              <w:rPr/>
            </w:pPr>
            <w:r>
              <w:rPr>
                <w:color w:val="231F20"/>
                <w:spacing w:val="-7"/>
                <w:w w:val="94"/>
              </w:rPr>
              <w:t>降压目标及降压速度</w:t>
            </w:r>
          </w:p>
        </w:tc>
        <w:tc>
          <w:tcPr>
            <w:tcW w:w="3585" w:type="dxa"/>
            <w:vAlign w:val="top"/>
            <w:gridSpan w:val="2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365"/>
              <w:spacing w:before="28" w:line="174" w:lineRule="exact"/>
              <w:rPr/>
            </w:pPr>
            <w:r>
              <w:rPr>
                <w:color w:val="231F20"/>
                <w:spacing w:val="-3"/>
                <w:w w:val="93"/>
                <w:position w:val="1"/>
              </w:rPr>
              <w:t>推荐药物选择</w:t>
            </w:r>
          </w:p>
        </w:tc>
      </w:tr>
      <w:tr>
        <w:trPr>
          <w:trHeight w:val="211" w:hRule="atLeast"/>
        </w:trPr>
        <w:tc>
          <w:tcPr>
            <w:tcW w:w="1234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9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05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811"/>
              <w:spacing w:before="26" w:line="175" w:lineRule="exact"/>
              <w:rPr/>
            </w:pPr>
            <w:r>
              <w:rPr>
                <w:color w:val="231F20"/>
                <w:spacing w:val="-3"/>
                <w:w w:val="93"/>
                <w:position w:val="1"/>
              </w:rPr>
              <w:t>一线推荐</w:t>
            </w:r>
          </w:p>
        </w:tc>
        <w:tc>
          <w:tcPr>
            <w:tcW w:w="1526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544"/>
              <w:spacing w:before="26" w:line="175" w:lineRule="exact"/>
              <w:rPr/>
            </w:pPr>
            <w:r>
              <w:rPr>
                <w:color w:val="231F20"/>
                <w:spacing w:val="-2"/>
                <w:w w:val="93"/>
                <w:position w:val="1"/>
              </w:rPr>
              <w:t>其他选择</w:t>
            </w:r>
          </w:p>
        </w:tc>
      </w:tr>
      <w:tr>
        <w:trPr>
          <w:trHeight w:val="218" w:hRule="atLeast"/>
        </w:trPr>
        <w:tc>
          <w:tcPr>
            <w:tcW w:w="123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"/>
              <w:spacing w:before="27" w:line="158" w:lineRule="auto"/>
              <w:rPr/>
            </w:pPr>
            <w:r>
              <w:rPr>
                <w:color w:val="231F20"/>
                <w:spacing w:val="-2"/>
                <w:w w:val="92"/>
              </w:rPr>
              <w:t>急性冠脉综合征</w:t>
            </w:r>
          </w:p>
        </w:tc>
        <w:tc>
          <w:tcPr>
            <w:tcW w:w="479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00"/>
              <w:spacing w:line="18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2"/>
              </w:rPr>
              <w:t>立刻，血压维持在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130/80 mmHg</w:t>
            </w:r>
            <w:r>
              <w:rPr>
                <w:rFonts w:ascii="Times New Roman" w:hAnsi="Times New Roman" w:eastAsia="Times New Roman" w:cs="Times New Roman"/>
                <w:color w:val="231F20"/>
                <w:spacing w:val="10"/>
                <w:w w:val="102"/>
              </w:rPr>
              <w:t xml:space="preserve"> </w:t>
            </w:r>
            <w:r>
              <w:rPr>
                <w:color w:val="231F20"/>
                <w:spacing w:val="-12"/>
              </w:rPr>
              <w:t>以下 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, DBP &gt;60 mmHg</w:t>
            </w:r>
          </w:p>
        </w:tc>
        <w:tc>
          <w:tcPr>
            <w:tcW w:w="205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2"/>
              <w:spacing w:before="24" w:line="160" w:lineRule="auto"/>
              <w:rPr/>
            </w:pPr>
            <w:r>
              <w:rPr>
                <w:color w:val="231F20"/>
                <w:spacing w:val="-7"/>
                <w:w w:val="98"/>
              </w:rPr>
              <w:t>硝酸甘油、β 受体阻滞剂</w:t>
            </w:r>
          </w:p>
        </w:tc>
        <w:tc>
          <w:tcPr>
            <w:tcW w:w="152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66"/>
              <w:spacing w:before="27" w:line="158" w:lineRule="auto"/>
              <w:rPr/>
            </w:pPr>
            <w:r>
              <w:rPr>
                <w:color w:val="231F20"/>
                <w:spacing w:val="-4"/>
                <w:w w:val="92"/>
              </w:rPr>
              <w:t>地尔硫</w:t>
            </w:r>
            <w:r>
              <w:rPr/>
              <w:drawing>
                <wp:inline distT="0" distB="0" distL="0" distR="0">
                  <wp:extent cx="48026" cy="57201"/>
                  <wp:effectExtent l="0" t="0" r="0" b="0"/>
                  <wp:docPr id="206" name="IM 2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6" name="IM 206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026" cy="57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9"/>
              </w:rPr>
              <w:drawing>
                <wp:inline distT="0" distB="0" distL="0" distR="0">
                  <wp:extent cx="44121" cy="25033"/>
                  <wp:effectExtent l="0" t="0" r="0" b="0"/>
                  <wp:docPr id="208" name="IM 2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8" name="IM 208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4121" cy="25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231F20"/>
                <w:spacing w:val="-4"/>
                <w:w w:val="92"/>
              </w:rPr>
              <w:t>、乌拉地尔</w:t>
            </w:r>
          </w:p>
        </w:tc>
      </w:tr>
      <w:tr>
        <w:trPr>
          <w:trHeight w:val="428" w:hRule="atLeast"/>
        </w:trPr>
        <w:tc>
          <w:tcPr>
            <w:tcW w:w="1234" w:type="dxa"/>
            <w:vAlign w:val="top"/>
          </w:tcPr>
          <w:p>
            <w:pPr>
              <w:pStyle w:val="TableText"/>
              <w:ind w:left="33"/>
              <w:spacing w:before="27" w:line="178" w:lineRule="auto"/>
              <w:rPr/>
            </w:pPr>
            <w:r>
              <w:rPr>
                <w:color w:val="231F20"/>
                <w:spacing w:val="-3"/>
                <w:w w:val="93"/>
              </w:rPr>
              <w:t>急性心力衰竭</w:t>
            </w:r>
          </w:p>
        </w:tc>
        <w:tc>
          <w:tcPr>
            <w:tcW w:w="4790" w:type="dxa"/>
            <w:vAlign w:val="top"/>
          </w:tcPr>
          <w:p>
            <w:pPr>
              <w:pStyle w:val="TableText"/>
              <w:ind w:left="200"/>
              <w:spacing w:line="217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1"/>
              </w:rPr>
              <w:t>立刻，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SBP &lt;140 mmHg</w:t>
            </w:r>
          </w:p>
        </w:tc>
        <w:tc>
          <w:tcPr>
            <w:tcW w:w="2059" w:type="dxa"/>
            <w:vAlign w:val="top"/>
          </w:tcPr>
          <w:p>
            <w:pPr>
              <w:pStyle w:val="TableText"/>
              <w:ind w:left="32"/>
              <w:spacing w:before="26" w:line="179" w:lineRule="auto"/>
              <w:rPr/>
            </w:pPr>
            <w:r>
              <w:rPr>
                <w:color w:val="231F20"/>
                <w:spacing w:val="-5"/>
                <w:w w:val="94"/>
              </w:rPr>
              <w:t>硝普钠、硝酸甘油</w:t>
            </w:r>
          </w:p>
          <w:p>
            <w:pPr>
              <w:pStyle w:val="TableText"/>
              <w:ind w:left="30"/>
              <w:spacing w:before="14" w:line="172" w:lineRule="exact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5"/>
                <w:w w:val="94"/>
                <w:position w:val="-1"/>
              </w:rPr>
              <w:t>联合利尿剂、</w:t>
            </w:r>
            <w:r>
              <w:rPr>
                <w:rFonts w:ascii="Times New Roman" w:hAnsi="Times New Roman" w:eastAsia="Times New Roman" w:cs="Times New Roman"/>
                <w:color w:val="231F20"/>
                <w:spacing w:val="-5"/>
                <w:w w:val="94"/>
                <w:position w:val="-1"/>
              </w:rPr>
              <w:t>ACEI/ARB</w:t>
            </w:r>
          </w:p>
        </w:tc>
        <w:tc>
          <w:tcPr>
            <w:tcW w:w="1526" w:type="dxa"/>
            <w:vAlign w:val="top"/>
          </w:tcPr>
          <w:p>
            <w:pPr>
              <w:pStyle w:val="TableText"/>
              <w:ind w:left="168"/>
              <w:spacing w:before="25" w:line="182" w:lineRule="auto"/>
              <w:rPr/>
            </w:pPr>
            <w:r>
              <w:rPr>
                <w:color w:val="231F20"/>
                <w:spacing w:val="-3"/>
                <w:w w:val="93"/>
              </w:rPr>
              <w:t>乌拉地尔</w:t>
            </w:r>
          </w:p>
        </w:tc>
      </w:tr>
      <w:tr>
        <w:trPr>
          <w:trHeight w:val="216" w:hRule="atLeast"/>
        </w:trPr>
        <w:tc>
          <w:tcPr>
            <w:tcW w:w="1234" w:type="dxa"/>
            <w:vAlign w:val="top"/>
          </w:tcPr>
          <w:p>
            <w:pPr>
              <w:pStyle w:val="TableText"/>
              <w:ind w:left="32"/>
              <w:spacing w:before="34" w:line="172" w:lineRule="exact"/>
              <w:rPr/>
            </w:pPr>
            <w:r>
              <w:rPr>
                <w:color w:val="231F20"/>
                <w:spacing w:val="-8"/>
                <w:w w:val="96"/>
                <w:position w:val="-1"/>
              </w:rPr>
              <w:t>缺血性卒中</w:t>
            </w:r>
          </w:p>
        </w:tc>
        <w:tc>
          <w:tcPr>
            <w:tcW w:w="4790" w:type="dxa"/>
            <w:vAlign w:val="top"/>
          </w:tcPr>
          <w:p>
            <w:pPr>
              <w:spacing w:line="206" w:lineRule="exact"/>
              <w:rPr>
                <w:rFonts w:ascii="Arial"/>
                <w:sz w:val="17"/>
              </w:rPr>
            </w:pPr>
            <w:r/>
          </w:p>
        </w:tc>
        <w:tc>
          <w:tcPr>
            <w:tcW w:w="2059" w:type="dxa"/>
            <w:vAlign w:val="top"/>
          </w:tcPr>
          <w:p>
            <w:pPr>
              <w:pStyle w:val="TableText"/>
              <w:ind w:left="31"/>
              <w:spacing w:before="34" w:line="172" w:lineRule="exact"/>
              <w:rPr/>
            </w:pPr>
            <w:r>
              <w:rPr>
                <w:color w:val="231F20"/>
                <w:spacing w:val="-6"/>
                <w:w w:val="94"/>
                <w:position w:val="-1"/>
              </w:rPr>
              <w:t>拉贝洛尔、尼卡地平</w:t>
            </w:r>
          </w:p>
        </w:tc>
        <w:tc>
          <w:tcPr>
            <w:tcW w:w="1526" w:type="dxa"/>
            <w:vAlign w:val="top"/>
          </w:tcPr>
          <w:p>
            <w:pPr>
              <w:pStyle w:val="TableText"/>
              <w:ind w:left="167"/>
              <w:spacing w:before="35" w:line="171" w:lineRule="exact"/>
              <w:rPr/>
            </w:pPr>
            <w:r>
              <w:rPr>
                <w:color w:val="231F20"/>
                <w:spacing w:val="-3"/>
                <w:w w:val="94"/>
                <w:position w:val="-1"/>
              </w:rPr>
              <w:t>硝普钠</w:t>
            </w:r>
          </w:p>
        </w:tc>
      </w:tr>
      <w:tr>
        <w:trPr>
          <w:trHeight w:val="223" w:hRule="atLeast"/>
        </w:trPr>
        <w:tc>
          <w:tcPr>
            <w:tcW w:w="1234" w:type="dxa"/>
            <w:vAlign w:val="top"/>
          </w:tcPr>
          <w:p>
            <w:pPr>
              <w:pStyle w:val="TableText"/>
              <w:ind w:left="229"/>
              <w:spacing w:before="36" w:line="176" w:lineRule="exact"/>
              <w:rPr/>
            </w:pPr>
            <w:r>
              <w:rPr>
                <w:color w:val="231F20"/>
                <w:spacing w:val="-3"/>
                <w:w w:val="96"/>
                <w:position w:val="-1"/>
              </w:rPr>
              <w:t>溶栓</w:t>
            </w:r>
          </w:p>
        </w:tc>
        <w:tc>
          <w:tcPr>
            <w:tcW w:w="4790" w:type="dxa"/>
            <w:vAlign w:val="top"/>
          </w:tcPr>
          <w:p>
            <w:pPr>
              <w:pStyle w:val="TableText"/>
              <w:ind w:right="20"/>
              <w:spacing w:before="9" w:line="178" w:lineRule="auto"/>
              <w:jc w:val="right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2"/>
              </w:rPr>
              <w:t>立刻，第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1 </w:t>
            </w:r>
            <w:r>
              <w:rPr>
                <w:color w:val="231F20"/>
                <w:spacing w:val="-12"/>
              </w:rPr>
              <w:t>小时 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MAP </w:t>
            </w:r>
            <w:r>
              <w:rPr>
                <w:color w:val="231F20"/>
                <w:spacing w:val="-12"/>
              </w:rPr>
              <w:t>降低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15%</w:t>
            </w:r>
            <w:r>
              <w:rPr>
                <w:color w:val="231F20"/>
                <w:spacing w:val="-12"/>
              </w:rPr>
              <w:t>，目标 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SBP &lt;180 mmHg, DBP &lt;110 mmHg</w:t>
            </w:r>
          </w:p>
        </w:tc>
        <w:tc>
          <w:tcPr>
            <w:tcW w:w="2059" w:type="dxa"/>
            <w:vAlign w:val="top"/>
          </w:tcPr>
          <w:p>
            <w:pPr>
              <w:spacing w:line="212" w:lineRule="exact"/>
              <w:rPr>
                <w:rFonts w:ascii="Arial"/>
                <w:sz w:val="18"/>
              </w:rPr>
            </w:pPr>
            <w:r/>
          </w:p>
        </w:tc>
        <w:tc>
          <w:tcPr>
            <w:tcW w:w="1526" w:type="dxa"/>
            <w:vAlign w:val="top"/>
          </w:tcPr>
          <w:p>
            <w:pPr>
              <w:spacing w:line="212" w:lineRule="exact"/>
              <w:rPr>
                <w:rFonts w:ascii="Arial"/>
                <w:sz w:val="18"/>
              </w:rPr>
            </w:pPr>
            <w:r/>
          </w:p>
        </w:tc>
      </w:tr>
      <w:tr>
        <w:trPr>
          <w:trHeight w:val="216" w:hRule="atLeast"/>
        </w:trPr>
        <w:tc>
          <w:tcPr>
            <w:tcW w:w="1234" w:type="dxa"/>
            <w:vAlign w:val="top"/>
          </w:tcPr>
          <w:p>
            <w:pPr>
              <w:pStyle w:val="TableText"/>
              <w:ind w:left="230"/>
              <w:spacing w:before="30" w:line="176" w:lineRule="exact"/>
              <w:rPr/>
            </w:pPr>
            <w:r>
              <w:rPr>
                <w:color w:val="231F20"/>
                <w:spacing w:val="-2"/>
                <w:w w:val="94"/>
                <w:position w:val="-1"/>
              </w:rPr>
              <w:t>不溶栓</w:t>
            </w:r>
          </w:p>
        </w:tc>
        <w:tc>
          <w:tcPr>
            <w:tcW w:w="4790" w:type="dxa"/>
            <w:vAlign w:val="top"/>
          </w:tcPr>
          <w:p>
            <w:pPr>
              <w:pStyle w:val="TableText"/>
              <w:ind w:left="211"/>
              <w:spacing w:before="2" w:line="17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1"/>
              </w:rPr>
              <w:t>当 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SBP &gt;220 mmHg, DBP &gt;120 mmHg</w:t>
            </w:r>
            <w:r>
              <w:rPr>
                <w:rFonts w:ascii="Times New Roman" w:hAnsi="Times New Roman" w:eastAsia="Times New Roman" w:cs="Times New Roman"/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1"/>
              </w:rPr>
              <w:t>时，第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1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-12"/>
              </w:rPr>
              <w:t>小时 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MAP </w:t>
            </w:r>
            <w:r>
              <w:rPr>
                <w:color w:val="231F20"/>
                <w:spacing w:val="-12"/>
              </w:rPr>
              <w:t>降低</w:t>
            </w:r>
            <w:r>
              <w:rPr>
                <w:color w:val="231F20"/>
                <w:spacing w:val="13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15%</w:t>
            </w:r>
          </w:p>
        </w:tc>
        <w:tc>
          <w:tcPr>
            <w:tcW w:w="2059" w:type="dxa"/>
            <w:vAlign w:val="top"/>
          </w:tcPr>
          <w:p>
            <w:pPr>
              <w:spacing w:line="206" w:lineRule="exact"/>
              <w:rPr>
                <w:rFonts w:ascii="Arial"/>
                <w:sz w:val="17"/>
              </w:rPr>
            </w:pPr>
            <w:r/>
          </w:p>
        </w:tc>
        <w:tc>
          <w:tcPr>
            <w:tcW w:w="1526" w:type="dxa"/>
            <w:vAlign w:val="top"/>
          </w:tcPr>
          <w:p>
            <w:pPr>
              <w:spacing w:line="206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16" w:hRule="atLeast"/>
        </w:trPr>
        <w:tc>
          <w:tcPr>
            <w:tcW w:w="1234" w:type="dxa"/>
            <w:vAlign w:val="top"/>
          </w:tcPr>
          <w:p>
            <w:pPr>
              <w:pStyle w:val="TableText"/>
              <w:ind w:left="31"/>
              <w:spacing w:before="32" w:line="174" w:lineRule="exact"/>
              <w:rPr/>
            </w:pPr>
            <w:r>
              <w:rPr>
                <w:color w:val="231F20"/>
                <w:spacing w:val="-12"/>
                <w:position w:val="-1"/>
              </w:rPr>
              <w:t>脑出血</w:t>
            </w:r>
          </w:p>
        </w:tc>
        <w:tc>
          <w:tcPr>
            <w:tcW w:w="4790" w:type="dxa"/>
            <w:vAlign w:val="top"/>
          </w:tcPr>
          <w:p>
            <w:pPr>
              <w:pStyle w:val="TableText"/>
              <w:ind w:left="200"/>
              <w:spacing w:before="3" w:line="177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1"/>
              </w:rPr>
              <w:t>立即，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SBP</w:t>
            </w:r>
            <w:r>
              <w:rPr>
                <w:rFonts w:ascii="Times New Roman" w:hAnsi="Times New Roman" w:eastAsia="Times New Roman" w:cs="Times New Roman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130~180 mmHg</w:t>
            </w:r>
          </w:p>
        </w:tc>
        <w:tc>
          <w:tcPr>
            <w:tcW w:w="2059" w:type="dxa"/>
            <w:vAlign w:val="top"/>
          </w:tcPr>
          <w:p>
            <w:pPr>
              <w:pStyle w:val="TableText"/>
              <w:ind w:left="31"/>
              <w:spacing w:before="29" w:line="177" w:lineRule="exact"/>
              <w:rPr/>
            </w:pPr>
            <w:r>
              <w:rPr>
                <w:color w:val="231F20"/>
                <w:spacing w:val="-6"/>
                <w:w w:val="94"/>
                <w:position w:val="-1"/>
              </w:rPr>
              <w:t>拉贝洛尔、尼卡地平</w:t>
            </w:r>
          </w:p>
        </w:tc>
        <w:tc>
          <w:tcPr>
            <w:tcW w:w="1526" w:type="dxa"/>
            <w:vAlign w:val="top"/>
          </w:tcPr>
          <w:p>
            <w:pPr>
              <w:pStyle w:val="TableText"/>
              <w:ind w:left="168"/>
              <w:spacing w:before="29" w:line="177" w:lineRule="exact"/>
              <w:rPr/>
            </w:pPr>
            <w:r>
              <w:rPr>
                <w:color w:val="231F20"/>
                <w:spacing w:val="-5"/>
                <w:w w:val="93"/>
                <w:position w:val="1"/>
              </w:rPr>
              <w:t>乌拉地尔、甘露醇等</w:t>
            </w:r>
          </w:p>
        </w:tc>
      </w:tr>
      <w:tr>
        <w:trPr>
          <w:trHeight w:val="209" w:hRule="atLeast"/>
        </w:trPr>
        <w:tc>
          <w:tcPr>
            <w:tcW w:w="1234" w:type="dxa"/>
            <w:vAlign w:val="top"/>
          </w:tcPr>
          <w:p>
            <w:pPr>
              <w:pStyle w:val="TableText"/>
              <w:ind w:left="32"/>
              <w:spacing w:before="31" w:line="167" w:lineRule="exact"/>
              <w:rPr/>
            </w:pPr>
            <w:r>
              <w:rPr>
                <w:color w:val="231F20"/>
                <w:spacing w:val="-10"/>
                <w:w w:val="97"/>
                <w:position w:val="-1"/>
              </w:rPr>
              <w:t>蛛网膜下腔出血</w:t>
            </w:r>
          </w:p>
        </w:tc>
        <w:tc>
          <w:tcPr>
            <w:tcW w:w="4790" w:type="dxa"/>
            <w:vAlign w:val="top"/>
          </w:tcPr>
          <w:p>
            <w:pPr>
              <w:pStyle w:val="TableText"/>
              <w:ind w:left="200"/>
              <w:spacing w:before="3" w:line="171" w:lineRule="auto"/>
              <w:rPr/>
            </w:pPr>
            <w:r>
              <w:rPr>
                <w:color w:val="231F20"/>
                <w:spacing w:val="-13"/>
              </w:rPr>
              <w:t>立刻，高出基础血压 </w:t>
            </w:r>
            <w:r>
              <w:rPr>
                <w:rFonts w:ascii="Times New Roman" w:hAnsi="Times New Roman" w:eastAsia="Times New Roman" w:cs="Times New Roman"/>
                <w:color w:val="231F20"/>
                <w:spacing w:val="-13"/>
              </w:rPr>
              <w:t>20% </w:t>
            </w:r>
            <w:r>
              <w:rPr>
                <w:color w:val="231F20"/>
                <w:spacing w:val="-13"/>
              </w:rPr>
              <w:t>左右</w:t>
            </w:r>
          </w:p>
        </w:tc>
        <w:tc>
          <w:tcPr>
            <w:tcW w:w="2059" w:type="dxa"/>
            <w:vAlign w:val="top"/>
          </w:tcPr>
          <w:p>
            <w:pPr>
              <w:pStyle w:val="TableText"/>
              <w:ind w:left="32"/>
              <w:spacing w:before="29" w:line="169" w:lineRule="exact"/>
              <w:rPr/>
            </w:pPr>
            <w:r>
              <w:rPr>
                <w:color w:val="231F20"/>
                <w:spacing w:val="-5"/>
                <w:w w:val="93"/>
              </w:rPr>
              <w:t>尼卡地平、尼莫地平</w:t>
            </w:r>
          </w:p>
        </w:tc>
        <w:tc>
          <w:tcPr>
            <w:tcW w:w="1526" w:type="dxa"/>
            <w:vAlign w:val="top"/>
          </w:tcPr>
          <w:p>
            <w:pPr>
              <w:pStyle w:val="TableText"/>
              <w:ind w:left="166"/>
              <w:spacing w:before="29" w:line="169" w:lineRule="exact"/>
              <w:rPr/>
            </w:pPr>
            <w:r>
              <w:rPr>
                <w:color w:val="231F20"/>
                <w:spacing w:val="-6"/>
                <w:w w:val="94"/>
              </w:rPr>
              <w:t>拉贝洛尔、硝普钠</w:t>
            </w:r>
          </w:p>
        </w:tc>
      </w:tr>
      <w:tr>
        <w:trPr>
          <w:trHeight w:val="223" w:hRule="atLeast"/>
        </w:trPr>
        <w:tc>
          <w:tcPr>
            <w:tcW w:w="1234" w:type="dxa"/>
            <w:vAlign w:val="top"/>
          </w:tcPr>
          <w:p>
            <w:pPr>
              <w:pStyle w:val="TableText"/>
              <w:ind w:left="33"/>
              <w:spacing w:before="37" w:line="176" w:lineRule="exact"/>
              <w:rPr/>
            </w:pPr>
            <w:r>
              <w:rPr>
                <w:color w:val="231F20"/>
                <w:spacing w:val="-4"/>
                <w:w w:val="93"/>
                <w:position w:val="1"/>
              </w:rPr>
              <w:t>高血压脑病</w:t>
            </w:r>
          </w:p>
        </w:tc>
        <w:tc>
          <w:tcPr>
            <w:tcW w:w="4790" w:type="dxa"/>
            <w:vAlign w:val="top"/>
          </w:tcPr>
          <w:p>
            <w:pPr>
              <w:pStyle w:val="TableText"/>
              <w:ind w:left="199"/>
              <w:spacing w:before="11" w:line="17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BP</w:t>
            </w:r>
            <w:r>
              <w:rPr>
                <w:rFonts w:ascii="Times New Roman" w:hAnsi="Times New Roman" w:eastAsia="Times New Roman" w:cs="Times New Roman"/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160~180/100~110 mmHg </w:t>
            </w:r>
            <w:r>
              <w:rPr>
                <w:color w:val="231F20"/>
                <w:spacing w:val="-11"/>
              </w:rPr>
              <w:t>；第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1 </w:t>
            </w:r>
            <w:r>
              <w:rPr>
                <w:color w:val="231F20"/>
                <w:spacing w:val="-11"/>
              </w:rPr>
              <w:t>小时 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MAP </w:t>
            </w:r>
            <w:r>
              <w:rPr>
                <w:color w:val="231F20"/>
                <w:spacing w:val="-12"/>
              </w:rPr>
              <w:t>下降 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20%~25%</w:t>
            </w:r>
          </w:p>
        </w:tc>
        <w:tc>
          <w:tcPr>
            <w:tcW w:w="2059" w:type="dxa"/>
            <w:vAlign w:val="top"/>
          </w:tcPr>
          <w:p>
            <w:pPr>
              <w:pStyle w:val="TableText"/>
              <w:ind w:left="31"/>
              <w:spacing w:before="37" w:line="176" w:lineRule="exact"/>
              <w:rPr/>
            </w:pPr>
            <w:r>
              <w:rPr>
                <w:color w:val="231F20"/>
                <w:spacing w:val="-6"/>
                <w:w w:val="94"/>
                <w:position w:val="-1"/>
              </w:rPr>
              <w:t>拉贝洛尔、尼卡地平</w:t>
            </w:r>
          </w:p>
        </w:tc>
        <w:tc>
          <w:tcPr>
            <w:tcW w:w="1526" w:type="dxa"/>
            <w:vAlign w:val="top"/>
          </w:tcPr>
          <w:p>
            <w:pPr>
              <w:pStyle w:val="TableText"/>
              <w:ind w:left="167"/>
              <w:spacing w:before="37" w:line="176" w:lineRule="exact"/>
              <w:rPr/>
            </w:pPr>
            <w:r>
              <w:rPr>
                <w:color w:val="231F20"/>
                <w:spacing w:val="-5"/>
                <w:w w:val="94"/>
                <w:position w:val="-1"/>
              </w:rPr>
              <w:t>硝普钠、甘露醇等</w:t>
            </w:r>
          </w:p>
        </w:tc>
      </w:tr>
      <w:tr>
        <w:trPr>
          <w:trHeight w:val="216" w:hRule="atLeast"/>
        </w:trPr>
        <w:tc>
          <w:tcPr>
            <w:tcW w:w="1234" w:type="dxa"/>
            <w:vAlign w:val="top"/>
          </w:tcPr>
          <w:p>
            <w:pPr>
              <w:pStyle w:val="TableText"/>
              <w:ind w:left="36"/>
              <w:spacing w:before="32" w:line="174" w:lineRule="exact"/>
              <w:rPr/>
            </w:pPr>
            <w:r>
              <w:rPr>
                <w:color w:val="231F20"/>
                <w:spacing w:val="-3"/>
                <w:w w:val="93"/>
                <w:position w:val="-1"/>
              </w:rPr>
              <w:t>主动脉夹层</w:t>
            </w:r>
          </w:p>
        </w:tc>
        <w:tc>
          <w:tcPr>
            <w:tcW w:w="4790" w:type="dxa"/>
            <w:vAlign w:val="top"/>
          </w:tcPr>
          <w:p>
            <w:pPr>
              <w:pStyle w:val="TableText"/>
              <w:ind w:left="200"/>
              <w:spacing w:before="4" w:line="17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9"/>
              </w:rPr>
              <w:t>立刻，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SBP &lt;120 mmHg, HR 50~60 </w:t>
            </w:r>
            <w:r>
              <w:rPr>
                <w:color w:val="231F20"/>
                <w:spacing w:val="-9"/>
              </w:rPr>
              <w:t>次 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/min</w:t>
            </w:r>
          </w:p>
        </w:tc>
        <w:tc>
          <w:tcPr>
            <w:tcW w:w="2059" w:type="dxa"/>
            <w:vAlign w:val="top"/>
          </w:tcPr>
          <w:p>
            <w:pPr>
              <w:pStyle w:val="TableText"/>
              <w:ind w:left="29"/>
              <w:spacing w:before="31" w:line="175" w:lineRule="exact"/>
              <w:rPr/>
            </w:pPr>
            <w:r>
              <w:rPr>
                <w:color w:val="231F20"/>
                <w:spacing w:val="-8"/>
                <w:w w:val="94"/>
                <w:position w:val="-1"/>
              </w:rPr>
              <w:t>艾司洛尔，尼卡地平、硝普钠</w:t>
            </w:r>
          </w:p>
        </w:tc>
        <w:tc>
          <w:tcPr>
            <w:tcW w:w="1526" w:type="dxa"/>
            <w:vAlign w:val="top"/>
          </w:tcPr>
          <w:p>
            <w:pPr>
              <w:pStyle w:val="TableText"/>
              <w:ind w:left="166"/>
              <w:spacing w:before="30" w:line="176" w:lineRule="exact"/>
              <w:rPr/>
            </w:pPr>
            <w:r>
              <w:rPr>
                <w:color w:val="231F20"/>
                <w:spacing w:val="-6"/>
                <w:w w:val="94"/>
                <w:position w:val="1"/>
              </w:rPr>
              <w:t>拉贝洛尔、美托洛尔</w:t>
            </w:r>
          </w:p>
        </w:tc>
      </w:tr>
      <w:tr>
        <w:trPr>
          <w:trHeight w:val="216" w:hRule="atLeast"/>
        </w:trPr>
        <w:tc>
          <w:tcPr>
            <w:tcW w:w="1234" w:type="dxa"/>
            <w:vAlign w:val="top"/>
          </w:tcPr>
          <w:p>
            <w:pPr>
              <w:pStyle w:val="TableText"/>
              <w:ind w:left="32"/>
              <w:spacing w:before="32" w:line="174" w:lineRule="exact"/>
              <w:rPr/>
            </w:pPr>
            <w:r>
              <w:rPr>
                <w:color w:val="231F20"/>
                <w:spacing w:val="-4"/>
                <w:w w:val="93"/>
                <w:position w:val="-1"/>
              </w:rPr>
              <w:t>子痫及子痫前期</w:t>
            </w:r>
          </w:p>
        </w:tc>
        <w:tc>
          <w:tcPr>
            <w:tcW w:w="4790" w:type="dxa"/>
            <w:vAlign w:val="top"/>
          </w:tcPr>
          <w:p>
            <w:pPr>
              <w:pStyle w:val="TableText"/>
              <w:ind w:left="200"/>
              <w:spacing w:before="5" w:line="175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1"/>
              </w:rPr>
              <w:t>立刻，血压 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>&lt;160/110 mmHg</w:t>
            </w:r>
          </w:p>
        </w:tc>
        <w:tc>
          <w:tcPr>
            <w:tcW w:w="2059" w:type="dxa"/>
            <w:vAlign w:val="top"/>
          </w:tcPr>
          <w:p>
            <w:pPr>
              <w:pStyle w:val="TableText"/>
              <w:ind w:left="32"/>
              <w:spacing w:before="31" w:line="175" w:lineRule="exact"/>
              <w:rPr/>
            </w:pPr>
            <w:r>
              <w:rPr>
                <w:color w:val="231F20"/>
                <w:spacing w:val="-6"/>
                <w:w w:val="94"/>
                <w:position w:val="-1"/>
              </w:rPr>
              <w:t>尼卡地平、拉贝洛尔、硫酸镁</w:t>
            </w:r>
          </w:p>
        </w:tc>
        <w:tc>
          <w:tcPr>
            <w:tcW w:w="1526" w:type="dxa"/>
            <w:vAlign w:val="top"/>
          </w:tcPr>
          <w:p>
            <w:pPr>
              <w:spacing w:line="206" w:lineRule="exact"/>
              <w:rPr>
                <w:rFonts w:ascii="Arial"/>
                <w:sz w:val="17"/>
              </w:rPr>
            </w:pPr>
            <w:r/>
          </w:p>
        </w:tc>
      </w:tr>
      <w:tr>
        <w:trPr>
          <w:trHeight w:val="209" w:hRule="atLeast"/>
        </w:trPr>
        <w:tc>
          <w:tcPr>
            <w:tcW w:w="1234" w:type="dxa"/>
            <w:vAlign w:val="top"/>
          </w:tcPr>
          <w:p>
            <w:pPr>
              <w:pStyle w:val="TableText"/>
              <w:ind w:left="33"/>
              <w:spacing w:before="32" w:line="166" w:lineRule="exact"/>
              <w:rPr/>
            </w:pPr>
            <w:r>
              <w:rPr>
                <w:color w:val="231F20"/>
                <w:spacing w:val="-4"/>
                <w:w w:val="93"/>
                <w:position w:val="-1"/>
              </w:rPr>
              <w:t>恶性高血压</w:t>
            </w:r>
          </w:p>
        </w:tc>
        <w:tc>
          <w:tcPr>
            <w:tcW w:w="4790" w:type="dxa"/>
            <w:vAlign w:val="top"/>
          </w:tcPr>
          <w:p>
            <w:pPr>
              <w:pStyle w:val="TableText"/>
              <w:ind w:left="200"/>
              <w:spacing w:before="6" w:line="16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12"/>
              </w:rPr>
              <w:t>数小时内，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MAP</w:t>
            </w:r>
            <w:r>
              <w:rPr>
                <w:rFonts w:ascii="Times New Roman" w:hAnsi="Times New Roman" w:eastAsia="Times New Roman" w:cs="Times New Roman"/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-12"/>
              </w:rPr>
              <w:t>下降 </w:t>
            </w:r>
            <w:r>
              <w:rPr>
                <w:rFonts w:ascii="Times New Roman" w:hAnsi="Times New Roman" w:eastAsia="Times New Roman" w:cs="Times New Roman"/>
                <w:color w:val="231F20"/>
                <w:spacing w:val="-12"/>
              </w:rPr>
              <w:t>20%~25%</w:t>
            </w:r>
          </w:p>
        </w:tc>
        <w:tc>
          <w:tcPr>
            <w:tcW w:w="2059" w:type="dxa"/>
            <w:vAlign w:val="top"/>
          </w:tcPr>
          <w:p>
            <w:pPr>
              <w:pStyle w:val="TableText"/>
              <w:ind w:left="31"/>
              <w:spacing w:before="32" w:line="166" w:lineRule="exact"/>
              <w:rPr/>
            </w:pPr>
            <w:r>
              <w:rPr>
                <w:color w:val="231F20"/>
                <w:spacing w:val="-6"/>
                <w:w w:val="94"/>
                <w:position w:val="-1"/>
              </w:rPr>
              <w:t>拉贝洛尔、尼卡地平</w:t>
            </w:r>
          </w:p>
        </w:tc>
        <w:tc>
          <w:tcPr>
            <w:tcW w:w="1526" w:type="dxa"/>
            <w:vAlign w:val="top"/>
          </w:tcPr>
          <w:p>
            <w:pPr>
              <w:pStyle w:val="TableText"/>
              <w:ind w:left="167"/>
              <w:spacing w:before="32" w:line="166" w:lineRule="exact"/>
              <w:rPr/>
            </w:pPr>
            <w:r>
              <w:rPr>
                <w:color w:val="231F20"/>
                <w:spacing w:val="-5"/>
                <w:w w:val="94"/>
              </w:rPr>
              <w:t>硝普钠、乌拉地尔</w:t>
            </w:r>
          </w:p>
        </w:tc>
      </w:tr>
      <w:tr>
        <w:trPr>
          <w:trHeight w:val="223" w:hRule="atLeast"/>
        </w:trPr>
        <w:tc>
          <w:tcPr>
            <w:tcW w:w="123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9"/>
              <w:spacing w:before="40" w:line="173" w:lineRule="exact"/>
              <w:rPr/>
            </w:pPr>
            <w:r>
              <w:rPr>
                <w:color w:val="231F20"/>
                <w:spacing w:val="-2"/>
                <w:w w:val="91"/>
                <w:position w:val="-1"/>
              </w:rPr>
              <w:t>嗜铬细胞瘤危象</w:t>
            </w:r>
          </w:p>
        </w:tc>
        <w:tc>
          <w:tcPr>
            <w:tcW w:w="4790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99"/>
              <w:spacing w:before="13" w:line="17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-9"/>
              </w:rPr>
              <w:t>术前 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24 h</w:t>
            </w:r>
            <w:r>
              <w:rPr>
                <w:rFonts w:ascii="Times New Roman" w:hAnsi="Times New Roman" w:eastAsia="Times New Roman" w:cs="Times New Roman"/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9"/>
              </w:rPr>
              <w:t>血压 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>&lt;160/90 mmHg</w:t>
            </w:r>
          </w:p>
        </w:tc>
        <w:tc>
          <w:tcPr>
            <w:tcW w:w="2059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4"/>
              <w:spacing w:before="39" w:line="174" w:lineRule="exact"/>
              <w:rPr/>
            </w:pPr>
            <w:r>
              <w:rPr>
                <w:color w:val="231F20"/>
                <w:spacing w:val="-7"/>
                <w:w w:val="94"/>
              </w:rPr>
              <w:t>酚妥拉明、乌拉地尔、硝普钠</w:t>
            </w:r>
          </w:p>
        </w:tc>
        <w:tc>
          <w:tcPr>
            <w:tcW w:w="1526" w:type="dxa"/>
            <w:vAlign w:val="top"/>
            <w:tcBorders>
              <w:bottom w:val="single" w:color="231F20" w:sz="4" w:space="0"/>
            </w:tcBorders>
          </w:tcPr>
          <w:p>
            <w:pPr>
              <w:spacing w:line="213" w:lineRule="exact"/>
              <w:rPr>
                <w:rFonts w:ascii="Arial"/>
                <w:sz w:val="18"/>
              </w:rPr>
            </w:pPr>
            <w:r/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158"/>
          <w:pgMar w:top="1301" w:right="400" w:bottom="566" w:left="402" w:header="1024" w:footer="297" w:gutter="0"/>
          <w:cols w:equalWidth="0" w:num="1">
            <w:col w:w="11104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2523"/>
        <w:spacing w:before="279" w:line="189" w:lineRule="auto"/>
        <w:outlineLvl w:val="2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</w:rPr>
        <w:t>表</w:t>
      </w:r>
      <w:r>
        <w:rPr>
          <w:rFonts w:ascii="SimHei" w:hAnsi="SimHei" w:eastAsia="SimHei" w:cs="SimHei"/>
          <w:sz w:val="18"/>
          <w:szCs w:val="18"/>
          <w:color w:val="231F20"/>
          <w:spacing w:val="-39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</w:rPr>
        <w:t>3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部分静脉降压药物的使用方法、起效时间、持续时间以及常见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不良反应</w:t>
      </w:r>
    </w:p>
    <w:tbl>
      <w:tblPr>
        <w:tblStyle w:val="TableNormal"/>
        <w:tblW w:w="9623" w:type="dxa"/>
        <w:tblInd w:w="74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37"/>
        <w:gridCol w:w="3739"/>
        <w:gridCol w:w="814"/>
        <w:gridCol w:w="789"/>
        <w:gridCol w:w="3244"/>
      </w:tblGrid>
      <w:tr>
        <w:trPr>
          <w:trHeight w:val="208" w:hRule="atLeast"/>
        </w:trPr>
        <w:tc>
          <w:tcPr>
            <w:tcW w:w="103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6"/>
              <w:spacing w:before="24" w:line="174" w:lineRule="exact"/>
              <w:rPr/>
            </w:pPr>
            <w:r>
              <w:rPr>
                <w:color w:val="231F20"/>
                <w:spacing w:val="-1"/>
                <w:position w:val="-1"/>
              </w:rPr>
              <w:t>药物</w:t>
            </w:r>
          </w:p>
        </w:tc>
        <w:tc>
          <w:tcPr>
            <w:tcW w:w="373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702"/>
              <w:spacing w:before="25" w:line="173" w:lineRule="exact"/>
              <w:rPr/>
            </w:pPr>
            <w:r>
              <w:rPr>
                <w:color w:val="231F20"/>
                <w:spacing w:val="-1"/>
                <w:position w:val="-1"/>
              </w:rPr>
              <w:t>剂量</w:t>
            </w:r>
          </w:p>
        </w:tc>
        <w:tc>
          <w:tcPr>
            <w:tcW w:w="81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0"/>
              <w:spacing w:before="23" w:line="175" w:lineRule="exact"/>
              <w:rPr/>
            </w:pPr>
            <w:r>
              <w:rPr>
                <w:color w:val="231F20"/>
                <w:spacing w:val="-1"/>
                <w:position w:val="-1"/>
              </w:rPr>
              <w:t>起效时间</w:t>
            </w:r>
          </w:p>
        </w:tc>
        <w:tc>
          <w:tcPr>
            <w:tcW w:w="789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9"/>
              <w:spacing w:before="23" w:line="175" w:lineRule="exact"/>
              <w:rPr/>
            </w:pPr>
            <w:r>
              <w:rPr>
                <w:color w:val="231F20"/>
                <w:spacing w:val="-1"/>
                <w:position w:val="1"/>
              </w:rPr>
              <w:t>持续时间</w:t>
            </w:r>
          </w:p>
        </w:tc>
        <w:tc>
          <w:tcPr>
            <w:tcW w:w="3244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1308"/>
              <w:spacing w:before="24" w:line="174" w:lineRule="exact"/>
              <w:rPr/>
            </w:pPr>
            <w:r>
              <w:rPr>
                <w:color w:val="231F20"/>
                <w:spacing w:val="-1"/>
                <w:position w:val="-1"/>
              </w:rPr>
              <w:t>不良反应</w:t>
            </w:r>
          </w:p>
        </w:tc>
      </w:tr>
      <w:tr>
        <w:trPr>
          <w:trHeight w:val="875" w:hRule="atLeast"/>
        </w:trPr>
        <w:tc>
          <w:tcPr>
            <w:tcW w:w="103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"/>
              <w:spacing w:before="27" w:line="180" w:lineRule="auto"/>
              <w:rPr/>
            </w:pPr>
            <w:r>
              <w:rPr>
                <w:color w:val="231F20"/>
                <w:spacing w:val="-2"/>
              </w:rPr>
              <w:t>硝普钠</w:t>
            </w:r>
          </w:p>
        </w:tc>
        <w:tc>
          <w:tcPr>
            <w:tcW w:w="373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45"/>
              <w:spacing w:line="218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0. 25 ~10</w:t>
            </w:r>
            <w:r>
              <w:rPr>
                <w:rFonts w:ascii="Times New Roman" w:hAnsi="Times New Roman" w:eastAsia="Times New Roman" w:cs="Times New Roman"/>
                <w:color w:val="231F20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µg/(kg</w:t>
            </w:r>
            <w:r>
              <w:rPr>
                <w:rFonts w:ascii="Times New Roman" w:hAnsi="Times New Roman" w:eastAsia="Times New Roman" w:cs="Times New Roman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· min) </w:t>
            </w:r>
            <w:r>
              <w:rPr>
                <w:color w:val="231F20"/>
                <w:spacing w:val="-2"/>
              </w:rPr>
              <w:t>静注</w:t>
            </w:r>
          </w:p>
        </w:tc>
        <w:tc>
          <w:tcPr>
            <w:tcW w:w="81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1"/>
              <w:spacing w:before="33" w:line="172" w:lineRule="auto"/>
              <w:rPr/>
            </w:pPr>
            <w:r>
              <w:rPr>
                <w:color w:val="231F20"/>
                <w:spacing w:val="-1"/>
              </w:rPr>
              <w:t>立即</w:t>
            </w:r>
          </w:p>
        </w:tc>
        <w:tc>
          <w:tcPr>
            <w:tcW w:w="789" w:type="dxa"/>
            <w:vAlign w:val="top"/>
            <w:tcBorders>
              <w:top w:val="single" w:color="231F20" w:sz="2" w:space="0"/>
            </w:tcBorders>
          </w:tcPr>
          <w:p>
            <w:pPr>
              <w:ind w:left="107"/>
              <w:spacing w:line="211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6"/>
                <w:position w:val="1"/>
              </w:rPr>
              <w:t>2~10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6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position w:val="1"/>
              </w:rPr>
              <w:t>min</w:t>
            </w:r>
          </w:p>
        </w:tc>
        <w:tc>
          <w:tcPr>
            <w:tcW w:w="32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"/>
              <w:spacing w:before="27" w:line="183" w:lineRule="auto"/>
              <w:jc w:val="both"/>
              <w:rPr/>
            </w:pPr>
            <w:r>
              <w:rPr>
                <w:color w:val="231F20"/>
                <w:spacing w:val="5"/>
              </w:rPr>
              <w:t>低血压、心动过速、头痛、肌肉痉挛。连续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</w:rPr>
              <w:t>使用超过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48~72 h</w:t>
            </w:r>
            <w:r>
              <w:rPr>
                <w:color w:val="231F20"/>
              </w:rPr>
              <w:t>，需每天测定血浆中氰化物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4"/>
              </w:rPr>
              <w:t>或硫氰酸盐，硫氰酸盐不超过</w:t>
            </w:r>
            <w:r>
              <w:rPr>
                <w:color w:val="231F20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</w:rPr>
              <w:t>100</w:t>
            </w:r>
            <w:r>
              <w:rPr>
                <w:rFonts w:ascii="Times New Roman" w:hAnsi="Times New Roman" w:eastAsia="Times New Roman" w:cs="Times New Roman"/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4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</w:rPr>
              <w:t>g/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mL</w:t>
            </w:r>
            <w:r>
              <w:rPr>
                <w:rFonts w:ascii="Times New Roman" w:hAnsi="Times New Roman" w:eastAsia="Times New Roman" w:cs="Times New Roman"/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4"/>
              </w:rPr>
              <w:t>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氰化物不超过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3</w:t>
            </w:r>
            <w:r>
              <w:rPr>
                <w:rFonts w:ascii="Times New Roman" w:hAnsi="Times New Roman" w:eastAsia="Times New Roman" w:cs="Times New Roman"/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mol/mL</w:t>
            </w:r>
            <w:r>
              <w:rPr>
                <w:color w:val="231F20"/>
              </w:rPr>
              <w:t>，以防氰化物中毒</w:t>
            </w:r>
          </w:p>
        </w:tc>
      </w:tr>
      <w:tr>
        <w:trPr>
          <w:trHeight w:val="217" w:hRule="atLeast"/>
        </w:trPr>
        <w:tc>
          <w:tcPr>
            <w:tcW w:w="1037" w:type="dxa"/>
            <w:vAlign w:val="top"/>
          </w:tcPr>
          <w:p>
            <w:pPr>
              <w:pStyle w:val="TableText"/>
              <w:ind w:left="33"/>
              <w:spacing w:before="29" w:line="177" w:lineRule="exact"/>
              <w:rPr/>
            </w:pPr>
            <w:r>
              <w:rPr>
                <w:color w:val="231F20"/>
                <w:spacing w:val="-1"/>
                <w:position w:val="-1"/>
              </w:rPr>
              <w:t>硝酸甘油</w:t>
            </w:r>
          </w:p>
        </w:tc>
        <w:tc>
          <w:tcPr>
            <w:tcW w:w="3739" w:type="dxa"/>
            <w:vAlign w:val="top"/>
          </w:tcPr>
          <w:p>
            <w:pPr>
              <w:pStyle w:val="TableText"/>
              <w:ind w:left="47"/>
              <w:spacing w:before="2" w:line="179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5 ~100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µg/min </w:t>
            </w:r>
            <w:r>
              <w:rPr>
                <w:color w:val="231F20"/>
                <w:spacing w:val="-2"/>
              </w:rPr>
              <w:t>静射</w:t>
            </w:r>
          </w:p>
        </w:tc>
        <w:tc>
          <w:tcPr>
            <w:tcW w:w="814" w:type="dxa"/>
            <w:vAlign w:val="top"/>
          </w:tcPr>
          <w:p>
            <w:pPr>
              <w:ind w:left="141"/>
              <w:spacing w:before="2" w:line="204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6"/>
                <w:position w:val="1"/>
              </w:rPr>
              <w:t>2~5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0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position w:val="1"/>
              </w:rPr>
              <w:t>min</w:t>
            </w:r>
          </w:p>
        </w:tc>
        <w:tc>
          <w:tcPr>
            <w:tcW w:w="789" w:type="dxa"/>
            <w:vAlign w:val="top"/>
          </w:tcPr>
          <w:p>
            <w:pPr>
              <w:ind w:left="109"/>
              <w:spacing w:before="2" w:line="204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6"/>
                <w:position w:val="1"/>
              </w:rPr>
              <w:t>5~10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7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position w:val="1"/>
              </w:rPr>
              <w:t>min</w:t>
            </w:r>
          </w:p>
        </w:tc>
        <w:tc>
          <w:tcPr>
            <w:tcW w:w="3244" w:type="dxa"/>
            <w:vAlign w:val="top"/>
          </w:tcPr>
          <w:p>
            <w:pPr>
              <w:pStyle w:val="TableText"/>
              <w:ind w:left="39"/>
              <w:spacing w:before="29" w:line="177" w:lineRule="exact"/>
              <w:rPr/>
            </w:pPr>
            <w:r>
              <w:rPr>
                <w:color w:val="231F20"/>
                <w:spacing w:val="-1"/>
                <w:position w:val="-1"/>
              </w:rPr>
              <w:t>头痛、呕吐</w:t>
            </w:r>
          </w:p>
        </w:tc>
      </w:tr>
      <w:tr>
        <w:trPr>
          <w:trHeight w:val="655" w:hRule="atLeast"/>
        </w:trPr>
        <w:tc>
          <w:tcPr>
            <w:tcW w:w="1037" w:type="dxa"/>
            <w:vAlign w:val="top"/>
          </w:tcPr>
          <w:p>
            <w:pPr>
              <w:pStyle w:val="TableText"/>
              <w:ind w:left="33"/>
              <w:spacing w:before="29" w:line="179" w:lineRule="auto"/>
              <w:rPr/>
            </w:pPr>
            <w:r>
              <w:rPr>
                <w:color w:val="231F20"/>
                <w:spacing w:val="-1"/>
              </w:rPr>
              <w:t>尼卡地平</w:t>
            </w:r>
          </w:p>
        </w:tc>
        <w:tc>
          <w:tcPr>
            <w:tcW w:w="3739" w:type="dxa"/>
            <w:vAlign w:val="top"/>
          </w:tcPr>
          <w:p>
            <w:pPr>
              <w:pStyle w:val="TableText"/>
              <w:ind w:left="45" w:right="38" w:hanging="1"/>
              <w:spacing w:before="3" w:line="187" w:lineRule="auto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color w:val="231F20"/>
                <w:spacing w:val="3"/>
              </w:rPr>
              <w:t>持续静注，起始剂量 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5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mg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/h,</w:t>
            </w:r>
            <w:r>
              <w:rPr>
                <w:rFonts w:ascii="Times New Roman" w:hAnsi="Times New Roman" w:eastAsia="Times New Roman" w:cs="Times New Roman"/>
                <w:color w:val="231F20"/>
                <w:spacing w:val="2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5~15</w:t>
            </w:r>
            <w:r>
              <w:rPr>
                <w:rFonts w:ascii="Times New Roman" w:hAnsi="Times New Roman" w:eastAsia="Times New Roman" w:cs="Times New Roman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mg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/h</w:t>
            </w:r>
            <w:r>
              <w:rPr>
                <w:color w:val="231F20"/>
                <w:spacing w:val="3"/>
              </w:rPr>
              <w:t>，每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15~30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min</w:t>
            </w:r>
            <w:r>
              <w:rPr>
                <w:rFonts w:ascii="Times New Roman" w:hAnsi="Times New Roman" w:eastAsia="Times New Roman" w:cs="Times New Roman"/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2"/>
              </w:rPr>
              <w:t>增加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2.5</w:t>
            </w:r>
            <w:r>
              <w:rPr>
                <w:rFonts w:ascii="Times New Roman" w:hAnsi="Times New Roman" w:eastAsia="Times New Roman" w:cs="Times New Roman"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mg</w:t>
            </w:r>
            <w:r>
              <w:rPr>
                <w:rFonts w:ascii="Times New Roman" w:hAnsi="Times New Roman" w:eastAsia="Times New Roman" w:cs="Times New Roman"/>
                <w:color w:val="231F20"/>
                <w:spacing w:val="2"/>
              </w:rPr>
              <w:t>/h</w:t>
            </w:r>
            <w:r>
              <w:rPr>
                <w:color w:val="231F20"/>
                <w:spacing w:val="2"/>
              </w:rPr>
              <w:t>，直至达到目标血压，达标后可降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至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3 mg/h</w:t>
            </w:r>
          </w:p>
        </w:tc>
        <w:tc>
          <w:tcPr>
            <w:tcW w:w="814" w:type="dxa"/>
            <w:vAlign w:val="top"/>
          </w:tcPr>
          <w:p>
            <w:pPr>
              <w:pStyle w:val="TableText"/>
              <w:ind w:left="241"/>
              <w:spacing w:before="35" w:line="172" w:lineRule="auto"/>
              <w:rPr/>
            </w:pPr>
            <w:r>
              <w:rPr>
                <w:color w:val="231F20"/>
                <w:spacing w:val="-1"/>
              </w:rPr>
              <w:t>立即</w:t>
            </w:r>
          </w:p>
        </w:tc>
        <w:tc>
          <w:tcPr>
            <w:tcW w:w="789" w:type="dxa"/>
            <w:vAlign w:val="top"/>
          </w:tcPr>
          <w:p>
            <w:pPr>
              <w:ind w:left="68"/>
              <w:spacing w:before="2" w:line="210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5"/>
                <w:position w:val="1"/>
              </w:rPr>
              <w:t>30~40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7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position w:val="1"/>
              </w:rPr>
              <w:t>min</w:t>
            </w:r>
          </w:p>
        </w:tc>
        <w:tc>
          <w:tcPr>
            <w:tcW w:w="3244" w:type="dxa"/>
            <w:vAlign w:val="top"/>
          </w:tcPr>
          <w:p>
            <w:pPr>
              <w:pStyle w:val="TableText"/>
              <w:ind w:left="39"/>
              <w:spacing w:before="28" w:line="179" w:lineRule="auto"/>
              <w:rPr/>
            </w:pPr>
            <w:r>
              <w:rPr>
                <w:color w:val="231F20"/>
                <w:spacing w:val="-1"/>
              </w:rPr>
              <w:t>头疼、反射性心动过速</w:t>
            </w:r>
          </w:p>
        </w:tc>
      </w:tr>
      <w:tr>
        <w:trPr>
          <w:trHeight w:val="215" w:hRule="atLeast"/>
        </w:trPr>
        <w:tc>
          <w:tcPr>
            <w:tcW w:w="1037" w:type="dxa"/>
            <w:vAlign w:val="top"/>
          </w:tcPr>
          <w:p>
            <w:pPr>
              <w:pStyle w:val="TableText"/>
              <w:ind w:left="30"/>
              <w:spacing w:before="31" w:line="173" w:lineRule="exact"/>
              <w:rPr/>
            </w:pPr>
            <w:r>
              <w:rPr>
                <w:color w:val="231F20"/>
                <w:spacing w:val="-1"/>
                <w:position w:val="-1"/>
              </w:rPr>
              <w:t>艾司洛尔</w:t>
            </w:r>
          </w:p>
        </w:tc>
        <w:tc>
          <w:tcPr>
            <w:tcW w:w="3739" w:type="dxa"/>
            <w:vAlign w:val="top"/>
          </w:tcPr>
          <w:p>
            <w:pPr>
              <w:pStyle w:val="TableText"/>
              <w:ind w:left="50"/>
              <w:spacing w:before="3" w:line="176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250~500 </w:t>
            </w:r>
            <w:r>
              <w:rPr>
                <w:color w:val="231F20"/>
                <w:spacing w:val="-6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g/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kg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静注，后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50~300 </w:t>
            </w:r>
            <w:r>
              <w:rPr>
                <w:color w:val="231F20"/>
                <w:spacing w:val="-6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g/(kg ·</w:t>
            </w:r>
            <w:r>
              <w:rPr>
                <w:rFonts w:ascii="Times New Roman" w:hAnsi="Times New Roman" w:eastAsia="Times New Roman" w:cs="Times New Roman"/>
                <w:color w:val="231F20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6"/>
              </w:rPr>
              <w:t>min)</w:t>
            </w:r>
            <w:r>
              <w:rPr>
                <w:rFonts w:ascii="Times New Roman" w:hAnsi="Times New Roman" w:eastAsia="Times New Roman" w:cs="Times New Roman"/>
                <w:color w:val="231F20"/>
                <w:spacing w:val="-16"/>
              </w:rPr>
              <w:t xml:space="preserve"> </w:t>
            </w:r>
            <w:r>
              <w:rPr>
                <w:color w:val="231F20"/>
                <w:spacing w:val="-6"/>
              </w:rPr>
              <w:t>静滴</w:t>
            </w:r>
          </w:p>
        </w:tc>
        <w:tc>
          <w:tcPr>
            <w:tcW w:w="814" w:type="dxa"/>
            <w:vAlign w:val="top"/>
          </w:tcPr>
          <w:p>
            <w:pPr>
              <w:ind w:left="158"/>
              <w:spacing w:before="4" w:line="201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"/>
              </w:rPr>
              <w:t>1~2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</w:rPr>
              <w:t>min</w:t>
            </w:r>
          </w:p>
        </w:tc>
        <w:tc>
          <w:tcPr>
            <w:tcW w:w="789" w:type="dxa"/>
            <w:vAlign w:val="top"/>
          </w:tcPr>
          <w:p>
            <w:pPr>
              <w:ind w:left="84"/>
              <w:spacing w:before="4" w:line="201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"/>
                <w:position w:val="1"/>
              </w:rPr>
              <w:t>10~20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4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position w:val="1"/>
              </w:rPr>
              <w:t>min</w:t>
            </w:r>
          </w:p>
        </w:tc>
        <w:tc>
          <w:tcPr>
            <w:tcW w:w="3244" w:type="dxa"/>
            <w:vAlign w:val="top"/>
          </w:tcPr>
          <w:p>
            <w:pPr>
              <w:pStyle w:val="TableText"/>
              <w:ind w:left="36"/>
              <w:spacing w:before="31" w:line="173" w:lineRule="exact"/>
              <w:rPr/>
            </w:pPr>
            <w:r>
              <w:rPr>
                <w:color w:val="231F20"/>
                <w:spacing w:val="-1"/>
                <w:position w:val="-1"/>
              </w:rPr>
              <w:t>低血压、恶心</w:t>
            </w:r>
          </w:p>
        </w:tc>
      </w:tr>
      <w:tr>
        <w:trPr>
          <w:trHeight w:val="428" w:hRule="atLeast"/>
        </w:trPr>
        <w:tc>
          <w:tcPr>
            <w:tcW w:w="1037" w:type="dxa"/>
            <w:vAlign w:val="top"/>
          </w:tcPr>
          <w:p>
            <w:pPr>
              <w:pStyle w:val="TableText"/>
              <w:ind w:left="32"/>
              <w:spacing w:before="31" w:line="179" w:lineRule="auto"/>
              <w:rPr/>
            </w:pPr>
            <w:r>
              <w:rPr>
                <w:color w:val="231F20"/>
                <w:spacing w:val="-1"/>
              </w:rPr>
              <w:t>拉贝洛尔</w:t>
            </w:r>
          </w:p>
        </w:tc>
        <w:tc>
          <w:tcPr>
            <w:tcW w:w="3739" w:type="dxa"/>
            <w:vAlign w:val="top"/>
          </w:tcPr>
          <w:p>
            <w:pPr>
              <w:pStyle w:val="TableText"/>
              <w:ind w:left="43"/>
              <w:spacing w:before="5" w:line="218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20~80 mg </w:t>
            </w:r>
            <w:r>
              <w:rPr>
                <w:color w:val="231F20"/>
                <w:spacing w:val="-1"/>
              </w:rPr>
              <w:t>静注，然后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0. 5~2.0 mg/ min </w:t>
            </w:r>
            <w:r>
              <w:rPr>
                <w:color w:val="231F20"/>
                <w:spacing w:val="-1"/>
              </w:rPr>
              <w:t>静滴</w:t>
            </w:r>
          </w:p>
        </w:tc>
        <w:tc>
          <w:tcPr>
            <w:tcW w:w="814" w:type="dxa"/>
            <w:vAlign w:val="top"/>
          </w:tcPr>
          <w:p>
            <w:pPr>
              <w:ind w:left="102"/>
              <w:spacing w:before="5" w:line="210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6"/>
                <w:position w:val="1"/>
              </w:rPr>
              <w:t>5~10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7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position w:val="1"/>
              </w:rPr>
              <w:t>min</w:t>
            </w:r>
          </w:p>
        </w:tc>
        <w:tc>
          <w:tcPr>
            <w:tcW w:w="789" w:type="dxa"/>
            <w:vAlign w:val="top"/>
          </w:tcPr>
          <w:p>
            <w:pPr>
              <w:ind w:left="232"/>
              <w:spacing w:before="5" w:line="210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5"/>
                <w:position w:val="1"/>
              </w:rPr>
              <w:t>3~6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5"/>
                <w:position w:val="1"/>
              </w:rPr>
              <w:t>h</w:t>
            </w:r>
          </w:p>
        </w:tc>
        <w:tc>
          <w:tcPr>
            <w:tcW w:w="3244" w:type="dxa"/>
            <w:vAlign w:val="top"/>
          </w:tcPr>
          <w:p>
            <w:pPr>
              <w:pStyle w:val="TableText"/>
              <w:ind w:left="37" w:firstLine="2"/>
              <w:spacing w:before="31" w:line="169" w:lineRule="auto"/>
              <w:rPr/>
            </w:pPr>
            <w:r>
              <w:rPr>
                <w:color w:val="231F20"/>
                <w:spacing w:val="-7"/>
                <w:w w:val="95"/>
              </w:rPr>
              <w:t>恶心、呕吐、头麻、支气管痉挛、房室传导阻滞、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2"/>
              </w:rPr>
              <w:t>体位性低血压</w:t>
            </w:r>
          </w:p>
        </w:tc>
      </w:tr>
      <w:tr>
        <w:trPr>
          <w:trHeight w:val="435" w:hRule="atLeast"/>
        </w:trPr>
        <w:tc>
          <w:tcPr>
            <w:tcW w:w="1037" w:type="dxa"/>
            <w:vAlign w:val="top"/>
          </w:tcPr>
          <w:p>
            <w:pPr>
              <w:pStyle w:val="TableText"/>
              <w:ind w:left="35"/>
              <w:spacing w:before="39" w:line="179" w:lineRule="auto"/>
              <w:rPr/>
            </w:pPr>
            <w:r>
              <w:rPr>
                <w:color w:val="231F20"/>
                <w:spacing w:val="-2"/>
              </w:rPr>
              <w:t>酚妥拉明</w:t>
            </w:r>
          </w:p>
        </w:tc>
        <w:tc>
          <w:tcPr>
            <w:tcW w:w="3739" w:type="dxa"/>
            <w:vAlign w:val="top"/>
          </w:tcPr>
          <w:p>
            <w:pPr>
              <w:pStyle w:val="TableText"/>
              <w:ind w:left="43" w:right="69"/>
              <w:spacing w:before="13" w:line="180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2.5~5</w:t>
            </w:r>
            <w:r>
              <w:rPr>
                <w:rFonts w:ascii="Times New Roman" w:hAnsi="Times New Roman" w:eastAsia="Times New Roman" w:cs="Times New Roman"/>
                <w:color w:val="231F20"/>
                <w:spacing w:val="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mg</w:t>
            </w:r>
            <w:r>
              <w:rPr>
                <w:rFonts w:ascii="Times New Roman" w:hAnsi="Times New Roman" w:eastAsia="Times New Roman" w:cs="Times New Roman"/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>静注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-1"/>
              </w:rPr>
              <w:t>（诊断嗜铬细胞瘤及治疗其所致的高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血压发作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, </w:t>
            </w:r>
            <w:r>
              <w:rPr>
                <w:color w:val="231F20"/>
                <w:spacing w:val="-1"/>
              </w:rPr>
              <w:t>包括手术切除时出现的高血压）</w:t>
            </w:r>
          </w:p>
        </w:tc>
        <w:tc>
          <w:tcPr>
            <w:tcW w:w="814" w:type="dxa"/>
            <w:vAlign w:val="top"/>
          </w:tcPr>
          <w:p>
            <w:pPr>
              <w:ind w:left="158"/>
              <w:spacing w:before="14" w:line="210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"/>
                <w:position w:val="1"/>
              </w:rPr>
              <w:t>1~2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position w:val="1"/>
              </w:rPr>
              <w:t>min</w:t>
            </w:r>
          </w:p>
        </w:tc>
        <w:tc>
          <w:tcPr>
            <w:tcW w:w="789" w:type="dxa"/>
            <w:vAlign w:val="top"/>
          </w:tcPr>
          <w:p>
            <w:pPr>
              <w:ind w:left="84"/>
              <w:spacing w:before="14" w:line="210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"/>
                <w:position w:val="1"/>
              </w:rPr>
              <w:t>10~30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4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position w:val="1"/>
              </w:rPr>
              <w:t>min</w:t>
            </w:r>
          </w:p>
        </w:tc>
        <w:tc>
          <w:tcPr>
            <w:tcW w:w="3244" w:type="dxa"/>
            <w:vAlign w:val="top"/>
          </w:tcPr>
          <w:p>
            <w:pPr>
              <w:pStyle w:val="TableText"/>
              <w:ind w:left="38"/>
              <w:spacing w:before="41" w:line="180" w:lineRule="auto"/>
              <w:rPr/>
            </w:pPr>
            <w:r>
              <w:rPr>
                <w:color w:val="231F20"/>
                <w:spacing w:val="-1"/>
              </w:rPr>
              <w:t>心动过速、头痛、潮红</w:t>
            </w:r>
          </w:p>
        </w:tc>
      </w:tr>
      <w:tr>
        <w:trPr>
          <w:trHeight w:val="223" w:hRule="atLeast"/>
        </w:trPr>
        <w:tc>
          <w:tcPr>
            <w:tcW w:w="1037" w:type="dxa"/>
            <w:vAlign w:val="top"/>
          </w:tcPr>
          <w:p>
            <w:pPr>
              <w:pStyle w:val="TableText"/>
              <w:ind w:left="34"/>
              <w:spacing w:before="41" w:line="172" w:lineRule="exact"/>
              <w:rPr/>
            </w:pPr>
            <w:r>
              <w:rPr>
                <w:color w:val="231F20"/>
                <w:spacing w:val="-2"/>
                <w:position w:val="-1"/>
              </w:rPr>
              <w:t>乌拉地尔</w:t>
            </w:r>
          </w:p>
        </w:tc>
        <w:tc>
          <w:tcPr>
            <w:tcW w:w="3739" w:type="dxa"/>
            <w:vAlign w:val="top"/>
          </w:tcPr>
          <w:p>
            <w:pPr>
              <w:pStyle w:val="TableText"/>
              <w:ind w:left="58"/>
              <w:spacing w:before="16" w:line="17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10~50 mg </w:t>
            </w:r>
            <w:r>
              <w:rPr>
                <w:color w:val="231F20"/>
                <w:spacing w:val="-2"/>
              </w:rPr>
              <w:t>静注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-2"/>
              </w:rPr>
              <w:t>然后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6~24 mg/h</w:t>
            </w:r>
          </w:p>
        </w:tc>
        <w:tc>
          <w:tcPr>
            <w:tcW w:w="814" w:type="dxa"/>
            <w:vAlign w:val="top"/>
          </w:tcPr>
          <w:p>
            <w:pPr>
              <w:ind w:left="225"/>
              <w:spacing w:before="16" w:line="197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8"/>
              </w:rPr>
              <w:t>5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</w:rPr>
              <w:t>min</w:t>
            </w:r>
          </w:p>
        </w:tc>
        <w:tc>
          <w:tcPr>
            <w:tcW w:w="789" w:type="dxa"/>
            <w:vAlign w:val="top"/>
          </w:tcPr>
          <w:p>
            <w:pPr>
              <w:ind w:left="232"/>
              <w:spacing w:before="16" w:line="197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5"/>
              </w:rPr>
              <w:t>2~8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5"/>
              </w:rPr>
              <w:t>h</w:t>
            </w:r>
          </w:p>
        </w:tc>
        <w:tc>
          <w:tcPr>
            <w:tcW w:w="3244" w:type="dxa"/>
            <w:vAlign w:val="top"/>
          </w:tcPr>
          <w:p>
            <w:pPr>
              <w:pStyle w:val="TableText"/>
              <w:ind w:left="36"/>
              <w:spacing w:before="42" w:line="171" w:lineRule="exact"/>
              <w:rPr/>
            </w:pPr>
            <w:r>
              <w:rPr>
                <w:color w:val="231F20"/>
                <w:spacing w:val="-1"/>
                <w:position w:val="-1"/>
              </w:rPr>
              <w:t>低血压、头晕、恶心、疲倦</w:t>
            </w:r>
          </w:p>
        </w:tc>
      </w:tr>
      <w:tr>
        <w:trPr>
          <w:trHeight w:val="429" w:hRule="atLeast"/>
        </w:trPr>
        <w:tc>
          <w:tcPr>
            <w:tcW w:w="1037" w:type="dxa"/>
            <w:vAlign w:val="top"/>
          </w:tcPr>
          <w:p>
            <w:pPr>
              <w:pStyle w:val="TableText"/>
              <w:ind w:left="32"/>
              <w:spacing w:before="37" w:line="190" w:lineRule="auto"/>
              <w:rPr/>
            </w:pPr>
            <w:r>
              <w:rPr>
                <w:color w:val="231F20"/>
                <w:spacing w:val="-2"/>
              </w:rPr>
              <w:t>地尔硫</w:t>
            </w:r>
            <w:r>
              <w:rPr>
                <w:position w:val="-2"/>
              </w:rPr>
              <w:drawing>
                <wp:inline distT="0" distB="0" distL="0" distR="0">
                  <wp:extent cx="47918" cy="72618"/>
                  <wp:effectExtent l="0" t="0" r="0" b="0"/>
                  <wp:docPr id="210" name="IM 2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0" name="IM 210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918" cy="72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8"/>
              </w:rPr>
              <w:drawing>
                <wp:inline distT="0" distB="0" distL="0" distR="0">
                  <wp:extent cx="47317" cy="34125"/>
                  <wp:effectExtent l="0" t="0" r="0" b="0"/>
                  <wp:docPr id="212" name="IM 2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2" name="IM 212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7317" cy="3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39" w:type="dxa"/>
            <w:vAlign w:val="top"/>
          </w:tcPr>
          <w:p>
            <w:pPr>
              <w:pStyle w:val="TableText"/>
              <w:ind w:left="47"/>
              <w:spacing w:before="9" w:line="218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</w:rPr>
              <w:t>5~10 mg </w:t>
            </w:r>
            <w:r>
              <w:rPr>
                <w:color w:val="231F20"/>
              </w:rPr>
              <w:t>静注，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5~15</w:t>
            </w:r>
            <w:r>
              <w:rPr>
                <w:rFonts w:ascii="Times New Roman" w:hAnsi="Times New Roman" w:eastAsia="Times New Roman" w:cs="Times New Roman"/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μ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g/(k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g</w:t>
            </w:r>
            <w:r>
              <w:rPr>
                <w:rFonts w:ascii="Times New Roman" w:hAnsi="Times New Roman" w:eastAsia="Times New Roman" w:cs="Times New Roman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· min) </w:t>
            </w:r>
            <w:r>
              <w:rPr>
                <w:color w:val="231F20"/>
                <w:spacing w:val="-1"/>
              </w:rPr>
              <w:t>泵入</w:t>
            </w:r>
          </w:p>
        </w:tc>
        <w:tc>
          <w:tcPr>
            <w:tcW w:w="814" w:type="dxa"/>
            <w:vAlign w:val="top"/>
          </w:tcPr>
          <w:p>
            <w:pPr>
              <w:ind w:left="225"/>
              <w:spacing w:before="9" w:line="211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8"/>
                <w:position w:val="1"/>
              </w:rPr>
              <w:t>5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position w:val="1"/>
              </w:rPr>
              <w:t>min</w:t>
            </w:r>
          </w:p>
        </w:tc>
        <w:tc>
          <w:tcPr>
            <w:tcW w:w="789" w:type="dxa"/>
            <w:vAlign w:val="top"/>
          </w:tcPr>
          <w:p>
            <w:pPr>
              <w:ind w:left="191"/>
              <w:spacing w:before="9" w:line="211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2"/>
                <w:position w:val="1"/>
              </w:rPr>
              <w:t>30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7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position w:val="1"/>
              </w:rPr>
              <w:t>min</w:t>
            </w:r>
          </w:p>
        </w:tc>
        <w:tc>
          <w:tcPr>
            <w:tcW w:w="3244" w:type="dxa"/>
            <w:vAlign w:val="top"/>
          </w:tcPr>
          <w:p>
            <w:pPr>
              <w:pStyle w:val="TableText"/>
              <w:ind w:left="36" w:firstLine="2"/>
              <w:spacing w:before="34" w:line="168" w:lineRule="auto"/>
              <w:rPr/>
            </w:pPr>
            <w:r>
              <w:rPr>
                <w:color w:val="231F20"/>
                <w:spacing w:val="-8"/>
              </w:rPr>
              <w:t>心动过缓、房室传导阻滞、低血压、心力衰竭、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外周水肿、头痛、便秘、肝毒性</w:t>
            </w:r>
          </w:p>
        </w:tc>
      </w:tr>
      <w:tr>
        <w:trPr>
          <w:trHeight w:val="223" w:hRule="atLeast"/>
        </w:trPr>
        <w:tc>
          <w:tcPr>
            <w:tcW w:w="1037" w:type="dxa"/>
            <w:vAlign w:val="top"/>
          </w:tcPr>
          <w:p>
            <w:pPr>
              <w:pStyle w:val="TableText"/>
              <w:ind w:left="30"/>
              <w:spacing w:before="44" w:line="169" w:lineRule="exact"/>
              <w:rPr/>
            </w:pPr>
            <w:r>
              <w:rPr>
                <w:color w:val="231F20"/>
                <w:spacing w:val="-1"/>
                <w:position w:val="-1"/>
              </w:rPr>
              <w:t>肼屈嗪</w:t>
            </w:r>
          </w:p>
        </w:tc>
        <w:tc>
          <w:tcPr>
            <w:tcW w:w="3739" w:type="dxa"/>
            <w:vAlign w:val="top"/>
          </w:tcPr>
          <w:p>
            <w:pPr>
              <w:pStyle w:val="TableText"/>
              <w:ind w:left="58"/>
              <w:spacing w:before="17" w:line="171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10~20 mg </w:t>
            </w:r>
            <w:r>
              <w:rPr>
                <w:color w:val="231F20"/>
                <w:spacing w:val="-2"/>
              </w:rPr>
              <w:t>静注，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10~40 mg </w:t>
            </w:r>
            <w:r>
              <w:rPr>
                <w:color w:val="231F20"/>
                <w:spacing w:val="-2"/>
              </w:rPr>
              <w:t>肌注</w:t>
            </w:r>
          </w:p>
        </w:tc>
        <w:tc>
          <w:tcPr>
            <w:tcW w:w="814" w:type="dxa"/>
            <w:vAlign w:val="top"/>
          </w:tcPr>
          <w:p>
            <w:pPr>
              <w:ind w:left="78"/>
              <w:spacing w:before="17" w:line="196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"/>
              </w:rPr>
              <w:t>10~20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</w:rPr>
              <w:t>min</w:t>
            </w:r>
          </w:p>
        </w:tc>
        <w:tc>
          <w:tcPr>
            <w:tcW w:w="789" w:type="dxa"/>
            <w:vAlign w:val="top"/>
          </w:tcPr>
          <w:p>
            <w:pPr>
              <w:ind w:left="249"/>
              <w:spacing w:before="17" w:line="196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</w:rPr>
              <w:t>1~4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</w:rPr>
              <w:t>h</w:t>
            </w:r>
          </w:p>
        </w:tc>
        <w:tc>
          <w:tcPr>
            <w:tcW w:w="3244" w:type="dxa"/>
            <w:vAlign w:val="top"/>
          </w:tcPr>
          <w:p>
            <w:pPr>
              <w:pStyle w:val="TableText"/>
              <w:ind w:left="38"/>
              <w:spacing w:before="44" w:line="169" w:lineRule="exact"/>
              <w:rPr/>
            </w:pPr>
            <w:r>
              <w:rPr>
                <w:color w:val="231F20"/>
                <w:spacing w:val="-1"/>
              </w:rPr>
              <w:t>心动过速、潮红、头痛、呕吐、心绞痛加重</w:t>
            </w:r>
          </w:p>
        </w:tc>
      </w:tr>
      <w:tr>
        <w:trPr>
          <w:trHeight w:val="217" w:hRule="atLeast"/>
        </w:trPr>
        <w:tc>
          <w:tcPr>
            <w:tcW w:w="1037" w:type="dxa"/>
            <w:vAlign w:val="top"/>
          </w:tcPr>
          <w:p>
            <w:pPr>
              <w:pStyle w:val="TableText"/>
              <w:ind w:left="30"/>
              <w:spacing w:before="38" w:line="169" w:lineRule="exact"/>
              <w:rPr/>
            </w:pPr>
            <w:r>
              <w:rPr>
                <w:color w:val="231F20"/>
                <w:spacing w:val="-1"/>
                <w:position w:val="-1"/>
              </w:rPr>
              <w:t>硫酸镁</w:t>
            </w:r>
          </w:p>
        </w:tc>
        <w:tc>
          <w:tcPr>
            <w:tcW w:w="3739" w:type="dxa"/>
            <w:vAlign w:val="top"/>
          </w:tcPr>
          <w:p>
            <w:pPr>
              <w:pStyle w:val="TableText"/>
              <w:ind w:left="47"/>
              <w:spacing w:before="11" w:line="171" w:lineRule="auto"/>
              <w:rPr/>
            </w:pP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</w:t>
            </w:r>
            <w:r>
              <w:rPr>
                <w:rFonts w:ascii="Times New Roman" w:hAnsi="Times New Roman" w:eastAsia="Times New Roman" w:cs="Times New Roman"/>
                <w:color w:val="231F20"/>
                <w:spacing w:val="1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g </w:t>
            </w:r>
            <w:r>
              <w:rPr>
                <w:color w:val="231F20"/>
                <w:spacing w:val="-1"/>
              </w:rPr>
              <w:t>稀释至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20</w:t>
            </w:r>
            <w:r>
              <w:rPr>
                <w:rFonts w:ascii="Times New Roman" w:hAnsi="Times New Roman" w:eastAsia="Times New Roman" w:cs="Times New Roman"/>
                <w:color w:val="231F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mL</w:t>
            </w:r>
            <w:r>
              <w:rPr>
                <w:color w:val="231F20"/>
                <w:spacing w:val="-1"/>
              </w:rPr>
              <w:t>，静脉慢推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5 min</w:t>
            </w:r>
            <w:r>
              <w:rPr>
                <w:color w:val="231F20"/>
                <w:spacing w:val="-1"/>
              </w:rPr>
              <w:t>，继以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1~2</w:t>
            </w:r>
            <w:r>
              <w:rPr>
                <w:rFonts w:ascii="Times New Roman" w:hAnsi="Times New Roman" w:eastAsia="Times New Roman" w:cs="Times New Roman"/>
                <w:color w:val="231F20"/>
                <w:spacing w:val="10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g/h</w:t>
            </w:r>
            <w:r>
              <w:rPr>
                <w:rFonts w:ascii="Times New Roman" w:hAnsi="Times New Roman" w:eastAsia="Times New Roman" w:cs="Times New Roman"/>
                <w:color w:val="231F20"/>
                <w:spacing w:val="10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维</w:t>
            </w:r>
          </w:p>
        </w:tc>
        <w:tc>
          <w:tcPr>
            <w:tcW w:w="814" w:type="dxa"/>
            <w:vAlign w:val="top"/>
          </w:tcPr>
          <w:p>
            <w:pPr>
              <w:ind w:left="61"/>
              <w:spacing w:before="11" w:line="196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5"/>
              </w:rPr>
              <w:t>20~30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</w:rPr>
              <w:t>min</w:t>
            </w:r>
          </w:p>
        </w:tc>
        <w:tc>
          <w:tcPr>
            <w:tcW w:w="789" w:type="dxa"/>
            <w:vAlign w:val="top"/>
          </w:tcPr>
          <w:p>
            <w:pPr>
              <w:ind w:left="231"/>
              <w:spacing w:before="11" w:line="196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6"/>
              </w:rPr>
              <w:t>4~6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6"/>
              </w:rPr>
              <w:t>h</w:t>
            </w:r>
          </w:p>
        </w:tc>
        <w:tc>
          <w:tcPr>
            <w:tcW w:w="3244" w:type="dxa"/>
            <w:vAlign w:val="top"/>
          </w:tcPr>
          <w:p>
            <w:pPr>
              <w:pStyle w:val="TableText"/>
              <w:ind w:left="49"/>
              <w:spacing w:before="11" w:line="171" w:lineRule="auto"/>
              <w:rPr/>
            </w:pPr>
            <w:r>
              <w:rPr>
                <w:color w:val="231F20"/>
                <w:spacing w:val="1"/>
              </w:rPr>
              <w:t>当尿量 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&lt;600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mL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/d</w:t>
            </w:r>
            <w:r>
              <w:rPr>
                <w:color w:val="231F20"/>
                <w:spacing w:val="1"/>
              </w:rPr>
              <w:t>、呼吸 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&lt;  16 </w:t>
            </w:r>
            <w:r>
              <w:rPr>
                <w:color w:val="231F20"/>
                <w:spacing w:val="1"/>
              </w:rPr>
              <w:t>次 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/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min</w:t>
            </w:r>
            <w:r>
              <w:rPr>
                <w:color w:val="231F20"/>
                <w:spacing w:val="1"/>
              </w:rPr>
              <w:t>、腱反</w:t>
            </w:r>
          </w:p>
        </w:tc>
      </w:tr>
      <w:tr>
        <w:trPr>
          <w:trHeight w:val="438" w:hRule="atLeast"/>
        </w:trPr>
        <w:tc>
          <w:tcPr>
            <w:tcW w:w="103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spacing w:before="39" w:line="176" w:lineRule="auto"/>
              <w:jc w:val="right"/>
              <w:rPr/>
            </w:pPr>
            <w:r>
              <w:rPr>
                <w:color w:val="231F20"/>
                <w:spacing w:val="-11"/>
                <w:w w:val="99"/>
              </w:rPr>
              <w:t>（非降压药物）</w:t>
            </w:r>
          </w:p>
        </w:tc>
        <w:tc>
          <w:tcPr>
            <w:tcW w:w="373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48" w:right="10" w:hanging="4"/>
              <w:spacing w:before="13" w:line="181" w:lineRule="auto"/>
              <w:rPr/>
            </w:pPr>
            <w:r>
              <w:rPr>
                <w:color w:val="231F20"/>
              </w:rPr>
              <w:t>持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; </w:t>
            </w:r>
            <w:r>
              <w:rPr>
                <w:color w:val="231F20"/>
              </w:rPr>
              <w:t>或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5 g </w:t>
            </w:r>
            <w:r>
              <w:rPr>
                <w:color w:val="231F20"/>
              </w:rPr>
              <w:t>稀释至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20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mL</w:t>
            </w:r>
            <w:r>
              <w:rPr>
                <w:color w:val="231F20"/>
              </w:rPr>
              <w:t>，每 </w:t>
            </w:r>
            <w:r>
              <w:rPr>
                <w:rFonts w:ascii="Times New Roman" w:hAnsi="Times New Roman" w:eastAsia="Times New Roman" w:cs="Times New Roman"/>
                <w:color w:val="231F20"/>
              </w:rPr>
              <w:t>4</w:t>
            </w:r>
            <w:r>
              <w:rPr>
                <w:rFonts w:ascii="Times New Roman" w:hAnsi="Times New Roman" w:eastAsia="Times New Roman" w:cs="Times New Roman"/>
                <w:color w:val="231F20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h</w:t>
            </w:r>
            <w:r>
              <w:rPr>
                <w:rFonts w:ascii="Times New Roman" w:hAnsi="Times New Roman" w:eastAsia="Times New Roman" w:cs="Times New Roman"/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-1"/>
              </w:rPr>
              <w:t>一次深部肌内注射。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总量 </w:t>
            </w:r>
            <w:r>
              <w:rPr>
                <w:rFonts w:ascii="Times New Roman" w:hAnsi="Times New Roman" w:eastAsia="Times New Roman" w:cs="Times New Roman"/>
                <w:color w:val="231F20"/>
                <w:spacing w:val="-2"/>
              </w:rPr>
              <w:t>25~30 g/d</w:t>
            </w:r>
            <w:r>
              <w:rPr>
                <w:color w:val="231F20"/>
                <w:spacing w:val="-2"/>
              </w:rPr>
              <w:t>（妊娠高血压，严重先兆子痫）</w:t>
            </w:r>
          </w:p>
        </w:tc>
        <w:tc>
          <w:tcPr>
            <w:tcW w:w="814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9" w:type="dxa"/>
            <w:vAlign w:val="top"/>
            <w:tcBorders>
              <w:bottom w:val="single" w:color="231F2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44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7"/>
              <w:spacing w:before="39" w:line="180" w:lineRule="auto"/>
              <w:rPr/>
            </w:pPr>
            <w:r>
              <w:rPr>
                <w:color w:val="231F20"/>
                <w:spacing w:val="-1"/>
              </w:rPr>
              <w:t>射消失时应及时停药</w:t>
            </w:r>
          </w:p>
        </w:tc>
      </w:tr>
    </w:tbl>
    <w:p>
      <w:pPr>
        <w:spacing w:line="22" w:lineRule="exact"/>
        <w:rPr>
          <w:rFonts w:ascii="Arial"/>
          <w:sz w:val="2"/>
        </w:rPr>
      </w:pPr>
      <w:r/>
    </w:p>
    <w:p>
      <w:pPr>
        <w:spacing w:line="22" w:lineRule="exact"/>
        <w:sectPr>
          <w:headerReference w:type="default" r:id="rId109"/>
          <w:footerReference w:type="default" r:id="rId99"/>
          <w:pgSz w:w="11906" w:h="16158"/>
          <w:pgMar w:top="1301" w:right="2" w:bottom="566" w:left="400" w:header="1024" w:footer="2" w:gutter="0"/>
          <w:cols w:equalWidth="0" w:num="1">
            <w:col w:w="1150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736" w:right="309" w:firstLine="188"/>
        <w:spacing w:before="35" w:line="24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注 ：以上药物使用详见药物的说明书，最终以说明书解释为准</w:t>
      </w:r>
      <w:r>
        <w:rPr>
          <w:rFonts w:ascii="Microsoft YaHei" w:hAnsi="Microsoft YaHei" w:eastAsia="Microsoft YaHei" w:cs="Microsoft YaHei"/>
          <w:sz w:val="16"/>
          <w:szCs w:val="16"/>
          <w:color w:val="231F20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同疾病类型的降压策略有所不同，但所有的高血压急症都应当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选择起效快、可控性强的静脉降压药物，根据不同疾病的机制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选择不同类型的药物，单独或者联合使用从而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最终达到目标血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压。当病情稳定后，尽早过渡到口服降压药物，出院后也要进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6"/>
          <w:w w:val="97"/>
        </w:rPr>
        <w:t>行血压管理，避免血压控制不良再次发生高血压急症。</w:t>
      </w:r>
    </w:p>
    <w:p>
      <w:pPr>
        <w:ind w:left="737" w:right="316" w:firstLine="367"/>
        <w:spacing w:line="25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>本规范强调相关药物的应用要结合患者病情、自身情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>况及药品说明书等因素做出个体化精准施治。</w:t>
      </w:r>
    </w:p>
    <w:p>
      <w:pPr>
        <w:ind w:left="743"/>
        <w:spacing w:before="278"/>
        <w:rPr>
          <w:rFonts w:ascii="SimSun" w:hAnsi="SimSun" w:eastAsia="SimSun" w:cs="SimSun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5"/>
        </w:rPr>
        <w:t>执笔</w:t>
      </w:r>
      <w:r>
        <w:rPr>
          <w:rFonts w:ascii="SimHei" w:hAnsi="SimHei" w:eastAsia="SimHei" w:cs="SimHei"/>
          <w:sz w:val="18"/>
          <w:szCs w:val="18"/>
          <w:color w:val="231F20"/>
          <w:spacing w:val="-36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-5"/>
        </w:rPr>
        <w:t>：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杨军、武军元、何新华</w:t>
      </w:r>
    </w:p>
    <w:p>
      <w:pPr>
        <w:ind w:left="737" w:right="247" w:firstLine="6"/>
        <w:spacing w:before="77" w:line="325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专家组成员（按姓名拼音排序</w:t>
      </w:r>
      <w:r>
        <w:rPr>
          <w:rFonts w:ascii="SimHei" w:hAnsi="SimHei" w:eastAsia="SimHei" w:cs="SimHei"/>
          <w:sz w:val="18"/>
          <w:szCs w:val="18"/>
          <w:color w:val="231F20"/>
          <w:spacing w:val="-18"/>
        </w:rPr>
        <w:t>）：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曹钰（四川大学华西医院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急诊科</w:t>
      </w:r>
      <w:r>
        <w:rPr>
          <w:rFonts w:ascii="SimSun" w:hAnsi="SimSun" w:eastAsia="SimSun" w:cs="SimSun"/>
          <w:sz w:val="18"/>
          <w:szCs w:val="18"/>
          <w:color w:val="231F20"/>
          <w:spacing w:val="-48"/>
        </w:rPr>
        <w:t>）；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郭树彬（首都医科大学附属北京朝阳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医院急诊科</w:t>
      </w:r>
      <w:r>
        <w:rPr>
          <w:rFonts w:ascii="SimSun" w:hAnsi="SimSun" w:eastAsia="SimSun" w:cs="SimSun"/>
          <w:sz w:val="18"/>
          <w:szCs w:val="18"/>
          <w:color w:val="231F20"/>
          <w:spacing w:val="-48"/>
        </w:rPr>
        <w:t>）；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郭伟（首都医科大学附属北京天坛医院急诊科</w:t>
      </w:r>
      <w:r>
        <w:rPr>
          <w:rFonts w:ascii="SimSun" w:hAnsi="SimSun" w:eastAsia="SimSun" w:cs="SimSun"/>
          <w:sz w:val="18"/>
          <w:szCs w:val="18"/>
          <w:color w:val="231F20"/>
          <w:spacing w:val="-44"/>
          <w:w w:val="91"/>
        </w:rPr>
        <w:t>）；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何小军（中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华急诊医学杂志编辑部）；何新华（首都医科大学附属北京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朝阳医院急诊科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）；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蒋龙元（中山大学孙逸仙纪念医院急诊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科</w:t>
      </w:r>
      <w:r>
        <w:rPr>
          <w:rFonts w:ascii="SimSun" w:hAnsi="SimSun" w:eastAsia="SimSun" w:cs="SimSun"/>
          <w:sz w:val="18"/>
          <w:szCs w:val="18"/>
          <w:color w:val="231F20"/>
          <w:spacing w:val="-37"/>
          <w:w w:val="77"/>
        </w:rPr>
        <w:t>）；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康健（大连医科大学附属第一医院急诊科</w:t>
      </w:r>
      <w:r>
        <w:rPr>
          <w:rFonts w:ascii="SimSun" w:hAnsi="SimSun" w:eastAsia="SimSun" w:cs="SimSun"/>
          <w:sz w:val="18"/>
          <w:szCs w:val="18"/>
          <w:color w:val="231F20"/>
          <w:spacing w:val="-37"/>
          <w:w w:val="77"/>
        </w:rPr>
        <w:t>）；</w:t>
      </w:r>
      <w:r>
        <w:rPr>
          <w:rFonts w:ascii="SimSun" w:hAnsi="SimSun" w:eastAsia="SimSun" w:cs="SimSun"/>
          <w:sz w:val="18"/>
          <w:szCs w:val="18"/>
          <w:color w:val="231F20"/>
          <w:spacing w:val="-5"/>
        </w:rPr>
        <w:t>李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树生（华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中科技大学同济医学院附属同济医院急诊和重症医学科</w:t>
      </w:r>
      <w:r>
        <w:rPr>
          <w:rFonts w:ascii="SimSun" w:hAnsi="SimSun" w:eastAsia="SimSun" w:cs="SimSun"/>
          <w:sz w:val="18"/>
          <w:szCs w:val="18"/>
          <w:color w:val="231F20"/>
          <w:spacing w:val="-27"/>
        </w:rPr>
        <w:t>）；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马岳峰（中华急诊医学杂志编辑部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）；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聂绍平（首都医科大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学附属北京安贞医院急诊危重症中心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）；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裴俏（中国急救医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学杂志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）；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童朝阳（上海复旦大学附属中山医院急诊科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）；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王晶（首都医科大学宣武医院急诊科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）；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武军元（首都医科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大学附属北京朝阳医院急诊科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）；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杨军（首都医科大学附属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北京朝阳医院急诊科）；杨艳敏（中国医学科学院北京协和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医学院阜外医院急诊科</w:t>
      </w:r>
      <w:r>
        <w:rPr>
          <w:rFonts w:ascii="SimSun" w:hAnsi="SimSun" w:eastAsia="SimSun" w:cs="SimSun"/>
          <w:sz w:val="18"/>
          <w:szCs w:val="18"/>
          <w:color w:val="231F20"/>
        </w:rPr>
        <w:t>）；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朱华栋（中国医学科学院北京协</w:t>
      </w:r>
    </w:p>
    <w:p>
      <w:pPr>
        <w:ind w:left="753" w:right="330" w:hanging="12"/>
        <w:spacing w:before="2" w:line="3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和医学院北京协和医院急诊科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）；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朱继红（北京大学人民医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院急诊科）</w:t>
      </w:r>
    </w:p>
    <w:p>
      <w:pPr>
        <w:ind w:left="1082"/>
        <w:spacing w:before="1" w:line="15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1"/>
        </w:rPr>
        <w:t>利益冲突</w:t>
      </w:r>
      <w:r>
        <w:rPr>
          <w:rFonts w:ascii="SimHei" w:hAnsi="SimHei" w:eastAsia="SimHei" w:cs="SimHei"/>
          <w:sz w:val="18"/>
          <w:szCs w:val="18"/>
          <w:color w:val="231F20"/>
          <w:spacing w:val="-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>所有作者均声明不存在利益冲突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1743"/>
        <w:spacing w:before="52" w:line="242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>参</w:t>
      </w:r>
      <w:r>
        <w:rPr>
          <w:rFonts w:ascii="SimHei" w:hAnsi="SimHei" w:eastAsia="SimHei" w:cs="SimHei"/>
          <w:sz w:val="16"/>
          <w:szCs w:val="16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>考</w:t>
      </w:r>
      <w:r>
        <w:rPr>
          <w:rFonts w:ascii="SimHei" w:hAnsi="SimHei" w:eastAsia="SimHei" w:cs="SimHei"/>
          <w:sz w:val="16"/>
          <w:szCs w:val="16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>文</w:t>
      </w:r>
      <w:r>
        <w:rPr>
          <w:rFonts w:ascii="SimHei" w:hAnsi="SimHei" w:eastAsia="SimHei" w:cs="SimHei"/>
          <w:sz w:val="16"/>
          <w:szCs w:val="16"/>
          <w:color w:val="231F20"/>
          <w:spacing w:val="4"/>
        </w:rPr>
        <w:t xml:space="preserve">  </w:t>
      </w:r>
      <w:r>
        <w:rPr>
          <w:rFonts w:ascii="SimHei" w:hAnsi="SimHei" w:eastAsia="SimHei" w:cs="SimHei"/>
          <w:sz w:val="16"/>
          <w:szCs w:val="16"/>
          <w:color w:val="231F20"/>
          <w:spacing w:val="-6"/>
        </w:rPr>
        <w:t>献</w:t>
      </w:r>
    </w:p>
    <w:p>
      <w:pPr>
        <w:pStyle w:val="BodyText"/>
        <w:ind w:left="327" w:right="1129" w:hanging="327"/>
        <w:spacing w:before="260" w:line="346" w:lineRule="auto"/>
        <w:rPr/>
      </w:pPr>
      <w:r>
        <w:rPr>
          <w:color w:val="231F20"/>
          <w:spacing w:val="-4"/>
        </w:rPr>
        <w:t>[1]    van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4"/>
        </w:rPr>
        <w:t>den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Born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BH,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Lip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GYH,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Brguljan-Hitij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J,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et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al.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ESC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Council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hypertension position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2"/>
        </w:rPr>
        <w:t>docume</w:t>
      </w:r>
      <w:r>
        <w:rPr>
          <w:color w:val="231F20"/>
          <w:spacing w:val="-3"/>
        </w:rPr>
        <w:t>nt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management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3"/>
        </w:rPr>
        <w:t>hypertensive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emergencies [J]. Eur Heart J Cardiovasc Pharmacother, 2019, 5(1): 37-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3"/>
        </w:rPr>
        <w:t>46. DOI:10.1093/ehjcvp/p</w:t>
      </w:r>
      <w:r>
        <w:rPr>
          <w:color w:val="231F20"/>
          <w:spacing w:val="-4"/>
        </w:rPr>
        <w:t>vy032.</w:t>
      </w:r>
    </w:p>
    <w:p>
      <w:pPr>
        <w:pStyle w:val="BodyText"/>
        <w:ind w:left="306" w:right="1131" w:hanging="298"/>
        <w:spacing w:before="73" w:line="253" w:lineRule="auto"/>
        <w:rPr/>
      </w:pPr>
      <w:r>
        <w:rPr>
          <w:color w:val="231F20"/>
          <w:spacing w:val="21"/>
        </w:rPr>
        <w:t>[2]</w:t>
      </w:r>
      <w:r>
        <w:rPr>
          <w:color w:val="231F20"/>
          <w:spacing w:val="5"/>
        </w:rPr>
        <w:t xml:space="preserve">    </w:t>
      </w:r>
      <w:r>
        <w:rPr>
          <w:rFonts w:ascii="Microsoft YaHei" w:hAnsi="Microsoft YaHei" w:eastAsia="Microsoft YaHei" w:cs="Microsoft YaHei"/>
          <w:color w:val="231F20"/>
          <w:spacing w:val="21"/>
        </w:rPr>
        <w:t>中国医师协会急诊医师分会，中国高血压</w:t>
      </w:r>
      <w:r>
        <w:rPr>
          <w:rFonts w:ascii="Microsoft YaHei" w:hAnsi="Microsoft YaHei" w:eastAsia="Microsoft YaHei" w:cs="Microsoft YaHei"/>
          <w:color w:val="231F20"/>
          <w:spacing w:val="20"/>
        </w:rPr>
        <w:t>联盟，北京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5"/>
        </w:rPr>
        <w:t>高血压防治协会 </w:t>
      </w:r>
      <w:r>
        <w:rPr>
          <w:color w:val="231F20"/>
          <w:spacing w:val="15"/>
        </w:rPr>
        <w:t>.  </w:t>
      </w:r>
      <w:r>
        <w:rPr>
          <w:rFonts w:ascii="Microsoft YaHei" w:hAnsi="Microsoft YaHei" w:eastAsia="Microsoft YaHei" w:cs="Microsoft YaHei"/>
          <w:color w:val="231F20"/>
          <w:spacing w:val="15"/>
        </w:rPr>
        <w:t>中国急诊高血压诊</w:t>
      </w:r>
      <w:r>
        <w:rPr>
          <w:rFonts w:ascii="Microsoft YaHei" w:hAnsi="Microsoft YaHei" w:eastAsia="Microsoft YaHei" w:cs="Microsoft YaHei"/>
          <w:color w:val="231F20"/>
          <w:spacing w:val="14"/>
        </w:rPr>
        <w:t>专家共识（</w:t>
      </w:r>
      <w:r>
        <w:rPr>
          <w:color w:val="231F20"/>
          <w:spacing w:val="14"/>
        </w:rPr>
        <w:t>2017</w:t>
      </w:r>
      <w:r>
        <w:rPr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4"/>
        </w:rPr>
        <w:t>修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订</w:t>
      </w:r>
      <w:r>
        <w:rPr>
          <w:rFonts w:ascii="Microsoft YaHei" w:hAnsi="Microsoft YaHei" w:eastAsia="Microsoft YaHei" w:cs="Microsoft YaHei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版  ）</w:t>
      </w:r>
      <w:r>
        <w:rPr>
          <w:color w:val="231F20"/>
          <w:spacing w:val="-6"/>
        </w:rPr>
        <w:t>[J].   </w:t>
      </w:r>
      <w:r>
        <w:rPr>
          <w:rFonts w:ascii="Microsoft YaHei" w:hAnsi="Microsoft YaHei" w:eastAsia="Microsoft YaHei" w:cs="Microsoft YaHei"/>
          <w:color w:val="231F20"/>
          <w:spacing w:val="-6"/>
        </w:rPr>
        <w:t>中  国</w:t>
      </w:r>
      <w:r>
        <w:rPr>
          <w:rFonts w:ascii="Microsoft YaHei" w:hAnsi="Microsoft YaHei" w:eastAsia="Microsoft YaHei" w:cs="Microsoft YaHei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急</w:t>
      </w:r>
      <w:r>
        <w:rPr>
          <w:rFonts w:ascii="Microsoft YaHei" w:hAnsi="Microsoft YaHei" w:eastAsia="Microsoft YaHei" w:cs="Microsoft YaHei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救</w:t>
      </w:r>
      <w:r>
        <w:rPr>
          <w:rFonts w:ascii="Microsoft YaHei" w:hAnsi="Microsoft YaHei" w:eastAsia="Microsoft YaHei" w:cs="Microsoft YaHei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医</w:t>
      </w:r>
      <w:r>
        <w:rPr>
          <w:rFonts w:ascii="Microsoft YaHei" w:hAnsi="Microsoft YaHei" w:eastAsia="Microsoft YaHei" w:cs="Microsoft YaHei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6"/>
        </w:rPr>
        <w:t>学</w:t>
      </w:r>
      <w:r>
        <w:rPr>
          <w:rFonts w:ascii="Microsoft YaHei" w:hAnsi="Microsoft YaHei" w:eastAsia="Microsoft YaHei" w:cs="Microsoft YaHei"/>
          <w:color w:val="231F20"/>
          <w:spacing w:val="13"/>
        </w:rPr>
        <w:t xml:space="preserve"> </w:t>
      </w:r>
      <w:r>
        <w:rPr>
          <w:color w:val="231F20"/>
          <w:spacing w:val="-6"/>
        </w:rPr>
        <w:t>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2018,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38(1):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6"/>
        </w:rPr>
        <w:t>1-13.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6"/>
        </w:rPr>
        <w:t>DOI:10.3969/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j.issn.1002-1949.2018.01.00</w:t>
      </w:r>
      <w:r>
        <w:rPr>
          <w:color w:val="231F20"/>
          <w:spacing w:val="-4"/>
        </w:rPr>
        <w:t>1.</w:t>
      </w:r>
    </w:p>
    <w:p>
      <w:pPr>
        <w:pStyle w:val="BodyText"/>
        <w:ind w:left="327" w:right="1115" w:hanging="327"/>
        <w:spacing w:before="75" w:line="338" w:lineRule="auto"/>
        <w:rPr/>
      </w:pPr>
      <w:r>
        <w:rPr>
          <w:color w:val="231F20"/>
          <w:spacing w:val="-2"/>
        </w:rPr>
        <w:t>[3]    Unger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T,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Borghi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2"/>
        </w:rPr>
        <w:t>C,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Charchar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F,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3"/>
        </w:rPr>
        <w:t>al.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2020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international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3"/>
        </w:rPr>
        <w:t>society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hypertension global hypertensio</w:t>
      </w:r>
      <w:r>
        <w:rPr>
          <w:color w:val="231F20"/>
          <w:spacing w:val="-4"/>
        </w:rPr>
        <w:t>n practice guidelines[J]. Hypertension,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2020, 75(6):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1334-1357. DOI:10.1161/hypertensionaha.12</w:t>
      </w:r>
      <w:r>
        <w:rPr>
          <w:color w:val="231F20"/>
          <w:spacing w:val="-5"/>
        </w:rPr>
        <w:t>0.15026.</w:t>
      </w:r>
    </w:p>
    <w:p>
      <w:pPr>
        <w:pStyle w:val="BodyText"/>
        <w:ind w:left="307" w:right="1130" w:hanging="307"/>
        <w:spacing w:before="74" w:line="351" w:lineRule="auto"/>
        <w:rPr/>
      </w:pPr>
      <w:r>
        <w:rPr>
          <w:color w:val="231F20"/>
          <w:spacing w:val="-2"/>
        </w:rPr>
        <w:t>[4]    van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den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Born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BJH,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2"/>
        </w:rPr>
        <w:t>Koopmans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RP,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van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2"/>
        </w:rPr>
        <w:t>Montfrans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GA.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2"/>
        </w:rPr>
        <w:t>renin-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angiotensin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system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2"/>
        </w:rPr>
        <w:t>in malignant </w:t>
      </w:r>
      <w:r>
        <w:rPr>
          <w:color w:val="231F20"/>
          <w:spacing w:val="-3"/>
        </w:rPr>
        <w:t>hypertension revisited: plasma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renin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activity,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2"/>
        </w:rPr>
        <w:t>microangiopathic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hemolysis,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2"/>
        </w:rPr>
        <w:t>and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renal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2"/>
        </w:rPr>
        <w:t>failure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malign</w:t>
      </w:r>
      <w:r>
        <w:rPr>
          <w:color w:val="231F20"/>
          <w:spacing w:val="-3"/>
        </w:rPr>
        <w:t>ant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hypertension[J].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3"/>
        </w:rPr>
        <w:t>Am J Hypertens, 2007, 20(8)</w:t>
      </w:r>
      <w:r>
        <w:rPr>
          <w:color w:val="231F20"/>
          <w:spacing w:val="-4"/>
        </w:rPr>
        <w:t>: 900-906. DOI:10.1016/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j.amjhyper.2007.02.018.</w:t>
      </w:r>
    </w:p>
    <w:p>
      <w:pPr>
        <w:pStyle w:val="BodyText"/>
        <w:ind w:left="330" w:right="1131" w:hanging="330"/>
        <w:spacing w:before="75" w:line="338" w:lineRule="auto"/>
        <w:rPr/>
      </w:pPr>
      <w:r>
        <w:rPr>
          <w:color w:val="231F20"/>
          <w:spacing w:val="-3"/>
        </w:rPr>
        <w:t>[5]    Amraoui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F,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van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3"/>
        </w:rPr>
        <w:t>Montfrans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GA,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van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den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3"/>
        </w:rPr>
        <w:t>Born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3"/>
        </w:rPr>
        <w:t>BJH. Value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of retinal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examination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hypertensive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encephalo</w:t>
      </w:r>
      <w:r>
        <w:rPr>
          <w:color w:val="231F20"/>
          <w:spacing w:val="-2"/>
        </w:rPr>
        <w:t>pathy[J].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J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Hum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2"/>
        </w:rPr>
        <w:t>Hypertens,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2010, 24(4): 274-279. DOI:10.1038/jhh.2009.82.</w:t>
      </w:r>
    </w:p>
    <w:p>
      <w:pPr>
        <w:pStyle w:val="BodyText"/>
        <w:ind w:left="332" w:right="1132" w:hanging="332"/>
        <w:spacing w:before="73" w:line="339" w:lineRule="auto"/>
        <w:rPr/>
      </w:pPr>
      <w:r>
        <w:rPr>
          <w:color w:val="231F20"/>
          <w:spacing w:val="10"/>
        </w:rPr>
        <w:t>[6]    </w:t>
      </w:r>
      <w:r>
        <w:rPr>
          <w:color w:val="231F20"/>
        </w:rPr>
        <w:t>Chester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EM</w:t>
      </w:r>
      <w:r>
        <w:rPr>
          <w:color w:val="231F20"/>
          <w:spacing w:val="10"/>
        </w:rPr>
        <w:t>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Agamanolis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DP</w:t>
      </w:r>
      <w:r>
        <w:rPr>
          <w:color w:val="231F20"/>
          <w:spacing w:val="10"/>
        </w:rPr>
        <w:t>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Banker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BQ</w:t>
      </w:r>
      <w:r>
        <w:rPr>
          <w:color w:val="231F20"/>
          <w:spacing w:val="10"/>
        </w:rPr>
        <w:t>,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0"/>
        </w:rPr>
        <w:t>.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Hypertensive </w:t>
      </w:r>
      <w:r>
        <w:rPr>
          <w:color w:val="231F20"/>
          <w:spacing w:val="-3"/>
        </w:rPr>
        <w:t>encephalopathy: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a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clinicopathologic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study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of</w:t>
      </w:r>
      <w:r>
        <w:rPr>
          <w:color w:val="231F20"/>
          <w:spacing w:val="-4"/>
        </w:rPr>
        <w:t xml:space="preserve"> 20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4"/>
        </w:rPr>
        <w:t>cases[J]. Neurology,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1978, 28(9): 928. DOI:10.1212/wnl.28.9.928.</w:t>
      </w:r>
    </w:p>
    <w:p>
      <w:pPr>
        <w:pStyle w:val="BodyText"/>
        <w:ind w:left="307" w:right="1130" w:hanging="307"/>
        <w:spacing w:before="74" w:line="346" w:lineRule="auto"/>
        <w:rPr/>
      </w:pPr>
      <w:r>
        <w:rPr>
          <w:color w:val="231F20"/>
          <w:spacing w:val="-3"/>
        </w:rPr>
        <w:t>[7]    Patel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3"/>
        </w:rPr>
        <w:t>KK, Young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3"/>
        </w:rPr>
        <w:t>L,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Howell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EH,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3"/>
        </w:rPr>
        <w:t>et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al.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Characteristi</w:t>
      </w:r>
      <w:r>
        <w:rPr>
          <w:color w:val="231F20"/>
          <w:spacing w:val="-4"/>
        </w:rPr>
        <w:t>cs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4"/>
        </w:rPr>
        <w:t>outcomes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of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-2"/>
        </w:rPr>
        <w:t>patients presenting with hypertensive urgency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ofﬁce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setting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[J]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5"/>
        </w:rPr>
        <w:t>.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JAMA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Intern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Med</w:t>
      </w:r>
      <w:r>
        <w:rPr>
          <w:color w:val="231F20"/>
          <w:spacing w:val="5"/>
        </w:rPr>
        <w:t>,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5"/>
        </w:rPr>
        <w:t>2016,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176(7):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5"/>
        </w:rPr>
        <w:t>981</w:t>
      </w:r>
      <w:r>
        <w:rPr>
          <w:color w:val="231F20"/>
          <w:spacing w:val="4"/>
        </w:rPr>
        <w:t>-988.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4"/>
        </w:rPr>
        <w:t>:10.1001/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jamainternmed.2016.150</w:t>
      </w:r>
      <w:r>
        <w:rPr>
          <w:color w:val="231F20"/>
          <w:spacing w:val="-3"/>
        </w:rPr>
        <w:t>9.</w:t>
      </w:r>
    </w:p>
    <w:p>
      <w:pPr>
        <w:pStyle w:val="BodyText"/>
        <w:ind w:left="8"/>
        <w:spacing w:before="75" w:line="219" w:lineRule="auto"/>
        <w:rPr>
          <w:rFonts w:ascii="Microsoft YaHei" w:hAnsi="Microsoft YaHei" w:eastAsia="Microsoft YaHei" w:cs="Microsoft YaHei"/>
        </w:rPr>
      </w:pPr>
      <w:r>
        <w:rPr>
          <w:color w:val="231F20"/>
        </w:rPr>
        <w:t>[8]    </w:t>
      </w:r>
      <w:r>
        <w:rPr>
          <w:rFonts w:ascii="Microsoft YaHei" w:hAnsi="Microsoft YaHei" w:eastAsia="Microsoft YaHei" w:cs="Microsoft YaHei"/>
          <w:color w:val="231F20"/>
        </w:rPr>
        <w:t>陈伟伟 </w:t>
      </w:r>
      <w:r>
        <w:rPr>
          <w:color w:val="231F20"/>
        </w:rPr>
        <w:t>,</w:t>
      </w:r>
      <w:r>
        <w:rPr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高润霖 </w:t>
      </w:r>
      <w:r>
        <w:rPr>
          <w:color w:val="231F20"/>
        </w:rPr>
        <w:t>,</w:t>
      </w:r>
      <w:r>
        <w:rPr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胡胜寿 </w:t>
      </w:r>
      <w:r>
        <w:rPr>
          <w:color w:val="231F20"/>
        </w:rPr>
        <w:t>,</w:t>
      </w:r>
      <w:r>
        <w:rPr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等 </w:t>
      </w:r>
      <w:r>
        <w:rPr>
          <w:color w:val="231F20"/>
          <w:spacing w:val="-1"/>
        </w:rPr>
        <w:t>.</w:t>
      </w:r>
      <w:r>
        <w:rPr>
          <w:rFonts w:ascii="Microsoft YaHei" w:hAnsi="Microsoft YaHei" w:eastAsia="Microsoft YaHei" w:cs="Microsoft YaHei"/>
          <w:color w:val="231F20"/>
          <w:spacing w:val="-1"/>
        </w:rPr>
        <w:t>《中国心血管病报告 </w:t>
      </w:r>
      <w:r>
        <w:rPr>
          <w:color w:val="231F20"/>
          <w:spacing w:val="-1"/>
        </w:rPr>
        <w:t>2016</w:t>
      </w:r>
      <w:r>
        <w:rPr>
          <w:rFonts w:ascii="Microsoft YaHei" w:hAnsi="Microsoft YaHei" w:eastAsia="Microsoft YaHei" w:cs="Microsoft YaHei"/>
          <w:color w:val="231F20"/>
          <w:spacing w:val="-1"/>
        </w:rPr>
        <w:t>》概</w:t>
      </w:r>
    </w:p>
    <w:p>
      <w:pPr>
        <w:spacing w:line="219" w:lineRule="auto"/>
        <w:sectPr>
          <w:type w:val="continuous"/>
          <w:pgSz w:w="11906" w:h="16158"/>
          <w:pgMar w:top="1301" w:right="2" w:bottom="566" w:left="400" w:header="1024" w:footer="2" w:gutter="0"/>
          <w:cols w:equalWidth="0" w:num="2">
            <w:col w:w="5665" w:space="100"/>
            <w:col w:w="5739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220" w:lineRule="exact"/>
        <w:rPr/>
      </w:pPr>
      <w:r/>
    </w:p>
    <w:p>
      <w:pPr>
        <w:spacing w:line="220" w:lineRule="exact"/>
        <w:sectPr>
          <w:headerReference w:type="default" r:id="rId112"/>
          <w:footerReference w:type="default" r:id="rId4"/>
          <w:pgSz w:w="11906" w:h="16158"/>
          <w:pgMar w:top="1301" w:right="400" w:bottom="566" w:left="402" w:header="1024" w:footer="297" w:gutter="0"/>
          <w:cols w:equalWidth="0" w:num="1">
            <w:col w:w="11104" w:space="0"/>
          </w:cols>
        </w:sectPr>
        <w:rPr/>
      </w:pPr>
    </w:p>
    <w:p>
      <w:pPr>
        <w:pStyle w:val="BodyText"/>
        <w:ind w:left="1051" w:right="309" w:firstLine="21"/>
        <w:spacing w:before="42" w:line="279" w:lineRule="auto"/>
        <w:rPr/>
      </w:pPr>
      <w:r>
        <w:rPr>
          <w:rFonts w:ascii="Microsoft YaHei" w:hAnsi="Microsoft YaHei" w:eastAsia="Microsoft YaHei" w:cs="Microsoft YaHei"/>
          <w:color w:val="231F20"/>
          <w:spacing w:val="-5"/>
        </w:rPr>
        <w:t>要</w:t>
      </w:r>
      <w:r>
        <w:rPr>
          <w:rFonts w:ascii="Microsoft YaHei" w:hAnsi="Microsoft YaHei" w:eastAsia="Microsoft YaHei" w:cs="Microsoft YaHei"/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[J].</w:t>
      </w:r>
      <w:r>
        <w:rPr>
          <w:color w:val="231F20"/>
          <w:spacing w:val="9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-5"/>
        </w:rPr>
        <w:t>中  国  循  环</w:t>
      </w:r>
      <w:r>
        <w:rPr>
          <w:rFonts w:ascii="Microsoft YaHei" w:hAnsi="Microsoft YaHei" w:eastAsia="Microsoft YaHei" w:cs="Microsoft YaHei"/>
          <w:color w:val="231F20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杂</w:t>
      </w:r>
      <w:r>
        <w:rPr>
          <w:rFonts w:ascii="Microsoft YaHei" w:hAnsi="Microsoft YaHei" w:eastAsia="Microsoft YaHei" w:cs="Microsoft YaHei"/>
          <w:color w:val="231F20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志</w:t>
      </w:r>
      <w:r>
        <w:rPr>
          <w:rFonts w:ascii="Microsoft YaHei" w:hAnsi="Microsoft YaHei" w:eastAsia="Microsoft YaHei" w:cs="Microsoft YaHei"/>
          <w:color w:val="231F20"/>
          <w:spacing w:val="18"/>
        </w:rPr>
        <w:t xml:space="preserve"> </w:t>
      </w:r>
      <w:r>
        <w:rPr>
          <w:color w:val="231F20"/>
          <w:spacing w:val="-5"/>
        </w:rPr>
        <w:t>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5"/>
        </w:rPr>
        <w:t>2017,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5"/>
        </w:rPr>
        <w:t>32(6):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5"/>
        </w:rPr>
        <w:t>521-530.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5"/>
        </w:rPr>
        <w:t>DOI:10.3969/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j.issn.1000-3614.2017.06.00</w:t>
      </w:r>
      <w:r>
        <w:rPr>
          <w:color w:val="231F20"/>
          <w:spacing w:val="-4"/>
        </w:rPr>
        <w:t>1.</w:t>
      </w:r>
    </w:p>
    <w:p>
      <w:pPr>
        <w:pStyle w:val="BodyText"/>
        <w:ind w:left="1098" w:right="310" w:hanging="354"/>
        <w:spacing w:before="35" w:line="343" w:lineRule="auto"/>
        <w:rPr/>
      </w:pPr>
      <w:r>
        <w:rPr>
          <w:color w:val="231F20"/>
          <w:spacing w:val="-4"/>
        </w:rPr>
        <w:t>[9]    Marik PE, Varon J. Hypertensive crises[J].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Chest,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2007,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4"/>
        </w:rPr>
        <w:t>131(</w:t>
      </w:r>
      <w:r>
        <w:rPr>
          <w:color w:val="231F20"/>
          <w:spacing w:val="-5"/>
        </w:rPr>
        <w:t>6):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5"/>
        </w:rPr>
        <w:t>1949-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1962. DOI:10.1378/chest.06-2490.</w:t>
      </w:r>
    </w:p>
    <w:p>
      <w:pPr>
        <w:pStyle w:val="BodyText"/>
        <w:ind w:left="1156" w:right="307" w:hanging="412"/>
        <w:spacing w:before="40" w:line="347" w:lineRule="auto"/>
        <w:rPr/>
      </w:pPr>
      <w:r>
        <w:rPr>
          <w:color w:val="231F20"/>
        </w:rPr>
        <w:t>[10]    Pinna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G,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Pascale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C,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Fornengo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P,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-1"/>
        </w:rPr>
        <w:t>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Hospital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admissions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hypertensive crisis in the e</w:t>
      </w:r>
      <w:r>
        <w:rPr>
          <w:color w:val="231F20"/>
          <w:spacing w:val="-4"/>
        </w:rPr>
        <w:t>mergency departments: a large multicenter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Italian study[J]. PLoS One, 2014, 9(4): e93542. DOI:10.1371</w:t>
      </w:r>
      <w:r>
        <w:rPr>
          <w:color w:val="231F20"/>
          <w:spacing w:val="-5"/>
        </w:rPr>
        <w:t>/journal.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pone.0093542.</w:t>
      </w:r>
    </w:p>
    <w:p>
      <w:pPr>
        <w:pStyle w:val="BodyText"/>
        <w:ind w:left="1156" w:right="307" w:hanging="412"/>
        <w:spacing w:before="74" w:line="338" w:lineRule="auto"/>
        <w:rPr/>
      </w:pPr>
      <w:r>
        <w:rPr>
          <w:color w:val="231F20"/>
          <w:spacing w:val="8"/>
        </w:rPr>
        <w:t>[11]    </w:t>
      </w:r>
      <w:r>
        <w:rPr>
          <w:color w:val="231F20"/>
        </w:rPr>
        <w:t>Zampaglione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B</w:t>
      </w:r>
      <w:r>
        <w:rPr>
          <w:color w:val="231F20"/>
          <w:spacing w:val="8"/>
        </w:rPr>
        <w:t>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Pascale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C</w:t>
      </w:r>
      <w:r>
        <w:rPr>
          <w:color w:val="231F20"/>
          <w:spacing w:val="8"/>
        </w:rPr>
        <w:t>,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Marchisio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8"/>
        </w:rPr>
        <w:t>,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8"/>
        </w:rPr>
        <w:t>.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Hypertensive </w:t>
      </w:r>
      <w:r>
        <w:rPr>
          <w:color w:val="231F20"/>
          <w:spacing w:val="-4"/>
        </w:rPr>
        <w:t>urgencies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4"/>
        </w:rPr>
        <w:t>and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4"/>
        </w:rPr>
        <w:t>emergencies[J].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Hypertension,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1996,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27(1):</w:t>
      </w:r>
      <w:r>
        <w:rPr>
          <w:color w:val="231F20"/>
          <w:spacing w:val="25"/>
          <w:w w:val="102"/>
        </w:rPr>
        <w:t xml:space="preserve"> </w:t>
      </w:r>
      <w:r>
        <w:rPr>
          <w:color w:val="231F20"/>
          <w:spacing w:val="-4"/>
        </w:rPr>
        <w:t>144-147.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DOI:10.1161/01.hyp.27.1.144.</w:t>
      </w:r>
    </w:p>
    <w:p>
      <w:pPr>
        <w:pStyle w:val="BodyText"/>
        <w:ind w:left="1161" w:right="308" w:hanging="417"/>
        <w:spacing w:before="75" w:line="346" w:lineRule="auto"/>
        <w:rPr/>
      </w:pPr>
      <w:r>
        <w:rPr>
          <w:color w:val="231F20"/>
        </w:rPr>
        <w:t>[12]    Deshmukh A,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Kumar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G,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Kumar N,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Effect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joint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national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committee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6"/>
        </w:rPr>
        <w:t>VII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6"/>
        </w:rPr>
        <w:t>report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6"/>
        </w:rPr>
        <w:t>on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6"/>
        </w:rPr>
        <w:t>hospitalizations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6"/>
        </w:rPr>
        <w:t>for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6"/>
        </w:rPr>
        <w:t>hypertensive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emergencies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2"/>
        </w:rPr>
        <w:t>United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States[J]. Am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J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2"/>
        </w:rPr>
        <w:t>Cardiol,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2011,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108(9):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1277-1282. DOI:10.1016/j.amjcard.2011.06.046.</w:t>
      </w:r>
    </w:p>
    <w:p>
      <w:pPr>
        <w:pStyle w:val="BodyText"/>
        <w:ind w:left="1161" w:right="310" w:hanging="417"/>
        <w:spacing w:before="72" w:line="339" w:lineRule="auto"/>
        <w:rPr/>
      </w:pPr>
      <w:r>
        <w:rPr>
          <w:color w:val="231F20"/>
          <w:spacing w:val="-3"/>
        </w:rPr>
        <w:t>[13]    Martin JF, Higashiama </w:t>
      </w:r>
      <w:r>
        <w:rPr>
          <w:color w:val="231F20"/>
          <w:spacing w:val="-4"/>
        </w:rPr>
        <w:t>E,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Garcia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E,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4"/>
        </w:rPr>
        <w:t>et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al.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Hypertensive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4"/>
        </w:rPr>
        <w:t>crisis proﬁle.</w:t>
      </w:r>
      <w:r>
        <w:rPr>
          <w:color w:val="231F20"/>
        </w:rPr>
        <w:t xml:space="preserve"> </w:t>
      </w:r>
      <w:r>
        <w:rPr>
          <w:color w:val="231F20"/>
        </w:rPr>
        <w:t>Prevalence and clinical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presentation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[J].</w:t>
      </w:r>
      <w:r>
        <w:rPr>
          <w:color w:val="231F20"/>
          <w:spacing w:val="-1"/>
        </w:rPr>
        <w:t xml:space="preserve"> Arq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Bras Cardiol,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1"/>
        </w:rPr>
        <w:t>2004,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83(2):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4"/>
        </w:rPr>
        <w:t>131-136;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4"/>
        </w:rPr>
        <w:t>125-130. DOI:10.1590/s00</w:t>
      </w:r>
      <w:r>
        <w:rPr>
          <w:color w:val="231F20"/>
          <w:spacing w:val="-5"/>
        </w:rPr>
        <w:t>66-782x2004001400004.</w:t>
      </w:r>
    </w:p>
    <w:p>
      <w:pPr>
        <w:pStyle w:val="BodyText"/>
        <w:ind w:left="1158" w:right="310" w:hanging="414"/>
        <w:spacing w:before="73" w:line="357" w:lineRule="auto"/>
        <w:rPr/>
      </w:pPr>
      <w:r>
        <w:rPr>
          <w:color w:val="231F20"/>
          <w:spacing w:val="-3"/>
        </w:rPr>
        <w:t>[14]    JankeAT, Mcnaughton CD, B</w:t>
      </w:r>
      <w:r>
        <w:rPr>
          <w:color w:val="231F20"/>
          <w:spacing w:val="-4"/>
        </w:rPr>
        <w:t>rody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4"/>
        </w:rPr>
        <w:t>AM, et al. Trends in the Incidence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of Hypertensive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3"/>
        </w:rPr>
        <w:t>Emergencies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3"/>
        </w:rPr>
        <w:t>in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US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3"/>
        </w:rPr>
        <w:t>Emergency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3"/>
        </w:rPr>
        <w:t>Depart</w:t>
      </w:r>
      <w:r>
        <w:rPr>
          <w:color w:val="231F20"/>
          <w:spacing w:val="2"/>
        </w:rPr>
        <w:t>ments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From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2006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to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2"/>
        </w:rPr>
        <w:t>2013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2"/>
        </w:rPr>
        <w:t>[J].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J Am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Heart Ass</w:t>
      </w:r>
      <w:r>
        <w:rPr>
          <w:color w:val="231F20"/>
          <w:spacing w:val="-3"/>
        </w:rPr>
        <w:t>oc,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3"/>
        </w:rPr>
        <w:t>2016,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3"/>
        </w:rPr>
        <w:t>5(12):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e004511.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DOI:10.1161/JAHA.116.004511.</w:t>
      </w:r>
    </w:p>
    <w:p>
      <w:pPr>
        <w:pStyle w:val="BodyText"/>
        <w:ind w:left="1160" w:right="309" w:hanging="416"/>
        <w:spacing w:before="42" w:line="346" w:lineRule="auto"/>
        <w:rPr/>
      </w:pPr>
      <w:r>
        <w:rPr>
          <w:color w:val="231F20"/>
          <w:spacing w:val="-4"/>
        </w:rPr>
        <w:t>[15]    Polgreen LA, Suneja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M, Tang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4"/>
        </w:rPr>
        <w:t>F,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4"/>
        </w:rPr>
        <w:t>et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al.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Increasing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-4"/>
        </w:rPr>
        <w:t>trend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4"/>
        </w:rPr>
        <w:t>in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4"/>
        </w:rPr>
        <w:t>admissions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for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3"/>
        </w:rPr>
        <w:t>malignant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3"/>
        </w:rPr>
        <w:t>hypertension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and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hypertensive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3"/>
        </w:rPr>
        <w:t>encephalopathy</w:t>
      </w:r>
      <w:r>
        <w:rPr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United</w:t>
      </w:r>
      <w:r>
        <w:rPr>
          <w:color w:val="231F20"/>
          <w:spacing w:val="26"/>
        </w:rPr>
        <w:t xml:space="preserve"> </w:t>
      </w:r>
      <w:r>
        <w:rPr>
          <w:color w:val="231F20"/>
        </w:rPr>
        <w:t>States[J].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Hypertension,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2015,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65(5):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1002-1007. </w:t>
      </w:r>
      <w:r>
        <w:rPr>
          <w:color w:val="231F20"/>
          <w:spacing w:val="-4"/>
        </w:rPr>
        <w:t>DOI:10.1161/hypertensionaha.</w:t>
      </w:r>
      <w:r>
        <w:rPr>
          <w:color w:val="231F20"/>
          <w:spacing w:val="-5"/>
        </w:rPr>
        <w:t>115.05241.</w:t>
      </w:r>
    </w:p>
    <w:p>
      <w:pPr>
        <w:pStyle w:val="BodyText"/>
        <w:ind w:left="1156" w:right="308" w:hanging="412"/>
        <w:spacing w:before="73" w:line="318" w:lineRule="auto"/>
        <w:rPr/>
      </w:pPr>
      <w:r>
        <w:rPr>
          <w:color w:val="231F20"/>
          <w:spacing w:val="5"/>
        </w:rPr>
        <w:t>[16]    Lip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5"/>
        </w:rPr>
        <w:t>GY,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  <w:spacing w:val="5"/>
        </w:rPr>
        <w:t>Beevers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5"/>
        </w:rPr>
        <w:t>M</w:t>
      </w:r>
      <w:r>
        <w:rPr>
          <w:color w:val="231F20"/>
          <w:spacing w:val="4"/>
        </w:rPr>
        <w:t>,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4"/>
        </w:rPr>
        <w:t>Beevers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4"/>
        </w:rPr>
        <w:t>G.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4"/>
        </w:rPr>
        <w:t>failure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4"/>
        </w:rPr>
        <w:t>of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4"/>
        </w:rPr>
        <w:t>malignant</w:t>
      </w:r>
      <w:r>
        <w:rPr>
          <w:color w:val="231F20"/>
        </w:rPr>
        <w:t xml:space="preserve"> </w:t>
      </w:r>
      <w:r>
        <w:rPr>
          <w:color w:val="231F20"/>
        </w:rPr>
        <w:t>hypertension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decline</w:t>
      </w:r>
      <w:r>
        <w:rPr>
          <w:color w:val="231F20"/>
          <w:spacing w:val="1"/>
        </w:rPr>
        <w:t>: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survey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24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years</w:t>
      </w:r>
      <w:r>
        <w:rPr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’</w:t>
      </w:r>
      <w:r>
        <w:rPr>
          <w:color w:val="231F20"/>
        </w:rPr>
        <w:t>experience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</w:rPr>
        <w:t>a </w:t>
      </w:r>
      <w:r>
        <w:rPr>
          <w:color w:val="231F20"/>
          <w:spacing w:val="-2"/>
        </w:rPr>
        <w:t>multiracial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population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2"/>
        </w:rPr>
        <w:t>England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[J].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2"/>
        </w:rPr>
        <w:t>J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Hypertens,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2"/>
        </w:rPr>
        <w:t>1994,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2"/>
        </w:rPr>
        <w:t>12(</w:t>
      </w:r>
      <w:r>
        <w:rPr>
          <w:color w:val="231F20"/>
          <w:spacing w:val="-3"/>
        </w:rPr>
        <w:t>11):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1297-1305. DOI:10.1</w:t>
      </w:r>
      <w:r>
        <w:rPr>
          <w:color w:val="231F20"/>
          <w:spacing w:val="-4"/>
        </w:rPr>
        <w:t>097/00004872-199411000-00013.</w:t>
      </w:r>
    </w:p>
    <w:p>
      <w:pPr>
        <w:pStyle w:val="BodyText"/>
        <w:ind w:left="1135" w:right="308" w:hanging="391"/>
        <w:spacing w:before="43" w:line="351" w:lineRule="auto"/>
        <w:rPr/>
      </w:pPr>
      <w:r>
        <w:rPr>
          <w:color w:val="231F20"/>
          <w:spacing w:val="-3"/>
        </w:rPr>
        <w:t>[17]    Katz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3"/>
        </w:rPr>
        <w:t>JN,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3"/>
        </w:rPr>
        <w:t>Gore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3"/>
        </w:rPr>
        <w:t>JM, Amin A,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et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al.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Practice patterns,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outcomes,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end-organ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2"/>
        </w:rPr>
        <w:t>dysfunction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for patients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acute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2"/>
        </w:rPr>
        <w:t>severe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hypertension: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Studying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Treatment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  <w:spacing w:val="4"/>
        </w:rPr>
        <w:t>of Acute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4"/>
        </w:rPr>
        <w:t>hype</w:t>
      </w:r>
      <w:r>
        <w:rPr>
          <w:color w:val="231F20"/>
          <w:spacing w:val="3"/>
        </w:rPr>
        <w:t>rTension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3"/>
        </w:rPr>
        <w:t>(STAT)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Registry[J]. Am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2"/>
        </w:rPr>
        <w:t>Heart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J,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2009,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-2"/>
        </w:rPr>
        <w:t>158(4):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599-606.e1.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DOI:10.1016/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j.ahj.2009.07.020.</w:t>
      </w:r>
    </w:p>
    <w:p>
      <w:pPr>
        <w:pStyle w:val="BodyText"/>
        <w:ind w:left="1158" w:right="310" w:hanging="414"/>
        <w:spacing w:before="75" w:line="346" w:lineRule="auto"/>
        <w:rPr/>
      </w:pPr>
      <w:r>
        <w:rPr>
          <w:color w:val="231F20"/>
          <w:spacing w:val="-2"/>
        </w:rPr>
        <w:t>[18]    Chobanian AV.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2"/>
        </w:rPr>
        <w:t>seventh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2"/>
        </w:rPr>
        <w:t>report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of th</w:t>
      </w:r>
      <w:r>
        <w:rPr>
          <w:color w:val="231F20"/>
          <w:spacing w:val="-3"/>
        </w:rPr>
        <w:t>e joint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3"/>
        </w:rPr>
        <w:t>national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3"/>
        </w:rPr>
        <w:t>committee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on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"/>
        </w:rPr>
        <w:t>prevention,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detection,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evaluation,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treatment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of hi</w:t>
      </w:r>
      <w:r>
        <w:rPr>
          <w:color w:val="231F20"/>
          <w:spacing w:val="-2"/>
        </w:rPr>
        <w:t>gh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blood</w:t>
      </w:r>
      <w:r>
        <w:rPr>
          <w:color w:val="231F20"/>
        </w:rPr>
        <w:t xml:space="preserve"> </w:t>
      </w:r>
      <w:r>
        <w:rPr>
          <w:color w:val="231F20"/>
        </w:rPr>
        <w:t>PressureThe</w:t>
      </w:r>
      <w:r>
        <w:rPr>
          <w:color w:val="231F20"/>
          <w:spacing w:val="35"/>
        </w:rPr>
        <w:t xml:space="preserve"> </w:t>
      </w:r>
      <w:r>
        <w:rPr>
          <w:color w:val="231F20"/>
        </w:rPr>
        <w:t>JNC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8"/>
        </w:rPr>
        <w:t>7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report</w:t>
      </w:r>
      <w:r>
        <w:rPr>
          <w:color w:val="231F20"/>
          <w:spacing w:val="8"/>
        </w:rPr>
        <w:t>[J]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8"/>
        </w:rPr>
        <w:t>.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JAMA</w:t>
      </w:r>
      <w:r>
        <w:rPr>
          <w:color w:val="231F20"/>
          <w:spacing w:val="8"/>
        </w:rPr>
        <w:t>,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8"/>
        </w:rPr>
        <w:t>2003,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8"/>
        </w:rPr>
        <w:t>289(19):</w:t>
      </w:r>
      <w:r>
        <w:rPr>
          <w:color w:val="231F20"/>
          <w:spacing w:val="28"/>
          <w:w w:val="102"/>
        </w:rPr>
        <w:t xml:space="preserve"> </w:t>
      </w:r>
      <w:r>
        <w:rPr>
          <w:color w:val="231F20"/>
          <w:spacing w:val="8"/>
        </w:rPr>
        <w:t>2560.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DOI:10.1001/jama.289.19.25</w:t>
      </w:r>
      <w:r>
        <w:rPr>
          <w:color w:val="231F20"/>
          <w:spacing w:val="-4"/>
        </w:rPr>
        <w:t>60.</w:t>
      </w:r>
    </w:p>
    <w:p>
      <w:pPr>
        <w:pStyle w:val="BodyText"/>
        <w:ind w:left="1157" w:right="293" w:hanging="404"/>
        <w:spacing w:before="75" w:line="338" w:lineRule="auto"/>
        <w:rPr/>
      </w:pPr>
      <w:r>
        <w:rPr>
          <w:color w:val="231F20"/>
          <w:spacing w:val="1"/>
        </w:rPr>
        <w:t>[19]    </w:t>
      </w:r>
      <w:r>
        <w:rPr>
          <w:color w:val="231F20"/>
        </w:rPr>
        <w:t>van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den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Born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BJH</w:t>
      </w:r>
      <w:r>
        <w:rPr>
          <w:color w:val="231F20"/>
          <w:spacing w:val="1"/>
        </w:rPr>
        <w:t>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Koopmans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RP</w:t>
      </w:r>
      <w:r>
        <w:rPr>
          <w:color w:val="231F20"/>
          <w:spacing w:val="1"/>
        </w:rPr>
        <w:t>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Groeneveld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JO</w:t>
      </w:r>
      <w:r>
        <w:rPr>
          <w:color w:val="231F20"/>
          <w:spacing w:val="1"/>
        </w:rPr>
        <w:t>,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"/>
        </w:rPr>
        <w:t>.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Ethnic </w:t>
      </w:r>
      <w:r>
        <w:rPr>
          <w:color w:val="231F20"/>
          <w:spacing w:val="2"/>
        </w:rPr>
        <w:t>disparities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in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2"/>
        </w:rPr>
        <w:t>incidence,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2"/>
        </w:rPr>
        <w:t>presentation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compli</w:t>
      </w:r>
      <w:r>
        <w:rPr>
          <w:color w:val="231F20"/>
          <w:spacing w:val="1"/>
        </w:rPr>
        <w:t>cations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malignant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2"/>
        </w:rPr>
        <w:t>hypertension[J].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2"/>
        </w:rPr>
        <w:t>J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Hypertens,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2006,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2"/>
        </w:rPr>
        <w:t>24(11):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2"/>
        </w:rPr>
        <w:t>2299-</w:t>
      </w:r>
      <w:r>
        <w:rPr>
          <w:color w:val="231F20"/>
          <w:spacing w:val="-3"/>
        </w:rPr>
        <w:t>2304.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17"/>
        <w:spacing w:before="40" w:line="210" w:lineRule="exact"/>
        <w:rPr/>
      </w:pPr>
      <w:r>
        <w:rPr>
          <w:color w:val="231F20"/>
          <w:spacing w:val="-4"/>
          <w:position w:val="2"/>
        </w:rPr>
        <w:t>DOI:10.1097/01.hjh.0000249710.21146.38.</w:t>
      </w:r>
    </w:p>
    <w:p>
      <w:pPr>
        <w:pStyle w:val="BodyText"/>
        <w:ind w:left="410" w:right="733" w:hanging="411"/>
        <w:spacing w:before="74" w:line="352" w:lineRule="auto"/>
        <w:rPr/>
      </w:pPr>
      <w:r>
        <w:rPr>
          <w:color w:val="231F20"/>
          <w:spacing w:val="13"/>
        </w:rPr>
        <w:t>[20]    </w:t>
      </w:r>
      <w:r>
        <w:rPr>
          <w:color w:val="231F20"/>
        </w:rPr>
        <w:t>Opie</w:t>
      </w:r>
      <w:r>
        <w:rPr>
          <w:color w:val="231F20"/>
          <w:spacing w:val="37"/>
          <w:w w:val="101"/>
        </w:rPr>
        <w:t xml:space="preserve"> </w:t>
      </w:r>
      <w:r>
        <w:rPr>
          <w:color w:val="231F20"/>
        </w:rPr>
        <w:t>LH</w:t>
      </w:r>
      <w:r>
        <w:rPr>
          <w:color w:val="231F20"/>
          <w:spacing w:val="13"/>
        </w:rPr>
        <w:t>,  </w:t>
      </w:r>
      <w:r>
        <w:rPr>
          <w:color w:val="231F20"/>
        </w:rPr>
        <w:t>Seedat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YK</w:t>
      </w:r>
      <w:r>
        <w:rPr>
          <w:color w:val="231F20"/>
          <w:spacing w:val="13"/>
        </w:rPr>
        <w:t>.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</w:rPr>
        <w:t>Hypertension</w:t>
      </w:r>
      <w:r>
        <w:rPr>
          <w:color w:val="231F20"/>
          <w:spacing w:val="29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</w:rPr>
        <w:t>sub</w:t>
      </w:r>
      <w:r>
        <w:rPr>
          <w:color w:val="231F20"/>
          <w:spacing w:val="13"/>
        </w:rPr>
        <w:t>-</w:t>
      </w:r>
      <w:r>
        <w:rPr>
          <w:color w:val="231F20"/>
        </w:rPr>
        <w:t>Saharan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African </w:t>
      </w:r>
      <w:r>
        <w:rPr>
          <w:color w:val="231F20"/>
          <w:spacing w:val="-4"/>
        </w:rPr>
        <w:t>populations [J]. Circul</w:t>
      </w:r>
      <w:r>
        <w:rPr>
          <w:color w:val="231F20"/>
          <w:spacing w:val="-5"/>
        </w:rPr>
        <w:t>ation, 2005,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5"/>
        </w:rPr>
        <w:t>112(23): 3562-3568. DOI:10.1161/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CIRCULATIONAHA.105.539569.</w:t>
      </w:r>
    </w:p>
    <w:p>
      <w:pPr>
        <w:pStyle w:val="BodyText"/>
        <w:ind w:left="412" w:right="733" w:hanging="413"/>
        <w:spacing w:before="42" w:line="338" w:lineRule="auto"/>
        <w:rPr/>
      </w:pPr>
      <w:r>
        <w:rPr>
          <w:color w:val="231F20"/>
          <w:spacing w:val="-2"/>
        </w:rPr>
        <w:t>[21]    Möhring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2"/>
        </w:rPr>
        <w:t>J,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Petri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M,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2"/>
        </w:rPr>
        <w:t>Szokol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M,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2"/>
        </w:rPr>
        <w:t>a</w:t>
      </w:r>
      <w:r>
        <w:rPr>
          <w:color w:val="231F20"/>
          <w:spacing w:val="-3"/>
        </w:rPr>
        <w:t>l.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Effects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of saline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drinking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malignant course of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renal hypertension in rats[J].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4"/>
        </w:rPr>
        <w:t>Am J Physiol,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4"/>
        </w:rPr>
        <w:t>1976,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230(3): 849-857. DOI:10.1152/ajplegacy.1976.230.3.</w:t>
      </w:r>
      <w:r>
        <w:rPr>
          <w:color w:val="231F20"/>
          <w:spacing w:val="-5"/>
        </w:rPr>
        <w:t>849.</w:t>
      </w:r>
    </w:p>
    <w:p>
      <w:pPr>
        <w:pStyle w:val="BodyText"/>
        <w:ind w:left="414" w:right="734" w:hanging="414"/>
        <w:spacing w:before="72" w:line="347" w:lineRule="auto"/>
        <w:rPr/>
      </w:pPr>
      <w:r>
        <w:rPr>
          <w:color w:val="231F20"/>
          <w:spacing w:val="13"/>
        </w:rPr>
        <w:t>[22]    Mö</w:t>
      </w:r>
      <w:r>
        <w:rPr>
          <w:color w:val="231F20"/>
        </w:rPr>
        <w:t>hring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</w:rPr>
        <w:t>J</w:t>
      </w:r>
      <w:r>
        <w:rPr>
          <w:color w:val="231F20"/>
          <w:spacing w:val="13"/>
        </w:rPr>
        <w:t>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13"/>
        </w:rPr>
        <w:t>Mö</w:t>
      </w:r>
      <w:r>
        <w:rPr>
          <w:color w:val="231F20"/>
        </w:rPr>
        <w:t>hring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</w:rPr>
        <w:t>B</w:t>
      </w:r>
      <w:r>
        <w:rPr>
          <w:color w:val="231F20"/>
          <w:spacing w:val="13"/>
        </w:rPr>
        <w:t>,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Petri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</w:rPr>
        <w:t>M</w:t>
      </w:r>
      <w:r>
        <w:rPr>
          <w:color w:val="231F20"/>
          <w:spacing w:val="13"/>
        </w:rPr>
        <w:t>,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</w:rPr>
        <w:t>et</w:t>
      </w:r>
      <w:r>
        <w:rPr>
          <w:color w:val="231F20"/>
          <w:spacing w:val="32"/>
          <w:w w:val="102"/>
        </w:rPr>
        <w:t xml:space="preserve"> </w:t>
      </w:r>
      <w:r>
        <w:rPr>
          <w:color w:val="231F20"/>
        </w:rPr>
        <w:t>al</w:t>
      </w:r>
      <w:r>
        <w:rPr>
          <w:color w:val="231F20"/>
          <w:spacing w:val="13"/>
        </w:rPr>
        <w:t>.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</w:rPr>
        <w:t>Plasma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vasopressin </w:t>
      </w:r>
      <w:r>
        <w:rPr>
          <w:color w:val="231F20"/>
          <w:spacing w:val="-4"/>
        </w:rPr>
        <w:t>concentrations and effects of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4"/>
        </w:rPr>
        <w:t>vasopressin antiserum on blood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pressure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in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2"/>
        </w:rPr>
        <w:t>rats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2"/>
        </w:rPr>
        <w:t>with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malignant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2"/>
        </w:rPr>
        <w:t>two-kidney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2"/>
        </w:rPr>
        <w:t>Goldblatt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2"/>
        </w:rPr>
        <w:t>hypertension[J].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2"/>
        </w:rPr>
        <w:t>Circ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Res,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4"/>
        </w:rPr>
        <w:t>1978, 42(1):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17-22. DOI</w:t>
      </w:r>
      <w:r>
        <w:rPr>
          <w:color w:val="231F20"/>
          <w:spacing w:val="-5"/>
        </w:rPr>
        <w:t>:10.1161/01.res.42.1.17.</w:t>
      </w:r>
    </w:p>
    <w:p>
      <w:pPr>
        <w:pStyle w:val="BodyText"/>
        <w:ind w:left="415" w:right="732" w:hanging="416"/>
        <w:spacing w:before="75" w:line="346" w:lineRule="auto"/>
        <w:rPr/>
      </w:pPr>
      <w:r>
        <w:rPr>
          <w:color w:val="231F20"/>
          <w:spacing w:val="-3"/>
        </w:rPr>
        <w:t>[23]    Cowley AW Jr,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Lohmeier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TE.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Changes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renal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vas</w:t>
      </w:r>
      <w:r>
        <w:rPr>
          <w:color w:val="231F20"/>
          <w:spacing w:val="-4"/>
        </w:rPr>
        <w:t>cular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4"/>
        </w:rPr>
        <w:t>sensitivity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and arterial pressure associated with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s</w:t>
      </w:r>
      <w:r>
        <w:rPr>
          <w:color w:val="231F20"/>
          <w:spacing w:val="-4"/>
        </w:rPr>
        <w:t>odium intake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during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4"/>
        </w:rPr>
        <w:t>long-term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intrarenal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3"/>
        </w:rPr>
        <w:t>norepinephrine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infusion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3"/>
        </w:rPr>
        <w:t>dogs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3"/>
        </w:rPr>
        <w:t>[J].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3"/>
        </w:rPr>
        <w:t>H</w:t>
      </w:r>
      <w:r>
        <w:rPr>
          <w:color w:val="231F20"/>
          <w:spacing w:val="-4"/>
        </w:rPr>
        <w:t>ypertension,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4"/>
        </w:rPr>
        <w:t>1979,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1(6): 549-558. DOI</w:t>
      </w:r>
      <w:r>
        <w:rPr>
          <w:color w:val="231F20"/>
          <w:spacing w:val="10"/>
          <w:w w:val="101"/>
        </w:rPr>
        <w:t xml:space="preserve"> </w:t>
      </w:r>
      <w:r>
        <w:rPr>
          <w:color w:val="231F20"/>
          <w:spacing w:val="-4"/>
        </w:rPr>
        <w:t>10.1161/01.h</w:t>
      </w:r>
      <w:r>
        <w:rPr>
          <w:color w:val="231F20"/>
          <w:spacing w:val="-5"/>
        </w:rPr>
        <w:t>yp.1.6.549.</w:t>
      </w:r>
    </w:p>
    <w:p>
      <w:pPr>
        <w:pStyle w:val="BodyText"/>
        <w:ind w:left="415" w:right="732" w:hanging="416"/>
        <w:spacing w:before="72" w:line="339" w:lineRule="auto"/>
        <w:rPr/>
      </w:pPr>
      <w:r>
        <w:rPr>
          <w:color w:val="231F20"/>
          <w:spacing w:val="-3"/>
        </w:rPr>
        <w:t>[24]    Lohmeier TE, Cowley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4"/>
        </w:rPr>
        <w:t>AW. Hypertensive and renal effects of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4"/>
        </w:rPr>
        <w:t>chronic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low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level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intrarenal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angiotensin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infusion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dog</w:t>
      </w:r>
      <w:r>
        <w:rPr>
          <w:color w:val="231F20"/>
          <w:spacing w:val="-2"/>
        </w:rPr>
        <w:t>[J].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Circ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  <w:spacing w:val="-2"/>
        </w:rPr>
        <w:t>Res,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1979, 44(2):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4"/>
        </w:rPr>
        <w:t>154-160. DOI:10.1161/01.r</w:t>
      </w:r>
      <w:r>
        <w:rPr>
          <w:color w:val="231F20"/>
          <w:spacing w:val="-5"/>
        </w:rPr>
        <w:t>es.44.2.154.</w:t>
      </w:r>
    </w:p>
    <w:p>
      <w:pPr>
        <w:pStyle w:val="BodyText"/>
        <w:ind w:left="414" w:right="717" w:hanging="414"/>
        <w:spacing w:before="74" w:line="357" w:lineRule="auto"/>
        <w:rPr/>
      </w:pPr>
      <w:r>
        <w:rPr>
          <w:color w:val="231F20"/>
          <w:spacing w:val="-1"/>
        </w:rPr>
        <w:t>[25]    Shimamoto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1"/>
        </w:rPr>
        <w:t>K, Ando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K,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Fujita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1"/>
        </w:rPr>
        <w:t>T,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1"/>
        </w:rPr>
        <w:t>et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al.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Japanese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Society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Hypertension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Guidelines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3"/>
        </w:rPr>
        <w:t>for the M</w:t>
      </w:r>
      <w:r>
        <w:rPr>
          <w:color w:val="231F20"/>
          <w:spacing w:val="-4"/>
        </w:rPr>
        <w:t>anagement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4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4"/>
        </w:rPr>
        <w:t>Hypertension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(JSH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2014)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1"/>
        </w:rPr>
        <w:t>[J].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Hypertens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Res</w:t>
      </w:r>
      <w:r>
        <w:rPr>
          <w:color w:val="231F20"/>
          <w:spacing w:val="1"/>
        </w:rPr>
        <w:t>,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1"/>
        </w:rPr>
        <w:t>2014,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37(4):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1"/>
        </w:rPr>
        <w:t>253-3</w:t>
      </w:r>
      <w:r>
        <w:rPr>
          <w:color w:val="231F20"/>
        </w:rPr>
        <w:t>90.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DOI:10.1038/ </w:t>
      </w:r>
      <w:r>
        <w:rPr>
          <w:color w:val="231F20"/>
          <w:spacing w:val="-3"/>
        </w:rPr>
        <w:t>hr.2014.20.</w:t>
      </w:r>
    </w:p>
    <w:p>
      <w:pPr>
        <w:pStyle w:val="BodyText"/>
        <w:ind w:left="412" w:right="734" w:hanging="412"/>
        <w:spacing w:before="42" w:line="338" w:lineRule="auto"/>
        <w:rPr/>
      </w:pPr>
      <w:r>
        <w:rPr>
          <w:color w:val="231F20"/>
          <w:spacing w:val="6"/>
        </w:rPr>
        <w:t>[26]    Elliott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6"/>
        </w:rPr>
        <w:t>WJ.</w:t>
      </w:r>
      <w:r>
        <w:rPr>
          <w:color w:val="231F20"/>
          <w:spacing w:val="35"/>
          <w:w w:val="102"/>
        </w:rPr>
        <w:t xml:space="preserve"> </w:t>
      </w:r>
      <w:r>
        <w:rPr>
          <w:color w:val="231F20"/>
          <w:spacing w:val="6"/>
        </w:rPr>
        <w:t>Clinical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features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management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5"/>
        </w:rPr>
        <w:t>of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5"/>
        </w:rPr>
        <w:t>selected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hypertensive emergencies[J]. J Clin Hypertens, 2004, 6(10): 587-592.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DOI:10.1111/j.1524-6175.2</w:t>
      </w:r>
      <w:r>
        <w:rPr>
          <w:color w:val="231F20"/>
          <w:spacing w:val="-5"/>
        </w:rPr>
        <w:t>004.03608.x.</w:t>
      </w:r>
    </w:p>
    <w:p>
      <w:pPr>
        <w:pStyle w:val="BodyText"/>
        <w:ind w:left="415" w:right="734" w:hanging="407"/>
        <w:spacing w:before="74" w:line="258" w:lineRule="auto"/>
        <w:rPr/>
      </w:pPr>
      <w:r>
        <w:rPr>
          <w:color w:val="231F20"/>
          <w:spacing w:val="-4"/>
        </w:rPr>
        <w:t>[27]    </w:t>
      </w:r>
      <w:r>
        <w:rPr>
          <w:rFonts w:ascii="Microsoft YaHei" w:hAnsi="Microsoft YaHei" w:eastAsia="Microsoft YaHei" w:cs="Microsoft YaHei"/>
          <w:color w:val="231F20"/>
          <w:spacing w:val="-4"/>
        </w:rPr>
        <w:t>中华医学会心血管病学分会中中 </w:t>
      </w:r>
      <w:r>
        <w:rPr>
          <w:color w:val="231F20"/>
          <w:spacing w:val="-4"/>
        </w:rPr>
        <w:t>,  </w:t>
      </w:r>
      <w:r>
        <w:rPr>
          <w:rFonts w:ascii="Microsoft YaHei" w:hAnsi="Microsoft YaHei" w:eastAsia="Microsoft YaHei" w:cs="Microsoft YaHei"/>
          <w:color w:val="231F20"/>
          <w:spacing w:val="-4"/>
        </w:rPr>
        <w:t>中国医师协会</w:t>
      </w:r>
      <w:r>
        <w:rPr>
          <w:rFonts w:ascii="Microsoft YaHei" w:hAnsi="Microsoft YaHei" w:eastAsia="Microsoft YaHei" w:cs="Microsoft YaHei"/>
          <w:color w:val="231F20"/>
          <w:spacing w:val="-5"/>
        </w:rPr>
        <w:t>高血压专业委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员会中国医疗保健国际交流促进会高血压分会中国老年 </w:t>
      </w:r>
      <w:r>
        <w:rPr>
          <w:color w:val="231F20"/>
          <w:spacing w:val="1"/>
        </w:rPr>
        <w:t>,</w:t>
      </w:r>
      <w:r>
        <w:rPr>
          <w:color w:val="231F20"/>
          <w:spacing w:val="3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"/>
        </w:rPr>
        <w:t>医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学学会高血压分会 </w:t>
      </w:r>
      <w:r>
        <w:rPr>
          <w:color w:val="231F20"/>
          <w:spacing w:val="-5"/>
        </w:rPr>
        <w:t>.</w:t>
      </w:r>
      <w:r>
        <w:rPr>
          <w:color w:val="231F20"/>
          <w:spacing w:val="38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中国高血压防治指南 </w:t>
      </w:r>
      <w:r>
        <w:rPr>
          <w:color w:val="231F20"/>
          <w:spacing w:val="-5"/>
        </w:rPr>
        <w:t>(2018</w:t>
      </w:r>
      <w:r>
        <w:rPr>
          <w:color w:val="231F20"/>
          <w:spacing w:val="10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5"/>
        </w:rPr>
        <w:t>年修订版 </w:t>
      </w:r>
      <w:r>
        <w:rPr>
          <w:color w:val="231F20"/>
          <w:spacing w:val="-5"/>
        </w:rPr>
        <w:t>)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5"/>
        </w:rPr>
        <w:t>[J].</w:t>
      </w:r>
      <w:r>
        <w:rPr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3"/>
        </w:rPr>
        <w:t>中国心血管杂志 </w:t>
      </w:r>
      <w:r>
        <w:rPr>
          <w:color w:val="231F20"/>
          <w:spacing w:val="-3"/>
        </w:rPr>
        <w:t>, 2019, 24(1): 24-56. DOI:10.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3969</w:t>
      </w:r>
      <w:r>
        <w:rPr>
          <w:color w:val="231F20"/>
          <w:spacing w:val="-4"/>
        </w:rPr>
        <w:t>/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4"/>
        </w:rPr>
        <w:t>j.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4"/>
        </w:rPr>
        <w:t>issn.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4"/>
        </w:rPr>
        <w:t>1007-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5410. 2019. 01. 002.</w:t>
      </w:r>
    </w:p>
    <w:p>
      <w:pPr>
        <w:pStyle w:val="BodyText"/>
        <w:ind w:left="391" w:right="733" w:hanging="383"/>
        <w:spacing w:before="41" w:line="255" w:lineRule="auto"/>
        <w:rPr/>
      </w:pPr>
      <w:r>
        <w:rPr>
          <w:color w:val="231F20"/>
          <w:spacing w:val="4"/>
        </w:rPr>
        <w:t>[28]    </w:t>
      </w:r>
      <w:r>
        <w:rPr>
          <w:rFonts w:ascii="Microsoft YaHei" w:hAnsi="Microsoft YaHei" w:eastAsia="Microsoft YaHei" w:cs="Microsoft YaHei"/>
          <w:color w:val="231F20"/>
          <w:spacing w:val="4"/>
        </w:rPr>
        <w:t>杨</w:t>
      </w:r>
      <w:r>
        <w:rPr>
          <w:rFonts w:ascii="Microsoft YaHei" w:hAnsi="Microsoft YaHei" w:eastAsia="Microsoft YaHei" w:cs="Microsoft YaHei"/>
          <w:color w:val="231F20"/>
          <w:spacing w:val="-1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艳敏 </w:t>
      </w:r>
      <w:r>
        <w:rPr>
          <w:color w:val="231F20"/>
          <w:spacing w:val="4"/>
        </w:rPr>
        <w:t>,</w:t>
      </w:r>
      <w:r>
        <w:rPr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方全 </w:t>
      </w:r>
      <w:r>
        <w:rPr>
          <w:color w:val="231F20"/>
          <w:spacing w:val="4"/>
        </w:rPr>
        <w:t>,</w:t>
      </w:r>
      <w:r>
        <w:rPr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4"/>
        </w:rPr>
        <w:t>王斌 </w:t>
      </w:r>
      <w:r>
        <w:rPr>
          <w:color w:val="231F20"/>
          <w:spacing w:val="4"/>
        </w:rPr>
        <w:t>.</w:t>
      </w:r>
      <w:r>
        <w:rPr>
          <w:color w:val="231F20"/>
          <w:spacing w:val="25"/>
          <w:w w:val="102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3"/>
        </w:rPr>
        <w:t>硝酸酯类药物静脉应用建议 </w:t>
      </w:r>
      <w:r>
        <w:rPr>
          <w:color w:val="231F20"/>
          <w:spacing w:val="3"/>
        </w:rPr>
        <w:t>[J].</w:t>
      </w:r>
      <w:r>
        <w:rPr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中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华   内</w:t>
      </w:r>
      <w:r>
        <w:rPr>
          <w:rFonts w:ascii="Microsoft YaHei" w:hAnsi="Microsoft YaHei" w:eastAsia="Microsoft YaHei" w:cs="Microsoft YaHei"/>
          <w:color w:val="231F20"/>
          <w:spacing w:val="8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2"/>
        </w:rPr>
        <w:t>科</w:t>
      </w:r>
      <w:r>
        <w:rPr>
          <w:rFonts w:ascii="Microsoft YaHei" w:hAnsi="Microsoft YaHei" w:eastAsia="Microsoft YaHei" w:cs="Microsoft YaHei"/>
          <w:color w:val="231F20"/>
          <w:spacing w:val="4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2"/>
        </w:rPr>
        <w:t>杂</w:t>
      </w:r>
      <w:r>
        <w:rPr>
          <w:rFonts w:ascii="Microsoft YaHei" w:hAnsi="Microsoft YaHei" w:eastAsia="Microsoft YaHei" w:cs="Microsoft YaHei"/>
          <w:color w:val="231F20"/>
          <w:spacing w:val="5"/>
        </w:rPr>
        <w:t xml:space="preserve">   </w:t>
      </w:r>
      <w:r>
        <w:rPr>
          <w:rFonts w:ascii="Microsoft YaHei" w:hAnsi="Microsoft YaHei" w:eastAsia="Microsoft YaHei" w:cs="Microsoft YaHei"/>
          <w:color w:val="231F20"/>
          <w:spacing w:val="2"/>
        </w:rPr>
        <w:t>志</w:t>
      </w:r>
      <w:r>
        <w:rPr>
          <w:rFonts w:ascii="Microsoft YaHei" w:hAnsi="Microsoft YaHei" w:eastAsia="Microsoft YaHei" w:cs="Microsoft YaHei"/>
          <w:color w:val="231F20"/>
          <w:spacing w:val="32"/>
          <w:w w:val="101"/>
        </w:rPr>
        <w:t xml:space="preserve"> </w:t>
      </w:r>
      <w:r>
        <w:rPr>
          <w:color w:val="231F20"/>
          <w:spacing w:val="2"/>
        </w:rPr>
        <w:t>, 2014,</w:t>
      </w:r>
      <w:r>
        <w:rPr>
          <w:color w:val="231F20"/>
          <w:spacing w:val="27"/>
          <w:w w:val="102"/>
        </w:rPr>
        <w:t xml:space="preserve"> </w:t>
      </w:r>
      <w:r>
        <w:rPr>
          <w:color w:val="231F20"/>
          <w:spacing w:val="2"/>
        </w:rPr>
        <w:t>53(1):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2"/>
        </w:rPr>
        <w:t>74-78.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DOI</w:t>
      </w:r>
      <w:r>
        <w:rPr>
          <w:color w:val="231F20"/>
          <w:spacing w:val="2"/>
        </w:rPr>
        <w:t>:10.3760/</w:t>
      </w:r>
      <w:r>
        <w:rPr>
          <w:color w:val="231F20"/>
        </w:rPr>
        <w:t>cma</w:t>
      </w:r>
      <w:r>
        <w:rPr>
          <w:color w:val="231F20"/>
          <w:spacing w:val="2"/>
        </w:rPr>
        <w:t>.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j.</w:t>
      </w:r>
      <w:r>
        <w:rPr>
          <w:color w:val="231F20"/>
        </w:rPr>
        <w:t>issn</w:t>
      </w:r>
      <w:r>
        <w:rPr>
          <w:color w:val="231F20"/>
          <w:spacing w:val="1"/>
        </w:rPr>
        <w:t>.0578-1426.2014.0</w:t>
      </w:r>
      <w:r>
        <w:rPr>
          <w:color w:val="231F20"/>
        </w:rPr>
        <w:t>1.020.</w:t>
      </w:r>
    </w:p>
    <w:p>
      <w:pPr>
        <w:pStyle w:val="BodyText"/>
        <w:ind w:left="413" w:right="725" w:hanging="413"/>
        <w:spacing w:before="72" w:line="360" w:lineRule="auto"/>
        <w:rPr/>
      </w:pPr>
      <w:r>
        <w:rPr>
          <w:color w:val="231F20"/>
          <w:spacing w:val="-2"/>
        </w:rPr>
        <w:t>[29]    Hemphill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2"/>
        </w:rPr>
        <w:t>JC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2"/>
        </w:rPr>
        <w:t>3rd,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2"/>
        </w:rPr>
        <w:t>Greenberg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2"/>
        </w:rPr>
        <w:t>SM, Anderson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2"/>
        </w:rPr>
        <w:t>CS,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2"/>
        </w:rPr>
        <w:t>et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2"/>
        </w:rPr>
        <w:t>al.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2"/>
        </w:rPr>
        <w:t>Guidelines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0"/>
          <w:w w:val="10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Management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of Spont</w:t>
      </w:r>
      <w:r>
        <w:rPr>
          <w:color w:val="231F20"/>
          <w:spacing w:val="-2"/>
        </w:rPr>
        <w:t>aneous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2"/>
        </w:rPr>
        <w:t>Intracerebral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2"/>
        </w:rPr>
        <w:t>Hemorrhage: A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Guideline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Healthcare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Professionals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From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1"/>
        </w:rPr>
        <w:t>the America</w:t>
      </w:r>
      <w:r>
        <w:rPr>
          <w:color w:val="231F20"/>
          <w:spacing w:val="-2"/>
        </w:rPr>
        <w:t>n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2"/>
        </w:rPr>
        <w:t>Heart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Association/American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2"/>
        </w:rPr>
        <w:t>Stroke </w:t>
      </w:r>
      <w:r>
        <w:rPr>
          <w:color w:val="231F20"/>
          <w:spacing w:val="-3"/>
        </w:rPr>
        <w:t>Association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3"/>
        </w:rPr>
        <w:t>[J].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3"/>
        </w:rPr>
        <w:t>Stroke,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3"/>
        </w:rPr>
        <w:t>2015,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3"/>
        </w:rPr>
        <w:t>46(7):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2032-2060. DOI:10.1161/STR.0000000000000069.</w:t>
      </w:r>
    </w:p>
    <w:p>
      <w:pPr>
        <w:pStyle w:val="BodyText"/>
        <w:ind w:left="2679"/>
        <w:spacing w:before="42" w:line="224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31F20"/>
          <w:spacing w:val="-5"/>
        </w:rPr>
        <w:t>（收稿日期 ：</w:t>
      </w:r>
      <w:r>
        <w:rPr>
          <w:color w:val="231F20"/>
          <w:spacing w:val="-5"/>
        </w:rPr>
        <w:t>2020-08-07</w:t>
      </w:r>
      <w:r>
        <w:rPr>
          <w:rFonts w:ascii="Microsoft YaHei" w:hAnsi="Microsoft YaHei" w:eastAsia="Microsoft YaHei" w:cs="Microsoft YaHei"/>
          <w:color w:val="231F20"/>
          <w:spacing w:val="-5"/>
        </w:rPr>
        <w:t>）</w:t>
      </w:r>
    </w:p>
    <w:p>
      <w:pPr>
        <w:ind w:left="2731"/>
        <w:spacing w:before="53" w:line="17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7"/>
        </w:rPr>
        <w:t>（本文编辑 ：郑辛甜）</w:t>
      </w:r>
    </w:p>
    <w:sectPr>
      <w:type w:val="continuous"/>
      <w:pgSz w:w="11906" w:h="16158"/>
      <w:pgMar w:top="1301" w:right="400" w:bottom="566" w:left="402" w:header="1024" w:footer="297" w:gutter="0"/>
      <w:cols w:equalWidth="0" w:num="2">
        <w:col w:w="5662" w:space="100"/>
        <w:col w:w="534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" w:after="37" w:line="192" w:lineRule="auto"/>
      <w:jc w:val="right"/>
      <w:rPr>
        <w:sz w:val="24"/>
        <w:szCs w:val="24"/>
      </w:rPr>
    </w:pPr>
    <w:r>
      <w:drawing>
        <wp:anchor distT="0" distB="0" distL="0" distR="0" simplePos="0" relativeHeight="251661312" behindDoc="1" locked="0" layoutInCell="0" allowOverlap="1">
          <wp:simplePos x="0" y="0"/>
          <wp:positionH relativeFrom="page">
            <wp:posOffset>255492</wp:posOffset>
          </wp:positionH>
          <wp:positionV relativeFrom="page">
            <wp:posOffset>9921240</wp:posOffset>
          </wp:positionV>
          <wp:extent cx="1205023" cy="149758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05023" cy="1497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b/>
        <w:bCs/>
        <w14:textFill>
          <w14:noFill/>
        </w14:textFill>
        <w14:textOutline w14:w="12700" w14:cap="flat" w14:cmpd="sng">
          <w14:solidFill>
            <w14:srgbClr w14:val="BF4000">
              <w14:alpha w14:val="89803"/>
            </w14:srgbClr>
          </w14:solidFill>
          <w14:prstDash w14:val="solid"/>
          <w14:miter w14:lim="10"/>
        </w14:textOutline>
        <w:spacing w:val="-10"/>
      </w:rPr>
      <w:t>Q2xvdWRWZXJzaW9uLQo?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213" w:lineRule="auto"/>
      <w:jc w:val="right"/>
      <w:rPr>
        <w:sz w:val="24"/>
        <w:szCs w:val="24"/>
      </w:rPr>
    </w:pPr>
    <w:r>
      <w:drawing>
        <wp:anchor distT="0" distB="0" distL="0" distR="0" simplePos="0" relativeHeight="251664384" behindDoc="1" locked="0" layoutInCell="0" allowOverlap="1">
          <wp:simplePos x="0" y="0"/>
          <wp:positionH relativeFrom="page">
            <wp:posOffset>254000</wp:posOffset>
          </wp:positionH>
          <wp:positionV relativeFrom="page">
            <wp:posOffset>9926243</wp:posOffset>
          </wp:positionV>
          <wp:extent cx="1219200" cy="143255"/>
          <wp:effectExtent l="0" t="0" r="0" b="0"/>
          <wp:wrapNone/>
          <wp:docPr id="192" name="IM 192"/>
          <wp:cNvGraphicFramePr/>
          <a:graphic>
            <a:graphicData uri="http://schemas.openxmlformats.org/drawingml/2006/picture">
              <pic:pic>
                <pic:nvPicPr>
                  <pic:cNvPr id="192" name="IM 1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219200" cy="1432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  <w:b/>
        <w:bCs/>
        <w14:textFill>
          <w14:noFill/>
        </w14:textFill>
        <w14:textOutline w14:w="12700" w14:cap="flat" w14:cmpd="sng">
          <w14:solidFill>
            <w14:srgbClr w14:val="BF4000">
              <w14:alpha w14:val="89803"/>
            </w14:srgbClr>
          </w14:solidFill>
          <w14:prstDash w14:val="solid"/>
          <w14:miter w14:lim="10"/>
        </w14:textOutline>
        <w:spacing w:val="-10"/>
      </w:rPr>
      <w:t>Q2xvdWRWZXJzaW9uLQo?</w:t>
    </w:r>
    <w:r>
      <w:rPr>
        <w:sz w:val="24"/>
        <w:szCs w:val="24"/>
        <w:b/>
        <w:bCs/>
        <w14:textFill>
          <w14:noFill/>
        </w14:textFill>
        <w:spacing w:val="3"/>
      </w:rPr>
      <w:t xml:space="preserve">      </w:t>
    </w:r>
    <w:r>
      <w:rPr>
        <w:sz w:val="24"/>
        <w:szCs w:val="24"/>
        <w:position w:val="-36"/>
      </w:rPr>
      <w:drawing>
        <wp:inline distT="0" distB="0" distL="0" distR="0">
          <wp:extent cx="12077" cy="12258"/>
          <wp:effectExtent l="0" t="0" r="0" b="0"/>
          <wp:docPr id="194" name="IM 194"/>
          <wp:cNvGraphicFramePr/>
          <a:graphic>
            <a:graphicData uri="http://schemas.openxmlformats.org/drawingml/2006/picture">
              <pic:pic>
                <pic:nvPicPr>
                  <pic:cNvPr id="194" name="IM 19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2077" cy="122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3.1909pt;margin-top:262.942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>
      <w:pict>
        <v:shape id="WordPictureWatermark4" style="position:absolute;margin-left:148.819pt;margin-top:231.043pt;mso-position-vertical-relative:page;mso-position-horizontal-relative:page;width:297.65pt;height:345.8pt;z-index:-251657216;" o:allowincell="f" filled="false" stroked="false" type="#_x0000_t75">
          <v:imagedata o:title="" r:id="rId2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53"/>
      <w:spacing w:before="19" w:line="192" w:lineRule="auto"/>
      <w:rPr>
        <w:rFonts w:ascii="Microsoft YaHei" w:hAnsi="Microsoft YaHei" w:eastAsia="Microsoft YaHei" w:cs="Microsoft YaHei"/>
        <w:sz w:val="18"/>
        <w:szCs w:val="18"/>
      </w:rPr>
    </w:pPr>
    <w:r>
      <w:pict>
        <v:shape id="WordPictureWatermark8" style="position:absolute;margin-left:43.1909pt;margin-top:262.942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</w:rPr>
      <w:t>中华急诊医学杂志 </w:t>
    </w:r>
    <w:r>
      <w:rPr>
        <w:sz w:val="18"/>
        <w:szCs w:val="18"/>
        <w:u w:val="single" w:color="auto"/>
        <w:color w:val="231F20"/>
      </w:rPr>
      <w:t>2020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</w:rPr>
      <w:t>年 </w:t>
    </w:r>
    <w:r>
      <w:rPr>
        <w:sz w:val="18"/>
        <w:szCs w:val="18"/>
        <w:u w:val="single" w:color="auto"/>
        <w:color w:val="231F20"/>
      </w:rPr>
      <w:t>9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</w:rPr>
      <w:t>月第 </w:t>
    </w:r>
    <w:r>
      <w:rPr>
        <w:sz w:val="18"/>
        <w:szCs w:val="18"/>
        <w:u w:val="single" w:color="auto"/>
        <w:color w:val="231F20"/>
      </w:rPr>
      <w:t>29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</w:rPr>
      <w:t>卷第 </w:t>
    </w:r>
    <w:r>
      <w:rPr>
        <w:sz w:val="18"/>
        <w:szCs w:val="18"/>
        <w:u w:val="single" w:color="auto"/>
        <w:color w:val="231F20"/>
      </w:rPr>
      <w:t>9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</w:rPr>
      <w:t>期 </w:t>
    </w:r>
    <w:r>
      <w:rPr>
        <w:sz w:val="18"/>
        <w:szCs w:val="18"/>
        <w:u w:val="single" w:color="auto"/>
        <w:color w:val="231F20"/>
      </w:rPr>
      <w:t>Chin J Emerg Med, September 2020, Vol. 29, No.</w:t>
    </w:r>
    <w:r>
      <w:rPr>
        <w:sz w:val="18"/>
        <w:szCs w:val="18"/>
        <w:u w:val="single" w:color="auto"/>
        <w:color w:val="231F20"/>
        <w:spacing w:val="25"/>
      </w:rPr>
      <w:t xml:space="preserve"> </w:t>
    </w:r>
    <w:r>
      <w:rPr>
        <w:sz w:val="18"/>
        <w:szCs w:val="18"/>
        <w:u w:val="single" w:color="auto"/>
        <w:color w:val="231F20"/>
      </w:rPr>
      <w:t>9</w:t>
    </w:r>
    <w:r>
      <w:rPr>
        <w:sz w:val="18"/>
        <w:szCs w:val="18"/>
        <w:color w:val="231F20"/>
      </w:rPr>
      <w:t xml:space="preserve">                                     </w:t>
    </w:r>
    <w:r>
      <w:rPr>
        <w:rFonts w:ascii="Microsoft YaHei" w:hAnsi="Microsoft YaHei" w:eastAsia="Microsoft YaHei" w:cs="Microsoft YaHei"/>
        <w:sz w:val="18"/>
        <w:szCs w:val="18"/>
        <w:color w:val="231F20"/>
      </w:rPr>
      <w:t>·</w:t>
    </w:r>
    <w:r>
      <w:rPr>
        <w:sz w:val="18"/>
        <w:szCs w:val="18"/>
        <w:color w:val="231F20"/>
      </w:rPr>
      <w:t>1155</w:t>
    </w:r>
    <w:r>
      <w:rPr>
        <w:rFonts w:ascii="Microsoft YaHei" w:hAnsi="Microsoft YaHei" w:eastAsia="Microsoft YaHei" w:cs="Microsoft YaHei"/>
        <w:sz w:val="18"/>
        <w:szCs w:val="18"/>
        <w:color w:val="231F20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96"/>
      <w:spacing w:before="19" w:line="192" w:lineRule="auto"/>
      <w:rPr>
        <w:sz w:val="18"/>
        <w:szCs w:val="18"/>
      </w:rPr>
    </w:pPr>
    <w:r>
      <w:pict>
        <v:shape id="WordPictureWatermark142" style="position:absolute;margin-left:43.1909pt;margin-top:262.942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>
      <w:pict>
        <v:shape id="WordPictureWatermark144" style="position:absolute;margin-left:148.819pt;margin-top:231.043pt;mso-position-vertical-relative:page;mso-position-horizontal-relative:page;width:297.65pt;height:345.8pt;z-index:-251653120;" o:allowincell="f" filled="false" stroked="false" type="#_x0000_t75">
          <v:imagedata o:title="" r:id="rId2"/>
        </v:shape>
      </w:pict>
    </w:r>
    <w:r>
      <w:rPr>
        <w:rFonts w:ascii="Microsoft YaHei" w:hAnsi="Microsoft YaHei" w:eastAsia="Microsoft YaHei" w:cs="Microsoft YaHei"/>
        <w:sz w:val="18"/>
        <w:szCs w:val="18"/>
        <w:color w:val="231F20"/>
        <w:spacing w:val="1"/>
      </w:rPr>
      <w:t>·</w:t>
    </w:r>
    <w:r>
      <w:rPr>
        <w:sz w:val="18"/>
        <w:szCs w:val="18"/>
        <w:color w:val="231F20"/>
        <w:spacing w:val="1"/>
      </w:rPr>
      <w:t>1156</w:t>
    </w:r>
    <w:r>
      <w:rPr>
        <w:rFonts w:ascii="Microsoft YaHei" w:hAnsi="Microsoft YaHei" w:eastAsia="Microsoft YaHei" w:cs="Microsoft YaHei"/>
        <w:sz w:val="18"/>
        <w:szCs w:val="18"/>
        <w:color w:val="231F20"/>
        <w:spacing w:val="1"/>
      </w:rPr>
      <w:t>·                           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  <w:spacing w:val="-32"/>
      </w:rPr>
      <w:t xml:space="preserve">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  <w:spacing w:val="1"/>
      </w:rPr>
      <w:t>中华急诊医学杂志 </w:t>
    </w:r>
    <w:r>
      <w:rPr>
        <w:sz w:val="18"/>
        <w:szCs w:val="18"/>
        <w:u w:val="single" w:color="auto"/>
        <w:color w:val="231F20"/>
        <w:spacing w:val="1"/>
      </w:rPr>
      <w:t>2020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  <w:spacing w:val="1"/>
      </w:rPr>
      <w:t>年 </w:t>
    </w:r>
    <w:r>
      <w:rPr>
        <w:sz w:val="18"/>
        <w:szCs w:val="18"/>
        <w:u w:val="single" w:color="auto"/>
        <w:color w:val="231F20"/>
        <w:spacing w:val="1"/>
      </w:rPr>
      <w:t>9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  <w:spacing w:val="1"/>
      </w:rPr>
      <w:t>月第 </w:t>
    </w:r>
    <w:r>
      <w:rPr>
        <w:sz w:val="18"/>
        <w:szCs w:val="18"/>
        <w:u w:val="single" w:color="auto"/>
        <w:color w:val="231F20"/>
        <w:spacing w:val="1"/>
      </w:rPr>
      <w:t>29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  <w:spacing w:val="1"/>
      </w:rPr>
      <w:t>卷第 </w:t>
    </w:r>
    <w:r>
      <w:rPr>
        <w:sz w:val="18"/>
        <w:szCs w:val="18"/>
        <w:u w:val="single" w:color="auto"/>
        <w:color w:val="231F20"/>
        <w:spacing w:val="1"/>
      </w:rPr>
      <w:t>9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  <w:spacing w:val="1"/>
      </w:rPr>
      <w:t>期 </w:t>
    </w:r>
    <w:r>
      <w:rPr>
        <w:sz w:val="18"/>
        <w:szCs w:val="18"/>
        <w:u w:val="single" w:color="auto"/>
        <w:color w:val="231F20"/>
      </w:rPr>
      <w:t>Chin</w:t>
    </w:r>
    <w:r>
      <w:rPr>
        <w:sz w:val="18"/>
        <w:szCs w:val="18"/>
        <w:u w:val="single" w:color="auto"/>
        <w:color w:val="231F20"/>
        <w:spacing w:val="1"/>
      </w:rPr>
      <w:t xml:space="preserve"> </w:t>
    </w:r>
    <w:r>
      <w:rPr>
        <w:sz w:val="18"/>
        <w:szCs w:val="18"/>
        <w:u w:val="single" w:color="auto"/>
        <w:color w:val="231F20"/>
      </w:rPr>
      <w:t>J</w:t>
    </w:r>
    <w:r>
      <w:rPr>
        <w:sz w:val="18"/>
        <w:szCs w:val="18"/>
        <w:u w:val="single" w:color="auto"/>
        <w:color w:val="231F20"/>
        <w:spacing w:val="1"/>
      </w:rPr>
      <w:t xml:space="preserve"> </w:t>
    </w:r>
    <w:r>
      <w:rPr>
        <w:sz w:val="18"/>
        <w:szCs w:val="18"/>
        <w:u w:val="single" w:color="auto"/>
        <w:color w:val="231F20"/>
      </w:rPr>
      <w:t>Emerg</w:t>
    </w:r>
    <w:r>
      <w:rPr>
        <w:sz w:val="18"/>
        <w:szCs w:val="18"/>
        <w:u w:val="single" w:color="auto"/>
        <w:color w:val="231F20"/>
        <w:spacing w:val="1"/>
      </w:rPr>
      <w:t xml:space="preserve"> </w:t>
    </w:r>
    <w:r>
      <w:rPr>
        <w:sz w:val="18"/>
        <w:szCs w:val="18"/>
        <w:u w:val="single" w:color="auto"/>
        <w:color w:val="231F20"/>
      </w:rPr>
      <w:t>Med</w:t>
    </w:r>
    <w:r>
      <w:rPr>
        <w:sz w:val="18"/>
        <w:szCs w:val="18"/>
        <w:u w:val="single" w:color="auto"/>
        <w:color w:val="231F20"/>
        <w:spacing w:val="1"/>
      </w:rPr>
      <w:t>, </w:t>
    </w:r>
    <w:r>
      <w:rPr>
        <w:sz w:val="18"/>
        <w:szCs w:val="18"/>
        <w:u w:val="single" w:color="auto"/>
        <w:color w:val="231F20"/>
      </w:rPr>
      <w:t>September</w:t>
    </w:r>
    <w:r>
      <w:rPr>
        <w:sz w:val="18"/>
        <w:szCs w:val="18"/>
        <w:u w:val="single" w:color="auto"/>
        <w:color w:val="231F20"/>
        <w:spacing w:val="1"/>
      </w:rPr>
      <w:t xml:space="preserve"> 2020, </w:t>
    </w:r>
    <w:r>
      <w:rPr>
        <w:sz w:val="18"/>
        <w:szCs w:val="18"/>
        <w:u w:val="single" w:color="auto"/>
        <w:color w:val="231F20"/>
      </w:rPr>
      <w:t>Vol</w:t>
    </w:r>
    <w:r>
      <w:rPr>
        <w:sz w:val="18"/>
        <w:szCs w:val="18"/>
        <w:u w:val="single" w:color="auto"/>
        <w:color w:val="231F20"/>
        <w:spacing w:val="1"/>
      </w:rPr>
      <w:t>.</w:t>
    </w:r>
    <w:r>
      <w:rPr>
        <w:sz w:val="18"/>
        <w:szCs w:val="18"/>
        <w:u w:val="single" w:color="auto"/>
        <w:color w:val="231F20"/>
      </w:rPr>
      <w:t xml:space="preserve"> 29, No.</w:t>
    </w:r>
    <w:r>
      <w:rPr>
        <w:sz w:val="18"/>
        <w:szCs w:val="18"/>
        <w:u w:val="single" w:color="auto"/>
        <w:color w:val="231F20"/>
        <w:spacing w:val="7"/>
      </w:rPr>
      <w:t xml:space="preserve"> </w:t>
    </w:r>
    <w:r>
      <w:rPr>
        <w:sz w:val="18"/>
        <w:szCs w:val="18"/>
        <w:u w:val="single" w:color="auto"/>
        <w:color w:val="231F20"/>
      </w:rPr>
      <w:t>9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53"/>
      <w:spacing w:before="19" w:line="192" w:lineRule="auto"/>
      <w:rPr>
        <w:rFonts w:ascii="Microsoft YaHei" w:hAnsi="Microsoft YaHei" w:eastAsia="Microsoft YaHei" w:cs="Microsoft YaHei"/>
        <w:sz w:val="18"/>
        <w:szCs w:val="18"/>
      </w:rPr>
    </w:pPr>
    <w:r>
      <w:pict>
        <v:shape id="WordPictureWatermark146" style="position:absolute;margin-left:43.1909pt;margin-top:262.942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</w:rPr>
      <w:t>中华急诊医学杂志 </w:t>
    </w:r>
    <w:r>
      <w:rPr>
        <w:sz w:val="18"/>
        <w:szCs w:val="18"/>
        <w:u w:val="single" w:color="auto"/>
        <w:color w:val="231F20"/>
      </w:rPr>
      <w:t>2020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</w:rPr>
      <w:t>年 </w:t>
    </w:r>
    <w:r>
      <w:rPr>
        <w:sz w:val="18"/>
        <w:szCs w:val="18"/>
        <w:u w:val="single" w:color="auto"/>
        <w:color w:val="231F20"/>
      </w:rPr>
      <w:t>9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</w:rPr>
      <w:t>月第 </w:t>
    </w:r>
    <w:r>
      <w:rPr>
        <w:sz w:val="18"/>
        <w:szCs w:val="18"/>
        <w:u w:val="single" w:color="auto"/>
        <w:color w:val="231F20"/>
      </w:rPr>
      <w:t>29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</w:rPr>
      <w:t>卷第 </w:t>
    </w:r>
    <w:r>
      <w:rPr>
        <w:sz w:val="18"/>
        <w:szCs w:val="18"/>
        <w:u w:val="single" w:color="auto"/>
        <w:color w:val="231F20"/>
      </w:rPr>
      <w:t>9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</w:rPr>
      <w:t>期 </w:t>
    </w:r>
    <w:r>
      <w:rPr>
        <w:sz w:val="18"/>
        <w:szCs w:val="18"/>
        <w:u w:val="single" w:color="auto"/>
        <w:color w:val="231F20"/>
      </w:rPr>
      <w:t>Chin J Emerg Med, September 2020, Vol. 29, No.</w:t>
    </w:r>
    <w:r>
      <w:rPr>
        <w:sz w:val="18"/>
        <w:szCs w:val="18"/>
        <w:u w:val="single" w:color="auto"/>
        <w:color w:val="231F20"/>
        <w:spacing w:val="25"/>
      </w:rPr>
      <w:t xml:space="preserve"> </w:t>
    </w:r>
    <w:r>
      <w:rPr>
        <w:sz w:val="18"/>
        <w:szCs w:val="18"/>
        <w:u w:val="single" w:color="auto"/>
        <w:color w:val="231F20"/>
      </w:rPr>
      <w:t>9</w:t>
    </w:r>
    <w:r>
      <w:rPr>
        <w:sz w:val="18"/>
        <w:szCs w:val="18"/>
        <w:color w:val="231F20"/>
      </w:rPr>
      <w:t xml:space="preserve">                                     </w:t>
    </w:r>
    <w:r>
      <w:rPr>
        <w:rFonts w:ascii="Microsoft YaHei" w:hAnsi="Microsoft YaHei" w:eastAsia="Microsoft YaHei" w:cs="Microsoft YaHei"/>
        <w:sz w:val="18"/>
        <w:szCs w:val="18"/>
        <w:color w:val="231F20"/>
      </w:rPr>
      <w:t>·</w:t>
    </w:r>
    <w:r>
      <w:rPr>
        <w:sz w:val="18"/>
        <w:szCs w:val="18"/>
        <w:color w:val="231F20"/>
      </w:rPr>
      <w:t>1157</w:t>
    </w:r>
    <w:r>
      <w:rPr>
        <w:rFonts w:ascii="Microsoft YaHei" w:hAnsi="Microsoft YaHei" w:eastAsia="Microsoft YaHei" w:cs="Microsoft YaHei"/>
        <w:sz w:val="18"/>
        <w:szCs w:val="18"/>
        <w:color w:val="231F20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96"/>
      <w:spacing w:before="19" w:line="192" w:lineRule="auto"/>
      <w:rPr>
        <w:sz w:val="18"/>
        <w:szCs w:val="18"/>
      </w:rPr>
    </w:pPr>
    <w:r>
      <w:pict>
        <v:shape id="WordPictureWatermark190" style="position:absolute;margin-left:43.1909pt;margin-top:262.942pt;mso-position-vertical-relative:page;mso-position-horizontal-relative:page;width:514.25pt;height:279.85pt;z-index:-251649024;" o:allowincell="f" filled="false" stroked="false" type="#_x0000_t75">
          <v:imagedata o:title="" r:id="rId1"/>
        </v:shape>
      </w:pict>
    </w:r>
    <w:r>
      <w:pict>
        <v:shape id="WordPictureWatermark192" style="position:absolute;margin-left:148.819pt;margin-top:231.043pt;mso-position-vertical-relative:page;mso-position-horizontal-relative:page;width:297.65pt;height:345.8pt;z-index:-251648000;" o:allowincell="f" filled="false" stroked="false" type="#_x0000_t75">
          <v:imagedata o:title="" r:id="rId2"/>
        </v:shape>
      </w:pict>
    </w:r>
    <w:r>
      <w:rPr>
        <w:rFonts w:ascii="Microsoft YaHei" w:hAnsi="Microsoft YaHei" w:eastAsia="Microsoft YaHei" w:cs="Microsoft YaHei"/>
        <w:sz w:val="18"/>
        <w:szCs w:val="18"/>
        <w:color w:val="231F20"/>
        <w:spacing w:val="1"/>
      </w:rPr>
      <w:t>·</w:t>
    </w:r>
    <w:r>
      <w:rPr>
        <w:sz w:val="18"/>
        <w:szCs w:val="18"/>
        <w:color w:val="231F20"/>
        <w:spacing w:val="1"/>
      </w:rPr>
      <w:t>1158</w:t>
    </w:r>
    <w:r>
      <w:rPr>
        <w:rFonts w:ascii="Microsoft YaHei" w:hAnsi="Microsoft YaHei" w:eastAsia="Microsoft YaHei" w:cs="Microsoft YaHei"/>
        <w:sz w:val="18"/>
        <w:szCs w:val="18"/>
        <w:color w:val="231F20"/>
        <w:spacing w:val="1"/>
      </w:rPr>
      <w:t>·                           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  <w:spacing w:val="-32"/>
      </w:rPr>
      <w:t xml:space="preserve">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  <w:spacing w:val="1"/>
      </w:rPr>
      <w:t>中华急诊医学杂志 </w:t>
    </w:r>
    <w:r>
      <w:rPr>
        <w:sz w:val="18"/>
        <w:szCs w:val="18"/>
        <w:u w:val="single" w:color="auto"/>
        <w:color w:val="231F20"/>
        <w:spacing w:val="1"/>
      </w:rPr>
      <w:t>2020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  <w:spacing w:val="1"/>
      </w:rPr>
      <w:t>年 </w:t>
    </w:r>
    <w:r>
      <w:rPr>
        <w:sz w:val="18"/>
        <w:szCs w:val="18"/>
        <w:u w:val="single" w:color="auto"/>
        <w:color w:val="231F20"/>
        <w:spacing w:val="1"/>
      </w:rPr>
      <w:t>9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  <w:spacing w:val="1"/>
      </w:rPr>
      <w:t>月第 </w:t>
    </w:r>
    <w:r>
      <w:rPr>
        <w:sz w:val="18"/>
        <w:szCs w:val="18"/>
        <w:u w:val="single" w:color="auto"/>
        <w:color w:val="231F20"/>
        <w:spacing w:val="1"/>
      </w:rPr>
      <w:t>29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  <w:spacing w:val="1"/>
      </w:rPr>
      <w:t>卷第 </w:t>
    </w:r>
    <w:r>
      <w:rPr>
        <w:sz w:val="18"/>
        <w:szCs w:val="18"/>
        <w:u w:val="single" w:color="auto"/>
        <w:color w:val="231F20"/>
        <w:spacing w:val="1"/>
      </w:rPr>
      <w:t>9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  <w:spacing w:val="1"/>
      </w:rPr>
      <w:t>期 </w:t>
    </w:r>
    <w:r>
      <w:rPr>
        <w:sz w:val="18"/>
        <w:szCs w:val="18"/>
        <w:u w:val="single" w:color="auto"/>
        <w:color w:val="231F20"/>
      </w:rPr>
      <w:t>Chin</w:t>
    </w:r>
    <w:r>
      <w:rPr>
        <w:sz w:val="18"/>
        <w:szCs w:val="18"/>
        <w:u w:val="single" w:color="auto"/>
        <w:color w:val="231F20"/>
        <w:spacing w:val="1"/>
      </w:rPr>
      <w:t xml:space="preserve"> </w:t>
    </w:r>
    <w:r>
      <w:rPr>
        <w:sz w:val="18"/>
        <w:szCs w:val="18"/>
        <w:u w:val="single" w:color="auto"/>
        <w:color w:val="231F20"/>
      </w:rPr>
      <w:t>J</w:t>
    </w:r>
    <w:r>
      <w:rPr>
        <w:sz w:val="18"/>
        <w:szCs w:val="18"/>
        <w:u w:val="single" w:color="auto"/>
        <w:color w:val="231F20"/>
        <w:spacing w:val="1"/>
      </w:rPr>
      <w:t xml:space="preserve"> </w:t>
    </w:r>
    <w:r>
      <w:rPr>
        <w:sz w:val="18"/>
        <w:szCs w:val="18"/>
        <w:u w:val="single" w:color="auto"/>
        <w:color w:val="231F20"/>
      </w:rPr>
      <w:t>Emerg</w:t>
    </w:r>
    <w:r>
      <w:rPr>
        <w:sz w:val="18"/>
        <w:szCs w:val="18"/>
        <w:u w:val="single" w:color="auto"/>
        <w:color w:val="231F20"/>
        <w:spacing w:val="1"/>
      </w:rPr>
      <w:t xml:space="preserve"> </w:t>
    </w:r>
    <w:r>
      <w:rPr>
        <w:sz w:val="18"/>
        <w:szCs w:val="18"/>
        <w:u w:val="single" w:color="auto"/>
        <w:color w:val="231F20"/>
      </w:rPr>
      <w:t>Med</w:t>
    </w:r>
    <w:r>
      <w:rPr>
        <w:sz w:val="18"/>
        <w:szCs w:val="18"/>
        <w:u w:val="single" w:color="auto"/>
        <w:color w:val="231F20"/>
        <w:spacing w:val="1"/>
      </w:rPr>
      <w:t>, </w:t>
    </w:r>
    <w:r>
      <w:rPr>
        <w:sz w:val="18"/>
        <w:szCs w:val="18"/>
        <w:u w:val="single" w:color="auto"/>
        <w:color w:val="231F20"/>
      </w:rPr>
      <w:t>September</w:t>
    </w:r>
    <w:r>
      <w:rPr>
        <w:sz w:val="18"/>
        <w:szCs w:val="18"/>
        <w:u w:val="single" w:color="auto"/>
        <w:color w:val="231F20"/>
        <w:spacing w:val="1"/>
      </w:rPr>
      <w:t xml:space="preserve"> 2020, </w:t>
    </w:r>
    <w:r>
      <w:rPr>
        <w:sz w:val="18"/>
        <w:szCs w:val="18"/>
        <w:u w:val="single" w:color="auto"/>
        <w:color w:val="231F20"/>
      </w:rPr>
      <w:t>Vol</w:t>
    </w:r>
    <w:r>
      <w:rPr>
        <w:sz w:val="18"/>
        <w:szCs w:val="18"/>
        <w:u w:val="single" w:color="auto"/>
        <w:color w:val="231F20"/>
        <w:spacing w:val="1"/>
      </w:rPr>
      <w:t>.</w:t>
    </w:r>
    <w:r>
      <w:rPr>
        <w:sz w:val="18"/>
        <w:szCs w:val="18"/>
        <w:u w:val="single" w:color="auto"/>
        <w:color w:val="231F20"/>
      </w:rPr>
      <w:t xml:space="preserve"> 29, No.</w:t>
    </w:r>
    <w:r>
      <w:rPr>
        <w:sz w:val="18"/>
        <w:szCs w:val="18"/>
        <w:u w:val="single" w:color="auto"/>
        <w:color w:val="231F20"/>
        <w:spacing w:val="7"/>
      </w:rPr>
      <w:t xml:space="preserve"> </w:t>
    </w:r>
    <w:r>
      <w:rPr>
        <w:sz w:val="18"/>
        <w:szCs w:val="18"/>
        <w:u w:val="single" w:color="auto"/>
        <w:color w:val="231F20"/>
      </w:rPr>
      <w:t>9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53"/>
      <w:spacing w:before="19" w:line="192" w:lineRule="auto"/>
      <w:rPr>
        <w:rFonts w:ascii="Microsoft YaHei" w:hAnsi="Microsoft YaHei" w:eastAsia="Microsoft YaHei" w:cs="Microsoft YaHei"/>
        <w:sz w:val="18"/>
        <w:szCs w:val="18"/>
      </w:rPr>
    </w:pPr>
    <w:r>
      <w:pict>
        <v:shape id="WordPictureWatermark194" style="position:absolute;margin-left:43.1909pt;margin-top:262.942pt;mso-position-vertical-relative:page;mso-position-horizontal-relative:page;width:514.25pt;height:279.85pt;z-index:-251645952;" o:allowincell="f" filled="false" stroked="false" type="#_x0000_t75">
          <v:imagedata o:title="" r:id="rId1"/>
        </v:shape>
      </w:pict>
    </w:r>
    <w:r>
      <w:pict>
        <v:shape id="WordPictureWatermark196" style="position:absolute;margin-left:148.819pt;margin-top:231.043pt;mso-position-vertical-relative:page;mso-position-horizontal-relative:page;width:297.65pt;height:345.8pt;z-index:-251644928;" o:allowincell="f" filled="false" stroked="false" type="#_x0000_t75">
          <v:imagedata o:title="" r:id="rId2"/>
        </v:shape>
      </w:pic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</w:rPr>
      <w:t>中华急诊医学杂志 </w:t>
    </w:r>
    <w:r>
      <w:rPr>
        <w:sz w:val="18"/>
        <w:szCs w:val="18"/>
        <w:u w:val="single" w:color="auto"/>
        <w:color w:val="231F20"/>
      </w:rPr>
      <w:t>2020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</w:rPr>
      <w:t>年 </w:t>
    </w:r>
    <w:r>
      <w:rPr>
        <w:sz w:val="18"/>
        <w:szCs w:val="18"/>
        <w:u w:val="single" w:color="auto"/>
        <w:color w:val="231F20"/>
      </w:rPr>
      <w:t>9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</w:rPr>
      <w:t>月第 </w:t>
    </w:r>
    <w:r>
      <w:rPr>
        <w:sz w:val="18"/>
        <w:szCs w:val="18"/>
        <w:u w:val="single" w:color="auto"/>
        <w:color w:val="231F20"/>
      </w:rPr>
      <w:t>29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</w:rPr>
      <w:t>卷第 </w:t>
    </w:r>
    <w:r>
      <w:rPr>
        <w:sz w:val="18"/>
        <w:szCs w:val="18"/>
        <w:u w:val="single" w:color="auto"/>
        <w:color w:val="231F20"/>
      </w:rPr>
      <w:t>9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</w:rPr>
      <w:t>期 </w:t>
    </w:r>
    <w:r>
      <w:rPr>
        <w:sz w:val="18"/>
        <w:szCs w:val="18"/>
        <w:u w:val="single" w:color="auto"/>
        <w:color w:val="231F20"/>
      </w:rPr>
      <w:t>Chin J Emerg Med, September 2020, Vol. 29, No.</w:t>
    </w:r>
    <w:r>
      <w:rPr>
        <w:sz w:val="18"/>
        <w:szCs w:val="18"/>
        <w:u w:val="single" w:color="auto"/>
        <w:color w:val="231F20"/>
        <w:spacing w:val="25"/>
      </w:rPr>
      <w:t xml:space="preserve"> </w:t>
    </w:r>
    <w:r>
      <w:rPr>
        <w:sz w:val="18"/>
        <w:szCs w:val="18"/>
        <w:u w:val="single" w:color="auto"/>
        <w:color w:val="231F20"/>
      </w:rPr>
      <w:t>9</w:t>
    </w:r>
    <w:r>
      <w:rPr>
        <w:sz w:val="18"/>
        <w:szCs w:val="18"/>
        <w:color w:val="231F20"/>
      </w:rPr>
      <w:t xml:space="preserve">                                     </w:t>
    </w:r>
    <w:r>
      <w:rPr>
        <w:rFonts w:ascii="Microsoft YaHei" w:hAnsi="Microsoft YaHei" w:eastAsia="Microsoft YaHei" w:cs="Microsoft YaHei"/>
        <w:sz w:val="18"/>
        <w:szCs w:val="18"/>
        <w:color w:val="231F20"/>
      </w:rPr>
      <w:t>·</w:t>
    </w:r>
    <w:r>
      <w:rPr>
        <w:sz w:val="18"/>
        <w:szCs w:val="18"/>
        <w:color w:val="231F20"/>
      </w:rPr>
      <w:t>1159</w:t>
    </w:r>
    <w:r>
      <w:rPr>
        <w:rFonts w:ascii="Microsoft YaHei" w:hAnsi="Microsoft YaHei" w:eastAsia="Microsoft YaHei" w:cs="Microsoft YaHei"/>
        <w:sz w:val="18"/>
        <w:szCs w:val="18"/>
        <w:color w:val="231F20"/>
      </w:rPr>
      <w:t>·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96"/>
      <w:spacing w:before="19" w:line="192" w:lineRule="auto"/>
      <w:rPr>
        <w:sz w:val="18"/>
        <w:szCs w:val="18"/>
      </w:rPr>
    </w:pPr>
    <w:r>
      <w:pict>
        <v:shape id="WordPictureWatermark198" style="position:absolute;margin-left:43.1909pt;margin-top:262.942pt;mso-position-vertical-relative:page;mso-position-horizontal-relative:page;width:514.25pt;height:279.85pt;z-index:-251642880;" o:allowincell="f" filled="false" stroked="false" type="#_x0000_t75">
          <v:imagedata o:title="" r:id="rId1"/>
        </v:shape>
      </w:pict>
    </w:r>
    <w:r>
      <w:pict>
        <v:shape id="WordPictureWatermark200" style="position:absolute;margin-left:148.819pt;margin-top:231.043pt;mso-position-vertical-relative:page;mso-position-horizontal-relative:page;width:297.65pt;height:345.8pt;z-index:-251641856;" o:allowincell="f" filled="false" stroked="false" type="#_x0000_t75">
          <v:imagedata o:title="" r:id="rId2"/>
        </v:shape>
      </w:pict>
    </w:r>
    <w:r>
      <w:rPr>
        <w:rFonts w:ascii="Microsoft YaHei" w:hAnsi="Microsoft YaHei" w:eastAsia="Microsoft YaHei" w:cs="Microsoft YaHei"/>
        <w:sz w:val="18"/>
        <w:szCs w:val="18"/>
        <w:color w:val="231F20"/>
        <w:spacing w:val="1"/>
      </w:rPr>
      <w:t>·</w:t>
    </w:r>
    <w:r>
      <w:rPr>
        <w:sz w:val="18"/>
        <w:szCs w:val="18"/>
        <w:color w:val="231F20"/>
        <w:spacing w:val="1"/>
      </w:rPr>
      <w:t>1160</w:t>
    </w:r>
    <w:r>
      <w:rPr>
        <w:rFonts w:ascii="Microsoft YaHei" w:hAnsi="Microsoft YaHei" w:eastAsia="Microsoft YaHei" w:cs="Microsoft YaHei"/>
        <w:sz w:val="18"/>
        <w:szCs w:val="18"/>
        <w:color w:val="231F20"/>
        <w:spacing w:val="1"/>
      </w:rPr>
      <w:t>·                           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  <w:spacing w:val="-32"/>
      </w:rPr>
      <w:t xml:space="preserve">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  <w:spacing w:val="1"/>
      </w:rPr>
      <w:t>中华急诊医学杂志 </w:t>
    </w:r>
    <w:r>
      <w:rPr>
        <w:sz w:val="18"/>
        <w:szCs w:val="18"/>
        <w:u w:val="single" w:color="auto"/>
        <w:color w:val="231F20"/>
        <w:spacing w:val="1"/>
      </w:rPr>
      <w:t>2020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  <w:spacing w:val="1"/>
      </w:rPr>
      <w:t>年 </w:t>
    </w:r>
    <w:r>
      <w:rPr>
        <w:sz w:val="18"/>
        <w:szCs w:val="18"/>
        <w:u w:val="single" w:color="auto"/>
        <w:color w:val="231F20"/>
        <w:spacing w:val="1"/>
      </w:rPr>
      <w:t>9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  <w:spacing w:val="1"/>
      </w:rPr>
      <w:t>月第 </w:t>
    </w:r>
    <w:r>
      <w:rPr>
        <w:sz w:val="18"/>
        <w:szCs w:val="18"/>
        <w:u w:val="single" w:color="auto"/>
        <w:color w:val="231F20"/>
        <w:spacing w:val="1"/>
      </w:rPr>
      <w:t>29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  <w:spacing w:val="1"/>
      </w:rPr>
      <w:t>卷第 </w:t>
    </w:r>
    <w:r>
      <w:rPr>
        <w:sz w:val="18"/>
        <w:szCs w:val="18"/>
        <w:u w:val="single" w:color="auto"/>
        <w:color w:val="231F20"/>
        <w:spacing w:val="1"/>
      </w:rPr>
      <w:t>9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  <w:spacing w:val="1"/>
      </w:rPr>
      <w:t>期 </w:t>
    </w:r>
    <w:r>
      <w:rPr>
        <w:sz w:val="18"/>
        <w:szCs w:val="18"/>
        <w:u w:val="single" w:color="auto"/>
        <w:color w:val="231F20"/>
      </w:rPr>
      <w:t>Chin</w:t>
    </w:r>
    <w:r>
      <w:rPr>
        <w:sz w:val="18"/>
        <w:szCs w:val="18"/>
        <w:u w:val="single" w:color="auto"/>
        <w:color w:val="231F20"/>
        <w:spacing w:val="1"/>
      </w:rPr>
      <w:t xml:space="preserve"> </w:t>
    </w:r>
    <w:r>
      <w:rPr>
        <w:sz w:val="18"/>
        <w:szCs w:val="18"/>
        <w:u w:val="single" w:color="auto"/>
        <w:color w:val="231F20"/>
      </w:rPr>
      <w:t>J</w:t>
    </w:r>
    <w:r>
      <w:rPr>
        <w:sz w:val="18"/>
        <w:szCs w:val="18"/>
        <w:u w:val="single" w:color="auto"/>
        <w:color w:val="231F20"/>
        <w:spacing w:val="1"/>
      </w:rPr>
      <w:t xml:space="preserve"> </w:t>
    </w:r>
    <w:r>
      <w:rPr>
        <w:sz w:val="18"/>
        <w:szCs w:val="18"/>
        <w:u w:val="single" w:color="auto"/>
        <w:color w:val="231F20"/>
      </w:rPr>
      <w:t>Emerg</w:t>
    </w:r>
    <w:r>
      <w:rPr>
        <w:sz w:val="18"/>
        <w:szCs w:val="18"/>
        <w:u w:val="single" w:color="auto"/>
        <w:color w:val="231F20"/>
        <w:spacing w:val="1"/>
      </w:rPr>
      <w:t xml:space="preserve"> </w:t>
    </w:r>
    <w:r>
      <w:rPr>
        <w:sz w:val="18"/>
        <w:szCs w:val="18"/>
        <w:u w:val="single" w:color="auto"/>
        <w:color w:val="231F20"/>
      </w:rPr>
      <w:t>Med</w:t>
    </w:r>
    <w:r>
      <w:rPr>
        <w:sz w:val="18"/>
        <w:szCs w:val="18"/>
        <w:u w:val="single" w:color="auto"/>
        <w:color w:val="231F20"/>
        <w:spacing w:val="1"/>
      </w:rPr>
      <w:t>, </w:t>
    </w:r>
    <w:r>
      <w:rPr>
        <w:sz w:val="18"/>
        <w:szCs w:val="18"/>
        <w:u w:val="single" w:color="auto"/>
        <w:color w:val="231F20"/>
      </w:rPr>
      <w:t>September</w:t>
    </w:r>
    <w:r>
      <w:rPr>
        <w:sz w:val="18"/>
        <w:szCs w:val="18"/>
        <w:u w:val="single" w:color="auto"/>
        <w:color w:val="231F20"/>
        <w:spacing w:val="1"/>
      </w:rPr>
      <w:t xml:space="preserve"> 2020, </w:t>
    </w:r>
    <w:r>
      <w:rPr>
        <w:sz w:val="18"/>
        <w:szCs w:val="18"/>
        <w:u w:val="single" w:color="auto"/>
        <w:color w:val="231F20"/>
      </w:rPr>
      <w:t>Vol</w:t>
    </w:r>
    <w:r>
      <w:rPr>
        <w:sz w:val="18"/>
        <w:szCs w:val="18"/>
        <w:u w:val="single" w:color="auto"/>
        <w:color w:val="231F20"/>
        <w:spacing w:val="1"/>
      </w:rPr>
      <w:t>.</w:t>
    </w:r>
    <w:r>
      <w:rPr>
        <w:sz w:val="18"/>
        <w:szCs w:val="18"/>
        <w:u w:val="single" w:color="auto"/>
        <w:color w:val="231F20"/>
      </w:rPr>
      <w:t xml:space="preserve"> 29, No.</w:t>
    </w:r>
    <w:r>
      <w:rPr>
        <w:sz w:val="18"/>
        <w:szCs w:val="18"/>
        <w:u w:val="single" w:color="auto"/>
        <w:color w:val="231F20"/>
        <w:spacing w:val="7"/>
      </w:rPr>
      <w:t xml:space="preserve"> </w:t>
    </w:r>
    <w:r>
      <w:rPr>
        <w:sz w:val="18"/>
        <w:szCs w:val="18"/>
        <w:u w:val="single" w:color="auto"/>
        <w:color w:val="231F20"/>
      </w:rPr>
      <w:t>9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53"/>
      <w:spacing w:before="19" w:line="192" w:lineRule="auto"/>
      <w:rPr>
        <w:rFonts w:ascii="Microsoft YaHei" w:hAnsi="Microsoft YaHei" w:eastAsia="Microsoft YaHei" w:cs="Microsoft YaHei"/>
        <w:sz w:val="18"/>
        <w:szCs w:val="18"/>
      </w:rPr>
    </w:pPr>
    <w:r>
      <w:pict>
        <v:shape id="WordPictureWatermark202" style="position:absolute;margin-left:43.1909pt;margin-top:262.942pt;mso-position-vertical-relative:page;mso-position-horizontal-relative:page;width:514.25pt;height:279.85pt;z-index:-251639808;" o:allowincell="f" filled="false" stroked="false" type="#_x0000_t75">
          <v:imagedata o:title="" r:id="rId1"/>
        </v:shape>
      </w:pict>
    </w:r>
    <w:r>
      <w:pict>
        <v:shape id="WordPictureWatermark204" style="position:absolute;margin-left:148.819pt;margin-top:231.043pt;mso-position-vertical-relative:page;mso-position-horizontal-relative:page;width:297.65pt;height:345.8pt;z-index:-251638784;" o:allowincell="f" filled="false" stroked="false" type="#_x0000_t75">
          <v:imagedata o:title="" r:id="rId2"/>
        </v:shape>
      </w:pic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</w:rPr>
      <w:t>中华急诊医学杂志 </w:t>
    </w:r>
    <w:r>
      <w:rPr>
        <w:sz w:val="18"/>
        <w:szCs w:val="18"/>
        <w:u w:val="single" w:color="auto"/>
        <w:color w:val="231F20"/>
      </w:rPr>
      <w:t>2020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</w:rPr>
      <w:t>年 </w:t>
    </w:r>
    <w:r>
      <w:rPr>
        <w:sz w:val="18"/>
        <w:szCs w:val="18"/>
        <w:u w:val="single" w:color="auto"/>
        <w:color w:val="231F20"/>
      </w:rPr>
      <w:t>9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</w:rPr>
      <w:t>月第 </w:t>
    </w:r>
    <w:r>
      <w:rPr>
        <w:sz w:val="18"/>
        <w:szCs w:val="18"/>
        <w:u w:val="single" w:color="auto"/>
        <w:color w:val="231F20"/>
      </w:rPr>
      <w:t>29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</w:rPr>
      <w:t>卷第 </w:t>
    </w:r>
    <w:r>
      <w:rPr>
        <w:sz w:val="18"/>
        <w:szCs w:val="18"/>
        <w:u w:val="single" w:color="auto"/>
        <w:color w:val="231F20"/>
      </w:rPr>
      <w:t>9 </w:t>
    </w:r>
    <w:r>
      <w:rPr>
        <w:rFonts w:ascii="Microsoft YaHei" w:hAnsi="Microsoft YaHei" w:eastAsia="Microsoft YaHei" w:cs="Microsoft YaHei"/>
        <w:sz w:val="18"/>
        <w:szCs w:val="18"/>
        <w:u w:val="single" w:color="auto"/>
        <w:color w:val="231F20"/>
      </w:rPr>
      <w:t>期 </w:t>
    </w:r>
    <w:r>
      <w:rPr>
        <w:sz w:val="18"/>
        <w:szCs w:val="18"/>
        <w:u w:val="single" w:color="auto"/>
        <w:color w:val="231F20"/>
      </w:rPr>
      <w:t>Chin J Emerg Med, September 2020, Vol.</w:t>
    </w:r>
    <w:r>
      <w:rPr>
        <w:sz w:val="18"/>
        <w:szCs w:val="18"/>
        <w:u w:val="single" w:color="auto"/>
        <w:color w:val="231F20"/>
        <w:spacing w:val="9"/>
      </w:rPr>
      <w:t xml:space="preserve"> </w:t>
    </w:r>
    <w:r>
      <w:rPr>
        <w:sz w:val="18"/>
        <w:szCs w:val="18"/>
        <w:u w:val="single" w:color="auto"/>
        <w:color w:val="231F20"/>
      </w:rPr>
      <w:t>29, No.</w:t>
    </w:r>
    <w:r>
      <w:rPr>
        <w:sz w:val="18"/>
        <w:szCs w:val="18"/>
        <w:u w:val="single" w:color="auto"/>
        <w:color w:val="231F20"/>
        <w:spacing w:val="8"/>
      </w:rPr>
      <w:t xml:space="preserve"> </w:t>
    </w:r>
    <w:r>
      <w:rPr>
        <w:sz w:val="18"/>
        <w:szCs w:val="18"/>
        <w:u w:val="single" w:color="auto"/>
        <w:color w:val="231F20"/>
      </w:rPr>
      <w:t>9</w:t>
    </w:r>
    <w:r>
      <w:rPr>
        <w:sz w:val="18"/>
        <w:szCs w:val="18"/>
        <w:color w:val="231F20"/>
      </w:rPr>
      <w:t xml:space="preserve">       </w:t>
    </w:r>
    <w:r>
      <w:rPr>
        <w:sz w:val="18"/>
        <w:szCs w:val="18"/>
        <w:color w:val="231F20"/>
        <w:spacing w:val="-1"/>
      </w:rPr>
      <w:t xml:space="preserve">                              </w:t>
    </w:r>
    <w:r>
      <w:rPr>
        <w:rFonts w:ascii="Microsoft YaHei" w:hAnsi="Microsoft YaHei" w:eastAsia="Microsoft YaHei" w:cs="Microsoft YaHei"/>
        <w:sz w:val="18"/>
        <w:szCs w:val="18"/>
        <w:color w:val="231F20"/>
        <w:spacing w:val="-1"/>
      </w:rPr>
      <w:t>·</w:t>
    </w:r>
    <w:r>
      <w:rPr>
        <w:sz w:val="18"/>
        <w:szCs w:val="18"/>
        <w:color w:val="231F20"/>
        <w:spacing w:val="-1"/>
      </w:rPr>
      <w:t>1161 </w:t>
    </w:r>
    <w:r>
      <w:rPr>
        <w:rFonts w:ascii="Microsoft YaHei" w:hAnsi="Microsoft YaHei" w:eastAsia="Microsoft YaHei" w:cs="Microsoft YaHei"/>
        <w:sz w:val="18"/>
        <w:szCs w:val="18"/>
        <w:color w:val="231F20"/>
        <w:spacing w:val="-1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2.xml"/><Relationship Id="rId98" Type="http://schemas.openxmlformats.org/officeDocument/2006/relationships/header" Target="header3.xml"/><Relationship Id="rId97" Type="http://schemas.openxmlformats.org/officeDocument/2006/relationships/image" Target="media/image2.png"/><Relationship Id="rId96" Type="http://schemas.openxmlformats.org/officeDocument/2006/relationships/image" Target="media/image97.png"/><Relationship Id="rId95" Type="http://schemas.openxmlformats.org/officeDocument/2006/relationships/image" Target="media/image96.png"/><Relationship Id="rId94" Type="http://schemas.openxmlformats.org/officeDocument/2006/relationships/image" Target="media/image95.png"/><Relationship Id="rId93" Type="http://schemas.openxmlformats.org/officeDocument/2006/relationships/image" Target="media/image94.png"/><Relationship Id="rId92" Type="http://schemas.openxmlformats.org/officeDocument/2006/relationships/image" Target="media/image93.png"/><Relationship Id="rId91" Type="http://schemas.openxmlformats.org/officeDocument/2006/relationships/image" Target="media/image92.png"/><Relationship Id="rId90" Type="http://schemas.openxmlformats.org/officeDocument/2006/relationships/image" Target="media/image91.png"/><Relationship Id="rId9" Type="http://schemas.openxmlformats.org/officeDocument/2006/relationships/image" Target="media/image10.png"/><Relationship Id="rId89" Type="http://schemas.openxmlformats.org/officeDocument/2006/relationships/image" Target="media/image90.png"/><Relationship Id="rId88" Type="http://schemas.openxmlformats.org/officeDocument/2006/relationships/image" Target="media/image89.png"/><Relationship Id="rId87" Type="http://schemas.openxmlformats.org/officeDocument/2006/relationships/image" Target="media/image88.png"/><Relationship Id="rId86" Type="http://schemas.openxmlformats.org/officeDocument/2006/relationships/image" Target="media/image87.png"/><Relationship Id="rId85" Type="http://schemas.openxmlformats.org/officeDocument/2006/relationships/image" Target="media/image86.png"/><Relationship Id="rId84" Type="http://schemas.openxmlformats.org/officeDocument/2006/relationships/image" Target="media/image85.png"/><Relationship Id="rId83" Type="http://schemas.openxmlformats.org/officeDocument/2006/relationships/image" Target="media/image84.png"/><Relationship Id="rId82" Type="http://schemas.openxmlformats.org/officeDocument/2006/relationships/image" Target="media/image83.png"/><Relationship Id="rId81" Type="http://schemas.openxmlformats.org/officeDocument/2006/relationships/image" Target="media/image82.png"/><Relationship Id="rId80" Type="http://schemas.openxmlformats.org/officeDocument/2006/relationships/image" Target="media/image81.png"/><Relationship Id="rId8" Type="http://schemas.openxmlformats.org/officeDocument/2006/relationships/image" Target="media/image9.png"/><Relationship Id="rId79" Type="http://schemas.openxmlformats.org/officeDocument/2006/relationships/image" Target="media/image80.png"/><Relationship Id="rId78" Type="http://schemas.openxmlformats.org/officeDocument/2006/relationships/image" Target="media/image79.png"/><Relationship Id="rId77" Type="http://schemas.openxmlformats.org/officeDocument/2006/relationships/image" Target="media/image78.png"/><Relationship Id="rId76" Type="http://schemas.openxmlformats.org/officeDocument/2006/relationships/image" Target="media/image77.png"/><Relationship Id="rId75" Type="http://schemas.openxmlformats.org/officeDocument/2006/relationships/image" Target="media/image76.png"/><Relationship Id="rId74" Type="http://schemas.openxmlformats.org/officeDocument/2006/relationships/image" Target="media/image75.png"/><Relationship Id="rId73" Type="http://schemas.openxmlformats.org/officeDocument/2006/relationships/image" Target="media/image74.png"/><Relationship Id="rId72" Type="http://schemas.openxmlformats.org/officeDocument/2006/relationships/image" Target="media/image73.png"/><Relationship Id="rId71" Type="http://schemas.openxmlformats.org/officeDocument/2006/relationships/image" Target="media/image72.png"/><Relationship Id="rId70" Type="http://schemas.openxmlformats.org/officeDocument/2006/relationships/image" Target="media/image71.jpeg"/><Relationship Id="rId7" Type="http://schemas.openxmlformats.org/officeDocument/2006/relationships/image" Target="media/image8.png"/><Relationship Id="rId69" Type="http://schemas.openxmlformats.org/officeDocument/2006/relationships/image" Target="media/image70.png"/><Relationship Id="rId68" Type="http://schemas.openxmlformats.org/officeDocument/2006/relationships/image" Target="media/image69.png"/><Relationship Id="rId67" Type="http://schemas.openxmlformats.org/officeDocument/2006/relationships/image" Target="media/image68.png"/><Relationship Id="rId66" Type="http://schemas.openxmlformats.org/officeDocument/2006/relationships/image" Target="media/image67.png"/><Relationship Id="rId65" Type="http://schemas.openxmlformats.org/officeDocument/2006/relationships/image" Target="media/image66.png"/><Relationship Id="rId64" Type="http://schemas.openxmlformats.org/officeDocument/2006/relationships/image" Target="media/image65.png"/><Relationship Id="rId63" Type="http://schemas.openxmlformats.org/officeDocument/2006/relationships/image" Target="media/image64.png"/><Relationship Id="rId62" Type="http://schemas.openxmlformats.org/officeDocument/2006/relationships/image" Target="media/image63.png"/><Relationship Id="rId61" Type="http://schemas.openxmlformats.org/officeDocument/2006/relationships/image" Target="media/image62.png"/><Relationship Id="rId60" Type="http://schemas.openxmlformats.org/officeDocument/2006/relationships/image" Target="media/image61.png"/><Relationship Id="rId6" Type="http://schemas.openxmlformats.org/officeDocument/2006/relationships/image" Target="media/image7.png"/><Relationship Id="rId59" Type="http://schemas.openxmlformats.org/officeDocument/2006/relationships/image" Target="media/image60.png"/><Relationship Id="rId58" Type="http://schemas.openxmlformats.org/officeDocument/2006/relationships/image" Target="media/image59.png"/><Relationship Id="rId57" Type="http://schemas.openxmlformats.org/officeDocument/2006/relationships/image" Target="media/image58.png"/><Relationship Id="rId56" Type="http://schemas.openxmlformats.org/officeDocument/2006/relationships/image" Target="media/image57.png"/><Relationship Id="rId55" Type="http://schemas.openxmlformats.org/officeDocument/2006/relationships/image" Target="media/image56.png"/><Relationship Id="rId54" Type="http://schemas.openxmlformats.org/officeDocument/2006/relationships/image" Target="media/image55.png"/><Relationship Id="rId53" Type="http://schemas.openxmlformats.org/officeDocument/2006/relationships/image" Target="media/image54.png"/><Relationship Id="rId52" Type="http://schemas.openxmlformats.org/officeDocument/2006/relationships/image" Target="media/image53.png"/><Relationship Id="rId51" Type="http://schemas.openxmlformats.org/officeDocument/2006/relationships/image" Target="media/image52.png"/><Relationship Id="rId50" Type="http://schemas.openxmlformats.org/officeDocument/2006/relationships/image" Target="media/image51.png"/><Relationship Id="rId5" Type="http://schemas.openxmlformats.org/officeDocument/2006/relationships/image" Target="media/image6.png"/><Relationship Id="rId49" Type="http://schemas.openxmlformats.org/officeDocument/2006/relationships/image" Target="media/image50.png"/><Relationship Id="rId48" Type="http://schemas.openxmlformats.org/officeDocument/2006/relationships/image" Target="media/image49.png"/><Relationship Id="rId47" Type="http://schemas.openxmlformats.org/officeDocument/2006/relationships/image" Target="media/image48.png"/><Relationship Id="rId46" Type="http://schemas.openxmlformats.org/officeDocument/2006/relationships/image" Target="media/image47.png"/><Relationship Id="rId45" Type="http://schemas.openxmlformats.org/officeDocument/2006/relationships/image" Target="media/image46.png"/><Relationship Id="rId44" Type="http://schemas.openxmlformats.org/officeDocument/2006/relationships/image" Target="media/image45.png"/><Relationship Id="rId43" Type="http://schemas.openxmlformats.org/officeDocument/2006/relationships/image" Target="media/image44.png"/><Relationship Id="rId42" Type="http://schemas.openxmlformats.org/officeDocument/2006/relationships/image" Target="media/image43.png"/><Relationship Id="rId41" Type="http://schemas.openxmlformats.org/officeDocument/2006/relationships/image" Target="media/image42.png"/><Relationship Id="rId40" Type="http://schemas.openxmlformats.org/officeDocument/2006/relationships/image" Target="media/image41.png"/><Relationship Id="rId4" Type="http://schemas.openxmlformats.org/officeDocument/2006/relationships/footer" Target="footer1.xml"/><Relationship Id="rId39" Type="http://schemas.openxmlformats.org/officeDocument/2006/relationships/image" Target="media/image40.png"/><Relationship Id="rId38" Type="http://schemas.openxmlformats.org/officeDocument/2006/relationships/image" Target="media/image39.png"/><Relationship Id="rId37" Type="http://schemas.openxmlformats.org/officeDocument/2006/relationships/image" Target="media/image38.png"/><Relationship Id="rId36" Type="http://schemas.openxmlformats.org/officeDocument/2006/relationships/image" Target="media/image37.png"/><Relationship Id="rId35" Type="http://schemas.openxmlformats.org/officeDocument/2006/relationships/image" Target="media/image36.png"/><Relationship Id="rId34" Type="http://schemas.openxmlformats.org/officeDocument/2006/relationships/image" Target="media/image35.png"/><Relationship Id="rId33" Type="http://schemas.openxmlformats.org/officeDocument/2006/relationships/image" Target="media/image34.png"/><Relationship Id="rId32" Type="http://schemas.openxmlformats.org/officeDocument/2006/relationships/image" Target="media/image33.png"/><Relationship Id="rId31" Type="http://schemas.openxmlformats.org/officeDocument/2006/relationships/image" Target="media/image32.png"/><Relationship Id="rId30" Type="http://schemas.openxmlformats.org/officeDocument/2006/relationships/image" Target="media/image31.png"/><Relationship Id="rId3" Type="http://schemas.openxmlformats.org/officeDocument/2006/relationships/header" Target="header2.xml"/><Relationship Id="rId29" Type="http://schemas.openxmlformats.org/officeDocument/2006/relationships/image" Target="media/image30.png"/><Relationship Id="rId28" Type="http://schemas.openxmlformats.org/officeDocument/2006/relationships/image" Target="media/image29.png"/><Relationship Id="rId27" Type="http://schemas.openxmlformats.org/officeDocument/2006/relationships/image" Target="media/image28.png"/><Relationship Id="rId26" Type="http://schemas.openxmlformats.org/officeDocument/2006/relationships/image" Target="media/image27.png"/><Relationship Id="rId25" Type="http://schemas.openxmlformats.org/officeDocument/2006/relationships/image" Target="media/image26.png"/><Relationship Id="rId24" Type="http://schemas.openxmlformats.org/officeDocument/2006/relationships/image" Target="media/image25.png"/><Relationship Id="rId23" Type="http://schemas.openxmlformats.org/officeDocument/2006/relationships/image" Target="media/image24.png"/><Relationship Id="rId22" Type="http://schemas.openxmlformats.org/officeDocument/2006/relationships/image" Target="media/image23.png"/><Relationship Id="rId21" Type="http://schemas.openxmlformats.org/officeDocument/2006/relationships/image" Target="media/image22.png"/><Relationship Id="rId20" Type="http://schemas.openxmlformats.org/officeDocument/2006/relationships/image" Target="media/image21.png"/><Relationship Id="rId2" Type="http://schemas.openxmlformats.org/officeDocument/2006/relationships/image" Target="media/image3.png"/><Relationship Id="rId19" Type="http://schemas.openxmlformats.org/officeDocument/2006/relationships/image" Target="media/image20.png"/><Relationship Id="rId18" Type="http://schemas.openxmlformats.org/officeDocument/2006/relationships/image" Target="media/image19.png"/><Relationship Id="rId17" Type="http://schemas.openxmlformats.org/officeDocument/2006/relationships/image" Target="media/image18.png"/><Relationship Id="rId16" Type="http://schemas.openxmlformats.org/officeDocument/2006/relationships/image" Target="media/image17.png"/><Relationship Id="rId15" Type="http://schemas.openxmlformats.org/officeDocument/2006/relationships/image" Target="media/image16.png"/><Relationship Id="rId14" Type="http://schemas.openxmlformats.org/officeDocument/2006/relationships/image" Target="media/image15.png"/><Relationship Id="rId13" Type="http://schemas.openxmlformats.org/officeDocument/2006/relationships/image" Target="media/image14.png"/><Relationship Id="rId12" Type="http://schemas.openxmlformats.org/officeDocument/2006/relationships/image" Target="media/image13.png"/><Relationship Id="rId115" Type="http://schemas.openxmlformats.org/officeDocument/2006/relationships/fontTable" Target="fontTable.xml"/><Relationship Id="rId114" Type="http://schemas.openxmlformats.org/officeDocument/2006/relationships/styles" Target="styles.xml"/><Relationship Id="rId113" Type="http://schemas.openxmlformats.org/officeDocument/2006/relationships/settings" Target="settings.xml"/><Relationship Id="rId112" Type="http://schemas.openxmlformats.org/officeDocument/2006/relationships/header" Target="header8.xml"/><Relationship Id="rId111" Type="http://schemas.openxmlformats.org/officeDocument/2006/relationships/image" Target="media/image111.png"/><Relationship Id="rId110" Type="http://schemas.openxmlformats.org/officeDocument/2006/relationships/image" Target="media/image110.png"/><Relationship Id="rId11" Type="http://schemas.openxmlformats.org/officeDocument/2006/relationships/image" Target="media/image12.png"/><Relationship Id="rId109" Type="http://schemas.openxmlformats.org/officeDocument/2006/relationships/header" Target="header7.xml"/><Relationship Id="rId108" Type="http://schemas.openxmlformats.org/officeDocument/2006/relationships/image" Target="media/image108.png"/><Relationship Id="rId107" Type="http://schemas.openxmlformats.org/officeDocument/2006/relationships/image" Target="media/image107.png"/><Relationship Id="rId106" Type="http://schemas.openxmlformats.org/officeDocument/2006/relationships/header" Target="header6.xml"/><Relationship Id="rId105" Type="http://schemas.openxmlformats.org/officeDocument/2006/relationships/image" Target="media/image105.png"/><Relationship Id="rId104" Type="http://schemas.openxmlformats.org/officeDocument/2006/relationships/image" Target="media/image104.png"/><Relationship Id="rId103" Type="http://schemas.openxmlformats.org/officeDocument/2006/relationships/header" Target="header5.xml"/><Relationship Id="rId102" Type="http://schemas.openxmlformats.org/officeDocument/2006/relationships/image" Target="media/image102.png"/><Relationship Id="rId101" Type="http://schemas.openxmlformats.org/officeDocument/2006/relationships/header" Target="header4.xml"/><Relationship Id="rId100" Type="http://schemas.openxmlformats.org/officeDocument/2006/relationships/image" Target="media/image100.jpeg"/><Relationship Id="rId10" Type="http://schemas.openxmlformats.org/officeDocument/2006/relationships/image" Target="media/image11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99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98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0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03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06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09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1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2024-12-28T20:23:29Z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2025-10-29T09:40:50</vt:filetime>
  </property>
</Properties>
</file>