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924"/>
        <w:spacing w:before="64" w:line="194" w:lineRule="auto"/>
        <w:rPr>
          <w:sz w:val="15"/>
          <w:szCs w:val="15"/>
        </w:rPr>
      </w:pPr>
      <w:r>
        <w:rPr>
          <w:sz w:val="15"/>
          <w:szCs w:val="15"/>
          <w:u w:val="single" w:color="auto"/>
          <w:color w:val="1A171C"/>
          <w:spacing w:val="-1"/>
        </w:rPr>
        <w:t>中华全科医师杂志 2021 年</w:t>
      </w:r>
      <w:r>
        <w:rPr>
          <w:sz w:val="15"/>
          <w:szCs w:val="15"/>
          <w:u w:val="single" w:color="auto"/>
          <w:color w:val="1A171C"/>
          <w:spacing w:val="-19"/>
        </w:rPr>
        <w:t xml:space="preserve"> </w:t>
      </w:r>
      <w:r>
        <w:rPr>
          <w:sz w:val="15"/>
          <w:szCs w:val="15"/>
          <w:u w:val="single" w:color="auto"/>
          <w:color w:val="1A171C"/>
          <w:spacing w:val="-1"/>
        </w:rPr>
        <w:t>4 月第 20 卷第 4 期    Chin J Gen Pract, April 2021, Vol. 20, No. 4</w:t>
      </w:r>
      <w:r>
        <w:rPr>
          <w:sz w:val="15"/>
          <w:szCs w:val="15"/>
          <w:color w:val="1A171C"/>
          <w:spacing w:val="-1"/>
        </w:rPr>
        <w:t xml:space="preserve">           </w:t>
      </w:r>
      <w:r>
        <w:rPr>
          <w:sz w:val="15"/>
          <w:szCs w:val="15"/>
          <w:color w:val="1A171C"/>
          <w:spacing w:val="-2"/>
        </w:rPr>
        <w:t xml:space="preserve">                                                        ·  435   ·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6046"/>
        <w:spacing w:before="116" w:line="182" w:lineRule="auto"/>
        <w:rPr/>
      </w:pPr>
      <w:r>
        <w:rPr>
          <w:color w:val="1A171C"/>
          <w:spacing w:val="23"/>
          <w:w w:val="125"/>
        </w:rPr>
        <w:t>·</w:t>
      </w:r>
      <w:r>
        <w:rPr>
          <w:sz w:val="27"/>
          <w:szCs w:val="27"/>
          <w:color w:val="1A171C"/>
          <w:spacing w:val="23"/>
          <w:w w:val="125"/>
        </w:rPr>
        <w:t>基层常见疾病合理用药指南</w:t>
      </w:r>
      <w:r>
        <w:rPr>
          <w:sz w:val="27"/>
          <w:szCs w:val="27"/>
          <w:color w:val="1A171C"/>
          <w:spacing w:val="-29"/>
        </w:rPr>
        <w:t xml:space="preserve"> </w:t>
      </w:r>
      <w:r>
        <w:rPr>
          <w:color w:val="1A171C"/>
          <w:spacing w:val="23"/>
          <w:w w:val="125"/>
        </w:rPr>
        <w:t>·</w:t>
      </w:r>
    </w:p>
    <w:p>
      <w:pPr>
        <w:pStyle w:val="BodyText"/>
        <w:ind w:left="924"/>
        <w:spacing w:before="331" w:line="180" w:lineRule="auto"/>
        <w:rPr>
          <w:sz w:val="41"/>
          <w:szCs w:val="41"/>
        </w:rPr>
      </w:pPr>
      <w:r>
        <w:rPr>
          <w:sz w:val="41"/>
          <w:szCs w:val="41"/>
          <w:color w:val="1A171C"/>
          <w:spacing w:val="8"/>
        </w:rPr>
        <w:t>室上性心动过速基层合理用药指南</w:t>
      </w:r>
    </w:p>
    <w:p>
      <w:pPr>
        <w:pStyle w:val="BodyText"/>
        <w:ind w:left="914" w:right="2731" w:firstLine="26"/>
        <w:spacing w:before="304" w:line="222" w:lineRule="auto"/>
        <w:rPr/>
      </w:pPr>
      <w:r>
        <w:rPr>
          <w:color w:val="1A171C"/>
          <w:spacing w:val="-4"/>
        </w:rPr>
        <w:t>中华医学会    中华医学会临床药学分会    中华医学会杂志社    中华医学会全科医学分会</w:t>
      </w:r>
      <w:r>
        <w:rPr>
          <w:color w:val="1A171C"/>
          <w:spacing w:val="3"/>
        </w:rPr>
        <w:t xml:space="preserve">     </w:t>
      </w:r>
      <w:r>
        <w:rPr>
          <w:color w:val="1A171C"/>
          <w:spacing w:val="-9"/>
        </w:rPr>
        <w:t>中华医学会《中华全科医师杂志》编辑委员会  基层医疗卫生机构合理用药指南编写专家组</w:t>
      </w:r>
      <w:r>
        <w:rPr>
          <w:color w:val="1A171C"/>
          <w:spacing w:val="2"/>
        </w:rPr>
        <w:t xml:space="preserve">     </w:t>
      </w:r>
      <w:r>
        <w:rPr>
          <w:color w:val="1A171C"/>
          <w:spacing w:val="-14"/>
        </w:rPr>
        <w:t>通</w:t>
      </w:r>
      <w:r>
        <w:rPr>
          <w:color w:val="1A171C"/>
          <w:spacing w:val="-8"/>
        </w:rPr>
        <w:t xml:space="preserve"> </w:t>
      </w:r>
      <w:r>
        <w:rPr>
          <w:color w:val="1A171C"/>
          <w:spacing w:val="-14"/>
        </w:rPr>
        <w:t>信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4"/>
        </w:rPr>
        <w:t>作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14"/>
        </w:rPr>
        <w:t>者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4"/>
        </w:rPr>
        <w:t>：张 幸 国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-14"/>
        </w:rPr>
        <w:t>，浙 江 大 学</w:t>
      </w:r>
      <w:r>
        <w:rPr>
          <w:color w:val="1A171C"/>
          <w:spacing w:val="9"/>
        </w:rPr>
        <w:t xml:space="preserve"> </w:t>
      </w:r>
      <w:r>
        <w:rPr>
          <w:color w:val="1A171C"/>
          <w:spacing w:val="-14"/>
        </w:rPr>
        <w:t>医 学 院 附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4"/>
        </w:rPr>
        <w:t>属 第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4"/>
        </w:rPr>
        <w:t>一</w:t>
      </w:r>
      <w:r>
        <w:rPr>
          <w:color w:val="1A171C"/>
          <w:spacing w:val="9"/>
        </w:rPr>
        <w:t xml:space="preserve"> </w:t>
      </w:r>
      <w:r>
        <w:rPr>
          <w:color w:val="1A171C"/>
          <w:spacing w:val="-14"/>
        </w:rPr>
        <w:t>医 院 药 学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4"/>
        </w:rPr>
        <w:t>部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-14"/>
        </w:rPr>
        <w:t>，杭 州</w:t>
      </w:r>
      <w:r>
        <w:rPr>
          <w:color w:val="1A171C"/>
          <w:spacing w:val="34"/>
        </w:rPr>
        <w:t xml:space="preserve"> </w:t>
      </w:r>
      <w:r>
        <w:rPr>
          <w:color w:val="1A171C"/>
          <w:spacing w:val="-14"/>
        </w:rPr>
        <w:t>310003，Email：</w:t>
      </w:r>
    </w:p>
    <w:p>
      <w:pPr>
        <w:pStyle w:val="BodyText"/>
        <w:ind w:left="908"/>
        <w:spacing w:before="1" w:line="185" w:lineRule="auto"/>
        <w:rPr/>
      </w:pPr>
      <w:r>
        <w:rPr>
          <w:color w:val="1A171C"/>
          <w:spacing w:val="-15"/>
        </w:rPr>
        <w:t>xgzhang666@163.com；赵杰，郑州大学第一附属医院 450052，Email：zhaojie@zzu.edu.cn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1201"/>
        <w:spacing w:before="73" w:line="20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C"/>
          <w:spacing w:val="-2"/>
        </w:rPr>
        <w:t>【关键词】</w:t>
      </w:r>
      <w:r>
        <w:rPr>
          <w:rFonts w:ascii="SimHei" w:hAnsi="SimHei" w:eastAsia="SimHei" w:cs="SimHei"/>
          <w:sz w:val="17"/>
          <w:szCs w:val="17"/>
          <w:color w:val="1A171C"/>
          <w:spacing w:val="48"/>
        </w:rPr>
        <w:t xml:space="preserve"> </w:t>
      </w:r>
      <w:r>
        <w:rPr>
          <w:sz w:val="17"/>
          <w:szCs w:val="17"/>
          <w:color w:val="1A171C"/>
          <w:spacing w:val="-2"/>
        </w:rPr>
        <w:t>指南</w:t>
      </w:r>
      <w:r>
        <w:rPr>
          <w:sz w:val="17"/>
          <w:szCs w:val="17"/>
          <w:color w:val="1A171C"/>
          <w:spacing w:val="-16"/>
        </w:rPr>
        <w:t xml:space="preserve"> </w:t>
      </w:r>
      <w:r>
        <w:rPr>
          <w:sz w:val="17"/>
          <w:szCs w:val="17"/>
          <w:color w:val="1A171C"/>
          <w:spacing w:val="-2"/>
        </w:rPr>
        <w:t>；</w:t>
      </w:r>
      <w:r>
        <w:rPr>
          <w:sz w:val="17"/>
          <w:szCs w:val="17"/>
          <w:color w:val="1A171C"/>
          <w:spacing w:val="46"/>
          <w:w w:val="101"/>
        </w:rPr>
        <w:t xml:space="preserve"> </w:t>
      </w:r>
      <w:r>
        <w:rPr>
          <w:sz w:val="17"/>
          <w:szCs w:val="17"/>
          <w:color w:val="1A171C"/>
          <w:spacing w:val="-2"/>
        </w:rPr>
        <w:t>胸痛</w:t>
      </w:r>
      <w:r>
        <w:rPr>
          <w:sz w:val="17"/>
          <w:szCs w:val="17"/>
          <w:color w:val="1A171C"/>
          <w:spacing w:val="-17"/>
        </w:rPr>
        <w:t xml:space="preserve"> </w:t>
      </w:r>
      <w:r>
        <w:rPr>
          <w:sz w:val="17"/>
          <w:szCs w:val="17"/>
          <w:color w:val="1A171C"/>
          <w:spacing w:val="-2"/>
        </w:rPr>
        <w:t>；</w:t>
      </w:r>
      <w:r>
        <w:rPr>
          <w:sz w:val="17"/>
          <w:szCs w:val="17"/>
          <w:color w:val="1A171C"/>
          <w:spacing w:val="48"/>
        </w:rPr>
        <w:t xml:space="preserve"> </w:t>
      </w:r>
      <w:r>
        <w:rPr>
          <w:sz w:val="17"/>
          <w:szCs w:val="17"/>
          <w:color w:val="1A171C"/>
          <w:spacing w:val="-2"/>
        </w:rPr>
        <w:t>药物</w:t>
      </w:r>
    </w:p>
    <w:p>
      <w:pPr>
        <w:spacing w:line="436" w:lineRule="auto"/>
        <w:rPr>
          <w:rFonts w:ascii="Arial"/>
          <w:sz w:val="21"/>
        </w:rPr>
      </w:pPr>
      <w:r/>
    </w:p>
    <w:p>
      <w:pPr>
        <w:ind w:left="914"/>
        <w:spacing w:before="50" w:line="196" w:lineRule="auto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4"/>
        </w:rPr>
        <w:t>Guideline for rational medication</w:t>
      </w: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4"/>
        </w:rPr>
        <w:t>of supraventricular tachycardi</w:t>
      </w: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3"/>
        </w:rPr>
        <w:t>a in</w:t>
      </w: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3"/>
        </w:rPr>
        <w:t>primary</w:t>
      </w: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3"/>
        </w:rPr>
        <w:t>care</w:t>
      </w:r>
    </w:p>
    <w:p>
      <w:pPr>
        <w:ind w:left="909" w:right="2819" w:firstLine="26"/>
        <w:spacing w:before="82" w:line="282" w:lineRule="auto"/>
        <w:jc w:val="both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Chinese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Medical Association,  Chinese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3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Society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3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Clinical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Pharmacy,  Chinese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Medica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-9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Journals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6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Publishing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House,  Chinese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Socie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ty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General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Practice,   Editorial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Board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Chinese Journal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General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Practitioners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of  Chinese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6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Medical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Association,   Expert  Group  of  G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uidelines for  Rational  Medication  in  Primary  Care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Institution</w:t>
      </w:r>
    </w:p>
    <w:p>
      <w:pPr>
        <w:ind w:left="924"/>
        <w:spacing w:line="207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4"/>
          <w:position w:val="2"/>
        </w:rPr>
        <w:t>Corresponding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0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4"/>
          <w:position w:val="2"/>
        </w:rPr>
        <w:t>author: Zhang Xingguo,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7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4"/>
          <w:position w:val="2"/>
        </w:rPr>
        <w:t>Department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3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4"/>
          <w:position w:val="2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6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4"/>
          <w:position w:val="2"/>
        </w:rPr>
        <w:t>Pharma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  <w:position w:val="2"/>
        </w:rPr>
        <w:t>cy,  the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6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  <w:position w:val="2"/>
        </w:rPr>
        <w:t>First Affiliated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5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  <w:position w:val="2"/>
        </w:rPr>
        <w:t>Hospital, Zhejiang</w:t>
      </w:r>
    </w:p>
    <w:p>
      <w:pPr>
        <w:ind w:left="939"/>
        <w:spacing w:before="38" w:line="207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University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0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School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3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2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Medicine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4"/>
          <w:position w:val="2"/>
        </w:rPr>
        <w:t>,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1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Hangzhou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0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4"/>
          <w:position w:val="2"/>
        </w:rPr>
        <w:t>310003,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 xml:space="preserve">  China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4"/>
          <w:position w:val="2"/>
        </w:rPr>
        <w:t>,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2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Email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4"/>
          <w:position w:val="2"/>
        </w:rPr>
        <w:t>: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4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xgzhang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4"/>
          <w:position w:val="2"/>
        </w:rPr>
        <w:t>666@163.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com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4"/>
          <w:position w:val="2"/>
        </w:rPr>
        <w:t>;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6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Zhao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4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Jie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4"/>
          <w:position w:val="2"/>
        </w:rPr>
        <w:t>,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 xml:space="preserve">  the</w:t>
      </w:r>
    </w:p>
    <w:p>
      <w:pPr>
        <w:ind w:left="949"/>
        <w:spacing w:before="38" w:line="207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First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-1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Affiliated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Hospital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Zhengzhou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0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University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>,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Zhengzhou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 xml:space="preserve"> 450052,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3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China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>,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Email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>: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zhaojie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>@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zzu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>.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edu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>.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cn</w:t>
      </w:r>
    </w:p>
    <w:p>
      <w:pPr>
        <w:spacing w:before="179"/>
        <w:rPr/>
      </w:pPr>
      <w:r/>
    </w:p>
    <w:p>
      <w:pPr>
        <w:sectPr>
          <w:headerReference w:type="default" r:id="rId1"/>
          <w:pgSz w:w="12246" w:h="16498"/>
          <w:pgMar w:top="400" w:right="400" w:bottom="0" w:left="400" w:header="0" w:footer="0" w:gutter="0"/>
          <w:cols w:equalWidth="0" w:num="1">
            <w:col w:w="11446" w:space="0"/>
          </w:cols>
        </w:sectPr>
        <w:rPr/>
      </w:pPr>
    </w:p>
    <w:p>
      <w:pPr>
        <w:ind w:left="1338"/>
        <w:spacing w:before="46" w:line="268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11"/>
          <w:position w:val="1"/>
        </w:rPr>
        <w:t>一、疾病概述</w:t>
      </w:r>
    </w:p>
    <w:p>
      <w:pPr>
        <w:pStyle w:val="BodyText"/>
        <w:ind w:left="907" w:right="392" w:firstLine="426"/>
        <w:spacing w:before="59" w:line="224" w:lineRule="auto"/>
        <w:jc w:val="both"/>
        <w:rPr/>
      </w:pPr>
      <w:r>
        <w:rPr>
          <w:color w:val="1A171C"/>
          <w:spacing w:val="5"/>
        </w:rPr>
        <w:t>室上性心动过速简称室上速，广义上是指一组</w:t>
      </w:r>
      <w:r>
        <w:rPr>
          <w:color w:val="1A171C"/>
        </w:rPr>
        <w:t xml:space="preserve">  </w:t>
      </w:r>
      <w:r>
        <w:rPr>
          <w:color w:val="1A171C"/>
          <w:spacing w:val="5"/>
        </w:rPr>
        <w:t>起源于房室交界及其以上传导系统的心动过速，包</w:t>
      </w:r>
      <w:r>
        <w:rPr>
          <w:color w:val="1A171C"/>
          <w:spacing w:val="9"/>
        </w:rPr>
        <w:t xml:space="preserve">  </w:t>
      </w:r>
      <w:r>
        <w:rPr>
          <w:color w:val="1A171C"/>
          <w:spacing w:val="-3"/>
        </w:rPr>
        <w:t>括窦性心动过速、阵发性室上性心动过速（PSV</w:t>
      </w:r>
      <w:r>
        <w:rPr>
          <w:color w:val="1A171C"/>
          <w:spacing w:val="-4"/>
        </w:rPr>
        <w:t>T）、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房性心动过速、房室结折返性心动过速、交界性心</w:t>
      </w:r>
      <w:r>
        <w:rPr>
          <w:color w:val="1A171C"/>
          <w:spacing w:val="9"/>
        </w:rPr>
        <w:t xml:space="preserve">  </w:t>
      </w:r>
      <w:r>
        <w:rPr>
          <w:color w:val="1A171C"/>
          <w:spacing w:val="-3"/>
        </w:rPr>
        <w:t>动过速、房室折返性心动过速、心房颤动、心</w:t>
      </w:r>
      <w:r>
        <w:rPr>
          <w:color w:val="1A171C"/>
          <w:spacing w:val="-4"/>
        </w:rPr>
        <w:t>房扑动</w:t>
      </w:r>
      <w:r>
        <w:rPr>
          <w:color w:val="1A171C"/>
        </w:rPr>
        <w:t xml:space="preserve">  </w:t>
      </w:r>
      <w:r>
        <w:rPr>
          <w:color w:val="1A171C"/>
          <w:spacing w:val="17"/>
        </w:rPr>
        <w:t>等</w:t>
      </w:r>
      <w:r>
        <w:rPr>
          <w:color w:val="1A171C"/>
          <w:spacing w:val="-1"/>
        </w:rPr>
        <w:t xml:space="preserve"> </w:t>
      </w:r>
      <w:r>
        <w:rPr>
          <w:color w:val="1A171C"/>
          <w:spacing w:val="17"/>
        </w:rPr>
        <w:t>。狭义上特指</w:t>
      </w:r>
      <w:r>
        <w:rPr>
          <w:color w:val="1A171C"/>
          <w:spacing w:val="-9"/>
        </w:rPr>
        <w:t xml:space="preserve"> </w:t>
      </w:r>
      <w:r>
        <w:rPr>
          <w:color w:val="1A171C"/>
        </w:rPr>
        <w:t>PSVT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17"/>
        </w:rPr>
        <w:t>。主要的临床症状包括心</w:t>
      </w:r>
      <w:r>
        <w:rPr>
          <w:color w:val="1A171C"/>
        </w:rPr>
        <w:t xml:space="preserve">  </w:t>
      </w:r>
      <w:r>
        <w:rPr>
          <w:color w:val="1A171C"/>
          <w:spacing w:val="-12"/>
        </w:rPr>
        <w:t>悸、胸痛、气短、头昏、眩晕以及接近晕厥，症状可持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-3"/>
        </w:rPr>
        <w:t>续数分钟、数小时或数天自行终止</w:t>
      </w:r>
      <w:r>
        <w:rPr>
          <w:sz w:val="10"/>
          <w:szCs w:val="10"/>
          <w:color w:val="1A171C"/>
          <w:spacing w:val="-3"/>
          <w:position w:val="8"/>
        </w:rPr>
        <w:t>［1-3］</w:t>
      </w:r>
      <w:r>
        <w:rPr>
          <w:color w:val="1A171C"/>
          <w:spacing w:val="-3"/>
        </w:rPr>
        <w:t>。</w:t>
      </w:r>
    </w:p>
    <w:p>
      <w:pPr>
        <w:pStyle w:val="BodyText"/>
        <w:ind w:left="909" w:right="474" w:firstLine="424"/>
        <w:spacing w:before="1" w:line="222" w:lineRule="auto"/>
        <w:jc w:val="both"/>
        <w:rPr/>
      </w:pPr>
      <w:r>
        <w:rPr>
          <w:color w:val="1A171C"/>
          <w:spacing w:val="15"/>
        </w:rPr>
        <w:t>室上速中房性心动过速和心房扑动多见于器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5"/>
        </w:rPr>
        <w:t>质性心肺疾病患者，如慢性阻塞性肺疾病、心瓣膜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-3"/>
        </w:rPr>
        <w:t>疾病等，可发生于心、胸外科手术后，也见</w:t>
      </w:r>
      <w:r>
        <w:rPr>
          <w:color w:val="1A171C"/>
          <w:spacing w:val="-4"/>
        </w:rPr>
        <w:t>于无明确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器质性心脏病者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4"/>
        </w:rPr>
        <w:t>。房室结折返性心动过速、交界性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心动过速、房室折返性心动过速则多见于无器质性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6"/>
        </w:rPr>
        <w:t>心脏病者。</w:t>
      </w:r>
    </w:p>
    <w:p>
      <w:pPr>
        <w:ind w:left="1338"/>
        <w:spacing w:line="269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6"/>
          <w:position w:val="1"/>
        </w:rPr>
        <w:t>二、药物治疗原则</w:t>
      </w:r>
    </w:p>
    <w:p>
      <w:pPr>
        <w:pStyle w:val="BodyText"/>
        <w:ind w:left="1246"/>
        <w:spacing w:before="59" w:line="205" w:lineRule="auto"/>
        <w:rPr/>
      </w:pPr>
      <w:r>
        <w:rPr>
          <w:color w:val="1A171C"/>
          <w:spacing w:val="-4"/>
        </w:rPr>
        <w:t>（一）急性发作的治疗</w:t>
      </w:r>
    </w:p>
    <w:p>
      <w:pPr>
        <w:pStyle w:val="BodyText"/>
        <w:ind w:left="908" w:right="474" w:firstLine="421"/>
        <w:spacing w:before="31" w:line="226" w:lineRule="auto"/>
        <w:rPr/>
      </w:pPr>
      <w:r>
        <w:pict>
          <v:shape id="_x0000_s6" style="position:absolute;margin-left:45.2678pt;margin-top:39.0755pt;mso-position-vertical-relative:text;mso-position-horizontal-relative:text;width:399.15pt;height:0.15pt;z-index:251660288;" filled="false" strokecolor="#1A171C" strokeweight="0.14pt" coordsize="7982,3" coordorigin="0,0" path="m0,1l7982,1e">
            <v:stroke joinstyle="miter" miterlimit="4"/>
          </v:shape>
        </w:pict>
      </w:r>
      <w:r>
        <w:rPr>
          <w:color w:val="1A171C"/>
          <w:spacing w:val="5"/>
        </w:rPr>
        <w:t>迷走神经刺激无效时首选静脉推注腺苷，腺苷</w:t>
      </w:r>
      <w:r>
        <w:rPr>
          <w:color w:val="1A171C"/>
          <w:spacing w:val="6"/>
        </w:rPr>
        <w:t xml:space="preserve"> </w:t>
      </w:r>
      <w:r>
        <w:rPr>
          <w:color w:val="1A171C"/>
          <w:spacing w:val="-9"/>
        </w:rPr>
        <w:t>无</w:t>
      </w:r>
      <w:r>
        <w:rPr>
          <w:color w:val="1A171C"/>
          <w:spacing w:val="-6"/>
        </w:rPr>
        <w:t xml:space="preserve"> </w:t>
      </w:r>
      <w:r>
        <w:rPr>
          <w:color w:val="1A171C"/>
          <w:spacing w:val="-9"/>
        </w:rPr>
        <w:t>效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-9"/>
        </w:rPr>
        <w:t>时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9"/>
        </w:rPr>
        <w:t>可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9"/>
        </w:rPr>
        <w:t>静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9"/>
        </w:rPr>
        <w:t>脉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9"/>
        </w:rPr>
        <w:t>使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9"/>
        </w:rPr>
        <w:t>用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9"/>
        </w:rPr>
        <w:t>维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9"/>
        </w:rPr>
        <w:t>拉 帕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9"/>
        </w:rPr>
        <w:t>米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9"/>
        </w:rPr>
        <w:t>、地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9"/>
        </w:rPr>
        <w:t>尔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9"/>
        </w:rPr>
        <w:t>硫</w:t>
      </w:r>
      <w:r>
        <w:rPr>
          <w:color w:val="1A171C"/>
          <w:spacing w:val="-28"/>
        </w:rPr>
        <w:t xml:space="preserve"> </w:t>
      </w:r>
      <w:r>
        <w:rPr>
          <w:position w:val="-2"/>
        </w:rPr>
        <w:drawing>
          <wp:inline distT="0" distB="0" distL="0" distR="0">
            <wp:extent cx="138010" cy="13801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010" cy="13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71C"/>
          <w:spacing w:val="-19"/>
        </w:rPr>
        <w:t xml:space="preserve"> </w:t>
      </w:r>
      <w:r>
        <w:rPr>
          <w:color w:val="1A171C"/>
          <w:spacing w:val="-9"/>
        </w:rPr>
        <w:t>、普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9"/>
        </w:rPr>
        <w:t>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/>
        <w:spacing w:before="51" w:line="187" w:lineRule="auto"/>
        <w:rPr/>
      </w:pPr>
      <w:r>
        <w:rPr>
          <w:color w:val="1A171C"/>
          <w:spacing w:val="-1"/>
          <w:position w:val="-3"/>
        </w:rPr>
        <w:t>帕酮</w:t>
      </w:r>
      <w:r>
        <w:rPr>
          <w:sz w:val="10"/>
          <w:szCs w:val="10"/>
          <w:color w:val="1A171C"/>
          <w:spacing w:val="-18"/>
          <w:position w:val="5"/>
        </w:rPr>
        <w:t>［1-5］</w:t>
      </w:r>
      <w:r>
        <w:rPr>
          <w:color w:val="1A171C"/>
          <w:spacing w:val="2"/>
          <w:position w:val="-3"/>
        </w:rPr>
        <w:t>。</w:t>
      </w:r>
    </w:p>
    <w:p>
      <w:pPr>
        <w:pStyle w:val="BodyText"/>
        <w:ind w:left="338"/>
        <w:spacing w:before="51" w:line="205" w:lineRule="auto"/>
        <w:rPr/>
      </w:pPr>
      <w:r>
        <w:rPr>
          <w:color w:val="1A171C"/>
          <w:spacing w:val="-10"/>
        </w:rPr>
        <w:t>（二）长期治疗</w:t>
      </w:r>
    </w:p>
    <w:p>
      <w:pPr>
        <w:pStyle w:val="BodyText"/>
        <w:ind w:right="906" w:firstLine="423"/>
        <w:spacing w:before="29" w:line="225" w:lineRule="auto"/>
        <w:jc w:val="both"/>
        <w:rPr/>
      </w:pPr>
      <w:r>
        <w:rPr>
          <w:color w:val="1A171C"/>
          <w:spacing w:val="6"/>
        </w:rPr>
        <w:t>导管射频消融是根治</w:t>
      </w:r>
      <w:r>
        <w:rPr>
          <w:color w:val="1A171C"/>
          <w:spacing w:val="-11"/>
        </w:rPr>
        <w:t xml:space="preserve"> </w:t>
      </w:r>
      <w:r>
        <w:rPr>
          <w:color w:val="1A171C"/>
        </w:rPr>
        <w:t>PSVT</w:t>
      </w:r>
      <w:r>
        <w:rPr>
          <w:color w:val="1A171C"/>
          <w:spacing w:val="6"/>
        </w:rPr>
        <w:t xml:space="preserve"> 的有效方法，成功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率高，并发症少，仅极少数患者需长期服药预防复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12"/>
        </w:rPr>
        <w:t>发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12"/>
        </w:rPr>
        <w:t>。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12"/>
        </w:rPr>
        <w:t>口服普罗帕酮或维拉帕米可预防室上速的复</w:t>
      </w:r>
      <w:r>
        <w:rPr>
          <w:color w:val="1A171C"/>
        </w:rPr>
        <w:t xml:space="preserve"> </w:t>
      </w:r>
      <w:r>
        <w:rPr>
          <w:color w:val="1A171C"/>
          <w:spacing w:val="-2"/>
        </w:rPr>
        <w:t>发，β</w:t>
      </w:r>
      <w:r>
        <w:rPr>
          <w:color w:val="1A171C"/>
          <w:spacing w:val="-7"/>
        </w:rPr>
        <w:t xml:space="preserve"> </w:t>
      </w:r>
      <w:r>
        <w:rPr>
          <w:color w:val="1A171C"/>
          <w:spacing w:val="-2"/>
        </w:rPr>
        <w:t>受体阻滞剂、地尔硫</w:t>
      </w:r>
      <w:r>
        <w:rPr>
          <w:color w:val="5B595D"/>
          <w:spacing w:val="-2"/>
        </w:rPr>
        <w:t>草</w:t>
      </w:r>
      <w:r>
        <w:rPr>
          <w:color w:val="1A171C"/>
          <w:spacing w:val="-2"/>
        </w:rPr>
        <w:t>、胺碘酮等药物为可备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选的二线用药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4"/>
        </w:rPr>
        <w:t>。如存在预激综合征，避免使用</w:t>
      </w:r>
      <w:r>
        <w:rPr>
          <w:color w:val="1A171C"/>
          <w:spacing w:val="-10"/>
        </w:rPr>
        <w:t xml:space="preserve"> </w:t>
      </w:r>
      <w:r>
        <w:rPr>
          <w:color w:val="1A171C"/>
          <w:spacing w:val="4"/>
        </w:rPr>
        <w:t>β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4"/>
        </w:rPr>
        <w:t>受</w:t>
      </w:r>
      <w:r>
        <w:rPr>
          <w:color w:val="1A171C"/>
        </w:rPr>
        <w:t xml:space="preserve"> </w:t>
      </w:r>
      <w:r>
        <w:rPr>
          <w:color w:val="1A171C"/>
          <w:spacing w:val="-3"/>
        </w:rPr>
        <w:t>体阻滞剂、地尔硫</w:t>
      </w:r>
      <w:r>
        <w:rPr>
          <w:position w:val="-2"/>
        </w:rPr>
        <w:drawing>
          <wp:inline distT="0" distB="0" distL="0" distR="0">
            <wp:extent cx="139369" cy="13801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369" cy="13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71C"/>
          <w:spacing w:val="-3"/>
        </w:rPr>
        <w:t>、维拉帕米和地高辛。</w:t>
      </w:r>
    </w:p>
    <w:p>
      <w:pPr>
        <w:pStyle w:val="BodyText"/>
        <w:ind w:left="422"/>
        <w:spacing w:before="1" w:line="199" w:lineRule="auto"/>
        <w:rPr/>
      </w:pPr>
      <w:r>
        <w:rPr>
          <w:color w:val="1A171C"/>
        </w:rPr>
        <w:t>PSVT</w:t>
      </w:r>
      <w:r>
        <w:rPr>
          <w:color w:val="1A171C"/>
          <w:spacing w:val="-3"/>
        </w:rPr>
        <w:t xml:space="preserve"> </w:t>
      </w:r>
      <w:r>
        <w:rPr>
          <w:color w:val="1A171C"/>
          <w:spacing w:val="4"/>
        </w:rPr>
        <w:t>的治疗药物见表1。</w:t>
      </w:r>
    </w:p>
    <w:p>
      <w:pPr>
        <w:pStyle w:val="BodyText"/>
        <w:ind w:left="432"/>
        <w:spacing w:before="23" w:line="269" w:lineRule="exact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color w:val="1A171C"/>
          <w:spacing w:val="-12"/>
          <w:position w:val="1"/>
        </w:rPr>
        <w:t>三、治疗药物</w:t>
      </w:r>
      <w:r>
        <w:rPr>
          <w:rFonts w:ascii="SimHei" w:hAnsi="SimHei" w:eastAsia="SimHei" w:cs="SimHei"/>
          <w:sz w:val="10"/>
          <w:szCs w:val="10"/>
          <w:color w:val="1A171C"/>
          <w:spacing w:val="-12"/>
          <w:position w:val="9"/>
        </w:rPr>
        <w:t>［</w:t>
      </w:r>
      <w:r>
        <w:rPr>
          <w:sz w:val="10"/>
          <w:szCs w:val="10"/>
          <w:color w:val="1A171C"/>
          <w:spacing w:val="-12"/>
          <w:position w:val="9"/>
        </w:rPr>
        <w:t>6-8</w:t>
      </w:r>
      <w:r>
        <w:rPr>
          <w:rFonts w:ascii="SimHei" w:hAnsi="SimHei" w:eastAsia="SimHei" w:cs="SimHei"/>
          <w:sz w:val="10"/>
          <w:szCs w:val="10"/>
          <w:color w:val="1A171C"/>
          <w:spacing w:val="-12"/>
          <w:position w:val="9"/>
        </w:rPr>
        <w:t>］</w:t>
      </w:r>
    </w:p>
    <w:p>
      <w:pPr>
        <w:ind w:left="346"/>
        <w:spacing w:before="56" w:line="270" w:lineRule="exact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15"/>
          <w:position w:val="-1"/>
        </w:rPr>
        <w:t>（一）地尔硫</w:t>
      </w:r>
      <w:r>
        <w:rPr>
          <w:sz w:val="20"/>
          <w:szCs w:val="20"/>
          <w:position w:val="-3"/>
        </w:rPr>
        <w:drawing>
          <wp:inline distT="0" distB="0" distL="0" distR="0">
            <wp:extent cx="139450" cy="13802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450" cy="13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39"/>
        <w:spacing w:before="58" w:line="210" w:lineRule="auto"/>
        <w:rPr/>
      </w:pPr>
      <w:r>
        <w:rPr>
          <w:color w:val="1A171C"/>
          <w:spacing w:val="-1"/>
        </w:rPr>
        <w:t>1.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"/>
        </w:rPr>
        <w:t>药品分类：Ⅳ类抗心律失常药。</w:t>
      </w:r>
    </w:p>
    <w:p>
      <w:pPr>
        <w:pStyle w:val="BodyText"/>
        <w:ind w:left="423"/>
        <w:spacing w:before="18" w:line="210" w:lineRule="auto"/>
        <w:rPr/>
      </w:pPr>
      <w:r>
        <w:rPr>
          <w:color w:val="1A171C"/>
          <w:spacing w:val="1"/>
        </w:rPr>
        <w:t>2.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1"/>
        </w:rPr>
        <w:t>用药目的：用于室上性快速心律失常。</w:t>
      </w:r>
    </w:p>
    <w:p>
      <w:pPr>
        <w:pStyle w:val="BodyText"/>
        <w:ind w:right="906" w:firstLine="426"/>
        <w:spacing w:before="19" w:line="217" w:lineRule="auto"/>
        <w:rPr/>
      </w:pPr>
      <w:r>
        <w:pict>
          <v:group id="_x0000_s8" style="position:absolute;margin-left:158.356pt;margin-top:102.347pt;mso-position-vertical-relative:text;mso-position-horizontal-relative:text;width:68.2pt;height:68.2pt;z-index:251659264;" filled="false" stroked="false" coordsize="1363,1363" coordorigin="0,0">
            <v:shape id="_x0000_s10" style="position:absolute;left:114;top:114;width:1134;height:1134;" filled="false" stroked="false" type="#_x0000_t75">
              <v:imagedata o:title="" r:id="rId5"/>
            </v:shape>
            <v:shape id="_x0000_s12" style="position:absolute;left:-20;top:-20;width:1403;height:14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358" w:type="dxa"/>
                      <w:tblInd w:w="22" w:type="dxa"/>
                      <w:tblLayout w:type="fixed"/>
                      <w:tblBorders>
                        <w:left w:val="single" w:color="1A171C" w:sz="2" w:space="0"/>
                        <w:bottom w:val="single" w:color="1A171C" w:sz="2" w:space="0"/>
                        <w:right w:val="single" w:color="1A171C" w:sz="2" w:space="0"/>
                        <w:top w:val="single" w:color="1A171C" w:sz="2" w:space="0"/>
                      </w:tblBorders>
                    </w:tblPr>
                    <w:tblGrid>
                      <w:gridCol w:w="1358"/>
                    </w:tblGrid>
                    <w:tr>
                      <w:trPr>
                        <w:trHeight w:val="1353" w:hRule="atLeast"/>
                      </w:trPr>
                      <w:tc>
                        <w:tcPr>
                          <w:tcW w:w="1358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  <w:r>
        <w:rPr>
          <w:color w:val="1A171C"/>
          <w:spacing w:val="5"/>
        </w:rPr>
        <w:t>3.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5"/>
        </w:rPr>
        <w:t>禁忌证：禁用于严重低血压或心原性休</w:t>
      </w:r>
      <w:r>
        <w:rPr>
          <w:color w:val="1A171C"/>
          <w:spacing w:val="4"/>
        </w:rPr>
        <w:t>克患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者；二至三度房室传导阻滞或病窦综合征［持续窦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-6"/>
        </w:rPr>
        <w:t>性心动过缓（心率&lt;50</w:t>
      </w:r>
      <w:r>
        <w:rPr>
          <w:color w:val="1A171C"/>
          <w:spacing w:val="-9"/>
        </w:rPr>
        <w:t xml:space="preserve"> </w:t>
      </w:r>
      <w:r>
        <w:rPr>
          <w:color w:val="1A171C"/>
          <w:spacing w:val="-6"/>
        </w:rPr>
        <w:t>次/min）、窦性停搏和窦房阻</w:t>
      </w:r>
      <w:r>
        <w:rPr>
          <w:color w:val="1A171C"/>
        </w:rPr>
        <w:t xml:space="preserve"> </w:t>
      </w:r>
      <w:r>
        <w:rPr>
          <w:color w:val="1A171C"/>
          <w:spacing w:val="16"/>
        </w:rPr>
        <w:t>滞等</w:t>
      </w:r>
      <w:r>
        <w:rPr>
          <w:color w:val="1A171C"/>
          <w:spacing w:val="-35"/>
          <w:w w:val="69"/>
        </w:rPr>
        <w:t>］；</w:t>
      </w:r>
      <w:r>
        <w:rPr>
          <w:color w:val="1A171C"/>
          <w:spacing w:val="16"/>
        </w:rPr>
        <w:t>严重充血性心力衰竭患者；严重心肌病患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5"/>
        </w:rPr>
        <w:t>者；对药物中任一成分过敏者；妊娠或可能妊娠的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4"/>
        </w:rPr>
        <w:t>妇女。</w:t>
      </w:r>
    </w:p>
    <w:p>
      <w:pPr>
        <w:spacing w:line="217" w:lineRule="auto"/>
        <w:sectPr>
          <w:type w:val="continuous"/>
          <w:pgSz w:w="12246" w:h="16498"/>
          <w:pgMar w:top="400" w:right="400" w:bottom="0" w:left="400" w:header="0" w:footer="0" w:gutter="0"/>
          <w:cols w:equalWidth="0" w:num="2">
            <w:col w:w="5912" w:space="100"/>
            <w:col w:w="5435" w:space="0"/>
          </w:cols>
        </w:sectPr>
        <w:rPr/>
      </w:pP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908"/>
        <w:spacing w:before="73" w:line="195" w:lineRule="auto"/>
        <w:rPr>
          <w:sz w:val="17"/>
          <w:szCs w:val="17"/>
        </w:rPr>
      </w:pPr>
      <w:r>
        <w:rPr>
          <w:sz w:val="17"/>
          <w:szCs w:val="17"/>
          <w:color w:val="1A171C"/>
          <w:spacing w:val="-8"/>
        </w:rPr>
        <w:t>DOI：10.3760/cma.j.cn114798-20210209-00153</w:t>
      </w:r>
    </w:p>
    <w:p>
      <w:pPr>
        <w:pStyle w:val="BodyText"/>
        <w:ind w:left="912"/>
        <w:spacing w:before="42" w:line="20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C"/>
          <w:spacing w:val="2"/>
        </w:rPr>
        <w:t>收稿日期</w:t>
      </w:r>
      <w:r>
        <w:rPr>
          <w:rFonts w:ascii="SimHei" w:hAnsi="SimHei" w:eastAsia="SimHei" w:cs="SimHei"/>
          <w:sz w:val="17"/>
          <w:szCs w:val="17"/>
          <w:color w:val="1A171C"/>
          <w:spacing w:val="74"/>
        </w:rPr>
        <w:t xml:space="preserve"> </w:t>
      </w:r>
      <w:r>
        <w:rPr>
          <w:sz w:val="17"/>
          <w:szCs w:val="17"/>
          <w:color w:val="1A171C"/>
          <w:spacing w:val="2"/>
        </w:rPr>
        <w:t>2021-02-09          </w:t>
      </w:r>
      <w:r>
        <w:rPr>
          <w:rFonts w:ascii="SimHei" w:hAnsi="SimHei" w:eastAsia="SimHei" w:cs="SimHei"/>
          <w:sz w:val="17"/>
          <w:szCs w:val="17"/>
          <w:color w:val="1A171C"/>
          <w:spacing w:val="2"/>
        </w:rPr>
        <w:t>本文编辑</w:t>
      </w:r>
      <w:r>
        <w:rPr>
          <w:rFonts w:ascii="SimHei" w:hAnsi="SimHei" w:eastAsia="SimHei" w:cs="SimHei"/>
          <w:sz w:val="17"/>
          <w:szCs w:val="17"/>
          <w:color w:val="1A171C"/>
          <w:spacing w:val="59"/>
        </w:rPr>
        <w:t xml:space="preserve"> </w:t>
      </w:r>
      <w:r>
        <w:rPr>
          <w:sz w:val="17"/>
          <w:szCs w:val="17"/>
          <w:color w:val="1A171C"/>
          <w:spacing w:val="2"/>
        </w:rPr>
        <w:t>赵静姝    刘岚</w:t>
      </w:r>
    </w:p>
    <w:p>
      <w:pPr>
        <w:pStyle w:val="BodyText"/>
        <w:ind w:left="910" w:right="2561" w:firstLine="12"/>
        <w:spacing w:before="33" w:line="239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C"/>
          <w:spacing w:val="8"/>
        </w:rPr>
        <w:t>引用本文：</w:t>
      </w:r>
      <w:r>
        <w:rPr>
          <w:sz w:val="17"/>
          <w:szCs w:val="17"/>
          <w:color w:val="1A171C"/>
          <w:spacing w:val="8"/>
        </w:rPr>
        <w:t>中华医学会,</w:t>
      </w:r>
      <w:r>
        <w:rPr>
          <w:sz w:val="17"/>
          <w:szCs w:val="17"/>
          <w:color w:val="1A171C"/>
          <w:spacing w:val="20"/>
          <w:w w:val="101"/>
        </w:rPr>
        <w:t xml:space="preserve"> </w:t>
      </w:r>
      <w:r>
        <w:rPr>
          <w:sz w:val="17"/>
          <w:szCs w:val="17"/>
          <w:color w:val="1A171C"/>
          <w:spacing w:val="8"/>
        </w:rPr>
        <w:t>中华医学会临床药学分会,</w:t>
      </w:r>
      <w:r>
        <w:rPr>
          <w:sz w:val="17"/>
          <w:szCs w:val="17"/>
          <w:color w:val="1A171C"/>
          <w:spacing w:val="20"/>
        </w:rPr>
        <w:t xml:space="preserve"> </w:t>
      </w:r>
      <w:r>
        <w:rPr>
          <w:sz w:val="17"/>
          <w:szCs w:val="17"/>
          <w:color w:val="1A171C"/>
          <w:spacing w:val="8"/>
        </w:rPr>
        <w:t>中华医学会杂志社, 等</w:t>
      </w:r>
      <w:r>
        <w:rPr>
          <w:sz w:val="17"/>
          <w:szCs w:val="17"/>
          <w:color w:val="1A171C"/>
          <w:spacing w:val="-10"/>
        </w:rPr>
        <w:t xml:space="preserve"> </w:t>
      </w:r>
      <w:r>
        <w:rPr>
          <w:sz w:val="17"/>
          <w:szCs w:val="17"/>
          <w:color w:val="1A171C"/>
          <w:spacing w:val="8"/>
        </w:rPr>
        <w:t>. 室上性</w:t>
      </w:r>
      <w:r>
        <w:rPr>
          <w:sz w:val="17"/>
          <w:szCs w:val="17"/>
          <w:color w:val="1A171C"/>
          <w:spacing w:val="7"/>
        </w:rPr>
        <w:t>心动过速基层合理用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-4"/>
        </w:rPr>
        <w:t>药指南[J].</w:t>
      </w:r>
      <w:r>
        <w:rPr>
          <w:sz w:val="17"/>
          <w:szCs w:val="17"/>
          <w:color w:val="1A171C"/>
          <w:spacing w:val="17"/>
          <w:w w:val="101"/>
        </w:rPr>
        <w:t xml:space="preserve"> </w:t>
      </w:r>
      <w:r>
        <w:rPr>
          <w:sz w:val="17"/>
          <w:szCs w:val="17"/>
          <w:color w:val="1A171C"/>
          <w:spacing w:val="-4"/>
        </w:rPr>
        <w:t>中华全科医师杂志, 2021, 20(4): 435-440. DOI:</w:t>
      </w:r>
      <w:r>
        <w:rPr>
          <w:sz w:val="17"/>
          <w:szCs w:val="17"/>
          <w:color w:val="1A171C"/>
          <w:spacing w:val="15"/>
          <w:w w:val="101"/>
        </w:rPr>
        <w:t xml:space="preserve"> </w:t>
      </w:r>
      <w:r>
        <w:rPr>
          <w:sz w:val="17"/>
          <w:szCs w:val="17"/>
          <w:color w:val="1A171C"/>
          <w:spacing w:val="-4"/>
        </w:rPr>
        <w:t>10.3760/cma.j.cn114798-202102</w:t>
      </w:r>
      <w:r>
        <w:rPr>
          <w:sz w:val="17"/>
          <w:szCs w:val="17"/>
          <w:color w:val="1A171C"/>
          <w:spacing w:val="-5"/>
        </w:rPr>
        <w:t>09-00153.</w:t>
      </w:r>
    </w:p>
    <w:p>
      <w:pPr>
        <w:spacing w:line="422" w:lineRule="auto"/>
        <w:rPr>
          <w:rFonts w:ascii="Arial"/>
          <w:sz w:val="21"/>
        </w:rPr>
      </w:pPr>
      <w:r/>
    </w:p>
    <w:p>
      <w:pPr>
        <w:spacing w:before="70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70443</wp:posOffset>
            </wp:positionV>
            <wp:extent cx="1219200" cy="14325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400" w:right="400" w:bottom="0" w:left="400" w:header="0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55"/>
        <w:rPr/>
      </w:pPr>
      <w:r/>
    </w:p>
    <w:p>
      <w:pPr>
        <w:sectPr>
          <w:headerReference w:type="default" r:id="rId7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/>
      </w:pPr>
    </w:p>
    <w:p>
      <w:pPr>
        <w:pStyle w:val="BodyText"/>
        <w:ind w:left="1593"/>
        <w:spacing w:before="47" w:line="208" w:lineRule="auto"/>
        <w:outlineLvl w:val="1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C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color w:val="1A171C"/>
          <w:spacing w:val="-41"/>
        </w:rPr>
        <w:t xml:space="preserve"> </w:t>
      </w:r>
      <w:r>
        <w:rPr>
          <w:sz w:val="17"/>
          <w:szCs w:val="17"/>
          <w:color w:val="1A171C"/>
          <w:spacing w:val="6"/>
        </w:rPr>
        <w:t>1</w:t>
      </w:r>
      <w:r>
        <w:rPr>
          <w:sz w:val="17"/>
          <w:szCs w:val="17"/>
          <w:color w:val="1A171C"/>
          <w:spacing w:val="15"/>
        </w:rPr>
        <w:t xml:space="preserve">   </w:t>
      </w:r>
      <w:r>
        <w:rPr>
          <w:sz w:val="17"/>
          <w:szCs w:val="17"/>
          <w:color w:val="1A171C"/>
          <w:spacing w:val="6"/>
        </w:rPr>
        <w:t>阵发性室上性心动过速的治疗药物</w:t>
      </w:r>
    </w:p>
    <w:p>
      <w:pPr>
        <w:spacing w:line="29" w:lineRule="exact"/>
        <w:rPr/>
      </w:pPr>
      <w:r/>
    </w:p>
    <w:tbl>
      <w:tblPr>
        <w:tblStyle w:val="TableNormal"/>
        <w:tblW w:w="4535" w:type="dxa"/>
        <w:tblInd w:w="9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45"/>
        <w:gridCol w:w="1920"/>
        <w:gridCol w:w="1370"/>
      </w:tblGrid>
      <w:tr>
        <w:trPr>
          <w:trHeight w:val="266" w:hRule="atLeast"/>
        </w:trPr>
        <w:tc>
          <w:tcPr>
            <w:tcW w:w="1245" w:type="dxa"/>
            <w:vAlign w:val="top"/>
            <w:tcBorders>
              <w:bottom w:val="single" w:color="1A171C" w:sz="2" w:space="0"/>
              <w:top w:val="single" w:color="1A171C" w:sz="6" w:space="0"/>
            </w:tcBorders>
          </w:tcPr>
          <w:p>
            <w:pPr>
              <w:pStyle w:val="TableText"/>
              <w:ind w:left="394"/>
              <w:spacing w:before="54" w:line="181" w:lineRule="auto"/>
              <w:rPr/>
            </w:pPr>
            <w:r>
              <w:rPr>
                <w:color w:val="1A171C"/>
                <w:spacing w:val="8"/>
              </w:rPr>
              <w:t>适应证</w:t>
            </w:r>
          </w:p>
        </w:tc>
        <w:tc>
          <w:tcPr>
            <w:tcW w:w="1920" w:type="dxa"/>
            <w:vAlign w:val="top"/>
            <w:tcBorders>
              <w:bottom w:val="single" w:color="1A171C" w:sz="2" w:space="0"/>
              <w:top w:val="single" w:color="1A171C" w:sz="6" w:space="0"/>
            </w:tcBorders>
          </w:tcPr>
          <w:p>
            <w:pPr>
              <w:pStyle w:val="TableText"/>
              <w:ind w:left="654"/>
              <w:spacing w:before="54" w:line="184" w:lineRule="auto"/>
              <w:rPr/>
            </w:pPr>
            <w:r>
              <w:rPr>
                <w:color w:val="1A171C"/>
                <w:spacing w:val="8"/>
              </w:rPr>
              <w:t>药物种类</w:t>
            </w:r>
          </w:p>
        </w:tc>
        <w:tc>
          <w:tcPr>
            <w:tcW w:w="1370" w:type="dxa"/>
            <w:vAlign w:val="top"/>
            <w:tcBorders>
              <w:bottom w:val="single" w:color="1A171C" w:sz="2" w:space="0"/>
              <w:top w:val="single" w:color="1A171C" w:sz="6" w:space="0"/>
            </w:tcBorders>
          </w:tcPr>
          <w:p>
            <w:pPr>
              <w:pStyle w:val="TableText"/>
              <w:ind w:left="372"/>
              <w:spacing w:before="53" w:line="187" w:lineRule="auto"/>
              <w:rPr/>
            </w:pPr>
            <w:r>
              <w:rPr>
                <w:color w:val="1A171C"/>
                <w:spacing w:val="7"/>
              </w:rPr>
              <w:t>推荐药物</w:t>
            </w:r>
          </w:p>
        </w:tc>
      </w:tr>
      <w:tr>
        <w:trPr>
          <w:trHeight w:val="3127" w:hRule="atLeast"/>
        </w:trPr>
        <w:tc>
          <w:tcPr>
            <w:tcW w:w="1245" w:type="dxa"/>
            <w:vAlign w:val="top"/>
            <w:tcBorders>
              <w:bottom w:val="single" w:color="1A171C" w:sz="2" w:space="0"/>
              <w:top w:val="single" w:color="1A171C" w:sz="2" w:space="0"/>
            </w:tcBorders>
          </w:tcPr>
          <w:p>
            <w:pPr>
              <w:pStyle w:val="TableText"/>
              <w:ind w:left="63"/>
              <w:spacing w:before="56" w:line="185" w:lineRule="auto"/>
              <w:rPr/>
            </w:pPr>
            <w:r>
              <w:rPr>
                <w:color w:val="1A171C"/>
                <w:spacing w:val="8"/>
              </w:rPr>
              <w:t>急性发作的治疗</w:t>
            </w:r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"/>
              <w:spacing w:before="64" w:line="184" w:lineRule="auto"/>
              <w:rPr/>
            </w:pPr>
            <w:r>
              <w:rPr>
                <w:color w:val="1A171C"/>
                <w:spacing w:val="7"/>
              </w:rPr>
              <w:t>预防复发</w:t>
            </w:r>
          </w:p>
        </w:tc>
        <w:tc>
          <w:tcPr>
            <w:tcW w:w="1920" w:type="dxa"/>
            <w:vAlign w:val="top"/>
            <w:tcBorders>
              <w:bottom w:val="single" w:color="1A171C" w:sz="2" w:space="0"/>
              <w:top w:val="single" w:color="1A171C" w:sz="2" w:space="0"/>
            </w:tcBorders>
          </w:tcPr>
          <w:p>
            <w:pPr>
              <w:pStyle w:val="TableText"/>
              <w:ind w:left="243" w:right="55" w:hanging="154"/>
              <w:spacing w:before="53" w:line="198" w:lineRule="auto"/>
              <w:rPr/>
            </w:pPr>
            <w:r>
              <w:rPr>
                <w:color w:val="1A171C"/>
                <w:spacing w:val="-3"/>
              </w:rPr>
              <w:t>Ⅳ类（非二氢吡啶类钙通道</w:t>
            </w:r>
            <w:r>
              <w:rPr>
                <w:color w:val="1A171C"/>
                <w:spacing w:val="9"/>
              </w:rPr>
              <w:t xml:space="preserve"> </w:t>
            </w:r>
            <w:r>
              <w:rPr>
                <w:color w:val="1A171C"/>
                <w:spacing w:val="-7"/>
              </w:rPr>
              <w:t>阻滞剂）抗心律失常药</w:t>
            </w:r>
          </w:p>
          <w:p>
            <w:pPr>
              <w:pStyle w:val="TableText"/>
              <w:ind w:left="237" w:right="55" w:hanging="109"/>
              <w:spacing w:before="57" w:line="191" w:lineRule="auto"/>
              <w:rPr/>
            </w:pPr>
            <w:r>
              <w:rPr>
                <w:color w:val="1A171C"/>
                <w:spacing w:val="-3"/>
              </w:rPr>
              <w:t>Ⅰc</w:t>
            </w:r>
            <w:r>
              <w:rPr>
                <w:color w:val="1A171C"/>
              </w:rPr>
              <w:t xml:space="preserve"> </w:t>
            </w:r>
            <w:r>
              <w:rPr>
                <w:color w:val="1A171C"/>
                <w:spacing w:val="-3"/>
              </w:rPr>
              <w:t>类（钠通道阻滞剂）抗</w:t>
            </w:r>
            <w:r>
              <w:rPr>
                <w:color w:val="1A171C"/>
              </w:rPr>
              <w:t xml:space="preserve"> </w:t>
            </w:r>
            <w:r>
              <w:rPr>
                <w:color w:val="1A171C"/>
                <w:spacing w:val="8"/>
              </w:rPr>
              <w:t>心律失常药</w:t>
            </w:r>
          </w:p>
          <w:p>
            <w:pPr>
              <w:pStyle w:val="TableText"/>
              <w:ind w:left="76"/>
              <w:spacing w:before="68" w:line="186" w:lineRule="auto"/>
              <w:rPr/>
            </w:pPr>
            <w:r>
              <w:rPr>
                <w:color w:val="1A171C"/>
                <w:spacing w:val="9"/>
              </w:rPr>
              <w:t>其他类抗心律失常药</w:t>
            </w:r>
          </w:p>
          <w:p>
            <w:pPr>
              <w:pStyle w:val="TableText"/>
              <w:ind w:left="89"/>
              <w:spacing w:before="71" w:line="188" w:lineRule="auto"/>
              <w:rPr/>
            </w:pPr>
            <w:r>
              <w:rPr>
                <w:color w:val="1A171C"/>
                <w:spacing w:val="-3"/>
              </w:rPr>
              <w:t>Ⅳ类（非二氢吡啶类钙通道</w:t>
            </w:r>
          </w:p>
          <w:p>
            <w:pPr>
              <w:pStyle w:val="TableText"/>
              <w:ind w:left="244"/>
              <w:spacing w:line="208" w:lineRule="auto"/>
              <w:rPr/>
            </w:pPr>
            <w:r>
              <w:rPr>
                <w:color w:val="1A171C"/>
                <w:spacing w:val="-7"/>
              </w:rPr>
              <w:t>阻滞剂）抗心律失常药</w:t>
            </w:r>
          </w:p>
          <w:p>
            <w:pPr>
              <w:pStyle w:val="TableText"/>
              <w:ind w:left="128"/>
              <w:spacing w:before="50" w:line="192" w:lineRule="auto"/>
              <w:rPr/>
            </w:pPr>
            <w:r>
              <w:rPr>
                <w:color w:val="1A171C"/>
                <w:spacing w:val="-3"/>
              </w:rPr>
              <w:t>Ⅰc</w:t>
            </w:r>
            <w:r>
              <w:rPr>
                <w:color w:val="1A171C"/>
              </w:rPr>
              <w:t xml:space="preserve"> </w:t>
            </w:r>
            <w:r>
              <w:rPr>
                <w:color w:val="1A171C"/>
                <w:spacing w:val="-3"/>
              </w:rPr>
              <w:t>类（钠通道阻滞剂）抗</w:t>
            </w:r>
          </w:p>
          <w:p>
            <w:pPr>
              <w:pStyle w:val="TableText"/>
              <w:ind w:left="238"/>
              <w:spacing w:line="185" w:lineRule="auto"/>
              <w:rPr/>
            </w:pPr>
            <w:r>
              <w:rPr>
                <w:color w:val="1A171C"/>
                <w:spacing w:val="8"/>
              </w:rPr>
              <w:t>心律失常药</w:t>
            </w:r>
          </w:p>
          <w:p>
            <w:pPr>
              <w:pStyle w:val="TableText"/>
              <w:ind w:left="236" w:right="55" w:hanging="125"/>
              <w:spacing w:before="71" w:line="191" w:lineRule="auto"/>
              <w:rPr/>
            </w:pPr>
            <w:r>
              <w:rPr>
                <w:color w:val="1A171C"/>
                <w:spacing w:val="6"/>
              </w:rPr>
              <w:t>Ⅱ类(β</w:t>
            </w:r>
            <w:r>
              <w:rPr>
                <w:color w:val="1A171C"/>
                <w:spacing w:val="-5"/>
              </w:rPr>
              <w:t xml:space="preserve"> </w:t>
            </w:r>
            <w:r>
              <w:rPr>
                <w:color w:val="1A171C"/>
                <w:spacing w:val="6"/>
              </w:rPr>
              <w:t>受体阻滞剂）抗心</w:t>
            </w:r>
            <w:r>
              <w:rPr>
                <w:color w:val="1A171C"/>
              </w:rPr>
              <w:t xml:space="preserve"> </w:t>
            </w:r>
            <w:r>
              <w:rPr>
                <w:color w:val="1A171C"/>
                <w:spacing w:val="8"/>
              </w:rPr>
              <w:t>律失常药</w:t>
            </w:r>
          </w:p>
          <w:p>
            <w:pPr>
              <w:pStyle w:val="TableText"/>
              <w:ind w:left="236" w:right="56" w:hanging="139"/>
              <w:spacing w:before="67" w:line="189" w:lineRule="auto"/>
              <w:rPr/>
            </w:pPr>
            <w:r>
              <w:rPr>
                <w:color w:val="1A171C"/>
                <w:spacing w:val="-3"/>
              </w:rPr>
              <w:t>Ⅲ类（钾通道阻滞剂）抗心</w:t>
            </w:r>
            <w:r>
              <w:rPr>
                <w:color w:val="1A171C"/>
                <w:spacing w:val="1"/>
              </w:rPr>
              <w:t xml:space="preserve"> </w:t>
            </w:r>
            <w:r>
              <w:rPr>
                <w:color w:val="1A171C"/>
                <w:spacing w:val="8"/>
              </w:rPr>
              <w:t>律失常药</w:t>
            </w:r>
          </w:p>
        </w:tc>
        <w:tc>
          <w:tcPr>
            <w:tcW w:w="1370" w:type="dxa"/>
            <w:vAlign w:val="top"/>
            <w:tcBorders>
              <w:bottom w:val="single" w:color="1A171C" w:sz="2" w:space="0"/>
              <w:top w:val="single" w:color="1A171C" w:sz="2" w:space="0"/>
            </w:tcBorders>
          </w:tcPr>
          <w:p>
            <w:pPr>
              <w:pStyle w:val="TableText"/>
              <w:ind w:left="64"/>
              <w:spacing w:before="55" w:line="185" w:lineRule="auto"/>
              <w:rPr/>
            </w:pPr>
            <w:r>
              <w:rPr>
                <w:color w:val="1A171C"/>
                <w:spacing w:val="5"/>
              </w:rPr>
              <w:t>维拉帕米、地尔硫</w:t>
            </w:r>
          </w:p>
          <w:p>
            <w:pPr>
              <w:ind w:left="219"/>
              <w:spacing w:line="167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06260" cy="106298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260" cy="106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63"/>
              <w:spacing w:before="118" w:line="183" w:lineRule="auto"/>
              <w:rPr/>
            </w:pPr>
            <w:r>
              <w:rPr>
                <w:color w:val="1A171C"/>
                <w:spacing w:val="8"/>
              </w:rPr>
              <w:t>普罗帕酮</w:t>
            </w:r>
          </w:p>
          <w:p>
            <w:pPr>
              <w:pStyle w:val="TableText"/>
              <w:ind w:left="63"/>
              <w:spacing w:before="279" w:line="183" w:lineRule="auto"/>
              <w:rPr/>
            </w:pPr>
            <w:r>
              <w:rPr>
                <w:color w:val="1A171C"/>
                <w:spacing w:val="6"/>
              </w:rPr>
              <w:t>腺苷</w:t>
            </w:r>
          </w:p>
          <w:p>
            <w:pPr>
              <w:pStyle w:val="TableText"/>
              <w:ind w:left="64"/>
              <w:spacing w:before="72" w:line="201" w:lineRule="auto"/>
              <w:rPr/>
            </w:pPr>
            <w:r>
              <w:rPr>
                <w:color w:val="1A171C"/>
                <w:spacing w:val="-5"/>
                <w:w w:val="93"/>
              </w:rPr>
              <w:t>地尔硫</w:t>
            </w:r>
            <w:r>
              <w:rPr>
                <w:position w:val="-2"/>
              </w:rPr>
              <w:drawing>
                <wp:inline distT="0" distB="0" distL="0" distR="0">
                  <wp:extent cx="37286" cy="106298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286" cy="106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8"/>
              </w:rPr>
              <w:drawing>
                <wp:inline distT="0" distB="0" distL="0" distR="0">
                  <wp:extent cx="31755" cy="29933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755" cy="29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</w:rPr>
              <w:drawing>
                <wp:inline distT="0" distB="0" distL="0" distR="0">
                  <wp:extent cx="27584" cy="73020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584" cy="73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A171C"/>
                <w:spacing w:val="-5"/>
                <w:w w:val="93"/>
              </w:rPr>
              <w:t>、维拉帕米</w:t>
            </w:r>
          </w:p>
          <w:p>
            <w:pPr>
              <w:pStyle w:val="TableText"/>
              <w:ind w:left="63"/>
              <w:spacing w:before="264" w:line="183" w:lineRule="auto"/>
              <w:rPr/>
            </w:pPr>
            <w:r>
              <w:rPr>
                <w:color w:val="1A171C"/>
                <w:spacing w:val="8"/>
              </w:rPr>
              <w:t>普罗帕酮</w:t>
            </w:r>
          </w:p>
          <w:p>
            <w:pPr>
              <w:pStyle w:val="TableText"/>
              <w:ind w:left="63"/>
              <w:spacing w:before="279" w:line="185" w:lineRule="auto"/>
              <w:rPr/>
            </w:pPr>
            <w:r>
              <w:rPr>
                <w:color w:val="1A171C"/>
                <w:spacing w:val="6"/>
              </w:rPr>
              <w:t>普萘洛尔、美托洛</w:t>
            </w:r>
          </w:p>
          <w:p>
            <w:pPr>
              <w:pStyle w:val="TableText"/>
              <w:ind w:left="226"/>
              <w:spacing w:before="4" w:line="185" w:lineRule="auto"/>
              <w:rPr/>
            </w:pPr>
            <w:r>
              <w:rPr>
                <w:color w:val="1A171C"/>
                <w:spacing w:val="-5"/>
              </w:rPr>
              <w:t>尔、阿替洛尔</w:t>
            </w:r>
          </w:p>
          <w:p>
            <w:pPr>
              <w:pStyle w:val="TableText"/>
              <w:ind w:left="62"/>
              <w:spacing w:before="75" w:line="183" w:lineRule="auto"/>
              <w:rPr/>
            </w:pPr>
            <w:r>
              <w:rPr>
                <w:color w:val="1A171C"/>
                <w:spacing w:val="8"/>
              </w:rPr>
              <w:t>胺碘酮</w:t>
            </w:r>
          </w:p>
        </w:tc>
      </w:tr>
    </w:tbl>
    <w:p>
      <w:pPr>
        <w:pStyle w:val="BodyText"/>
        <w:ind w:left="912" w:right="473" w:firstLine="416"/>
        <w:spacing w:before="245" w:line="224" w:lineRule="auto"/>
        <w:rPr/>
      </w:pPr>
      <w:r>
        <w:rPr>
          <w:color w:val="1A171C"/>
          <w:spacing w:val="2"/>
        </w:rPr>
        <w:t>4.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2"/>
        </w:rPr>
        <w:t>不良反应：常见不良反应有浮肿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2"/>
        </w:rPr>
        <w:t>、头痛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2"/>
        </w:rPr>
        <w:t>、恶</w:t>
      </w:r>
      <w:r>
        <w:rPr>
          <w:color w:val="1A171C"/>
        </w:rPr>
        <w:t xml:space="preserve"> </w:t>
      </w:r>
      <w:r>
        <w:rPr>
          <w:color w:val="1A171C"/>
          <w:spacing w:val="-10"/>
        </w:rPr>
        <w:t>心、眩晕、皮疹、无力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10"/>
        </w:rPr>
        <w:t>。罕见不良反应有：</w:t>
      </w:r>
    </w:p>
    <w:p>
      <w:pPr>
        <w:pStyle w:val="BodyText"/>
        <w:ind w:left="910" w:right="473" w:firstLine="336"/>
        <w:spacing w:line="211" w:lineRule="auto"/>
        <w:rPr/>
      </w:pPr>
      <w:r>
        <w:rPr>
          <w:color w:val="1A171C"/>
          <w:spacing w:val="-6"/>
        </w:rPr>
        <w:t>（1）心血管系统：房室传导阻滞、心动过缓、束</w:t>
      </w:r>
      <w:r>
        <w:rPr>
          <w:color w:val="1A171C"/>
          <w:spacing w:val="3"/>
        </w:rPr>
        <w:t xml:space="preserve"> </w:t>
      </w:r>
      <w:r>
        <w:rPr>
          <w:color w:val="1A171C"/>
          <w:spacing w:val="2"/>
        </w:rPr>
        <w:t>支传导阻滞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2"/>
        </w:rPr>
        <w:t>、充血性心力衰竭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2"/>
        </w:rPr>
        <w:t>、心电图异常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2"/>
        </w:rPr>
        <w:t>、低血</w:t>
      </w:r>
      <w:r>
        <w:rPr>
          <w:color w:val="1A171C"/>
        </w:rPr>
        <w:t xml:space="preserve"> </w:t>
      </w:r>
      <w:r>
        <w:rPr>
          <w:color w:val="1A171C"/>
          <w:spacing w:val="-9"/>
          <w:w w:val="97"/>
        </w:rPr>
        <w:t>压、心悸、晕厥、心动过速、室性早搏。</w:t>
      </w:r>
    </w:p>
    <w:p>
      <w:pPr>
        <w:pStyle w:val="BodyText"/>
        <w:ind w:left="910" w:right="415" w:firstLine="336"/>
        <w:spacing w:before="53" w:line="205" w:lineRule="auto"/>
        <w:rPr/>
      </w:pPr>
      <w:r>
        <w:rPr>
          <w:color w:val="1A171C"/>
          <w:spacing w:val="-15"/>
        </w:rPr>
        <w:t>（2）神经系统：多梦、遗忘、抑郁、步态异常、幻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-9"/>
          <w:w w:val="96"/>
        </w:rPr>
        <w:t>觉、失眠、神经质、感觉异常、性格改变、嗜睡、震颤。</w:t>
      </w:r>
    </w:p>
    <w:p>
      <w:pPr>
        <w:pStyle w:val="BodyText"/>
        <w:ind w:left="910" w:right="473" w:firstLine="336"/>
        <w:spacing w:before="57" w:line="211" w:lineRule="auto"/>
        <w:rPr/>
      </w:pPr>
      <w:r>
        <w:rPr>
          <w:color w:val="1A171C"/>
          <w:spacing w:val="-15"/>
        </w:rPr>
        <w:t>（3）消化系统：厌食、便秘、腹泻、味觉障碍、消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-12"/>
        </w:rPr>
        <w:t>化不良、口渴、呕吐、体重增加，碱性磷酸酶、乳酸脱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3"/>
        </w:rPr>
        <w:t>氢酶、谷草转氨酶、谷丙转氨酶轻度升高。</w:t>
      </w:r>
    </w:p>
    <w:p>
      <w:pPr>
        <w:pStyle w:val="BodyText"/>
        <w:ind w:left="1246"/>
        <w:spacing w:before="55" w:line="205" w:lineRule="auto"/>
        <w:rPr/>
      </w:pPr>
      <w:r>
        <w:rPr>
          <w:color w:val="1A171C"/>
          <w:spacing w:val="-14"/>
          <w:w w:val="97"/>
        </w:rPr>
        <w:t>（4）皮肤：瘀点、光敏感、瘙痒、荨麻疹。</w:t>
      </w:r>
    </w:p>
    <w:p>
      <w:pPr>
        <w:pStyle w:val="BodyText"/>
        <w:ind w:left="1331"/>
        <w:spacing w:before="26" w:line="194" w:lineRule="auto"/>
        <w:rPr/>
      </w:pPr>
      <w:r>
        <w:rPr>
          <w:color w:val="1A171C"/>
          <w:spacing w:val="-14"/>
        </w:rPr>
        <w:t>5.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4"/>
        </w:rPr>
        <w:t>剂型和规格：片剂，30 mg/片。</w:t>
      </w:r>
    </w:p>
    <w:p>
      <w:pPr>
        <w:pStyle w:val="BodyText"/>
        <w:ind w:left="909" w:right="406" w:firstLine="422"/>
        <w:spacing w:before="44" w:line="211" w:lineRule="auto"/>
        <w:rPr/>
      </w:pPr>
      <w:r>
        <w:rPr>
          <w:color w:val="1A171C"/>
          <w:spacing w:val="-18"/>
        </w:rPr>
        <w:t>6.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-18"/>
        </w:rPr>
        <w:t>用法和用量：口服，起始剂量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8"/>
        </w:rPr>
        <w:t>30 m</w:t>
      </w:r>
      <w:r>
        <w:rPr>
          <w:color w:val="1A171C"/>
          <w:spacing w:val="-19"/>
        </w:rPr>
        <w:t>g/次、4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19"/>
        </w:rPr>
        <w:t>次/d，</w:t>
      </w:r>
      <w:r>
        <w:rPr>
          <w:color w:val="1A171C"/>
        </w:rPr>
        <w:t xml:space="preserve"> </w:t>
      </w:r>
      <w:r>
        <w:rPr>
          <w:color w:val="1A171C"/>
          <w:spacing w:val="-7"/>
        </w:rPr>
        <w:t>餐前及睡前服药，每 1~2</w:t>
      </w:r>
      <w:r>
        <w:rPr>
          <w:color w:val="1A171C"/>
          <w:spacing w:val="-5"/>
        </w:rPr>
        <w:t xml:space="preserve"> </w:t>
      </w:r>
      <w:r>
        <w:rPr>
          <w:color w:val="1A171C"/>
          <w:spacing w:val="-7"/>
        </w:rPr>
        <w:t>天增加 1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7"/>
        </w:rPr>
        <w:t>次剂量，直至获得</w:t>
      </w:r>
      <w:r>
        <w:rPr>
          <w:color w:val="1A171C"/>
        </w:rPr>
        <w:t xml:space="preserve">  </w:t>
      </w:r>
      <w:r>
        <w:rPr>
          <w:color w:val="1A171C"/>
          <w:spacing w:val="-6"/>
        </w:rPr>
        <w:t>最佳疗效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-6"/>
        </w:rPr>
        <w:t>。平均剂量范围为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6"/>
        </w:rPr>
        <w:t>90~360 mg</w:t>
      </w:r>
      <w:r>
        <w:rPr>
          <w:color w:val="1A171C"/>
          <w:spacing w:val="-7"/>
        </w:rPr>
        <w:t>/d。</w:t>
      </w:r>
    </w:p>
    <w:p>
      <w:pPr>
        <w:pStyle w:val="BodyText"/>
        <w:ind w:left="908" w:right="471" w:firstLine="421"/>
        <w:spacing w:before="57" w:line="218" w:lineRule="auto"/>
        <w:rPr/>
      </w:pPr>
      <w:r>
        <w:rPr>
          <w:color w:val="1A171C"/>
          <w:spacing w:val="-4"/>
        </w:rPr>
        <w:t>7.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-4"/>
        </w:rPr>
        <w:t>药物代谢动力学：口服后通过胃肠道吸收较完</w:t>
      </w:r>
      <w:r>
        <w:rPr>
          <w:color w:val="1A171C"/>
        </w:rPr>
        <w:t xml:space="preserve"> </w:t>
      </w:r>
      <w:r>
        <w:rPr>
          <w:color w:val="1A171C"/>
          <w:spacing w:val="-5"/>
        </w:rPr>
        <w:t>全，有较强的肝脏首过效应，生物利用度为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5"/>
        </w:rPr>
        <w:t>40%。血</w:t>
      </w:r>
      <w:r>
        <w:rPr>
          <w:color w:val="1A171C"/>
        </w:rPr>
        <w:t xml:space="preserve"> </w:t>
      </w:r>
      <w:r>
        <w:rPr>
          <w:color w:val="1A171C"/>
          <w:spacing w:val="-6"/>
        </w:rPr>
        <w:t>浆蛋白结合率为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6"/>
        </w:rPr>
        <w:t>70%~80%。体内代谢完全，仅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6"/>
        </w:rPr>
        <w:t>2%~</w:t>
      </w:r>
      <w:r>
        <w:rPr>
          <w:color w:val="1A171C"/>
        </w:rPr>
        <w:t xml:space="preserve"> </w:t>
      </w:r>
      <w:r>
        <w:rPr>
          <w:color w:val="1A171C"/>
          <w:spacing w:val="-2"/>
        </w:rPr>
        <w:t>4%</w:t>
      </w:r>
      <w:r>
        <w:rPr>
          <w:color w:val="1A171C"/>
          <w:spacing w:val="-4"/>
        </w:rPr>
        <w:t xml:space="preserve"> </w:t>
      </w:r>
      <w:r>
        <w:rPr>
          <w:color w:val="1A171C"/>
          <w:spacing w:val="-2"/>
        </w:rPr>
        <w:t>以原形随尿液排泄。血浆消除半衰期为3.5 h。</w:t>
      </w:r>
    </w:p>
    <w:p>
      <w:pPr>
        <w:pStyle w:val="BodyText"/>
        <w:ind w:left="908" w:right="391" w:firstLine="429"/>
        <w:spacing w:before="34" w:line="214" w:lineRule="auto"/>
        <w:rPr/>
      </w:pPr>
      <w:r>
        <w:rPr>
          <w:color w:val="1A171C"/>
          <w:spacing w:val="-1"/>
        </w:rPr>
        <w:t>8.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"/>
        </w:rPr>
        <w:t>药物相互作用：本品与普萘洛尔、西咪替丁、</w:t>
      </w:r>
      <w:r>
        <w:rPr>
          <w:color w:val="1A171C"/>
        </w:rPr>
        <w:t xml:space="preserve"> </w:t>
      </w:r>
      <w:r>
        <w:rPr>
          <w:color w:val="1A171C"/>
          <w:spacing w:val="-10"/>
          <w:w w:val="99"/>
        </w:rPr>
        <w:t>地高辛、麻醉药、卡马西平、环孢菌素、利福平、三唑</w:t>
      </w:r>
      <w:r>
        <w:rPr>
          <w:color w:val="1A171C"/>
          <w:spacing w:val="7"/>
        </w:rPr>
        <w:t xml:space="preserve">  </w:t>
      </w:r>
      <w:r>
        <w:rPr>
          <w:color w:val="1A171C"/>
          <w:spacing w:val="5"/>
        </w:rPr>
        <w:t>仑和咪达唑仑等有相互作用，在开始或停止合用时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7"/>
        </w:rPr>
        <w:t>需调整药物剂量。</w:t>
      </w:r>
    </w:p>
    <w:p>
      <w:pPr>
        <w:ind w:left="1255"/>
        <w:spacing w:before="48" w:line="269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11"/>
          <w:position w:val="1"/>
        </w:rPr>
        <w:t>（二）维拉帕米</w:t>
      </w:r>
    </w:p>
    <w:p>
      <w:pPr>
        <w:pStyle w:val="BodyText"/>
        <w:ind w:left="1348"/>
        <w:spacing w:before="58" w:line="210" w:lineRule="auto"/>
        <w:rPr/>
      </w:pPr>
      <w:r>
        <w:rPr>
          <w:color w:val="1A171C"/>
          <w:spacing w:val="-1"/>
        </w:rPr>
        <w:t>1.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"/>
        </w:rPr>
        <w:t>药品分类：Ⅳ类抗心律失常药。</w:t>
      </w:r>
    </w:p>
    <w:p>
      <w:pPr>
        <w:pStyle w:val="BodyText"/>
        <w:ind w:left="916" w:right="472" w:firstLine="414"/>
        <w:spacing w:before="21" w:line="211" w:lineRule="auto"/>
        <w:rPr/>
      </w:pPr>
      <w:r>
        <w:rPr>
          <w:color w:val="1A171C"/>
          <w:spacing w:val="5"/>
        </w:rPr>
        <w:t>2.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5"/>
        </w:rPr>
        <w:t>用药目的：与地高辛合用控制慢性心房</w:t>
      </w:r>
      <w:r>
        <w:rPr>
          <w:color w:val="1A171C"/>
          <w:spacing w:val="4"/>
        </w:rPr>
        <w:t>颤动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和/或心房扑动时的心室率终止室上速；预防</w:t>
      </w:r>
      <w:r>
        <w:rPr>
          <w:color w:val="1A171C"/>
          <w:spacing w:val="-13"/>
        </w:rPr>
        <w:t xml:space="preserve"> </w:t>
      </w:r>
      <w:r>
        <w:rPr>
          <w:color w:val="1A171C"/>
        </w:rPr>
        <w:t>PSVT </w:t>
      </w:r>
      <w:r>
        <w:rPr>
          <w:color w:val="1A171C"/>
          <w:spacing w:val="5"/>
        </w:rPr>
        <w:t>的反复发作。</w:t>
      </w:r>
    </w:p>
    <w:p>
      <w:pPr>
        <w:pStyle w:val="BodyText"/>
        <w:ind w:left="908" w:right="473" w:firstLine="425"/>
        <w:spacing w:before="54" w:line="218" w:lineRule="auto"/>
        <w:rPr/>
      </w:pPr>
      <w:r>
        <w:rPr>
          <w:color w:val="1A171C"/>
          <w:spacing w:val="4"/>
        </w:rPr>
        <w:t>3.</w:t>
      </w:r>
      <w:r>
        <w:rPr>
          <w:color w:val="1A171C"/>
          <w:spacing w:val="-8"/>
        </w:rPr>
        <w:t xml:space="preserve"> </w:t>
      </w:r>
      <w:r>
        <w:rPr>
          <w:color w:val="1A171C"/>
          <w:spacing w:val="4"/>
        </w:rPr>
        <w:t>禁忌证：禁用于严重左心室功能不全；低血</w:t>
      </w:r>
      <w:r>
        <w:rPr>
          <w:color w:val="1A171C"/>
        </w:rPr>
        <w:t xml:space="preserve"> </w:t>
      </w:r>
      <w:r>
        <w:rPr>
          <w:color w:val="1A171C"/>
          <w:spacing w:val="-15"/>
        </w:rPr>
        <w:t>压（收缩压&lt;90 mmHg，1 mmHg=0.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5"/>
        </w:rPr>
        <w:t>133 kPa）或心原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性休克；病态窦房结综合征（已安装心脏起搏器者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37" w:firstLine="11"/>
        <w:spacing w:before="52" w:line="219" w:lineRule="auto"/>
        <w:jc w:val="both"/>
        <w:rPr/>
      </w:pPr>
      <w:r>
        <w:rPr>
          <w:color w:val="1A171C"/>
          <w:spacing w:val="-4"/>
        </w:rPr>
        <w:t>除外）、二、三度房室阻滞（已安装心脏起搏器者除</w:t>
      </w:r>
      <w:r>
        <w:rPr>
          <w:color w:val="1A171C"/>
          <w:spacing w:val="3"/>
        </w:rPr>
        <w:t xml:space="preserve">  </w:t>
      </w:r>
      <w:r>
        <w:rPr>
          <w:color w:val="1A171C"/>
          <w:spacing w:val="10"/>
        </w:rPr>
        <w:t>外</w:t>
      </w:r>
      <w:r>
        <w:rPr>
          <w:color w:val="1A171C"/>
          <w:spacing w:val="-29"/>
          <w:w w:val="61"/>
        </w:rPr>
        <w:t>）；</w:t>
      </w:r>
      <w:r>
        <w:rPr>
          <w:color w:val="1A171C"/>
          <w:spacing w:val="10"/>
        </w:rPr>
        <w:t>心房扑动或心房颤动患者合并房室旁路通道；</w:t>
      </w:r>
      <w:r>
        <w:rPr>
          <w:color w:val="1A171C"/>
        </w:rPr>
        <w:t xml:space="preserve"> </w:t>
      </w:r>
      <w:r>
        <w:rPr>
          <w:color w:val="1A171C"/>
          <w:spacing w:val="8"/>
        </w:rPr>
        <w:t>已知对盐酸维拉帕米过敏者。</w:t>
      </w:r>
    </w:p>
    <w:p>
      <w:pPr>
        <w:pStyle w:val="BodyText"/>
        <w:ind w:right="825" w:firstLine="419"/>
        <w:spacing w:before="5" w:line="214" w:lineRule="auto"/>
        <w:rPr/>
      </w:pPr>
      <w:r>
        <w:rPr>
          <w:color w:val="1A171C"/>
          <w:spacing w:val="-10"/>
        </w:rPr>
        <w:t>4.</w:t>
      </w:r>
      <w:r>
        <w:rPr>
          <w:color w:val="1A171C"/>
          <w:spacing w:val="-6"/>
        </w:rPr>
        <w:t xml:space="preserve"> </w:t>
      </w:r>
      <w:r>
        <w:rPr>
          <w:color w:val="1A171C"/>
          <w:spacing w:val="-10"/>
        </w:rPr>
        <w:t>不良反应：便秘、眩晕、恶心、低血压、头痛、</w:t>
      </w:r>
      <w:r>
        <w:rPr>
          <w:color w:val="1A171C"/>
        </w:rPr>
        <w:t xml:space="preserve"> </w:t>
      </w:r>
      <w:r>
        <w:rPr>
          <w:color w:val="1A171C"/>
          <w:spacing w:val="-3"/>
        </w:rPr>
        <w:t>外周水肿、充血性心力衰竭、窦性心动过缓</w:t>
      </w:r>
      <w:r>
        <w:rPr>
          <w:color w:val="1A171C"/>
          <w:spacing w:val="-4"/>
        </w:rPr>
        <w:t>、房室传</w:t>
      </w:r>
      <w:r>
        <w:rPr>
          <w:color w:val="1A171C"/>
        </w:rPr>
        <w:t xml:space="preserve">  </w:t>
      </w:r>
      <w:r>
        <w:rPr>
          <w:color w:val="1A171C"/>
          <w:spacing w:val="-12"/>
        </w:rPr>
        <w:t>导阻滞、皮疹、乏力、心悸，转氨酶升高，伴或不伴碱</w:t>
      </w:r>
      <w:r>
        <w:rPr>
          <w:color w:val="1A171C"/>
          <w:spacing w:val="7"/>
        </w:rPr>
        <w:t xml:space="preserve">  </w:t>
      </w:r>
      <w:r>
        <w:rPr>
          <w:color w:val="1A171C"/>
          <w:spacing w:val="5"/>
        </w:rPr>
        <w:t>性磷酸酶和胆红素的升高，这种升高有时是一过性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2"/>
        </w:rPr>
        <w:t>的，甚至继续使用维拉帕米仍可消失。</w:t>
      </w:r>
    </w:p>
    <w:p>
      <w:pPr>
        <w:pStyle w:val="BodyText"/>
        <w:ind w:left="423"/>
        <w:spacing w:before="47" w:line="194" w:lineRule="auto"/>
        <w:rPr/>
      </w:pPr>
      <w:r>
        <w:rPr>
          <w:color w:val="1A171C"/>
          <w:spacing w:val="-12"/>
        </w:rPr>
        <w:t>5.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-12"/>
        </w:rPr>
        <w:t>剂型和规格：片剂，40 mg/片；注射剂，2 ml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2"/>
        </w:rPr>
        <w:t>∶</w:t>
      </w:r>
    </w:p>
    <w:p>
      <w:pPr>
        <w:pStyle w:val="BodyText"/>
        <w:ind w:left="2"/>
        <w:spacing w:before="41" w:line="183" w:lineRule="auto"/>
        <w:rPr/>
      </w:pPr>
      <w:r>
        <w:rPr>
          <w:color w:val="1A171C"/>
          <w:spacing w:val="-25"/>
        </w:rPr>
        <w:t>5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-25"/>
        </w:rPr>
        <w:t>mg。</w:t>
      </w:r>
    </w:p>
    <w:p>
      <w:pPr>
        <w:pStyle w:val="BodyText"/>
        <w:ind w:left="423"/>
        <w:spacing w:before="49" w:line="210" w:lineRule="auto"/>
        <w:rPr/>
      </w:pPr>
      <w:r>
        <w:rPr>
          <w:color w:val="1A171C"/>
          <w:spacing w:val="3"/>
        </w:rPr>
        <w:t>6.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3"/>
        </w:rPr>
        <w:t>用法和用量：</w:t>
      </w:r>
    </w:p>
    <w:p>
      <w:pPr>
        <w:pStyle w:val="BodyText"/>
        <w:ind w:left="337"/>
        <w:spacing w:before="15" w:line="205" w:lineRule="auto"/>
        <w:rPr/>
      </w:pPr>
      <w:r>
        <w:rPr>
          <w:color w:val="1A171C"/>
          <w:spacing w:val="-18"/>
        </w:rPr>
        <w:t>（1）成人：</w:t>
      </w:r>
    </w:p>
    <w:p>
      <w:pPr>
        <w:pStyle w:val="BodyText"/>
        <w:ind w:left="1" w:right="906" w:firstLine="419"/>
        <w:spacing w:before="21" w:line="211" w:lineRule="auto"/>
        <w:rPr/>
      </w:pPr>
      <w:r>
        <w:rPr>
          <w:color w:val="1A171C"/>
          <w:spacing w:val="5"/>
        </w:rPr>
        <w:t>①静脉推注：必须在持续心电监测和血压监测 </w:t>
      </w:r>
      <w:r>
        <w:rPr>
          <w:color w:val="1A171C"/>
          <w:spacing w:val="3"/>
        </w:rPr>
        <w:t>下，缓慢静脉注射至少</w:t>
      </w:r>
      <w:r>
        <w:rPr>
          <w:color w:val="1A171C"/>
          <w:spacing w:val="-12"/>
        </w:rPr>
        <w:t xml:space="preserve"> </w:t>
      </w:r>
      <w:r>
        <w:rPr>
          <w:color w:val="1A171C"/>
          <w:spacing w:val="3"/>
        </w:rPr>
        <w:t>2</w:t>
      </w:r>
      <w:r>
        <w:rPr>
          <w:color w:val="1A171C"/>
        </w:rPr>
        <w:t>min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3"/>
        </w:rPr>
        <w:t>。一般起始剂量为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3"/>
        </w:rPr>
        <w:t>5~</w:t>
      </w:r>
    </w:p>
    <w:p>
      <w:pPr>
        <w:pStyle w:val="BodyText"/>
        <w:ind w:right="904" w:firstLine="18"/>
        <w:spacing w:before="29" w:line="211" w:lineRule="auto"/>
        <w:rPr/>
      </w:pPr>
      <w:r>
        <w:rPr>
          <w:color w:val="1A171C"/>
          <w:spacing w:val="-9"/>
        </w:rPr>
        <w:t>10 mg（或按 0.075~0.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9"/>
        </w:rPr>
        <w:t>150</w:t>
      </w:r>
      <w:r>
        <w:rPr>
          <w:color w:val="1A171C"/>
          <w:spacing w:val="-10"/>
        </w:rPr>
        <w:t xml:space="preserve"> mg/kg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10"/>
        </w:rPr>
        <w:t>体重</w:t>
      </w:r>
      <w:r>
        <w:rPr>
          <w:color w:val="1A171C"/>
          <w:spacing w:val="-31"/>
          <w:w w:val="65"/>
        </w:rPr>
        <w:t>），</w:t>
      </w:r>
      <w:r>
        <w:rPr>
          <w:color w:val="1A171C"/>
          <w:spacing w:val="-10"/>
        </w:rPr>
        <w:t>稀释后缓慢</w:t>
      </w:r>
      <w:r>
        <w:rPr>
          <w:color w:val="1A171C"/>
        </w:rPr>
        <w:t xml:space="preserve"> </w:t>
      </w:r>
      <w:r>
        <w:rPr>
          <w:color w:val="1A171C"/>
          <w:spacing w:val="8"/>
        </w:rPr>
        <w:t>静脉推注至少</w:t>
      </w:r>
      <w:r>
        <w:rPr>
          <w:color w:val="1A171C"/>
          <w:spacing w:val="-1"/>
        </w:rPr>
        <w:t xml:space="preserve"> </w:t>
      </w:r>
      <w:r>
        <w:rPr>
          <w:color w:val="1A171C"/>
          <w:spacing w:val="8"/>
        </w:rPr>
        <w:t>2</w:t>
      </w:r>
      <w:r>
        <w:rPr>
          <w:color w:val="1A171C"/>
        </w:rPr>
        <w:t>min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8"/>
        </w:rPr>
        <w:t>。如果初反应不令人满意，首</w:t>
      </w:r>
      <w:r>
        <w:rPr>
          <w:color w:val="1A171C"/>
        </w:rPr>
        <w:t xml:space="preserve"> </w:t>
      </w:r>
      <w:r>
        <w:rPr>
          <w:color w:val="1A171C"/>
          <w:spacing w:val="-16"/>
        </w:rPr>
        <w:t>剂</w:t>
      </w:r>
      <w:r>
        <w:rPr>
          <w:color w:val="1A171C"/>
          <w:spacing w:val="43"/>
        </w:rPr>
        <w:t xml:space="preserve"> </w:t>
      </w:r>
      <w:r>
        <w:rPr>
          <w:color w:val="1A171C"/>
          <w:spacing w:val="-16"/>
        </w:rPr>
        <w:t>15~30 min</w:t>
      </w:r>
      <w:r>
        <w:rPr>
          <w:color w:val="1A171C"/>
          <w:spacing w:val="21"/>
        </w:rPr>
        <w:t xml:space="preserve"> </w:t>
      </w:r>
      <w:r>
        <w:rPr>
          <w:color w:val="1A171C"/>
          <w:spacing w:val="-16"/>
        </w:rPr>
        <w:t>后 再 给  1</w:t>
      </w:r>
      <w:r>
        <w:rPr>
          <w:color w:val="1A171C"/>
          <w:spacing w:val="23"/>
          <w:w w:val="101"/>
        </w:rPr>
        <w:t xml:space="preserve"> </w:t>
      </w:r>
      <w:r>
        <w:rPr>
          <w:color w:val="1A171C"/>
          <w:spacing w:val="-16"/>
        </w:rPr>
        <w:t>次</w:t>
      </w:r>
      <w:r>
        <w:rPr>
          <w:color w:val="1A171C"/>
          <w:spacing w:val="26"/>
        </w:rPr>
        <w:t xml:space="preserve"> </w:t>
      </w:r>
      <w:r>
        <w:rPr>
          <w:color w:val="1A171C"/>
          <w:spacing w:val="-16"/>
        </w:rPr>
        <w:t>5~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6"/>
        </w:rPr>
        <w:t>10 mg</w:t>
      </w:r>
      <w:r>
        <w:rPr>
          <w:color w:val="1A171C"/>
          <w:spacing w:val="25"/>
        </w:rPr>
        <w:t xml:space="preserve"> </w:t>
      </w:r>
      <w:r>
        <w:rPr>
          <w:color w:val="1A171C"/>
          <w:spacing w:val="-16"/>
        </w:rPr>
        <w:t>或</w:t>
      </w:r>
      <w:r>
        <w:rPr>
          <w:color w:val="1A171C"/>
          <w:spacing w:val="24"/>
          <w:w w:val="101"/>
        </w:rPr>
        <w:t xml:space="preserve"> </w:t>
      </w:r>
      <w:r>
        <w:rPr>
          <w:color w:val="1A171C"/>
          <w:spacing w:val="-16"/>
        </w:rPr>
        <w:t>0.15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-17"/>
        </w:rPr>
        <w:t>mg/kg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体重。</w:t>
      </w:r>
    </w:p>
    <w:p>
      <w:pPr>
        <w:pStyle w:val="BodyText"/>
        <w:ind w:left="4" w:right="904" w:firstLine="417"/>
        <w:spacing w:before="49" w:line="211" w:lineRule="auto"/>
        <w:rPr/>
      </w:pPr>
      <w:r>
        <w:rPr>
          <w:color w:val="1A171C"/>
          <w:spacing w:val="-8"/>
        </w:rPr>
        <w:t>②静脉滴注：5~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8"/>
        </w:rPr>
        <w:t>10 mg/h，加入氯化钠注</w:t>
      </w:r>
      <w:r>
        <w:rPr>
          <w:color w:val="1A171C"/>
          <w:spacing w:val="-9"/>
        </w:rPr>
        <w:t>射液或</w:t>
      </w:r>
      <w:r>
        <w:rPr>
          <w:color w:val="1A171C"/>
        </w:rPr>
        <w:t xml:space="preserve"> </w:t>
      </w:r>
      <w:r>
        <w:rPr>
          <w:color w:val="1A171C"/>
          <w:spacing w:val="-10"/>
        </w:rPr>
        <w:t>5% 葡</w:t>
      </w:r>
      <w:r>
        <w:rPr>
          <w:color w:val="1A171C"/>
          <w:spacing w:val="-11"/>
        </w:rPr>
        <w:t xml:space="preserve"> </w:t>
      </w:r>
      <w:r>
        <w:rPr>
          <w:color w:val="1A171C"/>
          <w:spacing w:val="-10"/>
        </w:rPr>
        <w:t>萄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10"/>
        </w:rPr>
        <w:t>糖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0"/>
        </w:rPr>
        <w:t>注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0"/>
        </w:rPr>
        <w:t>射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0"/>
        </w:rPr>
        <w:t>液 中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0"/>
        </w:rPr>
        <w:t>滴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0"/>
        </w:rPr>
        <w:t>注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0"/>
        </w:rPr>
        <w:t>，一</w:t>
      </w:r>
      <w:r>
        <w:rPr>
          <w:color w:val="1A171C"/>
          <w:spacing w:val="16"/>
        </w:rPr>
        <w:t xml:space="preserve"> </w:t>
      </w:r>
      <w:r>
        <w:rPr>
          <w:color w:val="1A171C"/>
          <w:spacing w:val="-10"/>
        </w:rPr>
        <w:t>日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0"/>
        </w:rPr>
        <w:t>总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0"/>
        </w:rPr>
        <w:t>量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0"/>
        </w:rPr>
        <w:t>不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0"/>
        </w:rPr>
        <w:t>超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0"/>
        </w:rPr>
        <w:t>过 50~</w:t>
      </w:r>
    </w:p>
    <w:p>
      <w:pPr>
        <w:pStyle w:val="BodyText"/>
        <w:ind w:left="20"/>
        <w:spacing w:before="30" w:line="183" w:lineRule="auto"/>
        <w:rPr/>
      </w:pPr>
      <w:r>
        <w:rPr>
          <w:color w:val="1A171C"/>
          <w:spacing w:val="-24"/>
        </w:rPr>
        <w:t>100</w:t>
      </w:r>
      <w:r>
        <w:rPr>
          <w:color w:val="1A171C"/>
          <w:spacing w:val="3"/>
        </w:rPr>
        <w:t xml:space="preserve"> </w:t>
      </w:r>
      <w:r>
        <w:rPr>
          <w:color w:val="1A171C"/>
          <w:spacing w:val="-24"/>
        </w:rPr>
        <w:t>mg。</w:t>
      </w:r>
    </w:p>
    <w:p>
      <w:pPr>
        <w:pStyle w:val="BodyText"/>
        <w:ind w:left="2" w:right="905" w:firstLine="419"/>
        <w:spacing w:before="52" w:line="215" w:lineRule="auto"/>
        <w:rPr/>
      </w:pPr>
      <w:r>
        <w:rPr>
          <w:color w:val="1A171C"/>
          <w:spacing w:val="16"/>
        </w:rPr>
        <w:t>③口服：慢性心房颤动服用洋地黄治疗的患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-10"/>
        </w:rPr>
        <w:t>者，每日总量为 240~320 mg，分 3~4</w:t>
      </w:r>
      <w:r>
        <w:rPr>
          <w:color w:val="1A171C"/>
        </w:rPr>
        <w:t xml:space="preserve"> </w:t>
      </w:r>
      <w:r>
        <w:rPr>
          <w:color w:val="1A171C"/>
          <w:spacing w:val="-10"/>
        </w:rPr>
        <w:t>次服用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0"/>
        </w:rPr>
        <w:t>。预防</w:t>
      </w:r>
      <w:r>
        <w:rPr>
          <w:color w:val="1A171C"/>
        </w:rPr>
        <w:t xml:space="preserve"> </w:t>
      </w:r>
      <w:r>
        <w:rPr>
          <w:color w:val="1A171C"/>
          <w:spacing w:val="-7"/>
        </w:rPr>
        <w:t>PSVT（未 服 用 洋 地 黄</w:t>
      </w:r>
      <w:r>
        <w:rPr>
          <w:color w:val="1A171C"/>
        </w:rPr>
        <w:t xml:space="preserve"> </w:t>
      </w:r>
      <w:r>
        <w:rPr>
          <w:color w:val="1A171C"/>
          <w:spacing w:val="-7"/>
        </w:rPr>
        <w:t>者）的</w:t>
      </w:r>
      <w:r>
        <w:rPr>
          <w:color w:val="1A171C"/>
          <w:spacing w:val="-5"/>
        </w:rPr>
        <w:t xml:space="preserve"> </w:t>
      </w:r>
      <w:r>
        <w:rPr>
          <w:color w:val="1A171C"/>
          <w:spacing w:val="-7"/>
        </w:rPr>
        <w:t>每</w:t>
      </w:r>
      <w:r>
        <w:rPr>
          <w:color w:val="1A171C"/>
          <w:spacing w:val="34"/>
          <w:w w:val="101"/>
        </w:rPr>
        <w:t xml:space="preserve"> </w:t>
      </w:r>
      <w:r>
        <w:rPr>
          <w:color w:val="1A171C"/>
          <w:spacing w:val="-7"/>
        </w:rPr>
        <w:t>日 总</w:t>
      </w:r>
      <w:r>
        <w:rPr>
          <w:color w:val="1A171C"/>
          <w:spacing w:val="-10"/>
        </w:rPr>
        <w:t xml:space="preserve"> </w:t>
      </w:r>
      <w:r>
        <w:rPr>
          <w:color w:val="1A171C"/>
          <w:spacing w:val="-7"/>
        </w:rPr>
        <w:t>量 为</w:t>
      </w:r>
      <w:r>
        <w:rPr>
          <w:color w:val="1A171C"/>
          <w:spacing w:val="19"/>
        </w:rPr>
        <w:t xml:space="preserve"> </w:t>
      </w:r>
      <w:r>
        <w:rPr>
          <w:color w:val="1A171C"/>
          <w:spacing w:val="-7"/>
        </w:rPr>
        <w:t>240~</w:t>
      </w:r>
    </w:p>
    <w:p>
      <w:pPr>
        <w:pStyle w:val="BodyText"/>
        <w:spacing w:before="25" w:line="183" w:lineRule="auto"/>
        <w:rPr/>
      </w:pPr>
      <w:r>
        <w:rPr>
          <w:color w:val="1A171C"/>
          <w:spacing w:val="-23"/>
        </w:rPr>
        <w:t>480 mg，3~4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23"/>
        </w:rPr>
        <w:t>次/d。</w:t>
      </w:r>
    </w:p>
    <w:p>
      <w:pPr>
        <w:pStyle w:val="BodyText"/>
        <w:ind w:left="2" w:right="840" w:firstLine="336"/>
        <w:spacing w:before="48" w:line="221" w:lineRule="auto"/>
        <w:jc w:val="both"/>
        <w:rPr/>
      </w:pPr>
      <w:r>
        <w:rPr>
          <w:color w:val="1A171C"/>
          <w:spacing w:val="-12"/>
        </w:rPr>
        <w:t>（2）儿 童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2"/>
        </w:rPr>
        <w:t>：静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2"/>
        </w:rPr>
        <w:t>脉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2"/>
        </w:rPr>
        <w:t>推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2"/>
        </w:rPr>
        <w:t>注 。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2"/>
        </w:rPr>
        <w:t>0~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2"/>
        </w:rPr>
        <w:t>1 岁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2"/>
        </w:rPr>
        <w:t>起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2"/>
        </w:rPr>
        <w:t>始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2"/>
        </w:rPr>
        <w:t>剂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2"/>
        </w:rPr>
        <w:t>量 0.1~</w:t>
      </w:r>
      <w:r>
        <w:rPr>
          <w:color w:val="1A171C"/>
        </w:rPr>
        <w:t xml:space="preserve">  </w:t>
      </w:r>
      <w:r>
        <w:rPr>
          <w:color w:val="1A171C"/>
          <w:spacing w:val="-4"/>
        </w:rPr>
        <w:t>0.2 mg/kg</w:t>
      </w:r>
      <w:r>
        <w:rPr>
          <w:color w:val="1A171C"/>
          <w:spacing w:val="-6"/>
        </w:rPr>
        <w:t xml:space="preserve"> </w:t>
      </w:r>
      <w:r>
        <w:rPr>
          <w:color w:val="1A171C"/>
          <w:spacing w:val="-4"/>
        </w:rPr>
        <w:t>体重，持续心电监测下，稀释后静脉推注</w:t>
      </w:r>
      <w:r>
        <w:rPr>
          <w:color w:val="1A171C"/>
        </w:rPr>
        <w:t xml:space="preserve">  </w:t>
      </w:r>
      <w:r>
        <w:rPr>
          <w:color w:val="1A171C"/>
        </w:rPr>
        <w:t>至少</w:t>
      </w:r>
      <w:r>
        <w:rPr>
          <w:color w:val="1A171C"/>
          <w:spacing w:val="-9"/>
        </w:rPr>
        <w:t xml:space="preserve"> </w:t>
      </w:r>
      <w:r>
        <w:rPr>
          <w:color w:val="1A171C"/>
        </w:rPr>
        <w:t>2 min；若初始反应不满意，持续心电监测下， </w:t>
      </w:r>
      <w:r>
        <w:rPr>
          <w:color w:val="1A171C"/>
          <w:spacing w:val="-10"/>
        </w:rPr>
        <w:t>首剂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0"/>
        </w:rPr>
        <w:t>30 min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0"/>
        </w:rPr>
        <w:t>后再给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0"/>
        </w:rPr>
        <w:t>0.1~0.2 mg/kg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0"/>
        </w:rPr>
        <w:t>体</w:t>
      </w:r>
      <w:r>
        <w:rPr>
          <w:color w:val="1A171C"/>
          <w:spacing w:val="-11"/>
        </w:rPr>
        <w:t>重。</w:t>
      </w:r>
    </w:p>
    <w:p>
      <w:pPr>
        <w:pStyle w:val="BodyText"/>
        <w:ind w:right="841" w:firstLine="439"/>
        <w:spacing w:before="3" w:line="219" w:lineRule="auto"/>
        <w:jc w:val="both"/>
        <w:rPr/>
      </w:pPr>
      <w:r>
        <w:rPr>
          <w:color w:val="1A171C"/>
          <w:spacing w:val="-18"/>
        </w:rPr>
        <w:t>1~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8"/>
        </w:rPr>
        <w:t>15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8"/>
        </w:rPr>
        <w:t>岁，0.1~0.3 mg/kg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8"/>
        </w:rPr>
        <w:t>体重，总量不</w:t>
      </w:r>
      <w:r>
        <w:rPr>
          <w:color w:val="1A171C"/>
          <w:spacing w:val="-19"/>
        </w:rPr>
        <w:t>超过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9"/>
        </w:rPr>
        <w:t>5 mg，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静脉推注至少 2 </w:t>
      </w:r>
      <w:r>
        <w:rPr>
          <w:color w:val="1A171C"/>
        </w:rPr>
        <w:t>min</w:t>
      </w:r>
      <w:r>
        <w:rPr>
          <w:color w:val="1A171C"/>
          <w:spacing w:val="4"/>
        </w:rPr>
        <w:t>；如果初始反应不满意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4"/>
        </w:rPr>
        <w:t>，首剂</w:t>
      </w:r>
      <w:r>
        <w:rPr>
          <w:color w:val="1A171C"/>
        </w:rPr>
        <w:t xml:space="preserve">  </w:t>
      </w:r>
      <w:r>
        <w:rPr>
          <w:color w:val="1A171C"/>
          <w:spacing w:val="-12"/>
        </w:rPr>
        <w:t>30 min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-12"/>
        </w:rPr>
        <w:t>后再给 1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2"/>
        </w:rPr>
        <w:t>次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2"/>
        </w:rPr>
        <w:t>0.1~0.3 mg/kg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2"/>
        </w:rPr>
        <w:t>体重。</w:t>
      </w:r>
    </w:p>
    <w:p>
      <w:pPr>
        <w:pStyle w:val="BodyText"/>
        <w:ind w:right="908" w:firstLine="337"/>
        <w:spacing w:before="3" w:line="208" w:lineRule="auto"/>
        <w:rPr/>
      </w:pPr>
      <w:r>
        <w:rPr>
          <w:color w:val="1A171C"/>
          <w:spacing w:val="-6"/>
        </w:rPr>
        <w:t>（3）老年：老年患者的清除半衰期延长，并且必</w:t>
      </w:r>
      <w:r>
        <w:rPr>
          <w:color w:val="1A171C"/>
          <w:spacing w:val="3"/>
        </w:rPr>
        <w:t xml:space="preserve"> </w:t>
      </w:r>
      <w:r>
        <w:rPr>
          <w:color w:val="1A171C"/>
          <w:spacing w:val="5"/>
        </w:rPr>
        <w:t>须考虑到老年人发生肝或肾功能不全更为常见，一</w:t>
      </w:r>
      <w:r>
        <w:rPr>
          <w:color w:val="1A171C"/>
          <w:spacing w:val="15"/>
          <w:w w:val="101"/>
        </w:rPr>
        <w:t xml:space="preserve"> </w:t>
      </w:r>
      <w:r>
        <w:rPr>
          <w:color w:val="1A171C"/>
          <w:spacing w:val="8"/>
        </w:rPr>
        <w:t>般应从较低剂量开始。</w:t>
      </w:r>
    </w:p>
    <w:p>
      <w:pPr>
        <w:pStyle w:val="BodyText"/>
        <w:ind w:left="1" w:right="908" w:firstLine="335"/>
        <w:spacing w:before="49" w:line="216" w:lineRule="auto"/>
        <w:rPr/>
      </w:pPr>
      <w:r>
        <w:rPr>
          <w:color w:val="1A171C"/>
          <w:spacing w:val="3"/>
        </w:rPr>
        <w:t>（4）肝肾功能不全者：肾功能损害的患者慎用</w:t>
      </w:r>
      <w:r>
        <w:rPr>
          <w:color w:val="1A171C"/>
          <w:spacing w:val="9"/>
        </w:rPr>
        <w:t xml:space="preserve"> </w:t>
      </w:r>
      <w:r>
        <w:rPr>
          <w:color w:val="1A171C"/>
          <w:spacing w:val="4"/>
        </w:rPr>
        <w:t>维拉帕米，血液透析不能清除维拉帕米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4"/>
        </w:rPr>
        <w:t>。肝功能损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害的患者应慎用，严重肝功能不全时，只需服用正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-2"/>
        </w:rPr>
        <w:t>常剂量的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2"/>
        </w:rPr>
        <w:t>30%。</w:t>
      </w:r>
    </w:p>
    <w:p>
      <w:pPr>
        <w:pStyle w:val="BodyText"/>
        <w:ind w:left="1" w:right="907" w:firstLine="418"/>
        <w:spacing w:before="23" w:line="223" w:lineRule="auto"/>
        <w:jc w:val="both"/>
        <w:rPr/>
      </w:pPr>
      <w:r>
        <w:rPr>
          <w:color w:val="1A171C"/>
          <w:spacing w:val="-9"/>
        </w:rPr>
        <w:t>7. 药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9"/>
        </w:rPr>
        <w:t>物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9"/>
        </w:rPr>
        <w:t>代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9"/>
        </w:rPr>
        <w:t>谢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9"/>
        </w:rPr>
        <w:t>动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9"/>
        </w:rPr>
        <w:t>力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9"/>
        </w:rPr>
        <w:t>学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9"/>
        </w:rPr>
        <w:t>：静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9"/>
        </w:rPr>
        <w:t>脉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9"/>
        </w:rPr>
        <w:t>注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9"/>
        </w:rPr>
        <w:t>射 2 min 后</w:t>
      </w:r>
      <w:r>
        <w:rPr>
          <w:color w:val="1A171C"/>
          <w:spacing w:val="-10"/>
        </w:rPr>
        <w:t>（1~</w:t>
      </w:r>
      <w:r>
        <w:rPr>
          <w:color w:val="1A171C"/>
        </w:rPr>
        <w:t xml:space="preserve"> </w:t>
      </w:r>
      <w:r>
        <w:rPr>
          <w:color w:val="1A171C"/>
          <w:spacing w:val="-3"/>
        </w:rPr>
        <w:t>5 min）开始发挥抗心律失常作用，2~5 min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-3"/>
        </w:rPr>
        <w:t>达到最</w:t>
      </w:r>
      <w:r>
        <w:rPr>
          <w:color w:val="1A171C"/>
        </w:rPr>
        <w:t xml:space="preserve"> </w:t>
      </w:r>
      <w:r>
        <w:rPr>
          <w:color w:val="1A171C"/>
          <w:spacing w:val="-3"/>
        </w:rPr>
        <w:t>大作用，作用持续约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-3"/>
        </w:rPr>
        <w:t>2 h，血流动力学作用 3~5 m</w:t>
      </w:r>
      <w:r>
        <w:rPr>
          <w:color w:val="1A171C"/>
          <w:spacing w:val="-4"/>
        </w:rPr>
        <w:t>in</w:t>
      </w:r>
      <w:r>
        <w:rPr>
          <w:color w:val="1A171C"/>
        </w:rPr>
        <w:t xml:space="preserve"> </w:t>
      </w:r>
      <w:r>
        <w:rPr>
          <w:color w:val="1A171C"/>
          <w:spacing w:val="-13"/>
        </w:rPr>
        <w:t>开始，持续 10~20 min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13"/>
        </w:rPr>
        <w:t>。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3"/>
        </w:rPr>
        <w:t>口服后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3"/>
        </w:rPr>
        <w:t>90% 以上被吸收</w:t>
      </w:r>
      <w:r>
        <w:rPr>
          <w:color w:val="1A171C"/>
          <w:spacing w:val="-14"/>
        </w:rPr>
        <w:t>，1~</w:t>
      </w:r>
      <w:r>
        <w:rPr>
          <w:color w:val="1A171C"/>
        </w:rPr>
        <w:t xml:space="preserve"> </w:t>
      </w:r>
      <w:r>
        <w:rPr>
          <w:color w:val="1A171C"/>
          <w:spacing w:val="-3"/>
        </w:rPr>
        <w:t>2 h 内达血药峰浓度，作用持续</w:t>
      </w:r>
      <w:r>
        <w:rPr>
          <w:color w:val="1A171C"/>
          <w:spacing w:val="-4"/>
        </w:rPr>
        <w:t xml:space="preserve"> </w:t>
      </w:r>
      <w:r>
        <w:rPr>
          <w:color w:val="1A171C"/>
          <w:spacing w:val="-3"/>
        </w:rPr>
        <w:t>6~8 h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3"/>
        </w:rPr>
        <w:t>。血浆蛋白结</w:t>
      </w:r>
    </w:p>
    <w:p>
      <w:pPr>
        <w:spacing w:line="223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2">
            <w:col w:w="5911" w:space="100"/>
            <w:col w:w="5436" w:space="0"/>
          </w:cols>
        </w:sectPr>
        <w:rPr/>
      </w:pPr>
    </w:p>
    <w:p>
      <w:pPr>
        <w:spacing w:line="410" w:lineRule="auto"/>
        <w:rPr>
          <w:rFonts w:ascii="Arial"/>
          <w:sz w:val="21"/>
        </w:rPr>
      </w:pPr>
      <w:r>
        <w:pict>
          <v:shape id="_x0000_s20" style="position:absolute;margin-left:220.298pt;margin-top:-712.641pt;mso-position-vertical-relative:text;mso-position-horizontal-relative:text;width:307pt;height:0.4pt;z-index:251662336;" filled="false" strokecolor="#1A171C" strokeweight="0.37pt" coordsize="6140,8" coordorigin="0,0" path="m0,3l6139,3e">
            <v:stroke joinstyle="miter" miterlimit="4"/>
          </v:shape>
        </w:pict>
      </w:r>
      <w:r/>
    </w:p>
    <w:p>
      <w:pPr>
        <w:spacing w:before="69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70263</wp:posOffset>
            </wp:positionV>
            <wp:extent cx="1219200" cy="143255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67"/>
        <w:rPr/>
      </w:pPr>
      <w:r/>
    </w:p>
    <w:p>
      <w:pPr>
        <w:sectPr>
          <w:headerReference w:type="default" r:id="rId12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/>
      </w:pPr>
    </w:p>
    <w:p>
      <w:pPr>
        <w:pStyle w:val="BodyText"/>
        <w:ind w:left="912" w:right="395" w:hanging="3"/>
        <w:spacing w:before="42" w:line="220" w:lineRule="auto"/>
        <w:jc w:val="both"/>
        <w:rPr/>
      </w:pPr>
      <w:r>
        <w:rPr>
          <w:color w:val="1A171C"/>
          <w:spacing w:val="-3"/>
        </w:rPr>
        <w:t>合率约为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3"/>
        </w:rPr>
        <w:t>90%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-3"/>
        </w:rPr>
        <w:t>。平均半衰期为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3"/>
        </w:rPr>
        <w:t>2.8~7.4 h，</w:t>
      </w:r>
      <w:r>
        <w:rPr>
          <w:color w:val="1A171C"/>
          <w:spacing w:val="-4"/>
        </w:rPr>
        <w:t>长期用药</w:t>
      </w:r>
      <w:r>
        <w:rPr>
          <w:color w:val="1A171C"/>
        </w:rPr>
        <w:t xml:space="preserve">  </w:t>
      </w:r>
      <w:r>
        <w:rPr>
          <w:color w:val="1A171C"/>
          <w:spacing w:val="8"/>
        </w:rPr>
        <w:t>可增至</w:t>
      </w:r>
      <w:r>
        <w:rPr>
          <w:color w:val="1A171C"/>
          <w:spacing w:val="-9"/>
        </w:rPr>
        <w:t xml:space="preserve"> </w:t>
      </w:r>
      <w:r>
        <w:rPr>
          <w:color w:val="1A171C"/>
          <w:spacing w:val="8"/>
        </w:rPr>
        <w:t>4.5~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8"/>
        </w:rPr>
        <w:t>12.0 h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8"/>
        </w:rPr>
        <w:t>。静脉注射后的清除呈双指数</w:t>
      </w:r>
      <w:r>
        <w:rPr>
          <w:color w:val="1A171C"/>
        </w:rPr>
        <w:t xml:space="preserve">  </w:t>
      </w:r>
      <w:r>
        <w:rPr>
          <w:color w:val="1A171C"/>
          <w:spacing w:val="-3"/>
        </w:rPr>
        <w:t>型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3"/>
        </w:rPr>
        <w:t>，分布半衰期约为 4 min，消除半衰期为 2~5</w:t>
      </w:r>
      <w:r>
        <w:rPr>
          <w:color w:val="1A171C"/>
          <w:spacing w:val="16"/>
        </w:rPr>
        <w:t xml:space="preserve"> </w:t>
      </w:r>
      <w:r>
        <w:rPr>
          <w:color w:val="1A171C"/>
          <w:spacing w:val="-3"/>
        </w:rPr>
        <w:t>h。</w:t>
      </w:r>
      <w:r>
        <w:rPr>
          <w:color w:val="1A171C"/>
        </w:rPr>
        <w:t xml:space="preserve"> </w:t>
      </w:r>
      <w:r>
        <w:rPr>
          <w:color w:val="1A171C"/>
          <w:spacing w:val="-1"/>
        </w:rPr>
        <w:t>主要经肝脏代谢，约</w:t>
      </w:r>
      <w:r>
        <w:rPr>
          <w:color w:val="1A171C"/>
          <w:spacing w:val="-9"/>
        </w:rPr>
        <w:t xml:space="preserve"> </w:t>
      </w:r>
      <w:r>
        <w:rPr>
          <w:color w:val="1A171C"/>
          <w:spacing w:val="-1"/>
        </w:rPr>
        <w:t>70% 以代谢物随尿液排泄。</w:t>
      </w:r>
    </w:p>
    <w:p>
      <w:pPr>
        <w:pStyle w:val="BodyText"/>
        <w:ind w:left="909" w:right="473" w:firstLine="426"/>
        <w:spacing w:line="219" w:lineRule="auto"/>
        <w:jc w:val="both"/>
        <w:rPr/>
      </w:pPr>
      <w:r>
        <w:rPr>
          <w:color w:val="1A171C"/>
          <w:spacing w:val="-5"/>
        </w:rPr>
        <w:t>8.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5"/>
        </w:rPr>
        <w:t>药物相互作用：与 β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5"/>
        </w:rPr>
        <w:t>受体阻滞剂、地</w:t>
      </w:r>
      <w:r>
        <w:rPr>
          <w:color w:val="1A171C"/>
          <w:spacing w:val="-6"/>
        </w:rPr>
        <w:t>高辛、胺</w:t>
      </w:r>
      <w:r>
        <w:rPr>
          <w:color w:val="1A171C"/>
        </w:rPr>
        <w:t xml:space="preserve"> </w:t>
      </w:r>
      <w:r>
        <w:rPr>
          <w:color w:val="1A171C"/>
          <w:spacing w:val="-8"/>
          <w:w w:val="98"/>
        </w:rPr>
        <w:t>碘酮、环磷酰胺、长春新碱、苯巴比妥、强的松、西咪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4"/>
        </w:rPr>
        <w:t>替丁、阿霉素、顺铂等药物有相互作用，合用时应调</w:t>
      </w:r>
      <w:r>
        <w:rPr>
          <w:color w:val="1A171C"/>
          <w:spacing w:val="17"/>
          <w:w w:val="101"/>
        </w:rPr>
        <w:t xml:space="preserve"> </w:t>
      </w:r>
      <w:r>
        <w:rPr>
          <w:color w:val="1A171C"/>
          <w:spacing w:val="6"/>
        </w:rPr>
        <w:t>整药物剂量。</w:t>
      </w:r>
    </w:p>
    <w:p>
      <w:pPr>
        <w:ind w:left="1255"/>
        <w:spacing w:line="267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11"/>
          <w:position w:val="1"/>
        </w:rPr>
        <w:t>（三）普萘洛尔</w:t>
      </w:r>
    </w:p>
    <w:p>
      <w:pPr>
        <w:pStyle w:val="BodyText"/>
        <w:ind w:left="1348"/>
        <w:spacing w:before="55" w:line="210" w:lineRule="auto"/>
        <w:rPr/>
      </w:pPr>
      <w:r>
        <w:rPr>
          <w:color w:val="1A171C"/>
          <w:spacing w:val="-1"/>
        </w:rPr>
        <w:t>1.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"/>
        </w:rPr>
        <w:t>药品分类：Ⅱ类抗心律失常药。</w:t>
      </w:r>
    </w:p>
    <w:p>
      <w:pPr>
        <w:pStyle w:val="BodyText"/>
        <w:ind w:left="909" w:right="473" w:firstLine="422"/>
        <w:spacing w:before="15" w:line="203" w:lineRule="auto"/>
        <w:rPr/>
      </w:pPr>
      <w:r>
        <w:rPr>
          <w:color w:val="1A171C"/>
          <w:spacing w:val="-7"/>
        </w:rPr>
        <w:t>2. 用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7"/>
        </w:rPr>
        <w:t>药</w:t>
      </w:r>
      <w:r>
        <w:rPr>
          <w:color w:val="1A171C"/>
          <w:spacing w:val="16"/>
        </w:rPr>
        <w:t xml:space="preserve"> </w:t>
      </w:r>
      <w:r>
        <w:rPr>
          <w:color w:val="1A171C"/>
          <w:spacing w:val="-7"/>
        </w:rPr>
        <w:t>目 的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7"/>
        </w:rPr>
        <w:t>：用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7"/>
        </w:rPr>
        <w:t>于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7"/>
        </w:rPr>
        <w:t>纠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7"/>
        </w:rPr>
        <w:t>正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7"/>
        </w:rPr>
        <w:t>快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7"/>
        </w:rPr>
        <w:t>速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7"/>
        </w:rPr>
        <w:t>性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7"/>
        </w:rPr>
        <w:t>室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7"/>
        </w:rPr>
        <w:t>上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7"/>
        </w:rPr>
        <w:t>性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7"/>
        </w:rPr>
        <w:t>心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7"/>
        </w:rPr>
        <w:t>律</w:t>
      </w:r>
      <w:r>
        <w:rPr>
          <w:color w:val="1A171C"/>
        </w:rPr>
        <w:t xml:space="preserve"> </w:t>
      </w:r>
      <w:r>
        <w:rPr>
          <w:color w:val="1A171C"/>
          <w:spacing w:val="3"/>
        </w:rPr>
        <w:t>失常。</w:t>
      </w:r>
    </w:p>
    <w:p>
      <w:pPr>
        <w:pStyle w:val="BodyText"/>
        <w:ind w:left="1334"/>
        <w:spacing w:before="49" w:line="210" w:lineRule="auto"/>
        <w:rPr/>
      </w:pPr>
      <w:r>
        <w:rPr>
          <w:color w:val="1A171C"/>
          <w:spacing w:val="9"/>
        </w:rPr>
        <w:t>3.</w:t>
      </w:r>
      <w:r>
        <w:rPr>
          <w:color w:val="1A171C"/>
          <w:spacing w:val="-8"/>
        </w:rPr>
        <w:t xml:space="preserve"> </w:t>
      </w:r>
      <w:r>
        <w:rPr>
          <w:color w:val="1A171C"/>
          <w:spacing w:val="9"/>
        </w:rPr>
        <w:t>禁忌证：禁用于支气管哮喘；心原性休克；</w:t>
      </w:r>
    </w:p>
    <w:p>
      <w:pPr>
        <w:pStyle w:val="BodyText"/>
        <w:ind w:left="910" w:right="473" w:hanging="1"/>
        <w:spacing w:before="19" w:line="219" w:lineRule="auto"/>
        <w:rPr/>
      </w:pPr>
      <w:r>
        <w:rPr>
          <w:color w:val="1A171C"/>
          <w:spacing w:val="-4"/>
        </w:rPr>
        <w:t>二、三度房室传导阻滞；重度或急性心力衰竭；窦性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6"/>
        </w:rPr>
        <w:t>心动过缓者。</w:t>
      </w:r>
    </w:p>
    <w:p>
      <w:pPr>
        <w:pStyle w:val="BodyText"/>
        <w:ind w:left="826" w:right="473" w:firstLine="501"/>
        <w:spacing w:before="7" w:line="216" w:lineRule="auto"/>
        <w:rPr/>
      </w:pPr>
      <w:r>
        <w:rPr>
          <w:color w:val="1A171C"/>
          <w:spacing w:val="4"/>
        </w:rPr>
        <w:t>4.</w:t>
      </w:r>
      <w:r>
        <w:rPr>
          <w:color w:val="1A171C"/>
          <w:spacing w:val="-1"/>
        </w:rPr>
        <w:t xml:space="preserve"> </w:t>
      </w:r>
      <w:r>
        <w:rPr>
          <w:color w:val="1A171C"/>
          <w:spacing w:val="4"/>
        </w:rPr>
        <w:t>不良反应：应用本品可出现眩晕、神智模糊</w:t>
      </w:r>
      <w:r>
        <w:rPr>
          <w:color w:val="1A171C"/>
        </w:rPr>
        <w:t xml:space="preserve"> </w:t>
      </w:r>
      <w:r>
        <w:rPr>
          <w:color w:val="1A171C"/>
        </w:rPr>
        <w:t>（尤见于老年人）、精神抑郁、反应迟钝等中枢神经</w:t>
      </w:r>
      <w:r>
        <w:rPr>
          <w:color w:val="1A171C"/>
          <w:spacing w:val="9"/>
        </w:rPr>
        <w:t xml:space="preserve"> </w:t>
      </w:r>
      <w:r>
        <w:rPr>
          <w:color w:val="1A171C"/>
          <w:spacing w:val="-2"/>
        </w:rPr>
        <w:t>系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2"/>
        </w:rPr>
        <w:t>统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2"/>
        </w:rPr>
        <w:t>不 良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2"/>
        </w:rPr>
        <w:t>反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2"/>
        </w:rPr>
        <w:t>应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2"/>
        </w:rPr>
        <w:t>；头 昏（低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2"/>
        </w:rPr>
        <w:t>血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2"/>
        </w:rPr>
        <w:t>压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2"/>
        </w:rPr>
        <w:t>所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2"/>
        </w:rPr>
        <w:t>致</w:t>
      </w:r>
      <w:r>
        <w:rPr>
          <w:color w:val="1A171C"/>
          <w:spacing w:val="-48"/>
          <w:w w:val="99"/>
        </w:rPr>
        <w:t>）；</w:t>
      </w:r>
      <w:r>
        <w:rPr>
          <w:color w:val="1A171C"/>
          <w:spacing w:val="-2"/>
        </w:rPr>
        <w:t>心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2"/>
        </w:rPr>
        <w:t>率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3"/>
        </w:rPr>
        <w:t>过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3"/>
        </w:rPr>
        <w:t>慢</w:t>
      </w:r>
      <w:r>
        <w:rPr>
          <w:color w:val="1A171C"/>
        </w:rPr>
        <w:t xml:space="preserve"> </w:t>
      </w:r>
      <w:r>
        <w:rPr>
          <w:color w:val="1A171C"/>
          <w:spacing w:val="3"/>
        </w:rPr>
        <w:t>（&lt;50</w:t>
      </w:r>
      <w:r>
        <w:rPr>
          <w:color w:val="1A171C"/>
          <w:spacing w:val="-11"/>
        </w:rPr>
        <w:t xml:space="preserve"> </w:t>
      </w:r>
      <w:r>
        <w:rPr>
          <w:color w:val="1A171C"/>
          <w:spacing w:val="3"/>
        </w:rPr>
        <w:t>次/</w:t>
      </w:r>
      <w:r>
        <w:rPr>
          <w:color w:val="1A171C"/>
        </w:rPr>
        <w:t>min</w:t>
      </w:r>
      <w:r>
        <w:rPr>
          <w:color w:val="1A171C"/>
          <w:spacing w:val="3"/>
        </w:rPr>
        <w:t>）。 较少见的有支气管痉挛及呼吸困</w:t>
      </w:r>
      <w:r>
        <w:rPr>
          <w:color w:val="1A171C"/>
        </w:rPr>
        <w:t xml:space="preserve"> </w:t>
      </w:r>
      <w:r>
        <w:rPr>
          <w:color w:val="1A171C"/>
          <w:spacing w:val="8"/>
        </w:rPr>
        <w:t>难、充血性心力衰竭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8"/>
        </w:rPr>
        <w:t>。更少见的有发热和咽痛（粒</w:t>
      </w:r>
      <w:r>
        <w:rPr>
          <w:color w:val="1A171C"/>
        </w:rPr>
        <w:t xml:space="preserve"> </w:t>
      </w:r>
      <w:r>
        <w:rPr>
          <w:color w:val="1A171C"/>
          <w:spacing w:val="-8"/>
        </w:rPr>
        <w:t>细胞缺乏）、皮疹（过敏反应）、出血倾向（血小板减</w:t>
      </w:r>
      <w:r>
        <w:rPr>
          <w:color w:val="1A171C"/>
        </w:rPr>
        <w:t xml:space="preserve"> </w:t>
      </w:r>
      <w:r>
        <w:rPr>
          <w:color w:val="1A171C"/>
          <w:spacing w:val="6"/>
        </w:rPr>
        <w:t>少）。 不良反应持续存在时，需格外警惕雷诺征样</w:t>
      </w:r>
      <w:r>
        <w:rPr>
          <w:color w:val="1A171C"/>
          <w:spacing w:val="11"/>
        </w:rPr>
        <w:t xml:space="preserve"> </w:t>
      </w:r>
      <w:r>
        <w:rPr>
          <w:color w:val="1A171C"/>
          <w:spacing w:val="-8"/>
        </w:rPr>
        <w:t>四肢冰冷、腹泻、倦怠、眼口或皮肤干燥、恶心、指趾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麻木、异常疲乏等。</w:t>
      </w:r>
    </w:p>
    <w:p>
      <w:pPr>
        <w:pStyle w:val="BodyText"/>
        <w:ind w:left="1330"/>
        <w:spacing w:before="49" w:line="194" w:lineRule="auto"/>
        <w:rPr/>
      </w:pPr>
      <w:r>
        <w:rPr>
          <w:color w:val="1A171C"/>
          <w:spacing w:val="-14"/>
        </w:rPr>
        <w:t>5.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4"/>
        </w:rPr>
        <w:t>剂型和规格：片剂，10 mg/片。</w:t>
      </w:r>
    </w:p>
    <w:p>
      <w:pPr>
        <w:pStyle w:val="BodyText"/>
        <w:ind w:left="1331"/>
        <w:spacing w:before="37" w:line="210" w:lineRule="auto"/>
        <w:rPr/>
      </w:pPr>
      <w:r>
        <w:rPr>
          <w:color w:val="1A171C"/>
          <w:spacing w:val="3"/>
        </w:rPr>
        <w:t>6.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3"/>
        </w:rPr>
        <w:t>用法和用量：</w:t>
      </w:r>
    </w:p>
    <w:p>
      <w:pPr>
        <w:pStyle w:val="BodyText"/>
        <w:ind w:left="911" w:right="474" w:firstLine="333"/>
        <w:spacing w:before="16" w:line="202" w:lineRule="auto"/>
        <w:rPr/>
      </w:pPr>
      <w:r>
        <w:rPr>
          <w:color w:val="1A171C"/>
          <w:spacing w:val="-18"/>
        </w:rPr>
        <w:t>（1）成人：10~30 mg/次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18"/>
        </w:rPr>
        <w:t>、3~4 次/</w:t>
      </w:r>
      <w:r>
        <w:rPr>
          <w:color w:val="1A171C"/>
          <w:spacing w:val="-19"/>
        </w:rPr>
        <w:t>d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9"/>
        </w:rPr>
        <w:t>。饭前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19"/>
        </w:rPr>
        <w:t>、睡前</w:t>
      </w:r>
      <w:r>
        <w:rPr>
          <w:color w:val="1A171C"/>
        </w:rPr>
        <w:t xml:space="preserve"> </w:t>
      </w:r>
      <w:r>
        <w:rPr>
          <w:color w:val="1A171C"/>
          <w:spacing w:val="2"/>
        </w:rPr>
        <w:t>服用。</w:t>
      </w:r>
    </w:p>
    <w:p>
      <w:pPr>
        <w:pStyle w:val="BodyText"/>
        <w:ind w:left="908" w:right="408" w:firstLine="336"/>
        <w:spacing w:before="53" w:line="209" w:lineRule="auto"/>
        <w:rPr/>
      </w:pPr>
      <w:r>
        <w:rPr>
          <w:color w:val="1A171C"/>
          <w:spacing w:val="-10"/>
        </w:rPr>
        <w:t>（2）儿童：用药一般按体重每日0.5~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0"/>
        </w:rPr>
        <w:t>1.</w:t>
      </w:r>
      <w:r>
        <w:rPr>
          <w:color w:val="1A171C"/>
          <w:spacing w:val="-11"/>
        </w:rPr>
        <w:t>0 mg/kg，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分次口服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4"/>
        </w:rPr>
        <w:t>。根据体重计算儿童用量，血药浓度治疗</w:t>
      </w:r>
      <w:r>
        <w:rPr>
          <w:color w:val="1A171C"/>
        </w:rPr>
        <w:t xml:space="preserve">  </w:t>
      </w:r>
      <w:r>
        <w:rPr>
          <w:color w:val="1A171C"/>
          <w:spacing w:val="7"/>
        </w:rPr>
        <w:t>范围与成人相似。</w:t>
      </w:r>
    </w:p>
    <w:p>
      <w:pPr>
        <w:pStyle w:val="BodyText"/>
        <w:ind w:left="907" w:right="396" w:firstLine="420"/>
        <w:spacing w:before="46" w:line="217" w:lineRule="auto"/>
        <w:rPr/>
      </w:pPr>
      <w:r>
        <w:rPr>
          <w:color w:val="1A171C"/>
          <w:spacing w:val="7"/>
        </w:rPr>
        <w:t>7.</w:t>
      </w:r>
      <w:r>
        <w:rPr>
          <w:color w:val="1A171C"/>
          <w:spacing w:val="-7"/>
        </w:rPr>
        <w:t xml:space="preserve"> </w:t>
      </w:r>
      <w:r>
        <w:rPr>
          <w:color w:val="1A171C"/>
          <w:spacing w:val="7"/>
        </w:rPr>
        <w:t>药物代谢动力学：本药口服吸收率约90%。</w:t>
      </w:r>
      <w:r>
        <w:rPr>
          <w:color w:val="1A171C"/>
        </w:rPr>
        <w:t xml:space="preserve"> </w:t>
      </w:r>
      <w:r>
        <w:rPr>
          <w:color w:val="1A171C"/>
          <w:spacing w:val="-2"/>
        </w:rPr>
        <w:t>5 h</w:t>
      </w:r>
      <w:r>
        <w:rPr>
          <w:color w:val="1A171C"/>
          <w:spacing w:val="-1"/>
        </w:rPr>
        <w:t xml:space="preserve"> </w:t>
      </w:r>
      <w:r>
        <w:rPr>
          <w:color w:val="1A171C"/>
          <w:spacing w:val="-2"/>
        </w:rPr>
        <w:t>达血药峰浓度，血浆蛋白结合率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-2"/>
        </w:rPr>
        <w:t>90%~95%，在</w:t>
      </w:r>
      <w:r>
        <w:rPr>
          <w:color w:val="1A171C"/>
        </w:rPr>
        <w:t xml:space="preserve">  </w:t>
      </w:r>
      <w:r>
        <w:rPr>
          <w:color w:val="1A171C"/>
          <w:spacing w:val="3"/>
        </w:rPr>
        <w:t>肝脏广泛代谢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3"/>
        </w:rPr>
        <w:t>。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3"/>
        </w:rPr>
        <w:t>口服半衰期为 3.5~6.0 h，经肾脏</w:t>
      </w:r>
      <w:r>
        <w:rPr>
          <w:color w:val="1A171C"/>
        </w:rPr>
        <w:t xml:space="preserve">  </w:t>
      </w:r>
      <w:r>
        <w:rPr>
          <w:color w:val="1A171C"/>
          <w:spacing w:val="-4"/>
        </w:rPr>
        <w:t>排泄，包括大部分代谢产物及小部分（&lt;1%）原形。</w:t>
      </w:r>
    </w:p>
    <w:p>
      <w:pPr>
        <w:pStyle w:val="BodyText"/>
        <w:ind w:left="908" w:right="474" w:firstLine="426"/>
        <w:spacing w:before="24" w:line="213" w:lineRule="auto"/>
        <w:rPr/>
      </w:pPr>
      <w:r>
        <w:rPr>
          <w:color w:val="1A171C"/>
          <w:spacing w:val="1"/>
        </w:rPr>
        <w:t>8.</w:t>
      </w:r>
      <w:r>
        <w:rPr>
          <w:color w:val="1A171C"/>
          <w:spacing w:val="-3"/>
        </w:rPr>
        <w:t xml:space="preserve"> </w:t>
      </w:r>
      <w:r>
        <w:rPr>
          <w:color w:val="1A171C"/>
          <w:spacing w:val="1"/>
        </w:rPr>
        <w:t>药物相互作用：与利血平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1"/>
        </w:rPr>
        <w:t>、洋地黄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1"/>
        </w:rPr>
        <w:t>、钙拮抗</w:t>
      </w:r>
      <w:r>
        <w:rPr>
          <w:color w:val="1A171C"/>
        </w:rPr>
        <w:t xml:space="preserve"> </w:t>
      </w:r>
      <w:r>
        <w:rPr>
          <w:color w:val="1A171C"/>
          <w:spacing w:val="-4"/>
        </w:rPr>
        <w:t>剂、拟交感胺类、氟哌啶醇等药物有相互作用，需严</w:t>
      </w:r>
      <w:r>
        <w:rPr>
          <w:color w:val="1A171C"/>
          <w:spacing w:val="17"/>
          <w:w w:val="101"/>
        </w:rPr>
        <w:t xml:space="preserve"> </w:t>
      </w:r>
      <w:r>
        <w:rPr>
          <w:color w:val="1A171C"/>
          <w:spacing w:val="-5"/>
        </w:rPr>
        <w:t>密观察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5"/>
        </w:rPr>
        <w:t>。与氢氧化铝凝胶、氯丙嗪、甲状腺素、降糖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药、苯妥英钠、苯巴比妥和利福平等合用时需调整</w:t>
      </w:r>
      <w:r>
        <w:rPr>
          <w:color w:val="1A171C"/>
          <w:spacing w:val="16"/>
        </w:rPr>
        <w:t xml:space="preserve"> </w:t>
      </w:r>
      <w:r>
        <w:rPr>
          <w:color w:val="1A171C"/>
          <w:spacing w:val="6"/>
        </w:rPr>
        <w:t>药物剂量。</w:t>
      </w:r>
    </w:p>
    <w:p>
      <w:pPr>
        <w:ind w:left="1254"/>
        <w:spacing w:before="42"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11"/>
          <w:position w:val="1"/>
        </w:rPr>
        <w:t>（四）美托洛尔</w:t>
      </w:r>
    </w:p>
    <w:p>
      <w:pPr>
        <w:pStyle w:val="BodyText"/>
        <w:ind w:left="1347"/>
        <w:spacing w:before="55" w:line="210" w:lineRule="auto"/>
        <w:rPr/>
      </w:pPr>
      <w:r>
        <w:rPr>
          <w:color w:val="1A171C"/>
          <w:spacing w:val="-1"/>
        </w:rPr>
        <w:t>1.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"/>
        </w:rPr>
        <w:t>药品分类：Ⅱ类抗心律失常药。</w:t>
      </w:r>
    </w:p>
    <w:p>
      <w:pPr>
        <w:pStyle w:val="BodyText"/>
        <w:ind w:left="1330"/>
        <w:spacing w:before="14" w:line="210" w:lineRule="auto"/>
        <w:rPr/>
      </w:pPr>
      <w:r>
        <w:rPr>
          <w:color w:val="1A171C"/>
          <w:spacing w:val="2"/>
        </w:rPr>
        <w:t>2.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2"/>
        </w:rPr>
        <w:t>用药目的：用于快速性室上性心律失常。</w:t>
      </w:r>
    </w:p>
    <w:p>
      <w:pPr>
        <w:pStyle w:val="BodyText"/>
        <w:ind w:left="1333"/>
        <w:spacing w:before="16" w:line="165" w:lineRule="auto"/>
        <w:rPr/>
      </w:pPr>
      <w:r>
        <w:rPr>
          <w:color w:val="1A171C"/>
          <w:spacing w:val="4"/>
        </w:rPr>
        <w:t>3.</w:t>
      </w:r>
      <w:r>
        <w:rPr>
          <w:color w:val="1A171C"/>
          <w:spacing w:val="-8"/>
        </w:rPr>
        <w:t xml:space="preserve"> </w:t>
      </w:r>
      <w:r>
        <w:rPr>
          <w:color w:val="1A171C"/>
          <w:spacing w:val="4"/>
        </w:rPr>
        <w:t>禁忌证：禁用于心原性休克；病态窦房结综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05"/>
        <w:spacing w:before="45" w:line="225" w:lineRule="auto"/>
        <w:jc w:val="both"/>
        <w:rPr/>
      </w:pPr>
      <w:r>
        <w:rPr>
          <w:color w:val="1A171C"/>
          <w:spacing w:val="-4"/>
        </w:rPr>
        <w:t>合征；二、三度房室传导阻滞；不稳定的、失代偿性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6"/>
        </w:rPr>
        <w:t>心力衰竭患者（肺水肿、低灌注或低血压</w:t>
      </w:r>
      <w:r>
        <w:rPr>
          <w:color w:val="1A171C"/>
          <w:spacing w:val="-31"/>
          <w:w w:val="65"/>
        </w:rPr>
        <w:t>）；</w:t>
      </w:r>
      <w:r>
        <w:rPr>
          <w:color w:val="1A171C"/>
          <w:spacing w:val="6"/>
        </w:rPr>
        <w:t>有症状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-3"/>
        </w:rPr>
        <w:t>的心动过缓或低血压；心率&lt;45</w:t>
      </w:r>
      <w:r>
        <w:rPr>
          <w:color w:val="1A171C"/>
          <w:spacing w:val="25"/>
        </w:rPr>
        <w:t xml:space="preserve"> </w:t>
      </w:r>
      <w:r>
        <w:rPr>
          <w:color w:val="1A171C"/>
          <w:spacing w:val="-3"/>
        </w:rPr>
        <w:t>次/min、PQ 间期&gt;</w:t>
      </w:r>
      <w:r>
        <w:rPr>
          <w:color w:val="1A171C"/>
        </w:rPr>
        <w:t xml:space="preserve"> </w:t>
      </w:r>
      <w:r>
        <w:rPr>
          <w:color w:val="1A171C"/>
          <w:spacing w:val="-5"/>
        </w:rPr>
        <w:t>0.24 s</w:t>
      </w:r>
      <w:r>
        <w:rPr>
          <w:color w:val="1A171C"/>
          <w:spacing w:val="-11"/>
        </w:rPr>
        <w:t xml:space="preserve"> </w:t>
      </w:r>
      <w:r>
        <w:rPr>
          <w:color w:val="1A171C"/>
          <w:spacing w:val="-5"/>
        </w:rPr>
        <w:t>或收缩压&lt;100 mmHg 的怀疑急性心肌梗死的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患者、伴有坏疽危险的严重外周血管疾病患者以及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7"/>
        </w:rPr>
        <w:t>对本品中任何成分或其他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7"/>
        </w:rPr>
        <w:t>β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7"/>
        </w:rPr>
        <w:t>受体阻滞剂过敏者。</w:t>
      </w:r>
    </w:p>
    <w:p>
      <w:pPr>
        <w:pStyle w:val="BodyText"/>
        <w:ind w:right="907" w:firstLine="419"/>
        <w:spacing w:before="3" w:line="214" w:lineRule="auto"/>
        <w:rPr/>
      </w:pPr>
      <w:r>
        <w:rPr>
          <w:color w:val="1A171C"/>
          <w:spacing w:val="14"/>
        </w:rPr>
        <w:t>4.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14"/>
        </w:rPr>
        <w:t>不良反应及处理：常见不良反应为心动过</w:t>
      </w:r>
      <w:r>
        <w:rPr>
          <w:color w:val="1A171C"/>
        </w:rPr>
        <w:t xml:space="preserve"> </w:t>
      </w:r>
      <w:r>
        <w:rPr>
          <w:color w:val="1A171C"/>
          <w:spacing w:val="-8"/>
          <w:w w:val="98"/>
        </w:rPr>
        <w:t>缓、心脏传导阻滞、心力衰竭、低血压、皮肤瘙痒、皮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-5"/>
        </w:rPr>
        <w:t>疹、胃肠道反应、头晕、乏力、抑郁等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5"/>
        </w:rPr>
        <w:t>。一般不需要</w:t>
      </w:r>
      <w:r>
        <w:rPr>
          <w:color w:val="1A171C"/>
        </w:rPr>
        <w:t xml:space="preserve"> </w:t>
      </w:r>
      <w:r>
        <w:rPr>
          <w:color w:val="1A171C"/>
          <w:spacing w:val="6"/>
        </w:rPr>
        <w:t>特殊处理。</w:t>
      </w:r>
    </w:p>
    <w:p>
      <w:pPr>
        <w:pStyle w:val="BodyText"/>
        <w:ind w:left="4" w:right="824" w:firstLine="420"/>
        <w:spacing w:before="57" w:line="210" w:lineRule="auto"/>
        <w:rPr/>
      </w:pPr>
      <w:r>
        <w:rPr>
          <w:color w:val="1A171C"/>
          <w:spacing w:val="-1"/>
        </w:rPr>
        <w:t>5. 剂型和规格</w:t>
      </w:r>
      <w:r>
        <w:rPr>
          <w:color w:val="1A171C"/>
          <w:spacing w:val="-43"/>
          <w:w w:val="78"/>
        </w:rPr>
        <w:t>：（</w:t>
      </w:r>
      <w:r>
        <w:rPr>
          <w:color w:val="1A171C"/>
          <w:spacing w:val="-1"/>
        </w:rPr>
        <w:t>酒石酸盐）片剂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"/>
        </w:rPr>
        <w:t>，25 mg/片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"/>
        </w:rPr>
        <w:t>、</w:t>
      </w:r>
      <w:r>
        <w:rPr>
          <w:color w:val="1A171C"/>
        </w:rPr>
        <w:t xml:space="preserve"> </w:t>
      </w:r>
      <w:r>
        <w:rPr>
          <w:color w:val="1A171C"/>
          <w:spacing w:val="-17"/>
        </w:rPr>
        <w:t>50 mg/片</w:t>
      </w:r>
      <w:r>
        <w:rPr>
          <w:color w:val="1A171C"/>
          <w:spacing w:val="-31"/>
          <w:w w:val="64"/>
        </w:rPr>
        <w:t>；（</w:t>
      </w:r>
      <w:r>
        <w:rPr>
          <w:color w:val="1A171C"/>
          <w:spacing w:val="-17"/>
        </w:rPr>
        <w:t>酒石酸盐）注射液，5 ml∶5 mg。</w:t>
      </w:r>
    </w:p>
    <w:p>
      <w:pPr>
        <w:pStyle w:val="BodyText"/>
        <w:ind w:left="425"/>
        <w:spacing w:before="45" w:line="210" w:lineRule="auto"/>
        <w:rPr/>
      </w:pPr>
      <w:r>
        <w:rPr>
          <w:color w:val="1A171C"/>
          <w:spacing w:val="3"/>
        </w:rPr>
        <w:t>6.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3"/>
        </w:rPr>
        <w:t>用法和用量：</w:t>
      </w:r>
    </w:p>
    <w:p>
      <w:pPr>
        <w:pStyle w:val="BodyText"/>
        <w:ind w:left="339"/>
        <w:spacing w:before="23" w:line="205" w:lineRule="auto"/>
        <w:rPr/>
      </w:pPr>
      <w:r>
        <w:rPr>
          <w:color w:val="1A171C"/>
          <w:spacing w:val="2"/>
        </w:rPr>
        <w:t>（1）口服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2"/>
        </w:rPr>
        <w:t>。成人：在治疗心律失常时一般</w:t>
      </w:r>
      <w:r>
        <w:rPr>
          <w:color w:val="1A171C"/>
          <w:spacing w:val="-11"/>
        </w:rPr>
        <w:t xml:space="preserve"> </w:t>
      </w:r>
      <w:r>
        <w:rPr>
          <w:color w:val="1A171C"/>
          <w:spacing w:val="2"/>
        </w:rPr>
        <w:t>25~</w:t>
      </w:r>
    </w:p>
    <w:p>
      <w:pPr>
        <w:pStyle w:val="BodyText"/>
        <w:ind w:left="4"/>
        <w:spacing w:before="32" w:line="183" w:lineRule="auto"/>
        <w:rPr/>
      </w:pPr>
      <w:r>
        <w:rPr>
          <w:color w:val="1A171C"/>
          <w:spacing w:val="-20"/>
          <w:w w:val="97"/>
        </w:rPr>
        <w:t>50 mg/次、2~3</w:t>
      </w:r>
      <w:r>
        <w:rPr>
          <w:color w:val="1A171C"/>
          <w:spacing w:val="-11"/>
        </w:rPr>
        <w:t xml:space="preserve"> </w:t>
      </w:r>
      <w:r>
        <w:rPr>
          <w:color w:val="1A171C"/>
          <w:spacing w:val="-20"/>
          <w:w w:val="97"/>
        </w:rPr>
        <w:t>次/d，或 100 mg/次、2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20"/>
          <w:w w:val="97"/>
        </w:rPr>
        <w:t>次/d。</w:t>
      </w:r>
    </w:p>
    <w:p>
      <w:pPr>
        <w:pStyle w:val="BodyText"/>
        <w:ind w:left="2" w:right="839" w:firstLine="419"/>
        <w:spacing w:before="59" w:line="225" w:lineRule="auto"/>
        <w:jc w:val="both"/>
        <w:rPr/>
      </w:pPr>
      <w:r>
        <w:rPr>
          <w:color w:val="1A171C"/>
          <w:spacing w:val="-19"/>
        </w:rPr>
        <w:t>儿童：1个月~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9"/>
        </w:rPr>
        <w:t>12岁，起始剂量一日0.5~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9"/>
        </w:rPr>
        <w:t>1.0 mg/kg，</w:t>
      </w:r>
      <w:r>
        <w:rPr>
          <w:color w:val="1A171C"/>
        </w:rPr>
        <w:t xml:space="preserve"> </w:t>
      </w:r>
      <w:r>
        <w:rPr>
          <w:color w:val="1A171C"/>
          <w:spacing w:val="-16"/>
        </w:rPr>
        <w:t>分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16"/>
        </w:rPr>
        <w:t>2~3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6"/>
        </w:rPr>
        <w:t>次，常用剂量一 日 3 mg/kg；&gt;12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6"/>
        </w:rPr>
        <w:t>岁儿童，常用</w:t>
      </w:r>
      <w:r>
        <w:rPr>
          <w:color w:val="1A171C"/>
        </w:rPr>
        <w:t xml:space="preserve">  </w:t>
      </w:r>
      <w:r>
        <w:rPr>
          <w:color w:val="1A171C"/>
          <w:spacing w:val="-16"/>
        </w:rPr>
        <w:t>剂量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6"/>
        </w:rPr>
        <w:t>50 mg/d，分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6"/>
        </w:rPr>
        <w:t>2~3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6"/>
        </w:rPr>
        <w:t>次，如有必要可增至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6"/>
        </w:rPr>
        <w:t>300 mg/d，</w:t>
      </w:r>
      <w:r>
        <w:rPr>
          <w:color w:val="1A171C"/>
        </w:rPr>
        <w:t xml:space="preserve"> </w:t>
      </w:r>
      <w:r>
        <w:rPr>
          <w:color w:val="1A171C"/>
          <w:spacing w:val="6"/>
        </w:rPr>
        <w:t>分次口服。</w:t>
      </w:r>
    </w:p>
    <w:p>
      <w:pPr>
        <w:pStyle w:val="BodyText"/>
        <w:ind w:left="1" w:right="906" w:firstLine="337"/>
        <w:spacing w:before="3" w:line="223" w:lineRule="auto"/>
        <w:rPr/>
      </w:pPr>
      <w:r>
        <w:rPr>
          <w:color w:val="1A171C"/>
          <w:spacing w:val="-5"/>
        </w:rPr>
        <w:t>（2）静脉注射</w:t>
      </w:r>
      <w:r>
        <w:rPr>
          <w:color w:val="1A171C"/>
          <w:spacing w:val="-9"/>
        </w:rPr>
        <w:t xml:space="preserve"> </w:t>
      </w:r>
      <w:r>
        <w:rPr>
          <w:color w:val="1A171C"/>
          <w:spacing w:val="-5"/>
        </w:rPr>
        <w:t>。成人剂量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5"/>
        </w:rPr>
        <w:t>5 mg，用葡萄糖稀释</w:t>
      </w:r>
      <w:r>
        <w:rPr>
          <w:color w:val="1A171C"/>
        </w:rPr>
        <w:t xml:space="preserve"> </w:t>
      </w:r>
      <w:r>
        <w:rPr>
          <w:color w:val="1A171C"/>
          <w:spacing w:val="-7"/>
        </w:rPr>
        <w:t>后，以 1~2 mg/min</w:t>
      </w:r>
      <w:r>
        <w:rPr>
          <w:color w:val="1A171C"/>
          <w:spacing w:val="-3"/>
        </w:rPr>
        <w:t xml:space="preserve"> </w:t>
      </w:r>
      <w:r>
        <w:rPr>
          <w:color w:val="1A171C"/>
          <w:spacing w:val="-7"/>
        </w:rPr>
        <w:t>速度缓慢静脉注射，如病情需要</w:t>
      </w:r>
    </w:p>
    <w:p>
      <w:pPr>
        <w:pStyle w:val="BodyText"/>
        <w:ind w:left="4"/>
        <w:spacing w:before="8" w:line="199" w:lineRule="auto"/>
        <w:rPr/>
      </w:pPr>
      <w:r>
        <w:rPr>
          <w:color w:val="1A171C"/>
          <w:spacing w:val="-3"/>
        </w:rPr>
        <w:t>5 min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-3"/>
        </w:rPr>
        <w:t>后重复注射 1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3"/>
        </w:rPr>
        <w:t>次，视病情而定，总剂量不超过</w:t>
      </w:r>
    </w:p>
    <w:p>
      <w:pPr>
        <w:pStyle w:val="BodyText"/>
        <w:ind w:left="20"/>
        <w:spacing w:before="38" w:line="183" w:lineRule="auto"/>
        <w:rPr/>
      </w:pPr>
      <w:r>
        <w:rPr>
          <w:color w:val="1A171C"/>
          <w:spacing w:val="-26"/>
        </w:rPr>
        <w:t>10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-26"/>
        </w:rPr>
        <w:t>mg。</w:t>
      </w:r>
    </w:p>
    <w:p>
      <w:pPr>
        <w:pStyle w:val="BodyText"/>
        <w:ind w:right="906" w:firstLine="421"/>
        <w:spacing w:before="55" w:line="218" w:lineRule="auto"/>
        <w:rPr/>
      </w:pPr>
      <w:r>
        <w:rPr>
          <w:color w:val="1A171C"/>
          <w:spacing w:val="5"/>
        </w:rPr>
        <w:t>7.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5"/>
        </w:rPr>
        <w:t>药物代谢动力学：美托洛尔的生物利用度为</w:t>
      </w:r>
      <w:r>
        <w:rPr>
          <w:color w:val="1A171C"/>
        </w:rPr>
        <w:t xml:space="preserve"> </w:t>
      </w:r>
      <w:r>
        <w:rPr>
          <w:color w:val="1A171C"/>
          <w:spacing w:val="1"/>
        </w:rPr>
        <w:t>40%~50%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1"/>
        </w:rPr>
        <w:t>。在服药 1~2 h</w:t>
      </w:r>
      <w:r>
        <w:rPr>
          <w:color w:val="1A171C"/>
          <w:spacing w:val="-11"/>
        </w:rPr>
        <w:t xml:space="preserve"> </w:t>
      </w:r>
      <w:r>
        <w:rPr>
          <w:color w:val="1A171C"/>
          <w:spacing w:val="1"/>
        </w:rPr>
        <w:t>达到最大的 β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1"/>
        </w:rPr>
        <w:t>受体阻滞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作用</w:t>
      </w:r>
      <w:r>
        <w:rPr>
          <w:color w:val="1A171C"/>
          <w:spacing w:val="-11"/>
        </w:rPr>
        <w:t xml:space="preserve"> </w:t>
      </w:r>
      <w:r>
        <w:rPr>
          <w:color w:val="1A171C"/>
          <w:spacing w:val="5"/>
        </w:rPr>
        <w:t>。每日一次口服 100</w:t>
      </w:r>
      <w:r>
        <w:rPr>
          <w:color w:val="1A171C"/>
        </w:rPr>
        <w:t>mg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5"/>
        </w:rPr>
        <w:t>后，对心律的作用在</w:t>
      </w:r>
      <w:r>
        <w:rPr>
          <w:color w:val="1A171C"/>
        </w:rPr>
        <w:t xml:space="preserve"> </w:t>
      </w:r>
      <w:r>
        <w:rPr>
          <w:color w:val="1A171C"/>
          <w:spacing w:val="1"/>
        </w:rPr>
        <w:t>12 h</w:t>
      </w:r>
      <w:r>
        <w:rPr>
          <w:color w:val="1A171C"/>
          <w:spacing w:val="-5"/>
        </w:rPr>
        <w:t xml:space="preserve"> </w:t>
      </w:r>
      <w:r>
        <w:rPr>
          <w:color w:val="1A171C"/>
          <w:spacing w:val="1"/>
        </w:rPr>
        <w:t>后仍显著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1"/>
        </w:rPr>
        <w:t>。血浆清除半衰期为 3~5 h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1"/>
        </w:rPr>
        <w:t>。约</w:t>
      </w:r>
      <w:r>
        <w:rPr>
          <w:color w:val="1A171C"/>
          <w:spacing w:val="-12"/>
        </w:rPr>
        <w:t xml:space="preserve"> </w:t>
      </w:r>
      <w:r>
        <w:rPr>
          <w:color w:val="1A171C"/>
          <w:spacing w:val="1"/>
        </w:rPr>
        <w:t>5%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的美托洛尔以原形由肾排泄，其余的均被代谢。</w:t>
      </w:r>
    </w:p>
    <w:p>
      <w:pPr>
        <w:pStyle w:val="BodyText"/>
        <w:ind w:left="2" w:right="824" w:firstLine="426"/>
        <w:spacing w:before="60" w:line="222" w:lineRule="auto"/>
        <w:rPr/>
      </w:pPr>
      <w:r>
        <w:rPr>
          <w:color w:val="1A171C"/>
          <w:spacing w:val="4"/>
        </w:rPr>
        <w:t>8.</w:t>
      </w:r>
      <w:r>
        <w:rPr>
          <w:color w:val="1A171C"/>
          <w:spacing w:val="-10"/>
        </w:rPr>
        <w:t xml:space="preserve"> </w:t>
      </w:r>
      <w:r>
        <w:rPr>
          <w:color w:val="1A171C"/>
          <w:spacing w:val="4"/>
        </w:rPr>
        <w:t>药物相互作用：美托洛尔应避免与巴比妥类</w:t>
      </w:r>
      <w:r>
        <w:rPr>
          <w:color w:val="1A171C"/>
        </w:rPr>
        <w:t xml:space="preserve">  </w:t>
      </w:r>
      <w:r>
        <w:rPr>
          <w:color w:val="1A171C"/>
          <w:spacing w:val="4"/>
        </w:rPr>
        <w:t>药物、普罗帕酮、维拉帕米合并使用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4"/>
        </w:rPr>
        <w:t>。当与下列药</w:t>
      </w:r>
      <w:r>
        <w:rPr>
          <w:color w:val="1A171C"/>
        </w:rPr>
        <w:t xml:space="preserve">  </w:t>
      </w:r>
      <w:r>
        <w:rPr>
          <w:color w:val="1A171C"/>
          <w:spacing w:val="5"/>
        </w:rPr>
        <w:t>物合并使用时可能需要调整剂量：胺碘酮、Ⅰ类抗</w:t>
      </w:r>
      <w:r>
        <w:rPr>
          <w:color w:val="1A171C"/>
          <w:spacing w:val="7"/>
        </w:rPr>
        <w:t xml:space="preserve">  </w:t>
      </w:r>
      <w:r>
        <w:rPr>
          <w:color w:val="1A171C"/>
          <w:spacing w:val="-4"/>
        </w:rPr>
        <w:t>心律失常药物、非甾体类抗炎/抗风湿药（NS</w:t>
      </w:r>
      <w:r>
        <w:rPr>
          <w:color w:val="1A171C"/>
          <w:spacing w:val="-5"/>
        </w:rPr>
        <w:t>AID）、</w:t>
      </w:r>
      <w:r>
        <w:rPr>
          <w:color w:val="1A171C"/>
        </w:rPr>
        <w:t xml:space="preserve"> </w:t>
      </w:r>
      <w:r>
        <w:rPr>
          <w:color w:val="1A171C"/>
          <w:spacing w:val="-8"/>
        </w:rPr>
        <w:t>苯海拉明、地尔硫</w:t>
      </w:r>
      <w:r>
        <w:rPr>
          <w:color w:val="686669"/>
          <w:spacing w:val="-8"/>
        </w:rPr>
        <w:t>草</w:t>
      </w:r>
      <w:r>
        <w:rPr>
          <w:color w:val="1A171C"/>
          <w:spacing w:val="-8"/>
        </w:rPr>
        <w:t>、肾上腺素、苯丙醇胺、奎尼丁、</w:t>
      </w:r>
      <w:r>
        <w:rPr>
          <w:color w:val="1A171C"/>
        </w:rPr>
        <w:t xml:space="preserve"> </w:t>
      </w:r>
      <w:r>
        <w:rPr>
          <w:color w:val="1A171C"/>
          <w:spacing w:val="12"/>
        </w:rPr>
        <w:t>可乐定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12"/>
        </w:rPr>
        <w:t>。应严密监控同时接受其他 β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12"/>
        </w:rPr>
        <w:t>受体阻滞剂</w:t>
      </w:r>
      <w:r>
        <w:rPr>
          <w:color w:val="1A171C"/>
        </w:rPr>
        <w:t xml:space="preserve">  </w:t>
      </w:r>
      <w:r>
        <w:rPr>
          <w:color w:val="1A171C"/>
          <w:spacing w:val="12"/>
        </w:rPr>
        <w:t>或单胺氧化酶抑制剂的患者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12"/>
        </w:rPr>
        <w:t>。在接受 β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12"/>
        </w:rPr>
        <w:t>受体阻滞</w:t>
      </w:r>
      <w:r>
        <w:rPr>
          <w:color w:val="1A171C"/>
        </w:rPr>
        <w:t xml:space="preserve">  </w:t>
      </w:r>
      <w:r>
        <w:rPr>
          <w:color w:val="1A171C"/>
          <w:spacing w:val="4"/>
        </w:rPr>
        <w:t>剂治疗的患者，吸入麻醉会增加心脏抑制作用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4"/>
        </w:rPr>
        <w:t>。接</w:t>
      </w:r>
      <w:r>
        <w:rPr>
          <w:color w:val="1A171C"/>
        </w:rPr>
        <w:t xml:space="preserve">  </w:t>
      </w:r>
      <w:r>
        <w:rPr>
          <w:color w:val="1A171C"/>
          <w:spacing w:val="14"/>
        </w:rPr>
        <w:t>受 β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14"/>
        </w:rPr>
        <w:t>受体阻滞剂治疗的患者应重新调整口服</w:t>
      </w:r>
      <w:r>
        <w:rPr>
          <w:color w:val="1A171C"/>
          <w:spacing w:val="13"/>
        </w:rPr>
        <w:t>降糖</w:t>
      </w:r>
      <w:r>
        <w:rPr>
          <w:color w:val="1A171C"/>
        </w:rPr>
        <w:t xml:space="preserve">  </w:t>
      </w:r>
      <w:r>
        <w:rPr>
          <w:color w:val="1A171C"/>
          <w:spacing w:val="4"/>
        </w:rPr>
        <w:t>药的剂量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4"/>
        </w:rPr>
        <w:t>。若与西咪替丁或肼屈嗪合用，美托洛尔</w:t>
      </w:r>
      <w:r>
        <w:rPr>
          <w:color w:val="1A171C"/>
        </w:rPr>
        <w:t xml:space="preserve">  </w:t>
      </w:r>
      <w:r>
        <w:rPr>
          <w:color w:val="1A171C"/>
          <w:spacing w:val="7"/>
        </w:rPr>
        <w:t>的血浆浓度会增加。</w:t>
      </w:r>
    </w:p>
    <w:p>
      <w:pPr>
        <w:ind w:left="347"/>
        <w:spacing w:before="49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11"/>
          <w:position w:val="1"/>
        </w:rPr>
        <w:t>（五）阿替洛尔</w:t>
      </w:r>
    </w:p>
    <w:p>
      <w:pPr>
        <w:pStyle w:val="BodyText"/>
        <w:ind w:left="440"/>
        <w:spacing w:before="62" w:line="210" w:lineRule="auto"/>
        <w:rPr/>
      </w:pPr>
      <w:r>
        <w:rPr>
          <w:color w:val="1A171C"/>
          <w:spacing w:val="-1"/>
        </w:rPr>
        <w:t>1.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"/>
        </w:rPr>
        <w:t>药品分类：Ⅱ类抗心律失常药。</w:t>
      </w:r>
    </w:p>
    <w:p>
      <w:pPr>
        <w:pStyle w:val="BodyText"/>
        <w:ind w:left="424"/>
        <w:spacing w:before="22" w:line="210" w:lineRule="auto"/>
        <w:rPr/>
      </w:pPr>
      <w:r>
        <w:rPr>
          <w:color w:val="1A171C"/>
          <w:spacing w:val="2"/>
        </w:rPr>
        <w:t>2.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2"/>
        </w:rPr>
        <w:t>用药目的：用于快速性室上性心律失常。</w:t>
      </w:r>
    </w:p>
    <w:p>
      <w:pPr>
        <w:pStyle w:val="BodyText"/>
        <w:ind w:left="426"/>
        <w:spacing w:before="22" w:line="168" w:lineRule="auto"/>
        <w:rPr/>
      </w:pPr>
      <w:r>
        <w:rPr>
          <w:color w:val="1A171C"/>
          <w:spacing w:val="-5"/>
        </w:rPr>
        <w:t>3.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-5"/>
        </w:rPr>
        <w:t>禁忌证：禁用于二、三度心脏传导阻滞；心原</w:t>
      </w:r>
    </w:p>
    <w:p>
      <w:pPr>
        <w:spacing w:line="168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2">
            <w:col w:w="5911" w:space="100"/>
            <w:col w:w="5436" w:space="0"/>
          </w:cols>
        </w:sectPr>
        <w:rPr/>
      </w:pPr>
    </w:p>
    <w:p>
      <w:pPr>
        <w:spacing w:line="251" w:lineRule="auto"/>
        <w:rPr>
          <w:rFonts w:ascii="Arial"/>
          <w:sz w:val="21"/>
        </w:rPr>
      </w:pPr>
      <w:r>
        <w:pict>
          <v:shape id="_x0000_s28" style="position:absolute;margin-left:45.3808pt;margin-top:-707.993pt;mso-position-vertical-relative:text;mso-position-horizontal-relative:text;width:307pt;height:0.4pt;z-index:251665408;" filled="false" strokecolor="#1A171C" strokeweight="0.37pt" coordsize="6140,8" coordorigin="0,0" path="m0,3l6139,3e">
            <v:stroke joinstyle="miter" miterlimit="4"/>
          </v:shape>
        </w:pict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before="69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69883</wp:posOffset>
            </wp:positionV>
            <wp:extent cx="1219200" cy="143255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66"/>
        <w:rPr/>
      </w:pPr>
      <w:r/>
    </w:p>
    <w:p>
      <w:pPr>
        <w:sectPr>
          <w:headerReference w:type="default" r:id="rId13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/>
      </w:pPr>
    </w:p>
    <w:p>
      <w:pPr>
        <w:pStyle w:val="BodyText"/>
        <w:ind w:left="909"/>
        <w:spacing w:before="43" w:line="188" w:lineRule="auto"/>
        <w:rPr/>
      </w:pPr>
      <w:r>
        <w:rPr>
          <w:color w:val="1A171C"/>
          <w:spacing w:val="4"/>
        </w:rPr>
        <w:t>性休克；病态窦房结综合证及严重窦性心动过缓。</w:t>
      </w:r>
    </w:p>
    <w:p>
      <w:pPr>
        <w:pStyle w:val="BodyText"/>
        <w:ind w:left="909" w:right="391" w:firstLine="419"/>
        <w:spacing w:before="43" w:line="212" w:lineRule="auto"/>
        <w:rPr/>
      </w:pPr>
      <w:r>
        <w:rPr>
          <w:color w:val="1A171C"/>
          <w:spacing w:val="5"/>
        </w:rPr>
        <w:t>4.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5"/>
        </w:rPr>
        <w:t>不良反应：最常见的不良反应为低血压和心</w:t>
      </w:r>
      <w:r>
        <w:rPr>
          <w:color w:val="1A171C"/>
        </w:rPr>
        <w:t xml:space="preserve">  </w:t>
      </w:r>
      <w:r>
        <w:rPr>
          <w:color w:val="1A171C"/>
          <w:spacing w:val="-8"/>
        </w:rPr>
        <w:t>动过缓；其他反应可有头晕、四肢冰冷、疲劳、乏力、</w:t>
      </w:r>
      <w:r>
        <w:rPr>
          <w:color w:val="1A171C"/>
        </w:rPr>
        <w:t xml:space="preserve"> </w:t>
      </w:r>
      <w:r>
        <w:rPr>
          <w:color w:val="1A171C"/>
          <w:spacing w:val="-4"/>
        </w:rPr>
        <w:t>肠胃不适、精神抑郁、脱发、血小板减少症、牛皮癣</w:t>
      </w:r>
      <w:r>
        <w:rPr>
          <w:color w:val="1A171C"/>
          <w:spacing w:val="9"/>
        </w:rPr>
        <w:t xml:space="preserve">  </w:t>
      </w:r>
      <w:r>
        <w:rPr>
          <w:color w:val="1A171C"/>
          <w:spacing w:val="-2"/>
        </w:rPr>
        <w:t>样皮肤反应、牛皮癣恶化、皮疹及干眼等。</w:t>
      </w:r>
    </w:p>
    <w:p>
      <w:pPr>
        <w:pStyle w:val="BodyText"/>
        <w:ind w:left="911" w:right="391" w:firstLine="420"/>
        <w:spacing w:before="48" w:line="203" w:lineRule="auto"/>
        <w:rPr/>
      </w:pPr>
      <w:r>
        <w:rPr>
          <w:color w:val="1A171C"/>
          <w:spacing w:val="-13"/>
        </w:rPr>
        <w:t>5. 剂型和规格：片剂，12.5 mg/片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-13"/>
        </w:rPr>
        <w:t>、25.0 mg/片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-13"/>
        </w:rPr>
        <w:t>、</w:t>
      </w:r>
      <w:r>
        <w:rPr>
          <w:color w:val="1A171C"/>
        </w:rPr>
        <w:t xml:space="preserve"> </w:t>
      </w:r>
      <w:r>
        <w:rPr>
          <w:color w:val="1A171C"/>
          <w:spacing w:val="-14"/>
        </w:rPr>
        <w:t>50.0 mg/片。</w:t>
      </w:r>
    </w:p>
    <w:p>
      <w:pPr>
        <w:pStyle w:val="BodyText"/>
        <w:ind w:left="1332"/>
        <w:spacing w:before="49" w:line="210" w:lineRule="auto"/>
        <w:rPr/>
      </w:pPr>
      <w:r>
        <w:rPr>
          <w:color w:val="1A171C"/>
          <w:spacing w:val="-3"/>
        </w:rPr>
        <w:t>6.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3"/>
        </w:rPr>
        <w:t>用法和用量：口服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3"/>
        </w:rPr>
        <w:t>。成人常用量：起始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3"/>
        </w:rPr>
        <w:t>6.25~</w:t>
      </w:r>
    </w:p>
    <w:p>
      <w:pPr>
        <w:pStyle w:val="BodyText"/>
        <w:ind w:left="927"/>
        <w:spacing w:before="19" w:line="183" w:lineRule="auto"/>
        <w:rPr/>
      </w:pPr>
      <w:r>
        <w:rPr>
          <w:color w:val="1A171C"/>
          <w:spacing w:val="-12"/>
        </w:rPr>
        <w:t>12.5 mg/次 、2 次/d，按</w:t>
      </w:r>
      <w:r>
        <w:rPr>
          <w:color w:val="1A171C"/>
          <w:spacing w:val="-5"/>
        </w:rPr>
        <w:t xml:space="preserve"> </w:t>
      </w:r>
      <w:r>
        <w:rPr>
          <w:color w:val="1A171C"/>
          <w:spacing w:val="-12"/>
        </w:rPr>
        <w:t>需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2"/>
        </w:rPr>
        <w:t>要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2"/>
        </w:rPr>
        <w:t>及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2"/>
        </w:rPr>
        <w:t>耐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2"/>
        </w:rPr>
        <w:t>受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2"/>
        </w:rPr>
        <w:t>量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2"/>
        </w:rPr>
        <w:t>渐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2"/>
        </w:rPr>
        <w:t>增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12"/>
        </w:rPr>
        <w:t>至 50~</w:t>
      </w:r>
    </w:p>
    <w:p>
      <w:pPr>
        <w:pStyle w:val="BodyText"/>
        <w:ind w:left="910" w:right="470"/>
        <w:spacing w:before="56" w:line="210" w:lineRule="auto"/>
        <w:rPr/>
      </w:pPr>
      <w:r>
        <w:rPr>
          <w:color w:val="1A171C"/>
          <w:spacing w:val="-12"/>
        </w:rPr>
        <w:t>200 mg/d 。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-12"/>
        </w:rPr>
        <w:t>肾</w:t>
      </w:r>
      <w:r>
        <w:rPr>
          <w:color w:val="1A171C"/>
          <w:spacing w:val="12"/>
        </w:rPr>
        <w:t xml:space="preserve"> </w:t>
      </w:r>
      <w:r>
        <w:rPr>
          <w:color w:val="1A171C"/>
          <w:spacing w:val="-12"/>
        </w:rPr>
        <w:t>功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-12"/>
        </w:rPr>
        <w:t>能 损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12"/>
        </w:rPr>
        <w:t>害</w:t>
      </w:r>
      <w:r>
        <w:rPr>
          <w:color w:val="1A171C"/>
          <w:spacing w:val="19"/>
        </w:rPr>
        <w:t xml:space="preserve"> </w:t>
      </w:r>
      <w:r>
        <w:rPr>
          <w:color w:val="1A171C"/>
          <w:spacing w:val="-12"/>
        </w:rPr>
        <w:t>时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-12"/>
        </w:rPr>
        <w:t>，肌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-12"/>
        </w:rPr>
        <w:t>酐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12"/>
        </w:rPr>
        <w:t>清</w:t>
      </w:r>
      <w:r>
        <w:rPr>
          <w:color w:val="1A171C"/>
          <w:spacing w:val="19"/>
          <w:w w:val="101"/>
        </w:rPr>
        <w:t xml:space="preserve"> </w:t>
      </w:r>
      <w:r>
        <w:rPr>
          <w:color w:val="1A171C"/>
          <w:spacing w:val="-12"/>
        </w:rPr>
        <w:t>除</w:t>
      </w:r>
      <w:r>
        <w:rPr>
          <w:color w:val="1A171C"/>
          <w:spacing w:val="8"/>
        </w:rPr>
        <w:t xml:space="preserve"> </w:t>
      </w:r>
      <w:r>
        <w:rPr>
          <w:color w:val="1A171C"/>
          <w:spacing w:val="-13"/>
        </w:rPr>
        <w:t>率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-13"/>
        </w:rPr>
        <w:t>&lt;15</w:t>
      </w:r>
      <w:r>
        <w:rPr>
          <w:color w:val="1A171C"/>
        </w:rPr>
        <w:t xml:space="preserve"> </w:t>
      </w:r>
      <w:r>
        <w:rPr>
          <w:color w:val="1A171C"/>
          <w:spacing w:val="-13"/>
        </w:rPr>
        <w:t>ml</w:t>
      </w:r>
      <w:r>
        <w:rPr>
          <w:color w:val="1A171C"/>
          <w:spacing w:val="15"/>
        </w:rPr>
        <w:t xml:space="preserve"> </w:t>
      </w:r>
      <w:r>
        <w:rPr>
          <w:color w:val="1A171C"/>
          <w:spacing w:val="-13"/>
        </w:rPr>
        <w:t>·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3"/>
        </w:rPr>
        <w:t>min</w:t>
      </w:r>
      <w:r>
        <w:rPr>
          <w:sz w:val="10"/>
          <w:szCs w:val="10"/>
          <w:color w:val="1A171C"/>
          <w:spacing w:val="6"/>
          <w:position w:val="8"/>
        </w:rPr>
        <w:t>-1 </w:t>
      </w:r>
      <w:r>
        <w:rPr>
          <w:color w:val="1A171C"/>
          <w:spacing w:val="-21"/>
        </w:rPr>
        <w:t>·（1.73m</w:t>
      </w:r>
      <w:r>
        <w:rPr>
          <w:sz w:val="10"/>
          <w:szCs w:val="10"/>
          <w:color w:val="1A171C"/>
          <w:spacing w:val="1"/>
          <w:position w:val="8"/>
        </w:rPr>
        <w:t>2</w:t>
      </w:r>
      <w:r>
        <w:rPr>
          <w:color w:val="1A171C"/>
          <w:spacing w:val="-24"/>
          <w:w w:val="67"/>
        </w:rPr>
        <w:t>）</w:t>
      </w:r>
      <w:r>
        <w:rPr>
          <w:sz w:val="10"/>
          <w:szCs w:val="10"/>
          <w:color w:val="1A171C"/>
          <w:spacing w:val="1"/>
          <w:position w:val="8"/>
        </w:rPr>
        <w:t>-1</w:t>
      </w:r>
      <w:r>
        <w:rPr>
          <w:color w:val="1A171C"/>
          <w:spacing w:val="-17"/>
        </w:rPr>
        <w:t>者，25 mg/d；肌酐清除率为 15~</w:t>
      </w:r>
      <w:r>
        <w:rPr>
          <w:color w:val="1A171C"/>
        </w:rPr>
        <w:t xml:space="preserve"> </w:t>
      </w:r>
      <w:r>
        <w:rPr>
          <w:color w:val="1A171C"/>
          <w:spacing w:val="-7"/>
        </w:rPr>
        <w:t>35 ml·min</w:t>
      </w:r>
      <w:r>
        <w:rPr>
          <w:sz w:val="10"/>
          <w:szCs w:val="10"/>
          <w:color w:val="1A171C"/>
          <w:spacing w:val="4"/>
          <w:position w:val="8"/>
        </w:rPr>
        <w:t>-1</w:t>
      </w:r>
      <w:r>
        <w:rPr>
          <w:sz w:val="10"/>
          <w:szCs w:val="10"/>
          <w:color w:val="1A171C"/>
          <w:spacing w:val="7"/>
          <w:w w:val="101"/>
          <w:position w:val="8"/>
        </w:rPr>
        <w:t xml:space="preserve"> </w:t>
      </w:r>
      <w:r>
        <w:rPr>
          <w:color w:val="1A171C"/>
          <w:spacing w:val="-21"/>
        </w:rPr>
        <w:t>·（1.73m</w:t>
      </w:r>
      <w:r>
        <w:rPr>
          <w:sz w:val="10"/>
          <w:szCs w:val="10"/>
          <w:color w:val="1A171C"/>
          <w:spacing w:val="-1"/>
          <w:position w:val="8"/>
        </w:rPr>
        <w:t>2</w:t>
      </w:r>
      <w:r>
        <w:rPr>
          <w:color w:val="1A171C"/>
          <w:spacing w:val="-24"/>
          <w:w w:val="67"/>
        </w:rPr>
        <w:t>）</w:t>
      </w:r>
      <w:r>
        <w:rPr>
          <w:sz w:val="10"/>
          <w:szCs w:val="10"/>
          <w:color w:val="1A171C"/>
          <w:spacing w:val="2"/>
          <w:position w:val="8"/>
        </w:rPr>
        <w:t>-1</w:t>
      </w:r>
      <w:r>
        <w:rPr>
          <w:color w:val="1A171C"/>
          <w:spacing w:val="-18"/>
        </w:rPr>
        <w:t>者，最多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8"/>
        </w:rPr>
        <w:t>50 mg/d。</w:t>
      </w:r>
    </w:p>
    <w:p>
      <w:pPr>
        <w:pStyle w:val="BodyText"/>
        <w:ind w:left="908" w:right="472" w:firstLine="421"/>
        <w:spacing w:before="35" w:line="214" w:lineRule="auto"/>
        <w:rPr/>
      </w:pPr>
      <w:r>
        <w:rPr>
          <w:color w:val="1A171C"/>
          <w:spacing w:val="-6"/>
        </w:rPr>
        <w:t>7.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6"/>
        </w:rPr>
        <w:t>药物代谢动力学：口服吸收很快，于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6"/>
        </w:rPr>
        <w:t>2~4 h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6"/>
        </w:rPr>
        <w:t>达</w:t>
      </w:r>
      <w:r>
        <w:rPr>
          <w:color w:val="1A171C"/>
        </w:rPr>
        <w:t xml:space="preserve"> </w:t>
      </w:r>
      <w:r>
        <w:rPr>
          <w:color w:val="1A171C"/>
          <w:spacing w:val="-5"/>
        </w:rPr>
        <w:t>峰浓度，口服后作用持续时间较长，可达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5"/>
        </w:rPr>
        <w:t>24 </w:t>
      </w:r>
      <w:r>
        <w:rPr>
          <w:color w:val="1A171C"/>
          <w:spacing w:val="-6"/>
        </w:rPr>
        <w:t>h，广泛</w:t>
      </w:r>
      <w:r>
        <w:rPr>
          <w:color w:val="1A171C"/>
        </w:rPr>
        <w:t xml:space="preserve"> </w:t>
      </w:r>
      <w:r>
        <w:rPr>
          <w:color w:val="1A171C"/>
          <w:spacing w:val="9"/>
        </w:rPr>
        <w:t>分布于各组织，少量可通过血-脑脊液屏障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9"/>
        </w:rPr>
        <w:t>。半衰</w:t>
      </w:r>
      <w:r>
        <w:rPr>
          <w:color w:val="1A171C"/>
        </w:rPr>
        <w:t xml:space="preserve"> </w:t>
      </w:r>
      <w:r>
        <w:rPr>
          <w:color w:val="1A171C"/>
          <w:spacing w:val="-3"/>
        </w:rPr>
        <w:t>期为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3"/>
        </w:rPr>
        <w:t>6~7 h，主要以原形自尿排出，肾功能受损</w:t>
      </w:r>
      <w:r>
        <w:rPr>
          <w:color w:val="1A171C"/>
          <w:spacing w:val="-4"/>
        </w:rPr>
        <w:t>时半</w:t>
      </w:r>
      <w:r>
        <w:rPr>
          <w:color w:val="1A171C"/>
        </w:rPr>
        <w:t xml:space="preserve"> </w:t>
      </w:r>
      <w:r>
        <w:rPr>
          <w:color w:val="1A171C"/>
          <w:spacing w:val="-1"/>
        </w:rPr>
        <w:t>衰期延长，可在体内蓄积，血液透析时可予清除。</w:t>
      </w:r>
    </w:p>
    <w:p>
      <w:pPr>
        <w:pStyle w:val="BodyText"/>
        <w:ind w:left="908" w:right="472" w:firstLine="429"/>
        <w:spacing w:before="52" w:line="214" w:lineRule="auto"/>
        <w:rPr/>
      </w:pPr>
      <w:r>
        <w:rPr>
          <w:color w:val="1A171C"/>
          <w:spacing w:val="4"/>
        </w:rPr>
        <w:t>8.</w:t>
      </w:r>
      <w:r>
        <w:rPr>
          <w:color w:val="1A171C"/>
          <w:spacing w:val="-10"/>
        </w:rPr>
        <w:t xml:space="preserve"> </w:t>
      </w:r>
      <w:r>
        <w:rPr>
          <w:color w:val="1A171C"/>
          <w:spacing w:val="4"/>
        </w:rPr>
        <w:t>药物相互作用：与其他抗高血压药物及利尿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剂并用，能加强其降压效果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4"/>
        </w:rPr>
        <w:t>。会加剧停用可乐定引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起的高血压反跳，如两药联合使用，本药应在停用</w:t>
      </w:r>
      <w:r>
        <w:rPr>
          <w:color w:val="1A171C"/>
          <w:spacing w:val="17"/>
          <w:w w:val="101"/>
        </w:rPr>
        <w:t xml:space="preserve"> </w:t>
      </w:r>
      <w:r>
        <w:rPr>
          <w:color w:val="1A171C"/>
          <w:spacing w:val="5"/>
        </w:rPr>
        <w:t>可乐定前几天停用，如果用本药取代可乐定，应在</w:t>
      </w:r>
      <w:r>
        <w:rPr>
          <w:color w:val="1A171C"/>
          <w:spacing w:val="17"/>
          <w:w w:val="101"/>
        </w:rPr>
        <w:t xml:space="preserve"> </w:t>
      </w:r>
      <w:r>
        <w:rPr>
          <w:color w:val="1A171C"/>
          <w:spacing w:val="23"/>
        </w:rPr>
        <w:t>停止服用可乐定数天后再开始 β</w:t>
      </w:r>
      <w:r>
        <w:rPr>
          <w:color w:val="1A171C"/>
          <w:spacing w:val="6"/>
        </w:rPr>
        <w:t xml:space="preserve"> </w:t>
      </w:r>
      <w:r>
        <w:rPr>
          <w:color w:val="1A171C"/>
          <w:spacing w:val="23"/>
        </w:rPr>
        <w:t>受体阻滞剂的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疗程。</w:t>
      </w:r>
    </w:p>
    <w:p>
      <w:pPr>
        <w:ind w:left="1255"/>
        <w:spacing w:before="43" w:line="270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11"/>
          <w:position w:val="1"/>
        </w:rPr>
        <w:t>（六）普罗帕酮</w:t>
      </w:r>
    </w:p>
    <w:p>
      <w:pPr>
        <w:pStyle w:val="BodyText"/>
        <w:ind w:left="1348"/>
        <w:spacing w:before="52" w:line="210" w:lineRule="auto"/>
        <w:rPr/>
      </w:pPr>
      <w:r>
        <w:rPr>
          <w:color w:val="1A171C"/>
          <w:spacing w:val="-1"/>
        </w:rPr>
        <w:t>1.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"/>
        </w:rPr>
        <w:t>药品分类：Ⅳ类抗心律失常药。</w:t>
      </w:r>
    </w:p>
    <w:p>
      <w:pPr>
        <w:pStyle w:val="BodyText"/>
        <w:ind w:left="910" w:right="391" w:firstLine="421"/>
        <w:spacing w:before="15" w:line="203" w:lineRule="auto"/>
        <w:rPr/>
      </w:pPr>
      <w:r>
        <w:rPr>
          <w:color w:val="1A171C"/>
          <w:spacing w:val="-8"/>
        </w:rPr>
        <w:t>2. 用</w:t>
      </w:r>
      <w:r>
        <w:rPr>
          <w:color w:val="1A171C"/>
          <w:spacing w:val="-10"/>
        </w:rPr>
        <w:t xml:space="preserve"> </w:t>
      </w:r>
      <w:r>
        <w:rPr>
          <w:color w:val="1A171C"/>
          <w:spacing w:val="-8"/>
        </w:rPr>
        <w:t>药</w:t>
      </w:r>
      <w:r>
        <w:rPr>
          <w:color w:val="1A171C"/>
          <w:spacing w:val="22"/>
        </w:rPr>
        <w:t xml:space="preserve"> </w:t>
      </w:r>
      <w:r>
        <w:rPr>
          <w:color w:val="1A171C"/>
          <w:spacing w:val="-8"/>
        </w:rPr>
        <w:t>目 的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8"/>
        </w:rPr>
        <w:t>：用 于 阵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8"/>
        </w:rPr>
        <w:t>发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8"/>
        </w:rPr>
        <w:t>性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-8"/>
        </w:rPr>
        <w:t>室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8"/>
        </w:rPr>
        <w:t>性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8"/>
        </w:rPr>
        <w:t>心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-8"/>
        </w:rPr>
        <w:t>动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8"/>
        </w:rPr>
        <w:t>过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8"/>
        </w:rPr>
        <w:t>速 、</w:t>
      </w:r>
      <w:r>
        <w:rPr>
          <w:color w:val="1A171C"/>
        </w:rPr>
        <w:t xml:space="preserve"> </w:t>
      </w:r>
      <w:r>
        <w:rPr>
          <w:color w:val="1A171C"/>
        </w:rPr>
        <w:t>PSVT、心房扑动或心房颤动的预防。</w:t>
      </w:r>
    </w:p>
    <w:p>
      <w:pPr>
        <w:pStyle w:val="BodyText"/>
        <w:ind w:left="911" w:right="472" w:firstLine="423"/>
        <w:spacing w:before="53" w:line="211" w:lineRule="auto"/>
        <w:rPr/>
      </w:pPr>
      <w:r>
        <w:rPr>
          <w:color w:val="1A171C"/>
          <w:spacing w:val="5"/>
        </w:rPr>
        <w:t>3.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5"/>
        </w:rPr>
        <w:t>禁忌证：禁用于无起搏器保护的窦房结</w:t>
      </w:r>
      <w:r>
        <w:rPr>
          <w:color w:val="1A171C"/>
          <w:spacing w:val="4"/>
        </w:rPr>
        <w:t>功能</w:t>
      </w:r>
      <w:r>
        <w:rPr>
          <w:color w:val="1A171C"/>
        </w:rPr>
        <w:t xml:space="preserve"> </w:t>
      </w:r>
      <w:r>
        <w:rPr>
          <w:color w:val="1A171C"/>
          <w:spacing w:val="-4"/>
        </w:rPr>
        <w:t>障碍；严重房室传导阻滞；双束支传导阻滞；严重充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5"/>
        </w:rPr>
        <w:t>血性心力衰竭；心原性休克；严重低血压；对该药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3"/>
        </w:rPr>
        <w:t>过敏。</w:t>
      </w:r>
    </w:p>
    <w:p>
      <w:pPr>
        <w:pStyle w:val="BodyText"/>
        <w:ind w:left="909" w:right="390" w:firstLine="419"/>
        <w:spacing w:before="53" w:line="216" w:lineRule="auto"/>
        <w:rPr/>
      </w:pPr>
      <w:r>
        <w:rPr>
          <w:color w:val="1A171C"/>
          <w:spacing w:val="-5"/>
        </w:rPr>
        <w:t>4.</w:t>
      </w:r>
      <w:r>
        <w:rPr>
          <w:color w:val="1A171C"/>
          <w:spacing w:val="-7"/>
        </w:rPr>
        <w:t xml:space="preserve"> </w:t>
      </w:r>
      <w:r>
        <w:rPr>
          <w:color w:val="1A171C"/>
          <w:spacing w:val="-5"/>
        </w:rPr>
        <w:t>不良反应：不良反应较少，主要为口干、舌唇</w:t>
      </w:r>
      <w:r>
        <w:rPr>
          <w:color w:val="1A171C"/>
        </w:rPr>
        <w:t xml:space="preserve">  </w:t>
      </w:r>
      <w:r>
        <w:rPr>
          <w:color w:val="1A171C"/>
          <w:spacing w:val="4"/>
        </w:rPr>
        <w:t>麻木，可能是由于其局部麻醉作用所致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4"/>
        </w:rPr>
        <w:t>。早期的不</w:t>
      </w:r>
      <w:r>
        <w:rPr>
          <w:color w:val="1A171C"/>
        </w:rPr>
        <w:t xml:space="preserve">  </w:t>
      </w:r>
      <w:r>
        <w:rPr>
          <w:color w:val="1A171C"/>
          <w:spacing w:val="-3"/>
        </w:rPr>
        <w:t>良反应有头痛、头晕、闪耀，其后可出现胃</w:t>
      </w:r>
      <w:r>
        <w:rPr>
          <w:color w:val="1A171C"/>
          <w:spacing w:val="-4"/>
        </w:rPr>
        <w:t>肠道障碍</w:t>
      </w:r>
      <w:r>
        <w:rPr>
          <w:color w:val="1A171C"/>
        </w:rPr>
        <w:t xml:space="preserve">  </w:t>
      </w:r>
      <w:r>
        <w:rPr>
          <w:color w:val="1A171C"/>
          <w:spacing w:val="-1"/>
        </w:rPr>
        <w:t>如恶心、呕吐、便秘等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"/>
        </w:rPr>
        <w:t>。有少数患者出现上述口干、</w:t>
      </w:r>
      <w:r>
        <w:rPr>
          <w:color w:val="1A171C"/>
        </w:rPr>
        <w:t xml:space="preserve"> </w:t>
      </w:r>
      <w:r>
        <w:rPr>
          <w:color w:val="1A171C"/>
          <w:spacing w:val="-3"/>
        </w:rPr>
        <w:t>头痛、眩晕、胃肠道不适等轻微反应，一般</w:t>
      </w:r>
      <w:r>
        <w:rPr>
          <w:color w:val="1A171C"/>
          <w:spacing w:val="-4"/>
        </w:rPr>
        <w:t>都在停药</w:t>
      </w:r>
      <w:r>
        <w:rPr>
          <w:color w:val="1A171C"/>
        </w:rPr>
        <w:t xml:space="preserve">  </w:t>
      </w:r>
      <w:r>
        <w:rPr>
          <w:color w:val="1A171C"/>
          <w:spacing w:val="14"/>
        </w:rPr>
        <w:t>后或减量后症状消失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14"/>
        </w:rPr>
        <w:t>。有报道个别患者出现房室</w:t>
      </w:r>
      <w:r>
        <w:rPr>
          <w:color w:val="1A171C"/>
        </w:rPr>
        <w:t xml:space="preserve">  </w:t>
      </w:r>
      <w:r>
        <w:rPr>
          <w:color w:val="1A171C"/>
          <w:spacing w:val="-9"/>
        </w:rPr>
        <w:t>传导阻滞、QT</w:t>
      </w:r>
      <w:r>
        <w:rPr>
          <w:color w:val="1A171C"/>
          <w:spacing w:val="28"/>
          <w:w w:val="101"/>
        </w:rPr>
        <w:t xml:space="preserve"> </w:t>
      </w:r>
      <w:r>
        <w:rPr>
          <w:color w:val="1A171C"/>
          <w:spacing w:val="-9"/>
        </w:rPr>
        <w:t>间期延长、PR</w:t>
      </w:r>
      <w:r>
        <w:rPr>
          <w:color w:val="1A171C"/>
          <w:spacing w:val="15"/>
          <w:w w:val="101"/>
        </w:rPr>
        <w:t xml:space="preserve"> </w:t>
      </w:r>
      <w:r>
        <w:rPr>
          <w:color w:val="1A171C"/>
          <w:spacing w:val="-9"/>
        </w:rPr>
        <w:t>间期轻度延长、QRS 时</w:t>
      </w:r>
      <w:r>
        <w:rPr>
          <w:color w:val="1A171C"/>
        </w:rPr>
        <w:t xml:space="preserve">  </w:t>
      </w:r>
      <w:r>
        <w:rPr>
          <w:color w:val="1A171C"/>
          <w:spacing w:val="6"/>
        </w:rPr>
        <w:t>间延长等。</w:t>
      </w:r>
    </w:p>
    <w:p>
      <w:pPr>
        <w:pStyle w:val="BodyText"/>
        <w:ind w:left="910" w:right="471" w:firstLine="422"/>
        <w:spacing w:before="48" w:line="207" w:lineRule="auto"/>
        <w:rPr/>
      </w:pPr>
      <w:r>
        <w:rPr>
          <w:color w:val="1A171C"/>
          <w:spacing w:val="-15"/>
        </w:rPr>
        <w:t>5. 剂型和规格：片剂，50 mg/片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15"/>
        </w:rPr>
        <w:t>、100 mg</w:t>
      </w:r>
      <w:r>
        <w:rPr>
          <w:color w:val="1A171C"/>
          <w:spacing w:val="-16"/>
        </w:rPr>
        <w:t>/片；注</w:t>
      </w:r>
      <w:r>
        <w:rPr>
          <w:color w:val="1A171C"/>
        </w:rPr>
        <w:t xml:space="preserve"> </w:t>
      </w:r>
      <w:r>
        <w:rPr>
          <w:color w:val="1A171C"/>
          <w:spacing w:val="-23"/>
        </w:rPr>
        <w:t>射液，10 ml∶35</w:t>
      </w:r>
      <w:r>
        <w:rPr>
          <w:color w:val="1A171C"/>
          <w:spacing w:val="8"/>
        </w:rPr>
        <w:t xml:space="preserve"> </w:t>
      </w:r>
      <w:r>
        <w:rPr>
          <w:color w:val="1A171C"/>
          <w:spacing w:val="-23"/>
        </w:rPr>
        <w:t>mg。</w:t>
      </w:r>
    </w:p>
    <w:p>
      <w:pPr>
        <w:pStyle w:val="BodyText"/>
        <w:ind w:left="1333"/>
        <w:spacing w:before="37" w:line="210" w:lineRule="auto"/>
        <w:rPr/>
      </w:pPr>
      <w:r>
        <w:rPr>
          <w:color w:val="1A171C"/>
          <w:spacing w:val="3"/>
        </w:rPr>
        <w:t>6.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3"/>
        </w:rPr>
        <w:t>用法和用量：</w:t>
      </w:r>
    </w:p>
    <w:p>
      <w:pPr>
        <w:pStyle w:val="BodyText"/>
        <w:ind w:left="1247"/>
        <w:spacing w:before="16" w:line="205" w:lineRule="auto"/>
        <w:rPr/>
      </w:pPr>
      <w:r>
        <w:rPr>
          <w:color w:val="1A171C"/>
          <w:spacing w:val="-18"/>
        </w:rPr>
        <w:t>（1）成人：</w:t>
      </w:r>
    </w:p>
    <w:p>
      <w:pPr>
        <w:pStyle w:val="BodyText"/>
        <w:ind w:left="1331"/>
        <w:spacing w:before="22" w:line="165" w:lineRule="auto"/>
        <w:rPr/>
      </w:pPr>
      <w:r>
        <w:rPr>
          <w:color w:val="1A171C"/>
          <w:spacing w:val="-14"/>
        </w:rPr>
        <w:t>①静脉给药：1.0~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4"/>
        </w:rPr>
        <w:t>1.5 mg/kg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4"/>
        </w:rPr>
        <w:t>或以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4"/>
        </w:rPr>
        <w:t>70 mg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4"/>
        </w:rPr>
        <w:t>加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4"/>
        </w:rPr>
        <w:t>5%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4"/>
        </w:rPr>
        <w:t>葡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904" w:firstLine="4"/>
        <w:spacing w:before="45" w:line="220" w:lineRule="auto"/>
        <w:jc w:val="both"/>
        <w:rPr/>
      </w:pPr>
      <w:r>
        <w:rPr>
          <w:color w:val="1A171C"/>
          <w:spacing w:val="4"/>
        </w:rPr>
        <w:t>萄糖液稀释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4"/>
        </w:rPr>
        <w:t>，于 10 </w:t>
      </w:r>
      <w:r>
        <w:rPr>
          <w:color w:val="1A171C"/>
        </w:rPr>
        <w:t>min</w:t>
      </w:r>
      <w:r>
        <w:rPr>
          <w:color w:val="1A171C"/>
          <w:spacing w:val="4"/>
        </w:rPr>
        <w:t xml:space="preserve"> 内缓慢静脉注射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3"/>
        </w:rPr>
        <w:t>，必要时</w:t>
      </w:r>
      <w:r>
        <w:rPr>
          <w:color w:val="1A171C"/>
        </w:rPr>
        <w:t xml:space="preserve"> </w:t>
      </w:r>
      <w:r>
        <w:rPr>
          <w:color w:val="1A171C"/>
          <w:spacing w:val="-7"/>
        </w:rPr>
        <w:t>10~20 min 重复 1 次，总量不超过 210 mg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7"/>
        </w:rPr>
        <w:t>。静脉注</w:t>
      </w:r>
      <w:r>
        <w:rPr>
          <w:color w:val="1A171C"/>
        </w:rPr>
        <w:t xml:space="preserve"> </w:t>
      </w:r>
      <w:r>
        <w:rPr>
          <w:color w:val="1A171C"/>
          <w:spacing w:val="-4"/>
        </w:rPr>
        <w:t>射起效后改为静脉滴注，滴速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4"/>
        </w:rPr>
        <w:t>0.5~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4"/>
        </w:rPr>
        <w:t>1.</w:t>
      </w:r>
      <w:r>
        <w:rPr>
          <w:color w:val="1A171C"/>
          <w:spacing w:val="-5"/>
        </w:rPr>
        <w:t>0 mg/min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-5"/>
        </w:rPr>
        <w:t>或口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服维持。</w:t>
      </w:r>
    </w:p>
    <w:p>
      <w:pPr>
        <w:pStyle w:val="BodyText"/>
        <w:ind w:left="1" w:right="839" w:firstLine="422"/>
        <w:spacing w:before="4" w:line="219" w:lineRule="auto"/>
        <w:jc w:val="both"/>
        <w:rPr/>
      </w:pPr>
      <w:r>
        <w:rPr>
          <w:color w:val="1A171C"/>
          <w:spacing w:val="-16"/>
        </w:rPr>
        <w:t>②</w:t>
      </w:r>
      <w:r>
        <w:rPr>
          <w:color w:val="1A171C"/>
          <w:spacing w:val="23"/>
        </w:rPr>
        <w:t xml:space="preserve"> </w:t>
      </w:r>
      <w:r>
        <w:rPr>
          <w:color w:val="1A171C"/>
          <w:spacing w:val="-16"/>
        </w:rPr>
        <w:t>口 服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16"/>
        </w:rPr>
        <w:t>：100~200 mg/次 、3~4</w:t>
      </w:r>
      <w:r>
        <w:rPr>
          <w:color w:val="1A171C"/>
          <w:spacing w:val="15"/>
          <w:w w:val="101"/>
        </w:rPr>
        <w:t xml:space="preserve"> </w:t>
      </w:r>
      <w:r>
        <w:rPr>
          <w:color w:val="1A171C"/>
          <w:spacing w:val="-17"/>
        </w:rPr>
        <w:t>次/d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7"/>
        </w:rPr>
        <w:t>。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7"/>
        </w:rPr>
        <w:t>治 疗 量</w:t>
      </w:r>
      <w:r>
        <w:rPr>
          <w:color w:val="1A171C"/>
        </w:rPr>
        <w:t xml:space="preserve">  </w:t>
      </w:r>
      <w:r>
        <w:rPr>
          <w:color w:val="1A171C"/>
          <w:spacing w:val="-18"/>
        </w:rPr>
        <w:t>300~900 mg/d，分4~6次服用。维持量300~600 m</w:t>
      </w:r>
      <w:r>
        <w:rPr>
          <w:color w:val="1A171C"/>
          <w:spacing w:val="-19"/>
        </w:rPr>
        <w:t>g/d，</w:t>
      </w:r>
      <w:r>
        <w:rPr>
          <w:color w:val="1A171C"/>
        </w:rPr>
        <w:t xml:space="preserve"> </w:t>
      </w:r>
      <w:r>
        <w:rPr>
          <w:color w:val="1A171C"/>
        </w:rPr>
        <w:t>分</w:t>
      </w:r>
      <w:r>
        <w:rPr>
          <w:color w:val="1A171C"/>
          <w:spacing w:val="-9"/>
        </w:rPr>
        <w:t xml:space="preserve"> </w:t>
      </w:r>
      <w:r>
        <w:rPr>
          <w:color w:val="1A171C"/>
        </w:rPr>
        <w:t>2~4</w:t>
      </w:r>
      <w:r>
        <w:rPr>
          <w:color w:val="1A171C"/>
          <w:spacing w:val="-21"/>
        </w:rPr>
        <w:t xml:space="preserve"> </w:t>
      </w:r>
      <w:r>
        <w:rPr>
          <w:color w:val="1A171C"/>
        </w:rPr>
        <w:t>次服用</w:t>
      </w:r>
      <w:r>
        <w:rPr>
          <w:color w:val="1A171C"/>
          <w:spacing w:val="-28"/>
        </w:rPr>
        <w:t xml:space="preserve"> </w:t>
      </w:r>
      <w:r>
        <w:rPr>
          <w:color w:val="1A171C"/>
        </w:rPr>
        <w:t>。</w:t>
      </w:r>
      <w:r>
        <w:rPr>
          <w:color w:val="1A171C"/>
          <w:spacing w:val="-35"/>
        </w:rPr>
        <w:t xml:space="preserve"> </w:t>
      </w:r>
      <w:r>
        <w:rPr>
          <w:color w:val="1A171C"/>
        </w:rPr>
        <w:t>由于其局部麻醉作用，宜在饭后与  </w:t>
      </w:r>
      <w:r>
        <w:rPr>
          <w:color w:val="1A171C"/>
          <w:spacing w:val="1"/>
        </w:rPr>
        <w:t>饮料或食物同时吞服，不得嚼碎。</w:t>
      </w:r>
    </w:p>
    <w:p>
      <w:pPr>
        <w:pStyle w:val="BodyText"/>
        <w:ind w:left="339"/>
        <w:spacing w:line="205" w:lineRule="auto"/>
        <w:rPr/>
      </w:pPr>
      <w:r>
        <w:rPr>
          <w:color w:val="1A171C"/>
          <w:spacing w:val="-18"/>
        </w:rPr>
        <w:t>（2）儿童：</w:t>
      </w:r>
    </w:p>
    <w:p>
      <w:pPr>
        <w:pStyle w:val="BodyText"/>
        <w:ind w:left="3" w:right="905" w:firstLine="419"/>
        <w:spacing w:before="20" w:line="209" w:lineRule="auto"/>
        <w:rPr/>
      </w:pPr>
      <w:r>
        <w:rPr>
          <w:color w:val="1A171C"/>
          <w:spacing w:val="-7"/>
        </w:rPr>
        <w:t>①静脉给药：负荷量为一次 1.0~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7"/>
        </w:rPr>
        <w:t>1.5 mg/kg，于</w:t>
      </w:r>
      <w:r>
        <w:rPr>
          <w:color w:val="1A171C"/>
        </w:rPr>
        <w:t xml:space="preserve"> </w:t>
      </w:r>
      <w:r>
        <w:rPr>
          <w:color w:val="1A171C"/>
          <w:spacing w:val="-10"/>
        </w:rPr>
        <w:t>10 min 内缓慢注射，必要时 10~20 min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0"/>
        </w:rPr>
        <w:t>可重复。</w:t>
      </w:r>
      <w:r>
        <w:rPr>
          <w:color w:val="1A171C"/>
          <w:spacing w:val="-11"/>
        </w:rPr>
        <w:t>维持</w:t>
      </w:r>
      <w:r>
        <w:rPr>
          <w:color w:val="1A171C"/>
        </w:rPr>
        <w:t xml:space="preserve"> </w:t>
      </w:r>
      <w:r>
        <w:rPr>
          <w:color w:val="1A171C"/>
          <w:spacing w:val="-14"/>
        </w:rPr>
        <w:t>量为每分钟4~7</w:t>
      </w:r>
      <w:r>
        <w:rPr>
          <w:color w:val="1A171C"/>
          <w:spacing w:val="22"/>
        </w:rPr>
        <w:t xml:space="preserve"> </w:t>
      </w:r>
      <w:r>
        <w:rPr>
          <w:color w:val="1A171C"/>
          <w:spacing w:val="-14"/>
        </w:rPr>
        <w:t>μg/kg，24 h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4"/>
        </w:rPr>
        <w:t>总量不应超过6 mg/kg。</w:t>
      </w:r>
    </w:p>
    <w:p>
      <w:pPr>
        <w:pStyle w:val="BodyText"/>
        <w:ind w:left="5" w:right="827" w:firstLine="417"/>
        <w:spacing w:before="48" w:line="209" w:lineRule="auto"/>
        <w:rPr/>
      </w:pPr>
      <w:r>
        <w:rPr>
          <w:color w:val="1A171C"/>
          <w:spacing w:val="-8"/>
        </w:rPr>
        <w:t>②口服：按体表面积一日剂量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8"/>
        </w:rPr>
        <w:t>200~600 mg/m</w:t>
      </w:r>
      <w:r>
        <w:rPr>
          <w:sz w:val="10"/>
          <w:szCs w:val="10"/>
          <w:color w:val="1A171C"/>
          <w:spacing w:val="-8"/>
          <w:position w:val="8"/>
        </w:rPr>
        <w:t>2</w:t>
      </w:r>
      <w:r>
        <w:rPr>
          <w:color w:val="1A171C"/>
          <w:spacing w:val="-7"/>
        </w:rPr>
        <w:t>。</w:t>
      </w:r>
      <w:r>
        <w:rPr>
          <w:color w:val="1A171C"/>
        </w:rPr>
        <w:t xml:space="preserve"> </w:t>
      </w:r>
      <w:r>
        <w:rPr>
          <w:color w:val="1A171C"/>
          <w:spacing w:val="-12"/>
        </w:rPr>
        <w:t>或按体重给药，&lt;15 kg 者一 日剂量 10~20 mg/kg，≥</w:t>
      </w:r>
      <w:r>
        <w:rPr>
          <w:color w:val="1A171C"/>
          <w:spacing w:val="6"/>
        </w:rPr>
        <w:t xml:space="preserve">  </w:t>
      </w:r>
      <w:r>
        <w:rPr>
          <w:color w:val="1A171C"/>
          <w:spacing w:val="-14"/>
        </w:rPr>
        <w:t>15 kg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4"/>
        </w:rPr>
        <w:t>者一日剂量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4"/>
        </w:rPr>
        <w:t>7~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4"/>
        </w:rPr>
        <w:t>15 mg/kg，分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4"/>
        </w:rPr>
        <w:t>3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4"/>
        </w:rPr>
        <w:t>次服用。</w:t>
      </w:r>
    </w:p>
    <w:p>
      <w:pPr>
        <w:pStyle w:val="BodyText"/>
        <w:ind w:left="4" w:right="903" w:firstLine="418"/>
        <w:spacing w:before="48" w:line="216" w:lineRule="auto"/>
        <w:rPr/>
      </w:pPr>
      <w:r>
        <w:rPr>
          <w:color w:val="1A171C"/>
          <w:spacing w:val="-4"/>
        </w:rPr>
        <w:t>7.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4"/>
        </w:rPr>
        <w:t>药物代谢动力学：口服吸收良好，服后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4"/>
        </w:rPr>
        <w:t>2~3</w:t>
      </w:r>
      <w:r>
        <w:rPr>
          <w:color w:val="1A171C"/>
          <w:spacing w:val="-5"/>
        </w:rPr>
        <w:t xml:space="preserve"> h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达峰效，作用可持续 8 h 以上，血浆蛋白结合率高</w:t>
      </w:r>
      <w:r>
        <w:rPr>
          <w:color w:val="1A171C"/>
          <w:spacing w:val="6"/>
        </w:rPr>
        <w:t xml:space="preserve"> </w:t>
      </w:r>
      <w:r>
        <w:rPr>
          <w:color w:val="1A171C"/>
          <w:spacing w:val="9"/>
        </w:rPr>
        <w:t>达 93%，严重肝功能损害时清除减慢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9"/>
        </w:rPr>
        <w:t>。半衰期为</w:t>
      </w:r>
      <w:r>
        <w:rPr>
          <w:color w:val="1A171C"/>
        </w:rPr>
        <w:t xml:space="preserve"> </w:t>
      </w:r>
      <w:r>
        <w:rPr>
          <w:color w:val="1A171C"/>
          <w:spacing w:val="-4"/>
        </w:rPr>
        <w:t>3.5~4 h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4"/>
        </w:rPr>
        <w:t>。经肾脏排泄，不能经过透析排出。</w:t>
      </w:r>
    </w:p>
    <w:p>
      <w:pPr>
        <w:pStyle w:val="BodyText"/>
        <w:ind w:left="1" w:right="906" w:firstLine="428"/>
        <w:spacing w:before="28" w:line="216" w:lineRule="auto"/>
        <w:rPr/>
      </w:pPr>
      <w:r>
        <w:rPr>
          <w:color w:val="1A171C"/>
          <w:spacing w:val="4"/>
        </w:rPr>
        <w:t>8.</w:t>
      </w:r>
      <w:r>
        <w:rPr>
          <w:color w:val="1A171C"/>
          <w:spacing w:val="-10"/>
        </w:rPr>
        <w:t xml:space="preserve"> </w:t>
      </w:r>
      <w:r>
        <w:rPr>
          <w:color w:val="1A171C"/>
          <w:spacing w:val="4"/>
        </w:rPr>
        <w:t>药物相互作用：与奎尼丁合用可以减慢代谢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过程；与局麻药合用增加中枢神经系统不良反应的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5"/>
        </w:rPr>
        <w:t>发生；普罗帕酮可以增加血清地高辛浓度，并呈剂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5"/>
        </w:rPr>
        <w:t>量依赖性；与普奈洛尔、美托洛尔合用可以显著增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5"/>
        </w:rPr>
        <w:t>加其血浆浓度和清除半衰期，而对普罗帕酮没有影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5"/>
        </w:rPr>
        <w:t>响；与华法林合用时可增加华法林血药浓度和凝血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5"/>
        </w:rPr>
        <w:t>酶原时间；与西咪替丁合用可使普罗帕酮血药稳态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3"/>
        </w:rPr>
        <w:t>水平提高，但对其电生理参数没有影响。</w:t>
      </w:r>
    </w:p>
    <w:p>
      <w:pPr>
        <w:ind w:left="347"/>
        <w:spacing w:before="41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15"/>
          <w:position w:val="1"/>
        </w:rPr>
        <w:t>（七）胺碘酮</w:t>
      </w:r>
    </w:p>
    <w:p>
      <w:pPr>
        <w:pStyle w:val="BodyText"/>
        <w:ind w:left="440"/>
        <w:spacing w:before="55" w:line="210" w:lineRule="auto"/>
        <w:rPr/>
      </w:pPr>
      <w:r>
        <w:rPr>
          <w:color w:val="1A171C"/>
          <w:spacing w:val="-1"/>
        </w:rPr>
        <w:t>1.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"/>
        </w:rPr>
        <w:t>药品分类：Ⅲ类抗心律失常药。</w:t>
      </w:r>
    </w:p>
    <w:p>
      <w:pPr>
        <w:pStyle w:val="BodyText"/>
        <w:ind w:left="1" w:right="907" w:firstLine="422"/>
        <w:spacing w:before="11" w:line="214" w:lineRule="auto"/>
        <w:rPr/>
      </w:pPr>
      <w:r>
        <w:rPr>
          <w:color w:val="1A171C"/>
          <w:spacing w:val="5"/>
        </w:rPr>
        <w:t>2.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5"/>
        </w:rPr>
        <w:t>用药目的：口服适用于危及生命的阵发</w:t>
      </w:r>
      <w:r>
        <w:rPr>
          <w:color w:val="1A171C"/>
          <w:spacing w:val="4"/>
        </w:rPr>
        <w:t>室性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心动过速及心室颤动的预防；也可用于其他药物无</w:t>
      </w:r>
      <w:r>
        <w:rPr>
          <w:color w:val="1A171C"/>
          <w:spacing w:val="15"/>
          <w:w w:val="101"/>
        </w:rPr>
        <w:t xml:space="preserve"> </w:t>
      </w:r>
      <w:r>
        <w:rPr>
          <w:color w:val="1A171C"/>
        </w:rPr>
        <w:t>效的</w:t>
      </w:r>
      <w:r>
        <w:rPr>
          <w:color w:val="1A171C"/>
          <w:spacing w:val="-16"/>
        </w:rPr>
        <w:t xml:space="preserve"> </w:t>
      </w:r>
      <w:r>
        <w:rPr>
          <w:color w:val="1A171C"/>
        </w:rPr>
        <w:t>PSVT、阵发心房扑动；心房颤动，</w:t>
      </w:r>
      <w:r>
        <w:rPr>
          <w:color w:val="1A171C"/>
          <w:spacing w:val="-1"/>
        </w:rPr>
        <w:t>包括合并预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激综合征者及持续心房颤动；心房扑动电转复后的</w:t>
      </w:r>
      <w:r>
        <w:rPr>
          <w:color w:val="1A171C"/>
          <w:spacing w:val="15"/>
          <w:w w:val="101"/>
        </w:rPr>
        <w:t xml:space="preserve"> </w:t>
      </w:r>
      <w:r>
        <w:rPr>
          <w:color w:val="1A171C"/>
          <w:spacing w:val="6"/>
        </w:rPr>
        <w:t>维持治疗。</w:t>
      </w:r>
    </w:p>
    <w:p>
      <w:pPr>
        <w:pStyle w:val="BodyText"/>
        <w:ind w:left="8" w:right="907" w:firstLine="428"/>
        <w:spacing w:before="55" w:line="219" w:lineRule="auto"/>
        <w:jc w:val="both"/>
        <w:rPr/>
      </w:pPr>
      <w:r>
        <w:rPr>
          <w:color w:val="1A171C"/>
          <w:spacing w:val="4"/>
        </w:rPr>
        <w:t>当不宜口服给药时，注射剂适用于房性心律失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5"/>
        </w:rPr>
        <w:t>常伴快速室性心律、预激综合征的心动过速及严重</w:t>
      </w:r>
      <w:r>
        <w:rPr>
          <w:color w:val="1A171C"/>
          <w:spacing w:val="9"/>
        </w:rPr>
        <w:t xml:space="preserve"> </w:t>
      </w:r>
      <w:r>
        <w:rPr>
          <w:color w:val="1A171C"/>
          <w:spacing w:val="6"/>
        </w:rPr>
        <w:t>的室性心律失常。</w:t>
      </w:r>
    </w:p>
    <w:p>
      <w:pPr>
        <w:pStyle w:val="BodyText"/>
        <w:ind w:left="2" w:right="837" w:firstLine="424"/>
        <w:spacing w:before="2" w:line="215" w:lineRule="auto"/>
        <w:rPr/>
      </w:pPr>
      <w:r>
        <w:rPr>
          <w:color w:val="1A171C"/>
          <w:spacing w:val="-2"/>
        </w:rPr>
        <w:t>3.</w:t>
      </w:r>
      <w:r>
        <w:rPr>
          <w:color w:val="1A171C"/>
          <w:spacing w:val="-10"/>
        </w:rPr>
        <w:t xml:space="preserve"> </w:t>
      </w:r>
      <w:r>
        <w:rPr>
          <w:color w:val="1A171C"/>
          <w:spacing w:val="-2"/>
        </w:rPr>
        <w:t>禁忌证：禁用于甲状腺功能异常；碘过敏者；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二或三度房室传导阻滞；双束支传导阻滞（除非已</w:t>
      </w:r>
      <w:r>
        <w:rPr>
          <w:color w:val="1A171C"/>
          <w:spacing w:val="7"/>
        </w:rPr>
        <w:t xml:space="preserve">  </w:t>
      </w:r>
      <w:r>
        <w:rPr>
          <w:color w:val="1A171C"/>
          <w:spacing w:val="10"/>
        </w:rPr>
        <w:t>安装起搏器</w:t>
      </w:r>
      <w:r>
        <w:rPr>
          <w:color w:val="1A171C"/>
          <w:spacing w:val="-29"/>
          <w:w w:val="61"/>
        </w:rPr>
        <w:t>）；</w:t>
      </w:r>
      <w:r>
        <w:rPr>
          <w:color w:val="1A171C"/>
          <w:spacing w:val="10"/>
        </w:rPr>
        <w:t>病态窦房结综合征。</w:t>
      </w:r>
    </w:p>
    <w:p>
      <w:pPr>
        <w:pStyle w:val="BodyText"/>
        <w:ind w:right="826" w:firstLine="419"/>
        <w:spacing w:before="18" w:line="207" w:lineRule="auto"/>
        <w:rPr/>
      </w:pPr>
      <w:r>
        <w:rPr>
          <w:color w:val="1A171C"/>
          <w:spacing w:val="-4"/>
        </w:rPr>
        <w:t>4.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-4"/>
        </w:rPr>
        <w:t>不良反应：可能出现角膜微沉积、甲状腺激素</w:t>
      </w:r>
      <w:r>
        <w:rPr>
          <w:color w:val="1A171C"/>
        </w:rPr>
        <w:t xml:space="preserve">  </w:t>
      </w:r>
      <w:r>
        <w:rPr>
          <w:color w:val="1A171C"/>
          <w:spacing w:val="-8"/>
          <w:w w:val="98"/>
        </w:rPr>
        <w:t>水平异常、睡眠障碍、头痛、梦魇、感觉、运动或混合</w:t>
      </w:r>
      <w:r>
        <w:rPr>
          <w:color w:val="1A171C"/>
          <w:spacing w:val="7"/>
        </w:rPr>
        <w:t xml:space="preserve">  </w:t>
      </w:r>
      <w:r>
        <w:rPr>
          <w:color w:val="1A171C"/>
          <w:spacing w:val="-4"/>
        </w:rPr>
        <w:t>性外周神经病变、血清转氨酶增高、凝血异常、良性</w:t>
      </w:r>
      <w:r>
        <w:rPr>
          <w:color w:val="1A171C"/>
          <w:spacing w:val="9"/>
        </w:rPr>
        <w:t xml:space="preserve">  </w:t>
      </w:r>
      <w:r>
        <w:rPr>
          <w:color w:val="1A171C"/>
          <w:spacing w:val="-12"/>
          <w:w w:val="98"/>
        </w:rPr>
        <w:t>胃肠道异常（恶心、呕吐、厌食和便秘）、乏力、震颤、</w:t>
      </w:r>
    </w:p>
    <w:p>
      <w:pPr>
        <w:spacing w:line="207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2">
            <w:col w:w="5910" w:space="100"/>
            <w:col w:w="5436" w:space="0"/>
          </w:cols>
        </w:sectPr>
        <w:rPr/>
      </w:pPr>
    </w:p>
    <w:p>
      <w:pPr>
        <w:spacing w:line="251" w:lineRule="auto"/>
        <w:rPr>
          <w:rFonts w:ascii="Arial"/>
          <w:sz w:val="21"/>
        </w:rPr>
      </w:pPr>
      <w:r>
        <w:pict>
          <v:shape id="_x0000_s36" style="position:absolute;margin-left:220.298pt;margin-top:-707.951pt;mso-position-vertical-relative:text;mso-position-horizontal-relative:text;width:307pt;height:0.4pt;z-index:251668480;" filled="false" strokecolor="#1A171C" strokeweight="0.37pt" coordsize="6140,8" coordorigin="0,0" path="m0,3l6139,3e">
            <v:stroke joinstyle="miter" miterlimit="4"/>
          </v:shape>
        </w:pict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before="70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70417</wp:posOffset>
            </wp:positionV>
            <wp:extent cx="1219200" cy="143255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65"/>
        <w:rPr/>
      </w:pPr>
      <w:r/>
    </w:p>
    <w:p>
      <w:pPr>
        <w:sectPr>
          <w:headerReference w:type="default" r:id="rId14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/>
      </w:pPr>
    </w:p>
    <w:p>
      <w:pPr>
        <w:pStyle w:val="BodyText"/>
        <w:ind w:left="909" w:right="309" w:firstLine="1"/>
        <w:spacing w:before="44" w:line="220" w:lineRule="auto"/>
        <w:jc w:val="both"/>
        <w:rPr/>
      </w:pPr>
      <w:r>
        <w:rPr>
          <w:color w:val="1A171C"/>
          <w:spacing w:val="1"/>
        </w:rPr>
        <w:t>不自主运动、步态异常/共济失调或其他锥体外系症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-1"/>
        </w:rPr>
        <w:t>状，停止胺碘酮治疗后通常完全可逆；光过敏反应，</w:t>
      </w:r>
      <w:r>
        <w:rPr>
          <w:color w:val="1A171C"/>
          <w:spacing w:val="16"/>
        </w:rPr>
        <w:t xml:space="preserve"> </w:t>
      </w:r>
      <w:r>
        <w:rPr>
          <w:color w:val="1A171C"/>
          <w:spacing w:val="-4"/>
        </w:rPr>
        <w:t>应避免暴露于阳光（以及紫外光）下；弥漫性间质性</w:t>
      </w:r>
      <w:r>
        <w:rPr>
          <w:color w:val="1A171C"/>
          <w:spacing w:val="9"/>
        </w:rPr>
        <w:t xml:space="preserve">  </w:t>
      </w:r>
      <w:r>
        <w:rPr>
          <w:color w:val="1A171C"/>
          <w:spacing w:val="5"/>
        </w:rPr>
        <w:t>或肺泡性肺病和闭塞性细支气管炎伴机化性肺炎。</w:t>
      </w:r>
    </w:p>
    <w:p>
      <w:pPr>
        <w:pStyle w:val="BodyText"/>
        <w:ind w:left="1332"/>
        <w:spacing w:before="1" w:line="193" w:lineRule="auto"/>
        <w:rPr/>
      </w:pPr>
      <w:r>
        <w:rPr>
          <w:color w:val="1A171C"/>
          <w:spacing w:val="-10"/>
        </w:rPr>
        <w:t>5. 剂型和规格：片剂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0"/>
        </w:rPr>
        <w:t>，0.2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-10"/>
        </w:rPr>
        <w:t>g/片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0"/>
        </w:rPr>
        <w:t>；</w:t>
      </w:r>
      <w:r>
        <w:rPr>
          <w:color w:val="1A171C"/>
          <w:spacing w:val="-11"/>
        </w:rPr>
        <w:t>注射液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1"/>
        </w:rPr>
        <w:t>，3 ml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1"/>
        </w:rPr>
        <w:t>∶</w:t>
      </w:r>
    </w:p>
    <w:p>
      <w:pPr>
        <w:pStyle w:val="BodyText"/>
        <w:ind w:left="928"/>
        <w:spacing w:before="41" w:line="183" w:lineRule="auto"/>
        <w:rPr/>
      </w:pPr>
      <w:r>
        <w:rPr>
          <w:color w:val="1A171C"/>
          <w:spacing w:val="-24"/>
        </w:rPr>
        <w:t>150</w:t>
      </w:r>
      <w:r>
        <w:rPr>
          <w:color w:val="1A171C"/>
          <w:spacing w:val="3"/>
        </w:rPr>
        <w:t xml:space="preserve"> </w:t>
      </w:r>
      <w:r>
        <w:rPr>
          <w:color w:val="1A171C"/>
          <w:spacing w:val="-24"/>
        </w:rPr>
        <w:t>mg。</w:t>
      </w:r>
    </w:p>
    <w:p>
      <w:pPr>
        <w:pStyle w:val="BodyText"/>
        <w:ind w:left="1332"/>
        <w:spacing w:before="49" w:line="210" w:lineRule="auto"/>
        <w:rPr/>
      </w:pPr>
      <w:r>
        <w:rPr>
          <w:color w:val="1A171C"/>
          <w:spacing w:val="3"/>
        </w:rPr>
        <w:t>6.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3"/>
        </w:rPr>
        <w:t>用法和用量：</w:t>
      </w:r>
    </w:p>
    <w:p>
      <w:pPr>
        <w:pStyle w:val="BodyText"/>
        <w:ind w:left="907" w:right="375" w:firstLine="338"/>
        <w:spacing w:before="14" w:line="209" w:lineRule="auto"/>
        <w:rPr/>
      </w:pPr>
      <w:r>
        <w:rPr>
          <w:color w:val="1A171C"/>
          <w:spacing w:val="-13"/>
        </w:rPr>
        <w:t>（1）口服：负荷剂量 0.2</w:t>
      </w:r>
      <w:r>
        <w:rPr>
          <w:color w:val="1A171C"/>
          <w:spacing w:val="12"/>
        </w:rPr>
        <w:t xml:space="preserve"> </w:t>
      </w:r>
      <w:r>
        <w:rPr>
          <w:color w:val="1A171C"/>
          <w:spacing w:val="-13"/>
        </w:rPr>
        <w:t>g/次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3"/>
        </w:rPr>
        <w:t>、3 次</w:t>
      </w:r>
      <w:r>
        <w:rPr>
          <w:color w:val="1A171C"/>
          <w:spacing w:val="-14"/>
        </w:rPr>
        <w:t>/d，可以连续</w:t>
      </w:r>
      <w:r>
        <w:rPr>
          <w:color w:val="1A171C"/>
        </w:rPr>
        <w:t xml:space="preserve"> </w:t>
      </w:r>
      <w:r>
        <w:rPr>
          <w:color w:val="1A171C"/>
          <w:spacing w:val="-3"/>
        </w:rPr>
        <w:t>应用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-3"/>
        </w:rPr>
        <w:t>8~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3"/>
        </w:rPr>
        <w:t>10 d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3"/>
        </w:rPr>
        <w:t>。维持剂量宜应用最小有效剂</w:t>
      </w:r>
      <w:r>
        <w:rPr>
          <w:color w:val="1A171C"/>
          <w:spacing w:val="-4"/>
        </w:rPr>
        <w:t>量，0.1~</w:t>
      </w:r>
      <w:r>
        <w:rPr>
          <w:color w:val="1A171C"/>
        </w:rPr>
        <w:t xml:space="preserve"> </w:t>
      </w:r>
      <w:r>
        <w:rPr>
          <w:color w:val="1A171C"/>
          <w:spacing w:val="-13"/>
          <w:w w:val="96"/>
        </w:rPr>
        <w:t>0.4</w:t>
      </w:r>
      <w:r>
        <w:rPr>
          <w:color w:val="1A171C"/>
          <w:spacing w:val="5"/>
        </w:rPr>
        <w:t xml:space="preserve"> </w:t>
      </w:r>
      <w:r>
        <w:rPr>
          <w:color w:val="1A171C"/>
          <w:spacing w:val="-13"/>
          <w:w w:val="96"/>
        </w:rPr>
        <w:t>g/d。</w:t>
      </w:r>
    </w:p>
    <w:p>
      <w:pPr>
        <w:pStyle w:val="BodyText"/>
        <w:ind w:left="825" w:right="375" w:firstLine="419"/>
        <w:spacing w:before="47" w:line="217" w:lineRule="auto"/>
        <w:rPr/>
      </w:pPr>
      <w:r>
        <w:rPr>
          <w:color w:val="1A171C"/>
          <w:spacing w:val="3"/>
        </w:rPr>
        <w:t>（2）静脉给药：注射液通常初始推荐剂量为开</w:t>
      </w:r>
      <w:r>
        <w:rPr>
          <w:color w:val="1A171C"/>
          <w:spacing w:val="8"/>
        </w:rPr>
        <w:t xml:space="preserve"> </w:t>
      </w:r>
      <w:r>
        <w:rPr>
          <w:color w:val="1A171C"/>
          <w:spacing w:val="4"/>
        </w:rPr>
        <w:t>始治疗的第 1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4"/>
        </w:rPr>
        <w:t>个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4"/>
        </w:rPr>
        <w:t>24 h 内给予约1 g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4"/>
        </w:rPr>
        <w:t>静脉注射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4"/>
        </w:rPr>
        <w:t>。负荷</w:t>
      </w:r>
      <w:r>
        <w:rPr>
          <w:color w:val="1A171C"/>
        </w:rPr>
        <w:t xml:space="preserve"> </w:t>
      </w:r>
      <w:r>
        <w:rPr>
          <w:color w:val="1A171C"/>
          <w:spacing w:val="-7"/>
        </w:rPr>
        <w:t>滴 注 原 则 为 先 快 后 慢 ，头</w:t>
      </w:r>
      <w:r>
        <w:rPr>
          <w:color w:val="1A171C"/>
          <w:spacing w:val="41"/>
        </w:rPr>
        <w:t xml:space="preserve"> </w:t>
      </w:r>
      <w:r>
        <w:rPr>
          <w:color w:val="1A171C"/>
          <w:spacing w:val="-7"/>
        </w:rPr>
        <w:t>10 min</w:t>
      </w:r>
      <w:r>
        <w:rPr>
          <w:color w:val="1A171C"/>
          <w:spacing w:val="26"/>
          <w:w w:val="101"/>
        </w:rPr>
        <w:t xml:space="preserve"> </w:t>
      </w:r>
      <w:r>
        <w:rPr>
          <w:color w:val="1A171C"/>
          <w:spacing w:val="-7"/>
        </w:rPr>
        <w:t>给 药</w:t>
      </w:r>
      <w:r>
        <w:rPr>
          <w:color w:val="1A171C"/>
          <w:spacing w:val="40"/>
        </w:rPr>
        <w:t xml:space="preserve"> </w:t>
      </w:r>
      <w:r>
        <w:rPr>
          <w:color w:val="1A171C"/>
          <w:spacing w:val="-7"/>
        </w:rPr>
        <w:t>1</w:t>
      </w:r>
      <w:r>
        <w:rPr>
          <w:color w:val="1A171C"/>
          <w:spacing w:val="-8"/>
        </w:rPr>
        <w:t>50 mg</w:t>
      </w:r>
      <w:r>
        <w:rPr>
          <w:color w:val="1A171C"/>
        </w:rPr>
        <w:t xml:space="preserve"> </w:t>
      </w:r>
      <w:r>
        <w:rPr>
          <w:color w:val="1A171C"/>
          <w:spacing w:val="-15"/>
        </w:rPr>
        <w:t>（15 mg/min</w:t>
      </w:r>
      <w:r>
        <w:rPr>
          <w:color w:val="1A171C"/>
          <w:spacing w:val="-46"/>
          <w:w w:val="96"/>
        </w:rPr>
        <w:t>），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-15"/>
        </w:rPr>
        <w:t>具 体 为</w:t>
      </w:r>
      <w:r>
        <w:rPr>
          <w:color w:val="1A171C"/>
          <w:spacing w:val="28"/>
        </w:rPr>
        <w:t xml:space="preserve"> </w:t>
      </w:r>
      <w:r>
        <w:rPr>
          <w:color w:val="1A171C"/>
          <w:spacing w:val="-15"/>
        </w:rPr>
        <w:t>3 ml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5"/>
        </w:rPr>
        <w:t>∶</w:t>
      </w:r>
      <w:r>
        <w:rPr>
          <w:color w:val="1A171C"/>
          <w:spacing w:val="-37"/>
        </w:rPr>
        <w:t xml:space="preserve"> </w:t>
      </w:r>
      <w:r>
        <w:rPr>
          <w:color w:val="1A171C"/>
          <w:spacing w:val="-15"/>
        </w:rPr>
        <w:t>150 mg</w:t>
      </w:r>
      <w:r>
        <w:rPr>
          <w:color w:val="1A171C"/>
          <w:spacing w:val="26"/>
        </w:rPr>
        <w:t xml:space="preserve"> </w:t>
      </w:r>
      <w:r>
        <w:rPr>
          <w:color w:val="1A171C"/>
          <w:spacing w:val="-15"/>
        </w:rPr>
        <w:t>注</w:t>
      </w:r>
      <w:r>
        <w:rPr>
          <w:color w:val="1A171C"/>
          <w:spacing w:val="-4"/>
        </w:rPr>
        <w:t xml:space="preserve"> </w:t>
      </w:r>
      <w:r>
        <w:rPr>
          <w:color w:val="1A171C"/>
          <w:spacing w:val="-15"/>
        </w:rPr>
        <w:t>射</w:t>
      </w:r>
      <w:r>
        <w:rPr>
          <w:color w:val="1A171C"/>
          <w:spacing w:val="-1"/>
        </w:rPr>
        <w:t xml:space="preserve"> </w:t>
      </w:r>
      <w:r>
        <w:rPr>
          <w:color w:val="1A171C"/>
          <w:spacing w:val="-15"/>
        </w:rPr>
        <w:t>液</w:t>
      </w:r>
      <w:r>
        <w:rPr>
          <w:color w:val="1A171C"/>
          <w:spacing w:val="-2"/>
        </w:rPr>
        <w:t xml:space="preserve"> </w:t>
      </w:r>
      <w:r>
        <w:rPr>
          <w:color w:val="1A171C"/>
          <w:spacing w:val="-15"/>
        </w:rPr>
        <w:t>加</w:t>
      </w:r>
      <w:r>
        <w:rPr>
          <w:color w:val="1A171C"/>
          <w:spacing w:val="-4"/>
        </w:rPr>
        <w:t xml:space="preserve"> </w:t>
      </w:r>
      <w:r>
        <w:rPr>
          <w:color w:val="1A171C"/>
          <w:spacing w:val="-15"/>
        </w:rPr>
        <w:t>入</w:t>
      </w:r>
      <w:r>
        <w:rPr>
          <w:color w:val="1A171C"/>
        </w:rPr>
        <w:t xml:space="preserve"> </w:t>
      </w:r>
      <w:r>
        <w:rPr>
          <w:color w:val="1A171C"/>
          <w:spacing w:val="-3"/>
        </w:rPr>
        <w:t>100 ml 葡萄糖溶液中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3"/>
        </w:rPr>
        <w:t>，滴注 10 min；随后 6</w:t>
      </w:r>
      <w:r>
        <w:rPr>
          <w:color w:val="1A171C"/>
          <w:spacing w:val="18"/>
        </w:rPr>
        <w:t xml:space="preserve"> </w:t>
      </w:r>
      <w:r>
        <w:rPr>
          <w:color w:val="1A171C"/>
          <w:spacing w:val="-3"/>
        </w:rPr>
        <w:t>h 给药</w:t>
      </w:r>
    </w:p>
    <w:p>
      <w:pPr>
        <w:pStyle w:val="BodyText"/>
        <w:ind w:left="909" w:right="310" w:firstLine="4"/>
        <w:spacing w:before="25" w:line="212" w:lineRule="auto"/>
        <w:rPr/>
      </w:pPr>
      <w:r>
        <w:rPr>
          <w:color w:val="1A171C"/>
          <w:spacing w:val="-13"/>
        </w:rPr>
        <w:t>360 mg（1 mg/min</w:t>
      </w:r>
      <w:r>
        <w:rPr>
          <w:color w:val="1A171C"/>
          <w:spacing w:val="-29"/>
          <w:w w:val="61"/>
        </w:rPr>
        <w:t>），</w:t>
      </w:r>
      <w:r>
        <w:rPr>
          <w:color w:val="1A171C"/>
          <w:spacing w:val="-13"/>
        </w:rPr>
        <w:t>具体为 1</w:t>
      </w:r>
      <w:r>
        <w:rPr>
          <w:color w:val="1A171C"/>
          <w:spacing w:val="-14"/>
        </w:rPr>
        <w:t>8 ml∶900 mg 注射液加</w:t>
      </w:r>
      <w:r>
        <w:rPr>
          <w:color w:val="1A171C"/>
        </w:rPr>
        <w:t xml:space="preserve">  </w:t>
      </w:r>
      <w:r>
        <w:rPr>
          <w:color w:val="1A171C"/>
          <w:spacing w:val="-3"/>
        </w:rPr>
        <w:t>入</w:t>
      </w:r>
      <w:r>
        <w:rPr>
          <w:color w:val="1A171C"/>
          <w:spacing w:val="-9"/>
        </w:rPr>
        <w:t xml:space="preserve"> </w:t>
      </w:r>
      <w:r>
        <w:rPr>
          <w:color w:val="1A171C"/>
          <w:spacing w:val="-3"/>
        </w:rPr>
        <w:t>500 ml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3"/>
        </w:rPr>
        <w:t>葡萄糖溶液中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-3"/>
        </w:rPr>
        <w:t>。剩余 18 h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3"/>
        </w:rPr>
        <w:t>进行维持滴注，</w:t>
      </w:r>
      <w:r>
        <w:rPr>
          <w:color w:val="1A171C"/>
        </w:rPr>
        <w:t xml:space="preserve"> </w:t>
      </w:r>
      <w:r>
        <w:rPr>
          <w:color w:val="1A171C"/>
          <w:spacing w:val="-24"/>
        </w:rPr>
        <w:t>给药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-24"/>
        </w:rPr>
        <w:t>540 mg（0.5 mg/min）。</w:t>
      </w:r>
    </w:p>
    <w:p>
      <w:pPr>
        <w:pStyle w:val="BodyText"/>
        <w:ind w:left="909" w:right="377" w:firstLine="419"/>
        <w:spacing w:before="37" w:line="212" w:lineRule="auto"/>
        <w:rPr/>
      </w:pPr>
      <w:r>
        <w:rPr>
          <w:color w:val="1A171C"/>
          <w:spacing w:val="4"/>
        </w:rPr>
        <w:t>7.</w:t>
      </w:r>
      <w:r>
        <w:rPr>
          <w:color w:val="1A171C"/>
          <w:spacing w:val="-3"/>
        </w:rPr>
        <w:t xml:space="preserve"> </w:t>
      </w:r>
      <w:r>
        <w:rPr>
          <w:color w:val="1A171C"/>
          <w:spacing w:val="4"/>
        </w:rPr>
        <w:t>药物代谢动力学：主要在肝内代谢，半衰期</w:t>
      </w:r>
      <w:r>
        <w:rPr>
          <w:color w:val="1A171C"/>
        </w:rPr>
        <w:t xml:space="preserve"> </w:t>
      </w:r>
      <w:r>
        <w:rPr>
          <w:color w:val="1A171C"/>
          <w:spacing w:val="-3"/>
        </w:rPr>
        <w:t>为 14~28 d</w:t>
      </w:r>
      <w:r>
        <w:rPr>
          <w:color w:val="1A171C"/>
          <w:spacing w:val="-6"/>
        </w:rPr>
        <w:t xml:space="preserve"> </w:t>
      </w:r>
      <w:r>
        <w:rPr>
          <w:color w:val="1A171C"/>
          <w:spacing w:val="-3"/>
        </w:rPr>
        <w:t>，口服后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3"/>
        </w:rPr>
        <w:t>4~6 h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3"/>
        </w:rPr>
        <w:t>血药浓度达峰值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3"/>
        </w:rPr>
        <w:t>。生物</w:t>
      </w:r>
      <w:r>
        <w:rPr>
          <w:color w:val="1A171C"/>
        </w:rPr>
        <w:t xml:space="preserve"> </w:t>
      </w:r>
      <w:r>
        <w:rPr>
          <w:color w:val="1A171C"/>
        </w:rPr>
        <w:t>利用度</w:t>
      </w:r>
      <w:r>
        <w:rPr>
          <w:color w:val="1A171C"/>
          <w:spacing w:val="-8"/>
        </w:rPr>
        <w:t xml:space="preserve"> </w:t>
      </w:r>
      <w:r>
        <w:rPr>
          <w:color w:val="1A171C"/>
        </w:rPr>
        <w:t>50%，血浆蛋白结合率 62.</w:t>
      </w:r>
      <w:r>
        <w:rPr>
          <w:color w:val="1A171C"/>
          <w:spacing w:val="-35"/>
        </w:rPr>
        <w:t xml:space="preserve"> </w:t>
      </w:r>
      <w:r>
        <w:rPr>
          <w:color w:val="1A171C"/>
        </w:rPr>
        <w:t>1%，主要经胆汁 </w:t>
      </w:r>
      <w:r>
        <w:rPr>
          <w:color w:val="1A171C"/>
          <w:spacing w:val="6"/>
        </w:rPr>
        <w:t>由粪便排泄。</w:t>
      </w:r>
    </w:p>
    <w:p>
      <w:pPr>
        <w:pStyle w:val="BodyText"/>
        <w:ind w:left="824" w:right="296" w:firstLine="510"/>
        <w:spacing w:before="48" w:line="218" w:lineRule="auto"/>
        <w:rPr/>
      </w:pPr>
      <w:r>
        <w:rPr>
          <w:color w:val="1A171C"/>
          <w:spacing w:val="4"/>
        </w:rPr>
        <w:t>8.</w:t>
      </w:r>
      <w:r>
        <w:rPr>
          <w:color w:val="1A171C"/>
          <w:spacing w:val="-10"/>
        </w:rPr>
        <w:t xml:space="preserve"> </w:t>
      </w:r>
      <w:r>
        <w:rPr>
          <w:color w:val="1A171C"/>
          <w:spacing w:val="4"/>
        </w:rPr>
        <w:t>药物相互作用：与下列药物合用容易导致尖</w:t>
      </w:r>
      <w:r>
        <w:rPr>
          <w:color w:val="1A171C"/>
        </w:rPr>
        <w:t xml:space="preserve">  </w:t>
      </w:r>
      <w:r>
        <w:rPr>
          <w:color w:val="1A171C"/>
          <w:spacing w:val="3"/>
        </w:rPr>
        <w:t>端扭转性室性心动过速：Ⅰa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3"/>
        </w:rPr>
        <w:t>类抗心律失常药</w:t>
      </w:r>
      <w:r>
        <w:rPr>
          <w:color w:val="1A171C"/>
          <w:spacing w:val="2"/>
        </w:rPr>
        <w:t>物（奎</w:t>
      </w:r>
      <w:r>
        <w:rPr>
          <w:color w:val="1A171C"/>
        </w:rPr>
        <w:t xml:space="preserve">  </w:t>
      </w:r>
      <w:r>
        <w:rPr>
          <w:color w:val="1A171C"/>
          <w:spacing w:val="1"/>
        </w:rPr>
        <w:t>尼丁、氢化奎尼丁、丙吡胺</w:t>
      </w:r>
      <w:r>
        <w:rPr>
          <w:color w:val="1A171C"/>
          <w:spacing w:val="-29"/>
          <w:w w:val="61"/>
        </w:rPr>
        <w:t>），</w:t>
      </w:r>
      <w:r>
        <w:rPr>
          <w:color w:val="1A171C"/>
          <w:spacing w:val="1"/>
        </w:rPr>
        <w:t>抗心律失常药物（多非</w:t>
      </w:r>
      <w:r>
        <w:rPr>
          <w:color w:val="1A171C"/>
        </w:rPr>
        <w:t xml:space="preserve">  </w:t>
      </w:r>
      <w:r>
        <w:rPr>
          <w:color w:val="1A171C"/>
          <w:spacing w:val="5"/>
        </w:rPr>
        <w:t>利特、伊布利特、索他洛尔</w:t>
      </w:r>
      <w:r>
        <w:rPr>
          <w:color w:val="1A171C"/>
          <w:spacing w:val="-28"/>
          <w:w w:val="59"/>
        </w:rPr>
        <w:t>），</w:t>
      </w:r>
      <w:r>
        <w:rPr>
          <w:color w:val="1A171C"/>
          <w:spacing w:val="5"/>
        </w:rPr>
        <w:t>其他药品如苄普地尔、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-8"/>
        </w:rPr>
        <w:t>西沙比利、红霉素（静脉内给药）、咪唑斯汀、长春胺</w:t>
      </w:r>
      <w:r>
        <w:rPr>
          <w:color w:val="1A171C"/>
        </w:rPr>
        <w:t xml:space="preserve">  </w:t>
      </w:r>
      <w:r>
        <w:rPr>
          <w:color w:val="1A171C"/>
          <w:spacing w:val="-8"/>
        </w:rPr>
        <w:t>（静脉内给药）、莫西沙星，不应联合使用。</w:t>
      </w:r>
    </w:p>
    <w:p>
      <w:pPr>
        <w:ind w:left="1253"/>
        <w:spacing w:before="14" w:line="270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19"/>
          <w:position w:val="1"/>
        </w:rPr>
        <w:t>（八）腺苷</w:t>
      </w:r>
    </w:p>
    <w:p>
      <w:pPr>
        <w:pStyle w:val="BodyText"/>
        <w:ind w:left="1346"/>
        <w:spacing w:before="52" w:line="210" w:lineRule="auto"/>
        <w:rPr/>
      </w:pPr>
      <w:r>
        <w:rPr>
          <w:color w:val="1A171C"/>
        </w:rPr>
        <w:t>1.</w:t>
      </w:r>
      <w:r>
        <w:rPr>
          <w:color w:val="1A171C"/>
          <w:spacing w:val="-24"/>
        </w:rPr>
        <w:t xml:space="preserve"> </w:t>
      </w:r>
      <w:r>
        <w:rPr>
          <w:color w:val="1A171C"/>
        </w:rPr>
        <w:t>药品分类：其他类抗心律失常药物。</w:t>
      </w:r>
    </w:p>
    <w:p>
      <w:pPr>
        <w:pStyle w:val="BodyText"/>
        <w:ind w:left="1329"/>
        <w:spacing w:before="14" w:line="210" w:lineRule="auto"/>
        <w:rPr/>
      </w:pPr>
      <w:r>
        <w:rPr>
          <w:color w:val="1A171C"/>
          <w:spacing w:val="-4"/>
        </w:rPr>
        <w:t>2.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4"/>
        </w:rPr>
        <w:t>用药目的：用于治疗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4"/>
        </w:rPr>
        <w:t>PSVT。</w:t>
      </w:r>
    </w:p>
    <w:p>
      <w:pPr>
        <w:pStyle w:val="BodyText"/>
        <w:ind w:left="906" w:right="378" w:firstLine="425"/>
        <w:spacing w:before="18" w:line="213" w:lineRule="auto"/>
        <w:rPr/>
      </w:pPr>
      <w:r>
        <w:rPr>
          <w:color w:val="1A171C"/>
          <w:spacing w:val="-5"/>
        </w:rPr>
        <w:t>3.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-5"/>
        </w:rPr>
        <w:t>禁忌证：禁用于二、三度房室传导阻滞（使用</w:t>
      </w:r>
      <w:r>
        <w:rPr>
          <w:color w:val="1A171C"/>
        </w:rPr>
        <w:t xml:space="preserve"> </w:t>
      </w:r>
      <w:r>
        <w:rPr>
          <w:color w:val="1A171C"/>
          <w:spacing w:val="7"/>
        </w:rPr>
        <w:t>人工起搏器的患者除外</w:t>
      </w:r>
      <w:r>
        <w:rPr>
          <w:color w:val="1A171C"/>
          <w:spacing w:val="-28"/>
          <w:w w:val="59"/>
        </w:rPr>
        <w:t>）；</w:t>
      </w:r>
      <w:r>
        <w:rPr>
          <w:color w:val="1A171C"/>
          <w:spacing w:val="7"/>
        </w:rPr>
        <w:t>病态窦房结综合征（</w:t>
      </w:r>
      <w:r>
        <w:rPr>
          <w:color w:val="1A171C"/>
          <w:spacing w:val="6"/>
        </w:rPr>
        <w:t>使用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16"/>
        </w:rPr>
        <w:t>人工起搏器的患者除外</w:t>
      </w:r>
      <w:r>
        <w:rPr>
          <w:color w:val="1A171C"/>
          <w:spacing w:val="-32"/>
          <w:w w:val="67"/>
        </w:rPr>
        <w:t>）；</w:t>
      </w:r>
      <w:r>
        <w:rPr>
          <w:color w:val="1A171C"/>
          <w:spacing w:val="16"/>
        </w:rPr>
        <w:t>支气管狭窄或支气管痉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16"/>
        </w:rPr>
        <w:t>挛的肺部疾病患者（例如哮喘</w:t>
      </w:r>
      <w:r>
        <w:rPr>
          <w:color w:val="1A171C"/>
          <w:spacing w:val="-32"/>
          <w:w w:val="67"/>
        </w:rPr>
        <w:t>）；</w:t>
      </w:r>
      <w:r>
        <w:rPr>
          <w:color w:val="1A171C"/>
          <w:spacing w:val="16"/>
        </w:rPr>
        <w:t>对腺苷有超敏反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4"/>
        </w:rPr>
        <w:t>应者。</w:t>
      </w:r>
    </w:p>
    <w:p>
      <w:pPr>
        <w:pStyle w:val="BodyText"/>
        <w:ind w:left="824" w:right="378" w:firstLine="501"/>
        <w:spacing w:before="53" w:line="218" w:lineRule="auto"/>
        <w:rPr/>
      </w:pPr>
      <w:r>
        <w:rPr>
          <w:color w:val="1A171C"/>
          <w:spacing w:val="2"/>
        </w:rPr>
        <w:t>4.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2"/>
        </w:rPr>
        <w:t>不良反应：面部潮红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2"/>
        </w:rPr>
        <w:t>、呼吸困难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2"/>
        </w:rPr>
        <w:t>、支气管痉</w:t>
      </w:r>
      <w:r>
        <w:rPr>
          <w:color w:val="1A171C"/>
        </w:rPr>
        <w:t xml:space="preserve"> </w:t>
      </w:r>
      <w:r>
        <w:rPr>
          <w:color w:val="1A171C"/>
          <w:spacing w:val="8"/>
        </w:rPr>
        <w:t>挛、胸部紧压感、恶心和头晕等较常见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8"/>
        </w:rPr>
        <w:t>。较罕见的</w:t>
      </w:r>
      <w:r>
        <w:rPr>
          <w:color w:val="1A171C"/>
        </w:rPr>
        <w:t xml:space="preserve"> </w:t>
      </w:r>
      <w:r>
        <w:rPr>
          <w:color w:val="1A171C"/>
        </w:rPr>
        <w:t>不良反应有不适感，出汗，心悸，过度换气，头部压</w:t>
      </w:r>
      <w:r>
        <w:rPr>
          <w:color w:val="1A171C"/>
          <w:spacing w:val="9"/>
        </w:rPr>
        <w:t xml:space="preserve"> </w:t>
      </w:r>
      <w:r>
        <w:rPr>
          <w:color w:val="1A171C"/>
        </w:rPr>
        <w:t>迫感，焦虑，视力模糊，烧灼感，心动过缓，心脏停</w:t>
      </w:r>
      <w:r>
        <w:rPr>
          <w:color w:val="1A171C"/>
          <w:spacing w:val="9"/>
        </w:rPr>
        <w:t xml:space="preserve"> </w:t>
      </w:r>
      <w:r>
        <w:rPr>
          <w:color w:val="1A171C"/>
          <w:spacing w:val="-16"/>
        </w:rPr>
        <w:t>搏，胸痛，头痛，眩晕，手臂沉重感，手臂、背部、颈部</w:t>
      </w:r>
      <w:r>
        <w:rPr>
          <w:color w:val="1A171C"/>
          <w:spacing w:val="8"/>
        </w:rPr>
        <w:t xml:space="preserve"> </w:t>
      </w:r>
      <w:r>
        <w:rPr>
          <w:color w:val="1A171C"/>
        </w:rPr>
        <w:t>疼痛，金属味等，这些不良反应呈轻度，持续时间短</w:t>
      </w:r>
      <w:r>
        <w:rPr>
          <w:color w:val="1A171C"/>
          <w:spacing w:val="9"/>
        </w:rPr>
        <w:t xml:space="preserve"> </w:t>
      </w:r>
      <w:r>
        <w:rPr>
          <w:color w:val="1A171C"/>
          <w:spacing w:val="5"/>
        </w:rPr>
        <w:t>（常短于1 </w:t>
      </w:r>
      <w:r>
        <w:rPr>
          <w:color w:val="1A171C"/>
        </w:rPr>
        <w:t>min</w:t>
      </w:r>
      <w:r>
        <w:rPr>
          <w:color w:val="1A171C"/>
          <w:spacing w:val="-29"/>
          <w:w w:val="61"/>
        </w:rPr>
        <w:t>），</w:t>
      </w:r>
      <w:r>
        <w:rPr>
          <w:color w:val="1A171C"/>
          <w:spacing w:val="5"/>
        </w:rPr>
        <w:t>并且通常能很好耐受。</w:t>
      </w:r>
    </w:p>
    <w:p>
      <w:pPr>
        <w:pStyle w:val="BodyText"/>
        <w:ind w:left="1329"/>
        <w:spacing w:before="21" w:line="194" w:lineRule="auto"/>
        <w:rPr/>
      </w:pPr>
      <w:r>
        <w:rPr>
          <w:color w:val="1A171C"/>
          <w:spacing w:val="-16"/>
        </w:rPr>
        <w:t>5. 剂型和规格：注射液，2 ml∶6 mg。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4" w:right="843" w:firstLine="424"/>
        <w:spacing w:before="43" w:line="213" w:lineRule="auto"/>
        <w:rPr/>
      </w:pPr>
      <w:r>
        <w:rPr>
          <w:color w:val="1A171C"/>
          <w:spacing w:val="-5"/>
        </w:rPr>
        <w:t>6.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5"/>
        </w:rPr>
        <w:t>用法和用量：快速静脉注射（1~2 s 内完成</w:t>
      </w:r>
      <w:r>
        <w:rPr>
          <w:color w:val="1A171C"/>
          <w:spacing w:val="-46"/>
          <w:w w:val="96"/>
        </w:rPr>
        <w:t>），</w:t>
      </w:r>
      <w:r>
        <w:rPr>
          <w:color w:val="1A171C"/>
        </w:rPr>
        <w:t xml:space="preserve"> </w:t>
      </w:r>
      <w:r>
        <w:rPr>
          <w:color w:val="1A171C"/>
          <w:spacing w:val="-12"/>
        </w:rPr>
        <w:t>成人初始剂量</w:t>
      </w:r>
      <w:r>
        <w:rPr>
          <w:color w:val="1A171C"/>
          <w:spacing w:val="-11"/>
        </w:rPr>
        <w:t xml:space="preserve"> </w:t>
      </w:r>
      <w:r>
        <w:rPr>
          <w:color w:val="1A171C"/>
          <w:spacing w:val="-12"/>
        </w:rPr>
        <w:t>3 mg，第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2"/>
        </w:rPr>
        <w:t>2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2"/>
        </w:rPr>
        <w:t>次给药剂量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2"/>
        </w:rPr>
        <w:t>6 mg，第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2"/>
        </w:rPr>
        <w:t>3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2"/>
        </w:rPr>
        <w:t>次给</w:t>
      </w:r>
      <w:r>
        <w:rPr>
          <w:color w:val="1A171C"/>
        </w:rPr>
        <w:t xml:space="preserve">  </w:t>
      </w:r>
      <w:r>
        <w:rPr>
          <w:color w:val="1A171C"/>
          <w:spacing w:val="-7"/>
        </w:rPr>
        <w:t>药剂量 12 mg，每次间隔 1~2 min，若出现高度房室</w:t>
      </w:r>
      <w:r>
        <w:rPr>
          <w:color w:val="1A171C"/>
          <w:spacing w:val="1"/>
        </w:rPr>
        <w:t xml:space="preserve">  </w:t>
      </w:r>
      <w:r>
        <w:rPr>
          <w:color w:val="1A171C"/>
          <w:spacing w:val="8"/>
        </w:rPr>
        <w:t>传导阻滞不得再增加剂量。</w:t>
      </w:r>
    </w:p>
    <w:p>
      <w:pPr>
        <w:pStyle w:val="BodyText"/>
        <w:ind w:left="98" w:right="905" w:firstLine="416"/>
        <w:spacing w:before="52" w:line="217" w:lineRule="auto"/>
        <w:rPr/>
      </w:pPr>
      <w:r>
        <w:rPr>
          <w:color w:val="1A171C"/>
          <w:spacing w:val="4"/>
        </w:rPr>
        <w:t>7.</w:t>
      </w:r>
      <w:r>
        <w:rPr>
          <w:color w:val="1A171C"/>
          <w:spacing w:val="-3"/>
        </w:rPr>
        <w:t xml:space="preserve"> </w:t>
      </w:r>
      <w:r>
        <w:rPr>
          <w:color w:val="1A171C"/>
          <w:spacing w:val="4"/>
        </w:rPr>
        <w:t>药物代谢动力学：腺苷静脉注射给药后，很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快进入血液循环中，并被清除细胞摄取，主要由红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14"/>
        </w:rPr>
        <w:t>细胞和血管内皮细胞摄取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14"/>
        </w:rPr>
        <w:t>。细胞内的腺苷很</w:t>
      </w:r>
      <w:r>
        <w:rPr>
          <w:color w:val="1A171C"/>
          <w:spacing w:val="13"/>
        </w:rPr>
        <w:t>快被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代谢掉，或经腺苷激酶磷酸化而成单磷酸腺苷，或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5"/>
        </w:rPr>
        <w:t>经细胞内的腺苷脱氨酶脱氨而成肌苷；细胞外的腺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3"/>
        </w:rPr>
        <w:t>苷半衰期小于 10 s，主要由细胞摄取而清除，其余</w:t>
      </w:r>
      <w:r>
        <w:rPr>
          <w:color w:val="1A171C"/>
          <w:spacing w:val="6"/>
        </w:rPr>
        <w:t xml:space="preserve"> </w:t>
      </w:r>
      <w:r>
        <w:rPr>
          <w:color w:val="1A171C"/>
          <w:spacing w:val="12"/>
        </w:rPr>
        <w:t>部分可通过腺苷脱氨的形式进行脱氨</w:t>
      </w:r>
      <w:r>
        <w:rPr>
          <w:color w:val="1A171C"/>
          <w:spacing w:val="-12"/>
        </w:rPr>
        <w:t xml:space="preserve"> </w:t>
      </w:r>
      <w:r>
        <w:rPr>
          <w:color w:val="1A171C"/>
          <w:spacing w:val="12"/>
        </w:rPr>
        <w:t>。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12"/>
        </w:rPr>
        <w:t>由于腺苷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的激活与灭活均不通过肝肾代谢，因此肝肾功能衰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8"/>
        </w:rPr>
        <w:t>退不改变腺苷的药效和耐受性。</w:t>
      </w:r>
    </w:p>
    <w:p>
      <w:pPr>
        <w:pStyle w:val="BodyText"/>
        <w:ind w:left="99" w:right="827" w:firstLine="427"/>
        <w:spacing w:before="47" w:line="218" w:lineRule="auto"/>
        <w:rPr/>
      </w:pPr>
      <w:r>
        <w:rPr>
          <w:color w:val="1A171C"/>
          <w:spacing w:val="4"/>
        </w:rPr>
        <w:t>8.</w:t>
      </w:r>
      <w:r>
        <w:rPr>
          <w:color w:val="1A171C"/>
          <w:spacing w:val="-11"/>
        </w:rPr>
        <w:t xml:space="preserve"> </w:t>
      </w:r>
      <w:r>
        <w:rPr>
          <w:color w:val="1A171C"/>
          <w:spacing w:val="4"/>
        </w:rPr>
        <w:t>药物相互作用：其他作用于心脏的药物（如</w:t>
      </w:r>
      <w:r>
        <w:rPr>
          <w:color w:val="1A171C"/>
        </w:rPr>
        <w:t xml:space="preserve">  </w:t>
      </w:r>
      <w:r>
        <w:rPr>
          <w:color w:val="1A171C"/>
          <w:spacing w:val="7"/>
        </w:rPr>
        <w:t>β 肾上腺素阻断剂、强心苷、钙通道阻滞剂</w:t>
      </w:r>
      <w:r>
        <w:rPr>
          <w:color w:val="1A171C"/>
          <w:spacing w:val="-30"/>
          <w:w w:val="63"/>
        </w:rPr>
        <w:t>），</w:t>
      </w:r>
      <w:r>
        <w:rPr>
          <w:color w:val="1A171C"/>
          <w:spacing w:val="7"/>
        </w:rPr>
        <w:t>腺苷</w:t>
      </w:r>
      <w:r>
        <w:rPr>
          <w:color w:val="1A171C"/>
        </w:rPr>
        <w:t xml:space="preserve">  </w:t>
      </w:r>
      <w:r>
        <w:rPr>
          <w:color w:val="1A171C"/>
          <w:spacing w:val="-12"/>
        </w:rPr>
        <w:t>受体拮抗剂（如咖啡因、茶碱）、腺苷作用增强剂（如</w:t>
      </w:r>
      <w:r>
        <w:rPr>
          <w:color w:val="1A171C"/>
          <w:spacing w:val="7"/>
        </w:rPr>
        <w:t xml:space="preserve">  </w:t>
      </w:r>
      <w:r>
        <w:rPr>
          <w:color w:val="1A171C"/>
          <w:spacing w:val="18"/>
        </w:rPr>
        <w:t>双嘧达莫</w:t>
      </w:r>
      <w:r>
        <w:rPr>
          <w:color w:val="1A171C"/>
          <w:spacing w:val="-32"/>
          <w:w w:val="67"/>
        </w:rPr>
        <w:t>），</w:t>
      </w:r>
      <w:r>
        <w:rPr>
          <w:color w:val="1A171C"/>
          <w:spacing w:val="18"/>
        </w:rPr>
        <w:t>一般不宜在至少</w:t>
      </w:r>
      <w:r>
        <w:rPr>
          <w:color w:val="1A171C"/>
          <w:spacing w:val="-9"/>
        </w:rPr>
        <w:t xml:space="preserve"> </w:t>
      </w:r>
      <w:r>
        <w:rPr>
          <w:color w:val="1A171C"/>
          <w:spacing w:val="18"/>
        </w:rPr>
        <w:t>5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18"/>
        </w:rPr>
        <w:t>个半衰期内使用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18"/>
        </w:rPr>
        <w:t>。</w:t>
      </w:r>
      <w:r>
        <w:rPr>
          <w:color w:val="1A171C"/>
        </w:rPr>
        <w:t xml:space="preserve"> </w:t>
      </w:r>
      <w:r>
        <w:rPr>
          <w:color w:val="1A171C"/>
          <w:spacing w:val="6"/>
        </w:rPr>
        <w:t>有报告双嘧达莫可使腺苷的作用增加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6"/>
        </w:rPr>
        <w:t>4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6"/>
        </w:rPr>
        <w:t>倍，故建议</w:t>
      </w:r>
      <w:r>
        <w:rPr>
          <w:color w:val="1A171C"/>
        </w:rPr>
        <w:t xml:space="preserve">  </w:t>
      </w:r>
      <w:r>
        <w:rPr>
          <w:color w:val="1A171C"/>
          <w:spacing w:val="5"/>
        </w:rPr>
        <w:t>腺苷不应用于接受双嘧达莫治疗的患者，如果必须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-12"/>
        </w:rPr>
        <w:t>用腺苷，应酌情减少剂量（如首剂减至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2"/>
        </w:rPr>
        <w:t>0.5~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2"/>
        </w:rPr>
        <w:t>1.0 mg）。</w:t>
      </w:r>
    </w:p>
    <w:p>
      <w:pPr>
        <w:spacing w:before="242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4"/>
          <w:position w:val="1"/>
        </w:rPr>
        <w:t>《基层医疗卫生机构合理用药指南》编写专家组：</w:t>
      </w:r>
    </w:p>
    <w:p>
      <w:pPr>
        <w:pStyle w:val="BodyText"/>
        <w:ind w:left="106"/>
        <w:spacing w:before="49" w:line="235" w:lineRule="auto"/>
        <w:rPr>
          <w:sz w:val="17"/>
          <w:szCs w:val="17"/>
        </w:rPr>
      </w:pPr>
      <w:r>
        <w:rPr>
          <w:rFonts w:ascii="SimHei" w:hAnsi="SimHei" w:eastAsia="SimHei" w:cs="SimHei"/>
          <w:color w:val="1A171C"/>
          <w:spacing w:val="-3"/>
        </w:rPr>
        <w:t>组长：</w:t>
      </w:r>
      <w:r>
        <w:rPr>
          <w:sz w:val="17"/>
          <w:szCs w:val="17"/>
          <w:color w:val="1A171C"/>
          <w:spacing w:val="-3"/>
        </w:rPr>
        <w:t>阚全程</w:t>
      </w:r>
      <w:r>
        <w:rPr>
          <w:sz w:val="17"/>
          <w:szCs w:val="17"/>
          <w:color w:val="1A171C"/>
          <w:spacing w:val="13"/>
          <w:w w:val="101"/>
        </w:rPr>
        <w:t xml:space="preserve">   </w:t>
      </w:r>
      <w:r>
        <w:rPr>
          <w:sz w:val="17"/>
          <w:szCs w:val="17"/>
          <w:color w:val="1A171C"/>
          <w:spacing w:val="-3"/>
        </w:rPr>
        <w:t>赵杰</w:t>
      </w:r>
      <w:r>
        <w:rPr>
          <w:sz w:val="17"/>
          <w:szCs w:val="17"/>
          <w:color w:val="1A171C"/>
          <w:spacing w:val="13"/>
        </w:rPr>
        <w:t xml:space="preserve">   </w:t>
      </w:r>
      <w:r>
        <w:rPr>
          <w:sz w:val="17"/>
          <w:szCs w:val="17"/>
          <w:color w:val="1A171C"/>
          <w:spacing w:val="-3"/>
        </w:rPr>
        <w:t>迟春花</w:t>
      </w:r>
    </w:p>
    <w:p>
      <w:pPr>
        <w:pStyle w:val="BodyText"/>
        <w:ind w:left="110"/>
        <w:spacing w:before="31" w:line="236" w:lineRule="auto"/>
        <w:rPr>
          <w:sz w:val="17"/>
          <w:szCs w:val="17"/>
        </w:rPr>
      </w:pPr>
      <w:r>
        <w:rPr>
          <w:rFonts w:ascii="SimHei" w:hAnsi="SimHei" w:eastAsia="SimHei" w:cs="SimHei"/>
          <w:color w:val="1A171C"/>
          <w:spacing w:val="-2"/>
        </w:rPr>
        <w:t>副组长：</w:t>
      </w:r>
      <w:r>
        <w:rPr>
          <w:sz w:val="17"/>
          <w:szCs w:val="17"/>
          <w:color w:val="1A171C"/>
          <w:spacing w:val="-2"/>
        </w:rPr>
        <w:t>张幸国    张晓坚</w:t>
      </w:r>
      <w:r>
        <w:rPr>
          <w:sz w:val="17"/>
          <w:szCs w:val="17"/>
          <w:color w:val="1A171C"/>
          <w:spacing w:val="15"/>
          <w:w w:val="101"/>
        </w:rPr>
        <w:t xml:space="preserve">   </w:t>
      </w:r>
      <w:r>
        <w:rPr>
          <w:sz w:val="17"/>
          <w:szCs w:val="17"/>
          <w:color w:val="1A171C"/>
          <w:spacing w:val="-2"/>
        </w:rPr>
        <w:t>郭玉金</w:t>
      </w:r>
    </w:p>
    <w:p>
      <w:pPr>
        <w:pStyle w:val="BodyText"/>
        <w:ind w:left="104"/>
        <w:spacing w:before="29" w:line="236" w:lineRule="auto"/>
        <w:rPr>
          <w:sz w:val="17"/>
          <w:szCs w:val="17"/>
        </w:rPr>
      </w:pPr>
      <w:r>
        <w:rPr>
          <w:rFonts w:ascii="SimHei" w:hAnsi="SimHei" w:eastAsia="SimHei" w:cs="SimHei"/>
          <w:color w:val="1A171C"/>
          <w:spacing w:val="-5"/>
        </w:rPr>
        <w:t>秘书长：</w:t>
      </w:r>
      <w:r>
        <w:rPr>
          <w:sz w:val="17"/>
          <w:szCs w:val="17"/>
          <w:color w:val="1A171C"/>
          <w:spacing w:val="-5"/>
        </w:rPr>
        <w:t>梁淑红</w:t>
      </w:r>
      <w:r>
        <w:rPr>
          <w:sz w:val="17"/>
          <w:szCs w:val="17"/>
          <w:color w:val="1A171C"/>
          <w:spacing w:val="14"/>
          <w:w w:val="101"/>
        </w:rPr>
        <w:t xml:space="preserve">   </w:t>
      </w:r>
      <w:r>
        <w:rPr>
          <w:sz w:val="17"/>
          <w:szCs w:val="17"/>
          <w:color w:val="1A171C"/>
          <w:spacing w:val="-5"/>
        </w:rPr>
        <w:t>杨思</w:t>
      </w:r>
    </w:p>
    <w:p>
      <w:pPr>
        <w:pStyle w:val="BodyText"/>
        <w:ind w:left="27" w:right="845" w:firstLine="71"/>
        <w:spacing w:before="32" w:line="238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color w:val="1A171C"/>
          <w:spacing w:val="2"/>
        </w:rPr>
        <w:t>成员</w:t>
      </w:r>
      <w:r>
        <w:rPr>
          <w:sz w:val="17"/>
          <w:szCs w:val="17"/>
          <w:color w:val="1A171C"/>
          <w:spacing w:val="2"/>
        </w:rPr>
        <w:t>（按姓氏拼音排序</w:t>
      </w:r>
      <w:r>
        <w:rPr>
          <w:sz w:val="17"/>
          <w:szCs w:val="17"/>
          <w:color w:val="1A171C"/>
          <w:spacing w:val="-34"/>
          <w:w w:val="78"/>
        </w:rPr>
        <w:t>）：</w:t>
      </w:r>
      <w:r>
        <w:rPr>
          <w:sz w:val="17"/>
          <w:szCs w:val="17"/>
          <w:color w:val="1A171C"/>
          <w:spacing w:val="2"/>
        </w:rPr>
        <w:t>巴桑拉姆（西藏自治区人民医院</w:t>
      </w:r>
      <w:r>
        <w:rPr>
          <w:sz w:val="17"/>
          <w:szCs w:val="17"/>
          <w:color w:val="1A171C"/>
          <w:spacing w:val="-34"/>
          <w:w w:val="78"/>
        </w:rPr>
        <w:t>）；</w:t>
      </w:r>
      <w:r>
        <w:rPr>
          <w:sz w:val="17"/>
          <w:szCs w:val="17"/>
          <w:color w:val="1A171C"/>
          <w:spacing w:val="2"/>
        </w:rPr>
        <w:t xml:space="preserve"> </w:t>
      </w:r>
      <w:r>
        <w:rPr>
          <w:sz w:val="17"/>
          <w:szCs w:val="17"/>
          <w:color w:val="1A171C"/>
          <w:spacing w:val="14"/>
        </w:rPr>
        <w:t>曹力（南昌大学第一附属医院</w:t>
      </w:r>
      <w:r>
        <w:rPr>
          <w:sz w:val="17"/>
          <w:szCs w:val="17"/>
          <w:color w:val="1A171C"/>
          <w:spacing w:val="-28"/>
          <w:w w:val="69"/>
        </w:rPr>
        <w:t>）；</w:t>
      </w:r>
      <w:r>
        <w:rPr>
          <w:sz w:val="17"/>
          <w:szCs w:val="17"/>
          <w:color w:val="1A171C"/>
          <w:spacing w:val="14"/>
        </w:rPr>
        <w:t>陈步星（北京中医药大学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2"/>
        </w:rPr>
        <w:t>第三附属医院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陈孝（中山大学附属第一医院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陈亚红（北京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15"/>
        </w:rPr>
        <w:t>大学第三医院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5"/>
        </w:rPr>
        <w:t>陈英（广西壮族自治区人民医院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5"/>
        </w:rPr>
        <w:t>迟春花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14"/>
        </w:rPr>
        <w:t>（北京大学医学部</w:t>
      </w:r>
      <w:r>
        <w:rPr>
          <w:sz w:val="17"/>
          <w:szCs w:val="17"/>
          <w:color w:val="1A171C"/>
          <w:spacing w:val="-28"/>
          <w:w w:val="69"/>
        </w:rPr>
        <w:t>）；</w:t>
      </w:r>
      <w:r>
        <w:rPr>
          <w:sz w:val="17"/>
          <w:szCs w:val="17"/>
          <w:color w:val="1A171C"/>
          <w:spacing w:val="14"/>
        </w:rPr>
        <w:t>杜光（华中科技大学同济医学院附属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9"/>
        </w:rPr>
        <w:t>同济医院</w:t>
      </w:r>
      <w:r>
        <w:rPr>
          <w:sz w:val="17"/>
          <w:szCs w:val="17"/>
          <w:color w:val="1A171C"/>
          <w:spacing w:val="-24"/>
          <w:w w:val="59"/>
        </w:rPr>
        <w:t>）；</w:t>
      </w:r>
      <w:r>
        <w:rPr>
          <w:sz w:val="17"/>
          <w:szCs w:val="17"/>
          <w:color w:val="1A171C"/>
          <w:spacing w:val="9"/>
        </w:rPr>
        <w:t>杜智敏（哈尔滨医科大学附属第二医</w:t>
      </w:r>
      <w:r>
        <w:rPr>
          <w:sz w:val="17"/>
          <w:szCs w:val="17"/>
          <w:color w:val="1A171C"/>
          <w:spacing w:val="8"/>
        </w:rPr>
        <w:t>院</w:t>
      </w:r>
      <w:r>
        <w:rPr>
          <w:sz w:val="17"/>
          <w:szCs w:val="17"/>
          <w:color w:val="1A171C"/>
          <w:spacing w:val="-24"/>
          <w:w w:val="59"/>
        </w:rPr>
        <w:t>）；</w:t>
      </w:r>
      <w:r>
        <w:rPr>
          <w:sz w:val="17"/>
          <w:szCs w:val="17"/>
          <w:color w:val="1A171C"/>
          <w:spacing w:val="8"/>
        </w:rPr>
        <w:t>方晴霞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-5"/>
        </w:rPr>
        <w:t>（浙江省人民医院</w:t>
      </w:r>
      <w:r>
        <w:rPr>
          <w:sz w:val="17"/>
          <w:szCs w:val="17"/>
          <w:color w:val="1A171C"/>
          <w:spacing w:val="-34"/>
          <w:w w:val="84"/>
        </w:rPr>
        <w:t>）；</w:t>
      </w:r>
      <w:r>
        <w:rPr>
          <w:sz w:val="17"/>
          <w:szCs w:val="17"/>
          <w:color w:val="1A171C"/>
          <w:spacing w:val="-5"/>
        </w:rPr>
        <w:t>冯</w:t>
      </w:r>
      <w:r>
        <w:rPr>
          <w:sz w:val="17"/>
          <w:szCs w:val="17"/>
          <w:color w:val="1A171C"/>
          <w:spacing w:val="-15"/>
        </w:rPr>
        <w:t xml:space="preserve"> </w:t>
      </w:r>
      <w:r>
        <w:rPr>
          <w:sz w:val="17"/>
          <w:szCs w:val="17"/>
          <w:color w:val="1A171C"/>
          <w:spacing w:val="-5"/>
        </w:rPr>
        <w:t>玫（山</w:t>
      </w:r>
      <w:r>
        <w:rPr>
          <w:sz w:val="17"/>
          <w:szCs w:val="17"/>
          <w:color w:val="1A171C"/>
          <w:spacing w:val="-10"/>
        </w:rPr>
        <w:t xml:space="preserve"> </w:t>
      </w:r>
      <w:r>
        <w:rPr>
          <w:sz w:val="17"/>
          <w:szCs w:val="17"/>
          <w:color w:val="1A171C"/>
          <w:spacing w:val="-5"/>
        </w:rPr>
        <w:t>西 白</w:t>
      </w:r>
      <w:r>
        <w:rPr>
          <w:sz w:val="17"/>
          <w:szCs w:val="17"/>
          <w:color w:val="1A171C"/>
          <w:spacing w:val="-13"/>
        </w:rPr>
        <w:t xml:space="preserve"> </w:t>
      </w:r>
      <w:r>
        <w:rPr>
          <w:sz w:val="17"/>
          <w:szCs w:val="17"/>
          <w:color w:val="1A171C"/>
          <w:spacing w:val="-5"/>
        </w:rPr>
        <w:t>求</w:t>
      </w:r>
      <w:r>
        <w:rPr>
          <w:sz w:val="17"/>
          <w:szCs w:val="17"/>
          <w:color w:val="1A171C"/>
          <w:spacing w:val="-14"/>
        </w:rPr>
        <w:t xml:space="preserve"> </w:t>
      </w:r>
      <w:r>
        <w:rPr>
          <w:sz w:val="17"/>
          <w:szCs w:val="17"/>
          <w:color w:val="1A171C"/>
          <w:spacing w:val="-5"/>
        </w:rPr>
        <w:t>恩 医 院</w:t>
      </w:r>
      <w:r>
        <w:rPr>
          <w:sz w:val="17"/>
          <w:szCs w:val="17"/>
          <w:color w:val="1A171C"/>
          <w:spacing w:val="-34"/>
          <w:w w:val="84"/>
        </w:rPr>
        <w:t>）；</w:t>
      </w:r>
      <w:r>
        <w:rPr>
          <w:sz w:val="17"/>
          <w:szCs w:val="17"/>
          <w:color w:val="1A171C"/>
          <w:spacing w:val="-5"/>
        </w:rPr>
        <w:t>高 申（海</w:t>
      </w:r>
      <w:r>
        <w:rPr>
          <w:sz w:val="17"/>
          <w:szCs w:val="17"/>
          <w:color w:val="1A171C"/>
          <w:spacing w:val="-13"/>
        </w:rPr>
        <w:t xml:space="preserve"> </w:t>
      </w:r>
      <w:r>
        <w:rPr>
          <w:sz w:val="17"/>
          <w:szCs w:val="17"/>
          <w:color w:val="1A171C"/>
          <w:spacing w:val="-5"/>
        </w:rPr>
        <w:t>军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8"/>
        </w:rPr>
        <w:t>军医大学第一附属医院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8"/>
        </w:rPr>
        <w:t>葛卫红（南京大学医学院附属鼓楼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1"/>
        </w:rPr>
        <w:t>医院</w:t>
      </w:r>
      <w:r>
        <w:rPr>
          <w:sz w:val="17"/>
          <w:szCs w:val="17"/>
          <w:color w:val="1A171C"/>
          <w:spacing w:val="-29"/>
          <w:w w:val="71"/>
        </w:rPr>
        <w:t>）；</w:t>
      </w:r>
      <w:r>
        <w:rPr>
          <w:sz w:val="17"/>
          <w:szCs w:val="17"/>
          <w:color w:val="1A171C"/>
          <w:spacing w:val="1"/>
        </w:rPr>
        <w:t>龚志成（中南大学湘雅医院</w:t>
      </w:r>
      <w:r>
        <w:rPr>
          <w:sz w:val="17"/>
          <w:szCs w:val="17"/>
          <w:color w:val="1A171C"/>
          <w:spacing w:val="-29"/>
          <w:w w:val="71"/>
        </w:rPr>
        <w:t>）；</w:t>
      </w:r>
      <w:r>
        <w:rPr>
          <w:sz w:val="17"/>
          <w:szCs w:val="17"/>
          <w:color w:val="1A171C"/>
          <w:spacing w:val="1"/>
        </w:rPr>
        <w:t>郭代红（解放军总医院</w:t>
      </w:r>
      <w:r>
        <w:rPr>
          <w:sz w:val="17"/>
          <w:szCs w:val="17"/>
          <w:color w:val="1A171C"/>
          <w:spacing w:val="-29"/>
          <w:w w:val="71"/>
        </w:rPr>
        <w:t>）；</w:t>
      </w:r>
      <w:r>
        <w:rPr>
          <w:sz w:val="17"/>
          <w:szCs w:val="17"/>
          <w:color w:val="1A171C"/>
          <w:spacing w:val="2"/>
        </w:rPr>
        <w:t xml:space="preserve"> </w:t>
      </w:r>
      <w:r>
        <w:rPr>
          <w:sz w:val="17"/>
          <w:szCs w:val="17"/>
          <w:color w:val="1A171C"/>
          <w:spacing w:val="2"/>
        </w:rPr>
        <w:t>郭瑞臣（山东大学齐鲁医院</w:t>
      </w:r>
      <w:r>
        <w:rPr>
          <w:sz w:val="17"/>
          <w:szCs w:val="17"/>
          <w:color w:val="1A171C"/>
          <w:spacing w:val="-28"/>
          <w:w w:val="69"/>
        </w:rPr>
        <w:t>）；</w:t>
      </w:r>
      <w:r>
        <w:rPr>
          <w:sz w:val="17"/>
          <w:szCs w:val="17"/>
          <w:color w:val="1A171C"/>
          <w:spacing w:val="2"/>
        </w:rPr>
        <w:t>郭玉金（济宁市第一</w:t>
      </w:r>
      <w:r>
        <w:rPr>
          <w:sz w:val="17"/>
          <w:szCs w:val="17"/>
          <w:color w:val="1A171C"/>
          <w:spacing w:val="1"/>
        </w:rPr>
        <w:t>人民医院</w:t>
      </w:r>
      <w:r>
        <w:rPr>
          <w:sz w:val="17"/>
          <w:szCs w:val="17"/>
          <w:color w:val="1A171C"/>
          <w:spacing w:val="-28"/>
          <w:w w:val="69"/>
        </w:rPr>
        <w:t>）；</w:t>
      </w:r>
      <w:r>
        <w:rPr>
          <w:sz w:val="17"/>
          <w:szCs w:val="17"/>
          <w:color w:val="1A171C"/>
          <w:spacing w:val="3"/>
        </w:rPr>
        <w:t xml:space="preserve"> </w:t>
      </w:r>
      <w:r>
        <w:rPr>
          <w:sz w:val="17"/>
          <w:szCs w:val="17"/>
          <w:color w:val="1A171C"/>
          <w:spacing w:val="8"/>
        </w:rPr>
        <w:t>侯锐钢（山西医科大学第二医院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胡欣（北京医院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黄品芳</w:t>
      </w:r>
      <w:r>
        <w:rPr>
          <w:sz w:val="17"/>
          <w:szCs w:val="17"/>
          <w:color w:val="1A171C"/>
          <w:spacing w:val="2"/>
        </w:rPr>
        <w:t xml:space="preserve">  </w:t>
      </w:r>
      <w:r>
        <w:rPr>
          <w:sz w:val="17"/>
          <w:szCs w:val="17"/>
          <w:color w:val="1A171C"/>
          <w:spacing w:val="7"/>
        </w:rPr>
        <w:t>（福建医科大学附属第一医院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7"/>
        </w:rPr>
        <w:t>菅凌燕（中国医科大学附属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14"/>
        </w:rPr>
        <w:t>盛京医院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4"/>
        </w:rPr>
        <w:t>姜玲（安徽省立医院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4"/>
        </w:rPr>
        <w:t>阚全程（郑州大学第</w:t>
      </w:r>
      <w:r>
        <w:rPr>
          <w:sz w:val="17"/>
          <w:szCs w:val="17"/>
          <w:color w:val="1A171C"/>
          <w:spacing w:val="-25"/>
        </w:rPr>
        <w:t xml:space="preserve"> </w:t>
      </w:r>
      <w:r>
        <w:rPr>
          <w:sz w:val="17"/>
          <w:szCs w:val="17"/>
          <w:color w:val="1A171C"/>
          <w:spacing w:val="14"/>
        </w:rPr>
        <w:t>一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8"/>
        </w:rPr>
        <w:t>附属医院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李焕德（中南大学湘雅二医院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李丽（海南医学</w:t>
      </w:r>
      <w:r>
        <w:rPr>
          <w:sz w:val="17"/>
          <w:szCs w:val="17"/>
          <w:color w:val="1A171C"/>
          <w:spacing w:val="2"/>
        </w:rPr>
        <w:t xml:space="preserve">  </w:t>
      </w:r>
      <w:r>
        <w:rPr>
          <w:sz w:val="17"/>
          <w:szCs w:val="17"/>
          <w:color w:val="1A171C"/>
          <w:spacing w:val="9"/>
        </w:rPr>
        <w:t>院第一附属医院</w:t>
      </w:r>
      <w:r>
        <w:rPr>
          <w:sz w:val="17"/>
          <w:szCs w:val="17"/>
          <w:color w:val="1A171C"/>
          <w:spacing w:val="-24"/>
          <w:w w:val="58"/>
        </w:rPr>
        <w:t>）；</w:t>
      </w:r>
      <w:r>
        <w:rPr>
          <w:sz w:val="17"/>
          <w:szCs w:val="17"/>
          <w:color w:val="1A171C"/>
          <w:spacing w:val="9"/>
        </w:rPr>
        <w:t>梁岩（中国医学科学院阜外医院</w:t>
      </w:r>
      <w:r>
        <w:rPr>
          <w:sz w:val="17"/>
          <w:szCs w:val="17"/>
          <w:color w:val="1A171C"/>
          <w:spacing w:val="-24"/>
          <w:w w:val="58"/>
        </w:rPr>
        <w:t>）；</w:t>
      </w:r>
      <w:r>
        <w:rPr>
          <w:sz w:val="17"/>
          <w:szCs w:val="17"/>
          <w:color w:val="1A171C"/>
          <w:spacing w:val="9"/>
        </w:rPr>
        <w:t>刘皋林</w:t>
      </w:r>
      <w:r>
        <w:rPr>
          <w:sz w:val="17"/>
          <w:szCs w:val="17"/>
          <w:color w:val="1A171C"/>
          <w:spacing w:val="2"/>
        </w:rPr>
        <w:t xml:space="preserve">  </w:t>
      </w:r>
      <w:r>
        <w:rPr>
          <w:sz w:val="17"/>
          <w:szCs w:val="17"/>
          <w:color w:val="1A171C"/>
          <w:spacing w:val="14"/>
        </w:rPr>
        <w:t>（上海市第一人民医院</w:t>
      </w:r>
      <w:r>
        <w:rPr>
          <w:sz w:val="17"/>
          <w:szCs w:val="17"/>
          <w:color w:val="1A171C"/>
          <w:spacing w:val="-29"/>
          <w:w w:val="70"/>
        </w:rPr>
        <w:t>）；</w:t>
      </w:r>
      <w:r>
        <w:rPr>
          <w:sz w:val="17"/>
          <w:szCs w:val="17"/>
          <w:color w:val="1A171C"/>
          <w:spacing w:val="14"/>
        </w:rPr>
        <w:t>刘景丰（福建医科大学孟超肝胆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15"/>
        </w:rPr>
        <w:t>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5"/>
        </w:rPr>
        <w:t>刘丽宏（首都医科大学附属北京朝阳医院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5"/>
        </w:rPr>
        <w:t>刘世霆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1"/>
        </w:rPr>
        <w:t>（南方医科大学南方医院</w:t>
      </w:r>
      <w:r>
        <w:rPr>
          <w:sz w:val="17"/>
          <w:szCs w:val="17"/>
          <w:color w:val="1A171C"/>
          <w:spacing w:val="-30"/>
          <w:w w:val="74"/>
        </w:rPr>
        <w:t>）；</w:t>
      </w:r>
      <w:r>
        <w:rPr>
          <w:sz w:val="17"/>
          <w:szCs w:val="17"/>
          <w:color w:val="1A171C"/>
          <w:spacing w:val="1"/>
        </w:rPr>
        <w:t>刘小玲（内蒙古自治区人</w:t>
      </w:r>
      <w:r>
        <w:rPr>
          <w:sz w:val="17"/>
          <w:szCs w:val="17"/>
          <w:color w:val="1A171C"/>
        </w:rPr>
        <w:t>民医院</w:t>
      </w:r>
      <w:r>
        <w:rPr>
          <w:sz w:val="17"/>
          <w:szCs w:val="17"/>
          <w:color w:val="1A171C"/>
          <w:spacing w:val="-30"/>
          <w:w w:val="74"/>
        </w:rPr>
        <w:t>）；</w:t>
      </w:r>
      <w:r>
        <w:rPr>
          <w:sz w:val="17"/>
          <w:szCs w:val="17"/>
          <w:color w:val="1A171C"/>
          <w:spacing w:val="2"/>
        </w:rPr>
        <w:t xml:space="preserve"> </w:t>
      </w:r>
      <w:r>
        <w:rPr>
          <w:sz w:val="17"/>
          <w:szCs w:val="17"/>
          <w:color w:val="1A171C"/>
          <w:spacing w:val="14"/>
        </w:rPr>
        <w:t>卢海儒（青海省人民医院</w:t>
      </w:r>
      <w:r>
        <w:rPr>
          <w:sz w:val="17"/>
          <w:szCs w:val="17"/>
          <w:color w:val="1A171C"/>
          <w:spacing w:val="-29"/>
          <w:w w:val="71"/>
        </w:rPr>
        <w:t>）；</w:t>
      </w:r>
      <w:r>
        <w:rPr>
          <w:sz w:val="17"/>
          <w:szCs w:val="17"/>
          <w:color w:val="1A171C"/>
          <w:spacing w:val="14"/>
        </w:rPr>
        <w:t>卢晓阳（浙江大学医学院附属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2"/>
        </w:rPr>
        <w:t>第一医院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吕迁洲（复旦大学附属中山医院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梅丹（北京协和  </w:t>
      </w:r>
      <w:r>
        <w:rPr>
          <w:sz w:val="17"/>
          <w:szCs w:val="17"/>
          <w:color w:val="1A171C"/>
          <w:spacing w:val="15"/>
        </w:rPr>
        <w:t>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5"/>
        </w:rPr>
        <w:t>缪丽燕（苏州大学附属第一医院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5"/>
        </w:rPr>
        <w:t>齐晓勇（河北省</w:t>
      </w:r>
    </w:p>
    <w:p>
      <w:pPr>
        <w:spacing w:line="238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2">
            <w:col w:w="5814" w:space="100"/>
            <w:col w:w="5533" w:space="0"/>
          </w:cols>
        </w:sectPr>
        <w:rPr>
          <w:sz w:val="17"/>
          <w:szCs w:val="17"/>
        </w:rPr>
      </w:pPr>
    </w:p>
    <w:p>
      <w:pPr>
        <w:spacing w:line="408" w:lineRule="auto"/>
        <w:rPr>
          <w:rFonts w:ascii="Arial"/>
          <w:sz w:val="21"/>
        </w:rPr>
      </w:pPr>
      <w:r>
        <w:pict>
          <v:shape id="_x0000_s44" style="position:absolute;margin-left:45.3808pt;margin-top:-712.746pt;mso-position-vertical-relative:text;mso-position-horizontal-relative:text;width:307pt;height:0.4pt;z-index:251671552;" filled="false" strokecolor="#1A171C" strokeweight="0.37pt" coordsize="6140,8" coordorigin="0,0" path="m0,3l6139,3e">
            <v:stroke joinstyle="miter" miterlimit="4"/>
          </v:shape>
        </w:pict>
      </w:r>
      <w:r/>
    </w:p>
    <w:p>
      <w:pPr>
        <w:spacing w:before="69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70205</wp:posOffset>
            </wp:positionV>
            <wp:extent cx="1219200" cy="143255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56"/>
        <w:rPr/>
      </w:pPr>
      <w:r/>
    </w:p>
    <w:p>
      <w:pPr>
        <w:sectPr>
          <w:headerReference w:type="default" r:id="rId15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/>
      </w:pPr>
    </w:p>
    <w:p>
      <w:pPr>
        <w:pStyle w:val="BodyText"/>
        <w:ind w:left="841" w:right="565" w:firstLine="66"/>
        <w:spacing w:before="38" w:line="238" w:lineRule="auto"/>
        <w:jc w:val="both"/>
        <w:rPr>
          <w:sz w:val="17"/>
          <w:szCs w:val="17"/>
        </w:rPr>
      </w:pPr>
      <w:r>
        <w:rPr>
          <w:sz w:val="17"/>
          <w:szCs w:val="17"/>
          <w:color w:val="1A171C"/>
          <w:spacing w:val="19"/>
        </w:rPr>
        <w:t>人民医院</w:t>
      </w:r>
      <w:r>
        <w:rPr>
          <w:sz w:val="17"/>
          <w:szCs w:val="17"/>
          <w:color w:val="1A171C"/>
          <w:spacing w:val="-28"/>
          <w:w w:val="69"/>
        </w:rPr>
        <w:t>）；</w:t>
      </w:r>
      <w:r>
        <w:rPr>
          <w:sz w:val="17"/>
          <w:szCs w:val="17"/>
          <w:color w:val="1A171C"/>
          <w:spacing w:val="19"/>
        </w:rPr>
        <w:t>史玲（上海市普陀区长风街道长风社区卫生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8"/>
        </w:rPr>
        <w:t>服务中心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宋金春（武汉大学人民医院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隋忠国（青岛大学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2"/>
        </w:rPr>
        <w:t>附属医院</w:t>
      </w:r>
      <w:r>
        <w:rPr>
          <w:sz w:val="17"/>
          <w:szCs w:val="17"/>
          <w:color w:val="1A171C"/>
          <w:spacing w:val="-23"/>
          <w:w w:val="56"/>
        </w:rPr>
        <w:t>）；</w:t>
      </w:r>
      <w:r>
        <w:rPr>
          <w:sz w:val="17"/>
          <w:szCs w:val="17"/>
          <w:color w:val="1A171C"/>
          <w:spacing w:val="2"/>
        </w:rPr>
        <w:t>孙洲亮（厦门大学附属第一医院</w:t>
      </w:r>
      <w:r>
        <w:rPr>
          <w:sz w:val="17"/>
          <w:szCs w:val="17"/>
          <w:color w:val="1A171C"/>
          <w:spacing w:val="-23"/>
          <w:w w:val="56"/>
        </w:rPr>
        <w:t>）；</w:t>
      </w:r>
      <w:r>
        <w:rPr>
          <w:sz w:val="17"/>
          <w:szCs w:val="17"/>
          <w:color w:val="1A171C"/>
          <w:spacing w:val="2"/>
        </w:rPr>
        <w:t>童荣生（四川省</w:t>
      </w:r>
      <w:r>
        <w:rPr>
          <w:sz w:val="17"/>
          <w:szCs w:val="17"/>
          <w:color w:val="1A171C"/>
          <w:spacing w:val="3"/>
        </w:rPr>
        <w:t xml:space="preserve">  </w:t>
      </w:r>
      <w:r>
        <w:rPr>
          <w:sz w:val="17"/>
          <w:szCs w:val="17"/>
          <w:color w:val="1A171C"/>
          <w:spacing w:val="2"/>
        </w:rPr>
        <w:t>人民医院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王建华（新疆医科大学第一附属医院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王爽（中国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-6"/>
        </w:rPr>
        <w:t>医</w:t>
      </w:r>
      <w:r>
        <w:rPr>
          <w:sz w:val="17"/>
          <w:szCs w:val="17"/>
          <w:color w:val="1A171C"/>
          <w:spacing w:val="-21"/>
        </w:rPr>
        <w:t xml:space="preserve"> </w:t>
      </w:r>
      <w:r>
        <w:rPr>
          <w:sz w:val="17"/>
          <w:szCs w:val="17"/>
          <w:color w:val="1A171C"/>
          <w:spacing w:val="-6"/>
        </w:rPr>
        <w:t>科 大 学 附</w:t>
      </w:r>
      <w:r>
        <w:rPr>
          <w:sz w:val="17"/>
          <w:szCs w:val="17"/>
          <w:color w:val="1A171C"/>
          <w:spacing w:val="-20"/>
        </w:rPr>
        <w:t xml:space="preserve"> </w:t>
      </w:r>
      <w:r>
        <w:rPr>
          <w:sz w:val="17"/>
          <w:szCs w:val="17"/>
          <w:color w:val="1A171C"/>
          <w:spacing w:val="-6"/>
        </w:rPr>
        <w:t>属 第</w:t>
      </w:r>
      <w:r>
        <w:rPr>
          <w:sz w:val="17"/>
          <w:szCs w:val="17"/>
          <w:color w:val="1A171C"/>
          <w:spacing w:val="-17"/>
        </w:rPr>
        <w:t xml:space="preserve"> </w:t>
      </w:r>
      <w:r>
        <w:rPr>
          <w:sz w:val="17"/>
          <w:szCs w:val="17"/>
          <w:color w:val="1A171C"/>
          <w:spacing w:val="-6"/>
        </w:rPr>
        <w:t>一 医 院</w:t>
      </w:r>
      <w:r>
        <w:rPr>
          <w:sz w:val="17"/>
          <w:szCs w:val="17"/>
          <w:color w:val="1A171C"/>
          <w:spacing w:val="-40"/>
        </w:rPr>
        <w:t>）；</w:t>
      </w:r>
      <w:r>
        <w:rPr>
          <w:sz w:val="17"/>
          <w:szCs w:val="17"/>
          <w:color w:val="1A171C"/>
          <w:spacing w:val="-6"/>
        </w:rPr>
        <w:t>文</w:t>
      </w:r>
      <w:r>
        <w:rPr>
          <w:sz w:val="17"/>
          <w:szCs w:val="17"/>
          <w:color w:val="1A171C"/>
          <w:spacing w:val="-12"/>
        </w:rPr>
        <w:t xml:space="preserve"> </w:t>
      </w:r>
      <w:r>
        <w:rPr>
          <w:sz w:val="17"/>
          <w:szCs w:val="17"/>
          <w:color w:val="1A171C"/>
          <w:spacing w:val="-6"/>
        </w:rPr>
        <w:t>爱 东（空</w:t>
      </w:r>
      <w:r>
        <w:rPr>
          <w:sz w:val="17"/>
          <w:szCs w:val="17"/>
          <w:color w:val="1A171C"/>
          <w:spacing w:val="-11"/>
        </w:rPr>
        <w:t xml:space="preserve"> </w:t>
      </w:r>
      <w:r>
        <w:rPr>
          <w:sz w:val="17"/>
          <w:szCs w:val="17"/>
          <w:color w:val="1A171C"/>
          <w:spacing w:val="-6"/>
        </w:rPr>
        <w:t>军</w:t>
      </w:r>
      <w:r>
        <w:rPr>
          <w:sz w:val="17"/>
          <w:szCs w:val="17"/>
          <w:color w:val="1A171C"/>
          <w:spacing w:val="-11"/>
        </w:rPr>
        <w:t xml:space="preserve"> </w:t>
      </w:r>
      <w:r>
        <w:rPr>
          <w:sz w:val="17"/>
          <w:szCs w:val="17"/>
          <w:color w:val="1A171C"/>
          <w:spacing w:val="-6"/>
        </w:rPr>
        <w:t>军 医 大 </w:t>
      </w:r>
      <w:r>
        <w:rPr>
          <w:sz w:val="17"/>
          <w:szCs w:val="17"/>
          <w:color w:val="1A171C"/>
          <w:spacing w:val="-7"/>
        </w:rPr>
        <w:t>学 西</w:t>
      </w:r>
      <w:r>
        <w:rPr>
          <w:sz w:val="17"/>
          <w:szCs w:val="17"/>
          <w:color w:val="1A171C"/>
          <w:spacing w:val="-16"/>
        </w:rPr>
        <w:t xml:space="preserve"> </w:t>
      </w:r>
      <w:r>
        <w:rPr>
          <w:sz w:val="17"/>
          <w:szCs w:val="17"/>
          <w:color w:val="1A171C"/>
          <w:spacing w:val="-7"/>
        </w:rPr>
        <w:t>京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8"/>
        </w:rPr>
        <w:t>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文友民（宁夏医科大学总医院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吴浩（北京市丰台区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21"/>
        </w:rPr>
        <w:t>方庄社区卫生服务中心</w:t>
      </w:r>
      <w:r>
        <w:rPr>
          <w:sz w:val="17"/>
          <w:szCs w:val="17"/>
          <w:color w:val="1A171C"/>
          <w:spacing w:val="-36"/>
          <w:w w:val="87"/>
        </w:rPr>
        <w:t>）；</w:t>
      </w:r>
      <w:r>
        <w:rPr>
          <w:sz w:val="17"/>
          <w:szCs w:val="17"/>
          <w:color w:val="1A171C"/>
          <w:spacing w:val="21"/>
        </w:rPr>
        <w:t>武新安（兰州大学第一医院</w:t>
      </w:r>
      <w:r>
        <w:rPr>
          <w:sz w:val="17"/>
          <w:szCs w:val="17"/>
          <w:color w:val="1A171C"/>
          <w:spacing w:val="-36"/>
          <w:w w:val="87"/>
        </w:rPr>
        <w:t>）；</w:t>
      </w:r>
      <w:r>
        <w:rPr>
          <w:sz w:val="17"/>
          <w:szCs w:val="17"/>
          <w:color w:val="1A171C"/>
          <w:spacing w:val="4"/>
        </w:rPr>
        <w:t xml:space="preserve"> </w:t>
      </w:r>
      <w:r>
        <w:rPr>
          <w:sz w:val="17"/>
          <w:szCs w:val="17"/>
          <w:color w:val="1A171C"/>
          <w:spacing w:val="7"/>
        </w:rPr>
        <w:t>夏培元（陆军军医大学第一附属医院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7"/>
        </w:rPr>
        <w:t>胥婕（北京大学第三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2"/>
        </w:rPr>
        <w:t>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杨华（复旦大学附属中山医院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杨宏昕（内蒙古自治区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14"/>
        </w:rPr>
        <w:t>人民医院</w:t>
      </w:r>
      <w:r>
        <w:rPr>
          <w:sz w:val="17"/>
          <w:szCs w:val="17"/>
          <w:color w:val="1A171C"/>
          <w:spacing w:val="-33"/>
          <w:w w:val="81"/>
        </w:rPr>
        <w:t>）；</w:t>
      </w:r>
      <w:r>
        <w:rPr>
          <w:sz w:val="17"/>
          <w:szCs w:val="17"/>
          <w:color w:val="1A171C"/>
          <w:spacing w:val="14"/>
        </w:rPr>
        <w:t>杨婉花（上海交通大学医学院附属瑞金医院</w:t>
      </w:r>
      <w:r>
        <w:rPr>
          <w:sz w:val="17"/>
          <w:szCs w:val="17"/>
          <w:color w:val="1A171C"/>
          <w:spacing w:val="-33"/>
          <w:w w:val="81"/>
        </w:rPr>
        <w:t>）；</w:t>
      </w:r>
      <w:r>
        <w:rPr>
          <w:sz w:val="17"/>
          <w:szCs w:val="17"/>
          <w:color w:val="1A171C"/>
          <w:spacing w:val="4"/>
        </w:rPr>
        <w:t xml:space="preserve"> </w:t>
      </w:r>
      <w:r>
        <w:rPr>
          <w:sz w:val="17"/>
          <w:szCs w:val="17"/>
          <w:color w:val="1A171C"/>
          <w:spacing w:val="7"/>
        </w:rPr>
        <w:t>于倩（吉林大学中日联谊医院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7"/>
        </w:rPr>
        <w:t>张健（上海交通大学医学院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15"/>
        </w:rPr>
        <w:t>附属新华医院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5"/>
        </w:rPr>
        <w:t>张鉴（山东省立医院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5"/>
        </w:rPr>
        <w:t>张抗怀（西安交通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8"/>
        </w:rPr>
        <w:t>大学第二附属医院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张抒扬（北京协和医院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张伟（河南省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8"/>
        </w:rPr>
        <w:t>人民医院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张晓坚（郑州大学第一附属医院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张幸国（浙江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14"/>
        </w:rPr>
        <w:t>大学医学院附属第一医院</w:t>
      </w:r>
      <w:r>
        <w:rPr>
          <w:sz w:val="17"/>
          <w:szCs w:val="17"/>
          <w:color w:val="1A171C"/>
          <w:spacing w:val="-28"/>
          <w:w w:val="69"/>
        </w:rPr>
        <w:t>）；</w:t>
      </w:r>
      <w:r>
        <w:rPr>
          <w:sz w:val="17"/>
          <w:szCs w:val="17"/>
          <w:color w:val="1A171C"/>
          <w:spacing w:val="14"/>
        </w:rPr>
        <w:t>张永军（石河子大学医学院第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1"/>
        </w:rPr>
        <w:t>一附属医院</w:t>
      </w:r>
      <w:r>
        <w:rPr>
          <w:sz w:val="17"/>
          <w:szCs w:val="17"/>
          <w:color w:val="1A171C"/>
          <w:spacing w:val="-30"/>
          <w:w w:val="73"/>
        </w:rPr>
        <w:t>）；</w:t>
      </w:r>
      <w:r>
        <w:rPr>
          <w:sz w:val="17"/>
          <w:szCs w:val="17"/>
          <w:color w:val="1A171C"/>
          <w:spacing w:val="1"/>
        </w:rPr>
        <w:t>张玉（华中科技大学同济医学院附属协和医院</w:t>
      </w:r>
      <w:r>
        <w:rPr>
          <w:sz w:val="17"/>
          <w:szCs w:val="17"/>
          <w:color w:val="1A171C"/>
          <w:spacing w:val="-30"/>
          <w:w w:val="73"/>
        </w:rPr>
        <w:t>）；</w:t>
      </w:r>
      <w:r>
        <w:rPr>
          <w:sz w:val="17"/>
          <w:szCs w:val="17"/>
          <w:color w:val="1A171C"/>
          <w:spacing w:val="4"/>
        </w:rPr>
        <w:t xml:space="preserve"> </w:t>
      </w:r>
      <w:r>
        <w:rPr>
          <w:sz w:val="17"/>
          <w:szCs w:val="17"/>
          <w:color w:val="1A171C"/>
          <w:spacing w:val="7"/>
        </w:rPr>
        <w:t>张志清（河北医科大学第二医院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7"/>
        </w:rPr>
        <w:t>张志仁（哈尔滨医科大学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22"/>
        </w:rPr>
        <w:t>附属肿瘤医院</w:t>
      </w:r>
      <w:r>
        <w:rPr>
          <w:sz w:val="17"/>
          <w:szCs w:val="17"/>
          <w:color w:val="1A171C"/>
          <w:spacing w:val="-29"/>
          <w:w w:val="72"/>
        </w:rPr>
        <w:t>）；</w:t>
      </w:r>
      <w:r>
        <w:rPr>
          <w:sz w:val="17"/>
          <w:szCs w:val="17"/>
          <w:color w:val="1A171C"/>
          <w:spacing w:val="22"/>
        </w:rPr>
        <w:t>赵杰（郑州大学第一附属医院</w:t>
      </w:r>
      <w:r>
        <w:rPr>
          <w:sz w:val="17"/>
          <w:szCs w:val="17"/>
          <w:color w:val="1A171C"/>
          <w:spacing w:val="-29"/>
          <w:w w:val="72"/>
        </w:rPr>
        <w:t>）；</w:t>
      </w:r>
      <w:r>
        <w:rPr>
          <w:sz w:val="17"/>
          <w:szCs w:val="17"/>
          <w:color w:val="1A171C"/>
          <w:spacing w:val="22"/>
        </w:rPr>
        <w:t>赵庆春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17"/>
        </w:rPr>
        <w:t>（北</w:t>
      </w:r>
      <w:r>
        <w:rPr>
          <w:sz w:val="17"/>
          <w:szCs w:val="17"/>
          <w:color w:val="1A171C"/>
          <w:spacing w:val="-22"/>
        </w:rPr>
        <w:t xml:space="preserve"> </w:t>
      </w:r>
      <w:r>
        <w:rPr>
          <w:sz w:val="17"/>
          <w:szCs w:val="17"/>
          <w:color w:val="1A171C"/>
          <w:spacing w:val="17"/>
        </w:rPr>
        <w:t>部战区总医院</w:t>
      </w:r>
      <w:r>
        <w:rPr>
          <w:sz w:val="17"/>
          <w:szCs w:val="17"/>
          <w:color w:val="1A171C"/>
          <w:spacing w:val="-38"/>
          <w:w w:val="93"/>
        </w:rPr>
        <w:t>）；</w:t>
      </w:r>
      <w:r>
        <w:rPr>
          <w:sz w:val="17"/>
          <w:szCs w:val="17"/>
          <w:color w:val="1A171C"/>
          <w:spacing w:val="17"/>
        </w:rPr>
        <w:t>赵青威（浙江大学医学院附属第</w:t>
      </w:r>
      <w:r>
        <w:rPr>
          <w:sz w:val="17"/>
          <w:szCs w:val="17"/>
          <w:color w:val="1A171C"/>
          <w:spacing w:val="-23"/>
        </w:rPr>
        <w:t xml:space="preserve"> </w:t>
      </w:r>
      <w:r>
        <w:rPr>
          <w:sz w:val="17"/>
          <w:szCs w:val="17"/>
          <w:color w:val="1A171C"/>
          <w:spacing w:val="17"/>
        </w:rPr>
        <w:t>一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8"/>
        </w:rPr>
        <w:t>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郑志昌（贵阳医学院附属医院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周云曙（中华医学会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8"/>
        </w:rPr>
        <w:t>临床药学分会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8"/>
        </w:rPr>
        <w:t>朱兰（上海市徐汇区斜土街道社区卫生</w:t>
      </w:r>
      <w:r>
        <w:rPr>
          <w:sz w:val="17"/>
          <w:szCs w:val="17"/>
          <w:color w:val="1A171C"/>
          <w:spacing w:val="7"/>
        </w:rPr>
        <w:t>服务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9"/>
        </w:rPr>
        <w:t>中心</w:t>
      </w:r>
      <w:r>
        <w:rPr>
          <w:sz w:val="17"/>
          <w:szCs w:val="17"/>
          <w:color w:val="1A171C"/>
          <w:spacing w:val="-25"/>
          <w:w w:val="61"/>
        </w:rPr>
        <w:t>）；</w:t>
      </w:r>
      <w:r>
        <w:rPr>
          <w:sz w:val="17"/>
          <w:szCs w:val="17"/>
          <w:color w:val="1A171C"/>
          <w:spacing w:val="9"/>
        </w:rPr>
        <w:t>左笑丛（中南大学湘雅三医院）</w:t>
      </w:r>
    </w:p>
    <w:p>
      <w:pPr>
        <w:pStyle w:val="BodyText"/>
        <w:ind w:left="838" w:right="566" w:firstLine="76"/>
        <w:spacing w:before="32" w:line="238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color w:val="1A171C"/>
          <w:spacing w:val="11"/>
        </w:rPr>
        <w:t>心血管系统疾病合理用药指南编写组成员</w:t>
      </w:r>
      <w:r>
        <w:rPr>
          <w:sz w:val="17"/>
          <w:szCs w:val="17"/>
          <w:color w:val="1A171C"/>
          <w:spacing w:val="11"/>
        </w:rPr>
        <w:t>（按</w:t>
      </w:r>
      <w:r>
        <w:rPr>
          <w:sz w:val="17"/>
          <w:szCs w:val="17"/>
          <w:color w:val="1A171C"/>
          <w:spacing w:val="10"/>
        </w:rPr>
        <w:t>姓氏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16"/>
        </w:rPr>
        <w:t>拼音排序</w:t>
      </w:r>
      <w:r>
        <w:rPr>
          <w:sz w:val="17"/>
          <w:szCs w:val="17"/>
          <w:color w:val="1A171C"/>
          <w:spacing w:val="-28"/>
          <w:w w:val="63"/>
        </w:rPr>
        <w:t>）：</w:t>
      </w:r>
      <w:r>
        <w:rPr>
          <w:sz w:val="17"/>
          <w:szCs w:val="17"/>
          <w:color w:val="1A171C"/>
          <w:spacing w:val="16"/>
        </w:rPr>
        <w:t>陈步星（北京中医药大学第三附属医</w:t>
      </w:r>
      <w:r>
        <w:rPr>
          <w:sz w:val="17"/>
          <w:szCs w:val="17"/>
          <w:color w:val="1A171C"/>
          <w:spacing w:val="15"/>
        </w:rPr>
        <w:t>院</w:t>
      </w:r>
      <w:r>
        <w:rPr>
          <w:sz w:val="17"/>
          <w:szCs w:val="17"/>
          <w:color w:val="1A171C"/>
          <w:spacing w:val="-28"/>
          <w:w w:val="63"/>
        </w:rPr>
        <w:t>）；</w:t>
      </w:r>
      <w:r>
        <w:rPr>
          <w:sz w:val="17"/>
          <w:szCs w:val="17"/>
          <w:color w:val="1A171C"/>
          <w:spacing w:val="15"/>
        </w:rPr>
        <w:t>陈英</w:t>
      </w:r>
      <w:r>
        <w:rPr>
          <w:sz w:val="17"/>
          <w:szCs w:val="17"/>
          <w:color w:val="1A171C"/>
          <w:spacing w:val="3"/>
        </w:rPr>
        <w:t xml:space="preserve">  </w:t>
      </w:r>
      <w:r>
        <w:rPr>
          <w:sz w:val="17"/>
          <w:szCs w:val="17"/>
          <w:color w:val="1A171C"/>
          <w:spacing w:val="1"/>
        </w:rPr>
        <w:t>（广西壮族自治区人民医院</w:t>
      </w:r>
      <w:r>
        <w:rPr>
          <w:sz w:val="17"/>
          <w:szCs w:val="17"/>
          <w:color w:val="1A171C"/>
          <w:spacing w:val="-24"/>
          <w:w w:val="58"/>
        </w:rPr>
        <w:t>）；</w:t>
      </w:r>
      <w:r>
        <w:rPr>
          <w:sz w:val="17"/>
          <w:szCs w:val="17"/>
          <w:color w:val="1A171C"/>
          <w:spacing w:val="1"/>
        </w:rPr>
        <w:t>杜光（华中科技大学同济医学院  </w:t>
      </w:r>
      <w:r>
        <w:rPr>
          <w:sz w:val="17"/>
          <w:szCs w:val="17"/>
          <w:color w:val="1A171C"/>
          <w:spacing w:val="2"/>
        </w:rPr>
        <w:t>附属同济医院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弓小雪（济宁市第一人民医院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郭瑞臣（山东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2"/>
        </w:rPr>
        <w:t>大学齐鲁医院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郭玉金（济宁市第一人民医院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李焕德（中南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15"/>
        </w:rPr>
        <w:t>大学湘雅二医院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5"/>
        </w:rPr>
        <w:t>李丽（海南医学院第一附属医院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5"/>
        </w:rPr>
        <w:t>梁岩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14"/>
        </w:rPr>
        <w:t>（中国医学科学院阜外医院</w:t>
      </w:r>
      <w:r>
        <w:rPr>
          <w:sz w:val="17"/>
          <w:szCs w:val="17"/>
          <w:color w:val="1A171C"/>
          <w:spacing w:val="-29"/>
          <w:w w:val="70"/>
        </w:rPr>
        <w:t>）；</w:t>
      </w:r>
      <w:r>
        <w:rPr>
          <w:sz w:val="17"/>
          <w:szCs w:val="17"/>
          <w:color w:val="1A171C"/>
          <w:spacing w:val="14"/>
        </w:rPr>
        <w:t>刘世霆（南方医科大学南方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-4"/>
        </w:rPr>
        <w:t>医院</w:t>
      </w:r>
      <w:r>
        <w:rPr>
          <w:sz w:val="17"/>
          <w:szCs w:val="17"/>
          <w:color w:val="1A171C"/>
          <w:spacing w:val="-27"/>
          <w:w w:val="65"/>
        </w:rPr>
        <w:t>）；</w:t>
      </w:r>
      <w:r>
        <w:rPr>
          <w:sz w:val="17"/>
          <w:szCs w:val="17"/>
          <w:color w:val="1A171C"/>
          <w:spacing w:val="-4"/>
        </w:rPr>
        <w:t>刘晓燕（山东大学齐鲁医院</w:t>
      </w:r>
      <w:r>
        <w:rPr>
          <w:sz w:val="17"/>
          <w:szCs w:val="17"/>
          <w:color w:val="1A171C"/>
          <w:spacing w:val="-27"/>
          <w:w w:val="65"/>
        </w:rPr>
        <w:t>）；</w:t>
      </w:r>
      <w:r>
        <w:rPr>
          <w:sz w:val="17"/>
          <w:szCs w:val="17"/>
          <w:color w:val="1A171C"/>
          <w:spacing w:val="-4"/>
        </w:rPr>
        <w:t>卢海儒（青海省人民医院</w:t>
      </w:r>
      <w:r>
        <w:rPr>
          <w:sz w:val="17"/>
          <w:szCs w:val="17"/>
          <w:color w:val="1A171C"/>
          <w:spacing w:val="-27"/>
          <w:w w:val="65"/>
        </w:rPr>
        <w:t>）；</w:t>
      </w:r>
      <w:r>
        <w:rPr>
          <w:sz w:val="17"/>
          <w:szCs w:val="17"/>
          <w:color w:val="1A171C"/>
          <w:spacing w:val="6"/>
        </w:rPr>
        <w:t xml:space="preserve"> </w:t>
      </w:r>
      <w:r>
        <w:rPr>
          <w:sz w:val="17"/>
          <w:szCs w:val="17"/>
          <w:color w:val="1A171C"/>
          <w:spacing w:val="14"/>
        </w:rPr>
        <w:t>卢晓阳（浙江大学医学院附属第一医院</w:t>
      </w:r>
      <w:r>
        <w:rPr>
          <w:sz w:val="17"/>
          <w:szCs w:val="17"/>
          <w:color w:val="1A171C"/>
          <w:spacing w:val="-29"/>
          <w:w w:val="70"/>
        </w:rPr>
        <w:t>）；</w:t>
      </w:r>
      <w:r>
        <w:rPr>
          <w:sz w:val="17"/>
          <w:szCs w:val="17"/>
          <w:color w:val="1A171C"/>
          <w:spacing w:val="14"/>
        </w:rPr>
        <w:t>齐晓勇（河北省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15"/>
        </w:rPr>
        <w:t>人民医院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5"/>
        </w:rPr>
        <w:t>隋忠国（青岛大学附属医院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5"/>
        </w:rPr>
        <w:t>王爽（中国医科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21"/>
        </w:rPr>
        <w:t>大学附属第一医院</w:t>
      </w:r>
      <w:r>
        <w:rPr>
          <w:sz w:val="17"/>
          <w:szCs w:val="17"/>
          <w:color w:val="1A171C"/>
          <w:spacing w:val="-36"/>
          <w:w w:val="88"/>
        </w:rPr>
        <w:t>）；</w:t>
      </w:r>
      <w:r>
        <w:rPr>
          <w:sz w:val="17"/>
          <w:szCs w:val="17"/>
          <w:color w:val="1A171C"/>
          <w:spacing w:val="21"/>
        </w:rPr>
        <w:t>文爱东（空军军医大学西京医院</w:t>
      </w:r>
      <w:r>
        <w:rPr>
          <w:sz w:val="17"/>
          <w:szCs w:val="17"/>
          <w:color w:val="1A171C"/>
          <w:spacing w:val="-36"/>
          <w:w w:val="88"/>
        </w:rPr>
        <w:t>）；</w:t>
      </w:r>
      <w:r>
        <w:rPr>
          <w:sz w:val="17"/>
          <w:szCs w:val="17"/>
          <w:color w:val="1A171C"/>
          <w:spacing w:val="1"/>
        </w:rPr>
        <w:t xml:space="preserve"> </w:t>
      </w:r>
      <w:r>
        <w:rPr>
          <w:sz w:val="17"/>
          <w:szCs w:val="17"/>
          <w:color w:val="1A171C"/>
          <w:spacing w:val="7"/>
        </w:rPr>
        <w:t>吴惠珍（河北省人民医院</w:t>
      </w:r>
      <w:r>
        <w:rPr>
          <w:sz w:val="17"/>
          <w:szCs w:val="17"/>
          <w:color w:val="1A171C"/>
          <w:spacing w:val="-27"/>
          <w:w w:val="67"/>
        </w:rPr>
        <w:t>）；</w:t>
      </w:r>
      <w:r>
        <w:rPr>
          <w:sz w:val="17"/>
          <w:szCs w:val="17"/>
          <w:color w:val="1A171C"/>
          <w:spacing w:val="7"/>
        </w:rPr>
        <w:t>夏培元（陆军军医大学第一附属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2"/>
        </w:rPr>
        <w:t>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杨华（复旦大学附属中山医院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杨思（浙江大学医学院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14"/>
        </w:rPr>
        <w:t>附属第一医院</w:t>
      </w:r>
      <w:r>
        <w:rPr>
          <w:sz w:val="17"/>
          <w:szCs w:val="17"/>
          <w:color w:val="1A171C"/>
          <w:spacing w:val="-29"/>
          <w:w w:val="70"/>
        </w:rPr>
        <w:t>）；</w:t>
      </w:r>
      <w:r>
        <w:rPr>
          <w:sz w:val="17"/>
          <w:szCs w:val="17"/>
          <w:color w:val="1A171C"/>
          <w:spacing w:val="14"/>
        </w:rPr>
        <w:t>张抗怀（西安交通大学第二附属医院西北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21"/>
        </w:rPr>
        <w:t>医院</w:t>
      </w:r>
      <w:r>
        <w:rPr>
          <w:sz w:val="17"/>
          <w:szCs w:val="17"/>
          <w:color w:val="1A171C"/>
          <w:spacing w:val="-29"/>
          <w:w w:val="70"/>
        </w:rPr>
        <w:t>）；</w:t>
      </w:r>
      <w:r>
        <w:rPr>
          <w:sz w:val="17"/>
          <w:szCs w:val="17"/>
          <w:color w:val="1A171C"/>
          <w:spacing w:val="21"/>
        </w:rPr>
        <w:t>张幸国（浙江大学医学院附</w:t>
      </w:r>
      <w:r>
        <w:rPr>
          <w:sz w:val="17"/>
          <w:szCs w:val="17"/>
          <w:color w:val="1A171C"/>
          <w:spacing w:val="-14"/>
        </w:rPr>
        <w:t xml:space="preserve"> </w:t>
      </w:r>
      <w:r>
        <w:rPr>
          <w:sz w:val="17"/>
          <w:szCs w:val="17"/>
          <w:color w:val="1A171C"/>
          <w:spacing w:val="21"/>
        </w:rPr>
        <w:t>属第一医院</w:t>
      </w:r>
      <w:r>
        <w:rPr>
          <w:sz w:val="17"/>
          <w:szCs w:val="17"/>
          <w:color w:val="1A171C"/>
          <w:spacing w:val="-29"/>
          <w:w w:val="70"/>
        </w:rPr>
        <w:t>）；</w:t>
      </w:r>
      <w:r>
        <w:rPr>
          <w:sz w:val="17"/>
          <w:szCs w:val="17"/>
          <w:color w:val="1A171C"/>
          <w:spacing w:val="21"/>
        </w:rPr>
        <w:t>赵青威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8"/>
        </w:rPr>
        <w:t>（浙江大学医学院附属第一医院</w:t>
      </w:r>
      <w:r>
        <w:rPr>
          <w:sz w:val="17"/>
          <w:szCs w:val="17"/>
          <w:color w:val="1A171C"/>
          <w:spacing w:val="-24"/>
          <w:w w:val="59"/>
        </w:rPr>
        <w:t>）；</w:t>
      </w:r>
      <w:r>
        <w:rPr>
          <w:sz w:val="17"/>
          <w:szCs w:val="17"/>
          <w:color w:val="1A171C"/>
          <w:spacing w:val="8"/>
        </w:rPr>
        <w:t>郑志昌（贵阳医</w:t>
      </w:r>
      <w:r>
        <w:rPr>
          <w:sz w:val="17"/>
          <w:szCs w:val="17"/>
          <w:color w:val="1A171C"/>
          <w:spacing w:val="7"/>
        </w:rPr>
        <w:t>学院附属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28"/>
        </w:rPr>
        <w:t>医院）</w:t>
      </w:r>
    </w:p>
    <w:p>
      <w:pPr>
        <w:pStyle w:val="BodyText"/>
        <w:ind w:left="912" w:right="662" w:hanging="2"/>
        <w:spacing w:line="261" w:lineRule="auto"/>
        <w:rPr>
          <w:sz w:val="15"/>
          <w:szCs w:val="15"/>
        </w:rPr>
      </w:pPr>
      <w:r>
        <w:rPr>
          <w:rFonts w:ascii="SimHei" w:hAnsi="SimHei" w:eastAsia="SimHei" w:cs="SimHei"/>
          <w:color w:val="1A171C"/>
          <w:spacing w:val="-2"/>
        </w:rPr>
        <w:t>本指南执笔专家：</w:t>
      </w:r>
      <w:r>
        <w:rPr>
          <w:sz w:val="17"/>
          <w:szCs w:val="17"/>
          <w:color w:val="1A171C"/>
          <w:spacing w:val="-2"/>
        </w:rPr>
        <w:t>郭瑞臣</w:t>
      </w:r>
      <w:r>
        <w:rPr>
          <w:sz w:val="17"/>
          <w:szCs w:val="17"/>
          <w:color w:val="1A171C"/>
          <w:spacing w:val="20"/>
        </w:rPr>
        <w:t xml:space="preserve">   </w:t>
      </w:r>
      <w:r>
        <w:rPr>
          <w:sz w:val="17"/>
          <w:szCs w:val="17"/>
          <w:color w:val="1A171C"/>
          <w:spacing w:val="-2"/>
        </w:rPr>
        <w:t>刘晓燕    </w:t>
      </w:r>
      <w:r>
        <w:rPr>
          <w:rFonts w:ascii="SimHei" w:hAnsi="SimHei" w:eastAsia="SimHei" w:cs="SimHei"/>
          <w:color w:val="1A171C"/>
          <w:spacing w:val="-2"/>
        </w:rPr>
        <w:t>审校专家：</w:t>
      </w:r>
      <w:r>
        <w:rPr>
          <w:sz w:val="17"/>
          <w:szCs w:val="17"/>
          <w:color w:val="1A171C"/>
          <w:spacing w:val="-2"/>
        </w:rPr>
        <w:t>张幸国</w:t>
      </w:r>
      <w:r>
        <w:rPr>
          <w:sz w:val="17"/>
          <w:szCs w:val="17"/>
          <w:color w:val="1A171C"/>
        </w:rPr>
        <w:t xml:space="preserve"> </w:t>
      </w:r>
      <w:r>
        <w:rPr>
          <w:rFonts w:ascii="SimHei" w:hAnsi="SimHei" w:eastAsia="SimHei" w:cs="SimHei"/>
          <w:sz w:val="15"/>
          <w:szCs w:val="15"/>
          <w:color w:val="1A171C"/>
          <w:spacing w:val="8"/>
        </w:rPr>
        <w:t>利益冲突</w:t>
      </w:r>
      <w:r>
        <w:rPr>
          <w:rFonts w:ascii="SimHei" w:hAnsi="SimHei" w:eastAsia="SimHei" w:cs="SimHei"/>
          <w:sz w:val="15"/>
          <w:szCs w:val="15"/>
          <w:color w:val="1A171C"/>
          <w:spacing w:val="8"/>
        </w:rPr>
        <w:t xml:space="preserve">  </w:t>
      </w:r>
      <w:r>
        <w:rPr>
          <w:sz w:val="15"/>
          <w:szCs w:val="15"/>
          <w:color w:val="1A171C"/>
          <w:spacing w:val="8"/>
        </w:rPr>
        <w:t>所有作者均声明不存在利益冲突</w:t>
      </w:r>
    </w:p>
    <w:p>
      <w:pPr>
        <w:ind w:left="2550"/>
        <w:spacing w:before="251" w:line="230" w:lineRule="exact"/>
        <w:outlineLvl w:val="2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C"/>
          <w:spacing w:val="-2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color w:val="1A171C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C"/>
          <w:spacing w:val="-2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color w:val="1A171C"/>
          <w:spacing w:val="12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C"/>
          <w:spacing w:val="-2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color w:val="1A171C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C"/>
          <w:spacing w:val="-2"/>
          <w:position w:val="1"/>
        </w:rPr>
        <w:t>献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472" w:right="624" w:hanging="410"/>
        <w:spacing w:before="64" w:line="211" w:lineRule="auto"/>
        <w:jc w:val="righ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[1]      </w:t>
      </w:r>
      <w:r>
        <w:rPr>
          <w:sz w:val="15"/>
          <w:szCs w:val="15"/>
          <w:color w:val="1A171C"/>
          <w:spacing w:val="9"/>
        </w:rPr>
        <w:t>中华医学会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,  </w:t>
      </w:r>
      <w:r>
        <w:rPr>
          <w:sz w:val="15"/>
          <w:szCs w:val="15"/>
          <w:color w:val="1A171C"/>
          <w:spacing w:val="9"/>
        </w:rPr>
        <w:t>中华医学会杂志社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,  </w:t>
      </w:r>
      <w:r>
        <w:rPr>
          <w:sz w:val="15"/>
          <w:szCs w:val="15"/>
          <w:color w:val="1A171C"/>
          <w:spacing w:val="9"/>
        </w:rPr>
        <w:t>中华医学会全科医学分</w:t>
      </w:r>
      <w:r>
        <w:rPr>
          <w:sz w:val="15"/>
          <w:szCs w:val="15"/>
          <w:color w:val="1A171C"/>
          <w:spacing w:val="1"/>
        </w:rPr>
        <w:t xml:space="preserve"> </w:t>
      </w:r>
      <w:r>
        <w:rPr>
          <w:sz w:val="15"/>
          <w:szCs w:val="15"/>
          <w:color w:val="1A171C"/>
          <w:spacing w:val="9"/>
        </w:rPr>
        <w:t>会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, </w:t>
      </w:r>
      <w:r>
        <w:rPr>
          <w:sz w:val="15"/>
          <w:szCs w:val="15"/>
          <w:color w:val="1A171C"/>
          <w:spacing w:val="9"/>
        </w:rPr>
        <w:t>等</w:t>
      </w:r>
      <w:r>
        <w:rPr>
          <w:sz w:val="15"/>
          <w:szCs w:val="15"/>
          <w:color w:val="1A171C"/>
          <w:spacing w:val="-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</w:rPr>
        <w:t xml:space="preserve"> </w:t>
      </w:r>
      <w:r>
        <w:rPr>
          <w:sz w:val="15"/>
          <w:szCs w:val="15"/>
          <w:color w:val="1A171C"/>
          <w:spacing w:val="9"/>
        </w:rPr>
        <w:t>室上性心动过速基层诊疗指南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(2019</w:t>
      </w:r>
      <w:r>
        <w:rPr>
          <w:rFonts w:ascii="Cambria" w:hAnsi="Cambria" w:eastAsia="Cambria" w:cs="Cambria"/>
          <w:sz w:val="15"/>
          <w:szCs w:val="15"/>
          <w:color w:val="1A171C"/>
          <w:spacing w:val="-4"/>
        </w:rPr>
        <w:t xml:space="preserve"> </w:t>
      </w:r>
      <w:r>
        <w:rPr>
          <w:sz w:val="15"/>
          <w:szCs w:val="15"/>
          <w:color w:val="1A171C"/>
          <w:spacing w:val="9"/>
        </w:rPr>
        <w:t>年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)</w:t>
      </w:r>
      <w:r>
        <w:rPr>
          <w:rFonts w:ascii="Cambria" w:hAnsi="Cambria" w:eastAsia="Cambria" w:cs="Cambria"/>
          <w:sz w:val="15"/>
          <w:szCs w:val="15"/>
          <w:color w:val="1A171C"/>
          <w:spacing w:val="8"/>
        </w:rPr>
        <w:t>[J].</w:t>
      </w:r>
      <w:r>
        <w:rPr>
          <w:sz w:val="15"/>
          <w:szCs w:val="15"/>
          <w:color w:val="1A171C"/>
          <w:spacing w:val="8"/>
        </w:rPr>
        <w:t>中华全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4"/>
        </w:rPr>
        <w:t>科</w:t>
      </w:r>
      <w:r>
        <w:rPr>
          <w:sz w:val="15"/>
          <w:szCs w:val="15"/>
          <w:color w:val="1A171C"/>
          <w:spacing w:val="-8"/>
        </w:rPr>
        <w:t xml:space="preserve"> </w:t>
      </w:r>
      <w:r>
        <w:rPr>
          <w:sz w:val="15"/>
          <w:szCs w:val="15"/>
          <w:color w:val="1A171C"/>
          <w:spacing w:val="4"/>
        </w:rPr>
        <w:t>医</w:t>
      </w:r>
      <w:r>
        <w:rPr>
          <w:sz w:val="15"/>
          <w:szCs w:val="15"/>
          <w:color w:val="1A171C"/>
          <w:spacing w:val="-16"/>
        </w:rPr>
        <w:t xml:space="preserve"> </w:t>
      </w:r>
      <w:r>
        <w:rPr>
          <w:sz w:val="15"/>
          <w:szCs w:val="15"/>
          <w:color w:val="1A171C"/>
          <w:spacing w:val="4"/>
        </w:rPr>
        <w:t>师</w:t>
      </w:r>
      <w:r>
        <w:rPr>
          <w:sz w:val="15"/>
          <w:szCs w:val="15"/>
          <w:color w:val="1A171C"/>
          <w:spacing w:val="-15"/>
        </w:rPr>
        <w:t xml:space="preserve"> </w:t>
      </w:r>
      <w:r>
        <w:rPr>
          <w:sz w:val="15"/>
          <w:szCs w:val="15"/>
          <w:color w:val="1A171C"/>
          <w:spacing w:val="4"/>
        </w:rPr>
        <w:t>杂</w:t>
      </w:r>
      <w:r>
        <w:rPr>
          <w:sz w:val="15"/>
          <w:szCs w:val="15"/>
          <w:color w:val="1A171C"/>
          <w:spacing w:val="-17"/>
        </w:rPr>
        <w:t xml:space="preserve"> </w:t>
      </w:r>
      <w:r>
        <w:rPr>
          <w:sz w:val="15"/>
          <w:szCs w:val="15"/>
          <w:color w:val="1A171C"/>
          <w:spacing w:val="4"/>
        </w:rPr>
        <w:t>志</w:t>
      </w:r>
      <w:r>
        <w:rPr>
          <w:sz w:val="15"/>
          <w:szCs w:val="15"/>
          <w:color w:val="1A171C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3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2020,  19(8):667-671.</w:t>
      </w:r>
      <w:r>
        <w:rPr>
          <w:rFonts w:ascii="Cambria" w:hAnsi="Cambria" w:eastAsia="Cambria" w:cs="Cambria"/>
          <w:sz w:val="15"/>
          <w:szCs w:val="15"/>
          <w:color w:val="1A171C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DOI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: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10.3760/</w:t>
      </w:r>
      <w:r>
        <w:rPr>
          <w:rFonts w:ascii="Cambria" w:hAnsi="Cambria" w:eastAsia="Cambria" w:cs="Cambria"/>
          <w:sz w:val="15"/>
          <w:szCs w:val="15"/>
          <w:color w:val="1A171C"/>
        </w:rPr>
        <w:t>cma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1A171C"/>
          <w:spacing w:val="-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j.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18"/>
        <w:spacing w:before="36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</w:rPr>
        <w:t>cn</w:t>
      </w:r>
      <w:r>
        <w:rPr>
          <w:rFonts w:ascii="Cambria" w:hAnsi="Cambria" w:eastAsia="Cambria" w:cs="Cambria"/>
          <w:sz w:val="15"/>
          <w:szCs w:val="15"/>
          <w:color w:val="1A171C"/>
          <w:spacing w:val="-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114798-20200518-00588.</w:t>
      </w:r>
    </w:p>
    <w:p>
      <w:pPr>
        <w:ind w:left="413" w:right="903" w:firstLine="6"/>
        <w:spacing w:before="80" w:line="288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Chinese</w:t>
      </w:r>
      <w:r>
        <w:rPr>
          <w:rFonts w:ascii="Cambria" w:hAnsi="Cambria" w:eastAsia="Cambria" w:cs="Cambria"/>
          <w:sz w:val="15"/>
          <w:szCs w:val="15"/>
          <w:color w:val="1A171C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Medical</w:t>
      </w:r>
      <w:r>
        <w:rPr>
          <w:rFonts w:ascii="Cambria" w:hAnsi="Cambria" w:eastAsia="Cambria" w:cs="Cambria"/>
          <w:sz w:val="15"/>
          <w:szCs w:val="15"/>
          <w:color w:val="1A171C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Association,</w:t>
      </w:r>
      <w:r>
        <w:rPr>
          <w:rFonts w:ascii="Cambria" w:hAnsi="Cambria" w:eastAsia="Cambria" w:cs="Cambria"/>
          <w:sz w:val="15"/>
          <w:szCs w:val="15"/>
          <w:color w:val="1A171C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Chi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nese</w:t>
      </w:r>
      <w:r>
        <w:rPr>
          <w:rFonts w:ascii="Cambria" w:hAnsi="Cambria" w:eastAsia="Cambria" w:cs="Cambria"/>
          <w:sz w:val="15"/>
          <w:szCs w:val="15"/>
          <w:color w:val="1A171C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Medical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Journals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Publishing</w:t>
      </w:r>
      <w:r>
        <w:rPr>
          <w:rFonts w:ascii="Cambria" w:hAnsi="Cambria" w:eastAsia="Cambria" w:cs="Cambria"/>
          <w:sz w:val="15"/>
          <w:szCs w:val="15"/>
          <w:color w:val="1A171C"/>
          <w:spacing w:val="2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House,</w:t>
      </w:r>
      <w:r>
        <w:rPr>
          <w:rFonts w:ascii="Cambria" w:hAnsi="Cambria" w:eastAsia="Cambria" w:cs="Cambria"/>
          <w:sz w:val="15"/>
          <w:szCs w:val="15"/>
          <w:color w:val="1A171C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Chinese</w:t>
      </w:r>
      <w:r>
        <w:rPr>
          <w:rFonts w:ascii="Cambria" w:hAnsi="Cambria" w:eastAsia="Cambria" w:cs="Cambria"/>
          <w:sz w:val="15"/>
          <w:szCs w:val="15"/>
          <w:color w:val="1A171C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Society</w:t>
      </w:r>
      <w:r>
        <w:rPr>
          <w:rFonts w:ascii="Cambria" w:hAnsi="Cambria" w:eastAsia="Cambria" w:cs="Cambria"/>
          <w:sz w:val="15"/>
          <w:szCs w:val="15"/>
          <w:color w:val="1A171C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of  General   Practice,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et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al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.   </w:t>
      </w:r>
      <w:r>
        <w:rPr>
          <w:rFonts w:ascii="Cambria" w:hAnsi="Cambria" w:eastAsia="Cambria" w:cs="Cambria"/>
          <w:sz w:val="15"/>
          <w:szCs w:val="15"/>
          <w:color w:val="1A171C"/>
        </w:rPr>
        <w:t>Guideline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</w:rPr>
        <w:t>for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</w:rPr>
        <w:t>primary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</w:rPr>
        <w:t>care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</w:rPr>
        <w:t>supraventricular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tachycardia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(2019)</w:t>
      </w:r>
      <w:r>
        <w:rPr>
          <w:rFonts w:ascii="Cambria" w:hAnsi="Cambria" w:eastAsia="Cambria" w:cs="Cambria"/>
          <w:sz w:val="15"/>
          <w:szCs w:val="15"/>
          <w:color w:val="1A171C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[J].  </w:t>
      </w:r>
      <w:r>
        <w:rPr>
          <w:rFonts w:ascii="Cambria" w:hAnsi="Cambria" w:eastAsia="Cambria" w:cs="Cambria"/>
          <w:sz w:val="15"/>
          <w:szCs w:val="15"/>
          <w:color w:val="1A171C"/>
        </w:rPr>
        <w:t>Chin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</w:rPr>
        <w:t>J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</w:rPr>
        <w:t>Gen</w:t>
      </w: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</w:rPr>
        <w:t>Pract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2020,    19(8):</w:t>
      </w:r>
      <w:r>
        <w:rPr>
          <w:rFonts w:ascii="Cambria" w:hAnsi="Cambria" w:eastAsia="Cambria" w:cs="Cambria"/>
          <w:sz w:val="15"/>
          <w:szCs w:val="15"/>
          <w:color w:val="1A171C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667-671.</w:t>
      </w:r>
      <w:r>
        <w:rPr>
          <w:rFonts w:ascii="Cambria" w:hAnsi="Cambria" w:eastAsia="Cambria" w:cs="Cambria"/>
          <w:sz w:val="15"/>
          <w:szCs w:val="15"/>
          <w:color w:val="1A171C"/>
          <w:spacing w:val="-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DOI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:10.3760/</w:t>
      </w:r>
      <w:r>
        <w:rPr>
          <w:rFonts w:ascii="Cambria" w:hAnsi="Cambria" w:eastAsia="Cambria" w:cs="Cambria"/>
          <w:sz w:val="15"/>
          <w:szCs w:val="15"/>
          <w:color w:val="1A171C"/>
        </w:rPr>
        <w:t>cma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.j.</w:t>
      </w:r>
      <w:r>
        <w:rPr>
          <w:rFonts w:ascii="Cambria" w:hAnsi="Cambria" w:eastAsia="Cambria" w:cs="Cambria"/>
          <w:sz w:val="15"/>
          <w:szCs w:val="15"/>
          <w:color w:val="1A171C"/>
        </w:rPr>
        <w:t>cn</w:t>
      </w:r>
      <w:r>
        <w:rPr>
          <w:rFonts w:ascii="Cambria" w:hAnsi="Cambria" w:eastAsia="Cambria" w:cs="Cambria"/>
          <w:sz w:val="15"/>
          <w:szCs w:val="15"/>
          <w:color w:val="1A171C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114798-20200518-00588.</w:t>
      </w:r>
    </w:p>
    <w:p>
      <w:pPr>
        <w:ind w:left="418" w:right="902" w:hanging="418"/>
        <w:spacing w:before="18" w:line="29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[2]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1A171C"/>
        </w:rPr>
        <w:t>Page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RL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1A171C"/>
        </w:rPr>
        <w:t>Joglar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JA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Caldwell</w:t>
      </w:r>
      <w:r>
        <w:rPr>
          <w:rFonts w:ascii="Cambria" w:hAnsi="Cambria" w:eastAsia="Cambria" w:cs="Cambria"/>
          <w:sz w:val="15"/>
          <w:szCs w:val="15"/>
          <w:color w:val="1A171C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MA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1A171C"/>
        </w:rPr>
        <w:t>et</w:t>
      </w:r>
      <w:r>
        <w:rPr>
          <w:rFonts w:ascii="Cambria" w:hAnsi="Cambria" w:eastAsia="Cambria" w:cs="Cambria"/>
          <w:sz w:val="15"/>
          <w:szCs w:val="15"/>
          <w:color w:val="1A171C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al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1A171C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2015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ACC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/</w:t>
      </w:r>
      <w:r>
        <w:rPr>
          <w:rFonts w:ascii="Cambria" w:hAnsi="Cambria" w:eastAsia="Cambria" w:cs="Cambria"/>
          <w:sz w:val="15"/>
          <w:szCs w:val="15"/>
          <w:color w:val="1A171C"/>
        </w:rPr>
        <w:t>AHA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/</w:t>
      </w:r>
      <w:r>
        <w:rPr>
          <w:rFonts w:ascii="Cambria" w:hAnsi="Cambria" w:eastAsia="Cambria" w:cs="Cambria"/>
          <w:sz w:val="15"/>
          <w:szCs w:val="15"/>
          <w:color w:val="1A171C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HRS</w:t>
      </w:r>
      <w:r>
        <w:rPr>
          <w:rFonts w:ascii="Cambria" w:hAnsi="Cambria" w:eastAsia="Cambria" w:cs="Cambria"/>
          <w:sz w:val="15"/>
          <w:szCs w:val="15"/>
          <w:color w:val="1A171C"/>
          <w:spacing w:val="3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Guideline</w:t>
      </w:r>
      <w:r>
        <w:rPr>
          <w:rFonts w:ascii="Cambria" w:hAnsi="Cambria" w:eastAsia="Cambria" w:cs="Cambria"/>
          <w:sz w:val="15"/>
          <w:szCs w:val="15"/>
          <w:color w:val="1A171C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1A171C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Management</w:t>
      </w:r>
      <w:r>
        <w:rPr>
          <w:rFonts w:ascii="Cambria" w:hAnsi="Cambria" w:eastAsia="Cambria" w:cs="Cambria"/>
          <w:sz w:val="15"/>
          <w:szCs w:val="15"/>
          <w:color w:val="1A171C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of Adult</w:t>
      </w:r>
      <w:r>
        <w:rPr>
          <w:rFonts w:ascii="Cambria" w:hAnsi="Cambria" w:eastAsia="Cambria" w:cs="Cambria"/>
          <w:sz w:val="15"/>
          <w:szCs w:val="15"/>
          <w:color w:val="1A171C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1A171C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Supraventricular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Tachycardia:</w:t>
      </w:r>
      <w:r>
        <w:rPr>
          <w:rFonts w:ascii="Cambria" w:hAnsi="Cambria" w:eastAsia="Cambria" w:cs="Cambria"/>
          <w:sz w:val="15"/>
          <w:szCs w:val="15"/>
          <w:color w:val="1A171C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A  Report  of</w:t>
      </w:r>
      <w:r>
        <w:rPr>
          <w:rFonts w:ascii="Cambria" w:hAnsi="Cambria" w:eastAsia="Cambria" w:cs="Cambria"/>
          <w:sz w:val="15"/>
          <w:szCs w:val="15"/>
          <w:color w:val="1A171C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the  American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College  of  Cardiology/American</w:t>
      </w:r>
      <w:r>
        <w:rPr>
          <w:rFonts w:ascii="Cambria" w:hAnsi="Cambria" w:eastAsia="Cambria" w:cs="Cambria"/>
          <w:sz w:val="15"/>
          <w:szCs w:val="15"/>
          <w:color w:val="1A171C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Heart  Associa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tion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Task</w:t>
      </w:r>
      <w:r>
        <w:rPr>
          <w:rFonts w:ascii="Cambria" w:hAnsi="Cambria" w:eastAsia="Cambria" w:cs="Cambria"/>
          <w:sz w:val="15"/>
          <w:szCs w:val="15"/>
          <w:color w:val="1A171C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Force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</w:rPr>
        <w:t>on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</w:rPr>
        <w:t>Clinical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</w:rPr>
        <w:t>Practice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</w:rPr>
        <w:t>Guidelines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</w:rPr>
        <w:t>and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</w:rPr>
        <w:t>the</w:t>
      </w: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</w:rPr>
        <w:t>Heart </w:t>
      </w:r>
      <w:r>
        <w:rPr>
          <w:rFonts w:ascii="Cambria" w:hAnsi="Cambria" w:eastAsia="Cambria" w:cs="Cambria"/>
          <w:sz w:val="15"/>
          <w:szCs w:val="15"/>
          <w:color w:val="1A171C"/>
        </w:rPr>
        <w:t>Rhythm</w:t>
      </w:r>
      <w:r>
        <w:rPr>
          <w:rFonts w:ascii="Cambria" w:hAnsi="Cambria" w:eastAsia="Cambria" w:cs="Cambria"/>
          <w:sz w:val="15"/>
          <w:szCs w:val="15"/>
          <w:color w:val="1A171C"/>
          <w:spacing w:val="3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Society</w:t>
      </w: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1A171C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Circulation</w:t>
      </w: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>2016,</w:t>
      </w:r>
      <w:r>
        <w:rPr>
          <w:rFonts w:ascii="Cambria" w:hAnsi="Cambria" w:eastAsia="Cambria" w:cs="Cambria"/>
          <w:sz w:val="15"/>
          <w:szCs w:val="15"/>
          <w:color w:val="1A171C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>133(14):e506-e574.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DOI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1A171C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1A171C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1161/</w:t>
      </w:r>
      <w:r>
        <w:rPr>
          <w:rFonts w:ascii="Cambria" w:hAnsi="Cambria" w:eastAsia="Cambria" w:cs="Cambria"/>
          <w:sz w:val="15"/>
          <w:szCs w:val="15"/>
          <w:color w:val="1A171C"/>
        </w:rPr>
        <w:t>CIR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.0000000000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000311.</w:t>
      </w:r>
    </w:p>
    <w:p>
      <w:pPr>
        <w:pStyle w:val="BodyText"/>
        <w:ind w:left="414" w:right="903" w:hanging="414"/>
        <w:spacing w:before="37" w:line="21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[3]      </w:t>
      </w:r>
      <w:r>
        <w:rPr>
          <w:sz w:val="15"/>
          <w:szCs w:val="15"/>
          <w:color w:val="1A171C"/>
          <w:spacing w:val="5"/>
        </w:rPr>
        <w:t>孙玉杰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19"/>
          <w:w w:val="102"/>
        </w:rPr>
        <w:t xml:space="preserve"> </w:t>
      </w:r>
      <w:r>
        <w:rPr>
          <w:sz w:val="15"/>
          <w:szCs w:val="15"/>
          <w:color w:val="1A171C"/>
          <w:spacing w:val="5"/>
        </w:rPr>
        <w:t>张海澄</w:t>
      </w:r>
      <w:r>
        <w:rPr>
          <w:sz w:val="15"/>
          <w:szCs w:val="15"/>
          <w:color w:val="1A171C"/>
          <w:spacing w:val="-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1A171C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2015 </w:t>
      </w:r>
      <w:r>
        <w:rPr>
          <w:sz w:val="15"/>
          <w:szCs w:val="15"/>
          <w:color w:val="1A171C"/>
          <w:spacing w:val="5"/>
        </w:rPr>
        <w:t>年《</w:t>
      </w:r>
      <w:r>
        <w:rPr>
          <w:rFonts w:ascii="Cambria" w:hAnsi="Cambria" w:eastAsia="Cambria" w:cs="Cambria"/>
          <w:sz w:val="15"/>
          <w:szCs w:val="15"/>
          <w:color w:val="1A171C"/>
        </w:rPr>
        <w:t>AHA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/</w:t>
      </w:r>
      <w:r>
        <w:rPr>
          <w:rFonts w:ascii="Cambria" w:hAnsi="Cambria" w:eastAsia="Cambria" w:cs="Cambria"/>
          <w:sz w:val="15"/>
          <w:szCs w:val="15"/>
          <w:color w:val="1A171C"/>
        </w:rPr>
        <w:t>ACC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/</w:t>
      </w:r>
      <w:r>
        <w:rPr>
          <w:rFonts w:ascii="Cambria" w:hAnsi="Cambria" w:eastAsia="Cambria" w:cs="Cambria"/>
          <w:sz w:val="15"/>
          <w:szCs w:val="15"/>
          <w:color w:val="1A171C"/>
        </w:rPr>
        <w:t>HRS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 xml:space="preserve"> </w:t>
      </w:r>
      <w:r>
        <w:rPr>
          <w:sz w:val="15"/>
          <w:szCs w:val="15"/>
          <w:color w:val="1A171C"/>
          <w:spacing w:val="5"/>
        </w:rPr>
        <w:t>室上性心动过速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4"/>
        </w:rPr>
        <w:t>管理指南》解读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1A171C"/>
          <w:spacing w:val="23"/>
          <w:w w:val="102"/>
        </w:rPr>
        <w:t xml:space="preserve"> </w:t>
      </w:r>
      <w:r>
        <w:rPr>
          <w:sz w:val="15"/>
          <w:szCs w:val="15"/>
          <w:color w:val="1A171C"/>
          <w:spacing w:val="4"/>
        </w:rPr>
        <w:t>中国循环杂志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2015</w:t>
      </w:r>
      <w:r>
        <w:rPr>
          <w:rFonts w:ascii="Cambria" w:hAnsi="Cambria" w:eastAsia="Cambria" w:cs="Cambria"/>
          <w:sz w:val="15"/>
          <w:szCs w:val="15"/>
          <w:color w:val="1A171C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30(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Z2):50-55.</w:t>
      </w:r>
      <w:r>
        <w:rPr>
          <w:rFonts w:ascii="Cambria" w:hAnsi="Cambria" w:eastAsia="Cambria" w:cs="Cambria"/>
          <w:sz w:val="15"/>
          <w:szCs w:val="15"/>
          <w:color w:val="1A171C"/>
        </w:rPr>
        <w:t>DOI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10.3969/j.</w:t>
      </w:r>
      <w:r>
        <w:rPr>
          <w:rFonts w:ascii="Cambria" w:hAnsi="Cambria" w:eastAsia="Cambria" w:cs="Cambria"/>
          <w:sz w:val="15"/>
          <w:szCs w:val="15"/>
          <w:color w:val="1A171C"/>
        </w:rPr>
        <w:t>issn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.1000-3614.2015.Z2.0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11.</w:t>
      </w:r>
    </w:p>
    <w:p>
      <w:pPr>
        <w:ind w:left="412" w:right="903" w:firstLine="6"/>
        <w:spacing w:before="40" w:line="304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</w:rPr>
        <w:t>Sun</w:t>
      </w:r>
      <w:r>
        <w:rPr>
          <w:rFonts w:ascii="Cambria" w:hAnsi="Cambria" w:eastAsia="Cambria" w:cs="Cambria"/>
          <w:sz w:val="15"/>
          <w:szCs w:val="15"/>
          <w:color w:val="1A171C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YJ</w:t>
      </w:r>
      <w:r>
        <w:rPr>
          <w:rFonts w:ascii="Cambria" w:hAnsi="Cambria" w:eastAsia="Cambria" w:cs="Cambria"/>
          <w:sz w:val="15"/>
          <w:szCs w:val="15"/>
          <w:color w:val="1A171C"/>
          <w:spacing w:val="19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Zhang  HC</w:t>
      </w:r>
      <w:r>
        <w:rPr>
          <w:rFonts w:ascii="Cambria" w:hAnsi="Cambria" w:eastAsia="Cambria" w:cs="Cambria"/>
          <w:sz w:val="15"/>
          <w:szCs w:val="15"/>
          <w:color w:val="1A171C"/>
          <w:spacing w:val="19"/>
        </w:rPr>
        <w:t>.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 Interpretation  of</w:t>
      </w:r>
      <w:r>
        <w:rPr>
          <w:rFonts w:ascii="Cambria" w:hAnsi="Cambria" w:eastAsia="Cambria" w:cs="Cambria"/>
          <w:sz w:val="15"/>
          <w:szCs w:val="15"/>
          <w:color w:val="1A171C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19"/>
        </w:rPr>
        <w:t>2015</w:t>
      </w:r>
      <w:r>
        <w:rPr>
          <w:rFonts w:ascii="Cambria" w:hAnsi="Cambria" w:eastAsia="Cambria" w:cs="Cambria"/>
          <w:sz w:val="15"/>
          <w:szCs w:val="15"/>
          <w:color w:val="1A171C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ACC</w:t>
      </w:r>
      <w:r>
        <w:rPr>
          <w:rFonts w:ascii="Cambria" w:hAnsi="Cambria" w:eastAsia="Cambria" w:cs="Cambria"/>
          <w:sz w:val="15"/>
          <w:szCs w:val="15"/>
          <w:color w:val="1A171C"/>
          <w:spacing w:val="19"/>
        </w:rPr>
        <w:t>/</w:t>
      </w:r>
      <w:r>
        <w:rPr>
          <w:rFonts w:ascii="Cambria" w:hAnsi="Cambria" w:eastAsia="Cambria" w:cs="Cambria"/>
          <w:sz w:val="15"/>
          <w:szCs w:val="15"/>
          <w:color w:val="1A171C"/>
        </w:rPr>
        <w:t>AHA</w:t>
      </w:r>
      <w:r>
        <w:rPr>
          <w:rFonts w:ascii="Cambria" w:hAnsi="Cambria" w:eastAsia="Cambria" w:cs="Cambria"/>
          <w:sz w:val="15"/>
          <w:szCs w:val="15"/>
          <w:color w:val="1A171C"/>
          <w:spacing w:val="19"/>
        </w:rPr>
        <w:t>/</w:t>
      </w:r>
      <w:r>
        <w:rPr>
          <w:rFonts w:ascii="Cambria" w:hAnsi="Cambria" w:eastAsia="Cambria" w:cs="Cambria"/>
          <w:sz w:val="15"/>
          <w:szCs w:val="15"/>
          <w:color w:val="1A171C"/>
        </w:rPr>
        <w:t>HRS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Guideline</w:t>
      </w:r>
      <w:r>
        <w:rPr>
          <w:rFonts w:ascii="Cambria" w:hAnsi="Cambria" w:eastAsia="Cambria" w:cs="Cambria"/>
          <w:sz w:val="15"/>
          <w:szCs w:val="15"/>
          <w:color w:val="1A171C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for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the</w:t>
      </w:r>
      <w:r>
        <w:rPr>
          <w:rFonts w:ascii="Cambria" w:hAnsi="Cambria" w:eastAsia="Cambria" w:cs="Cambria"/>
          <w:sz w:val="15"/>
          <w:szCs w:val="15"/>
          <w:color w:val="1A171C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Management</w:t>
      </w:r>
      <w:r>
        <w:rPr>
          <w:rFonts w:ascii="Cambria" w:hAnsi="Cambria" w:eastAsia="Cambria" w:cs="Cambria"/>
          <w:sz w:val="15"/>
          <w:szCs w:val="15"/>
          <w:color w:val="1A171C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of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 xml:space="preserve"> Adult   Patients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Supraventricular</w:t>
      </w:r>
      <w:r>
        <w:rPr>
          <w:rFonts w:ascii="Cambria" w:hAnsi="Cambria" w:eastAsia="Cambria" w:cs="Cambria"/>
          <w:sz w:val="15"/>
          <w:szCs w:val="15"/>
          <w:color w:val="1A171C"/>
          <w:spacing w:val="1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1A171C"/>
        </w:rPr>
        <w:t>Tachycardia</w:t>
      </w:r>
      <w:r>
        <w:rPr>
          <w:rFonts w:ascii="Cambria" w:hAnsi="Cambria" w:eastAsia="Cambria" w:cs="Cambria"/>
          <w:sz w:val="15"/>
          <w:szCs w:val="15"/>
          <w:color w:val="1A171C"/>
          <w:spacing w:val="10"/>
        </w:rPr>
        <w:t>[J].     </w:t>
      </w:r>
      <w:r>
        <w:rPr>
          <w:rFonts w:ascii="Cambria" w:hAnsi="Cambria" w:eastAsia="Cambria" w:cs="Cambria"/>
          <w:sz w:val="15"/>
          <w:szCs w:val="15"/>
          <w:color w:val="1A171C"/>
        </w:rPr>
        <w:t>Chinese</w:t>
      </w:r>
      <w:r>
        <w:rPr>
          <w:rFonts w:ascii="Cambria" w:hAnsi="Cambria" w:eastAsia="Cambria" w:cs="Cambria"/>
          <w:sz w:val="15"/>
          <w:szCs w:val="15"/>
          <w:color w:val="1A171C"/>
          <w:spacing w:val="1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1A171C"/>
        </w:rPr>
        <w:t>Circulation</w:t>
      </w:r>
      <w:r>
        <w:rPr>
          <w:rFonts w:ascii="Cambria" w:hAnsi="Cambria" w:eastAsia="Cambria" w:cs="Cambria"/>
          <w:sz w:val="15"/>
          <w:szCs w:val="15"/>
          <w:color w:val="1A171C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Journal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2015</w:t>
      </w:r>
      <w:r>
        <w:rPr>
          <w:rFonts w:ascii="Cambria" w:hAnsi="Cambria" w:eastAsia="Cambria" w:cs="Cambria"/>
          <w:sz w:val="15"/>
          <w:szCs w:val="15"/>
          <w:color w:val="1A171C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30(Z2):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50-55.</w:t>
      </w:r>
      <w:r>
        <w:rPr>
          <w:rFonts w:ascii="Cambria" w:hAnsi="Cambria" w:eastAsia="Cambria" w:cs="Cambria"/>
          <w:sz w:val="15"/>
          <w:szCs w:val="15"/>
          <w:color w:val="1A171C"/>
          <w:spacing w:val="32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DOI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:  10.396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9/j.</w:t>
      </w:r>
      <w:r>
        <w:rPr>
          <w:rFonts w:ascii="Cambria" w:hAnsi="Cambria" w:eastAsia="Cambria" w:cs="Cambria"/>
          <w:sz w:val="15"/>
          <w:szCs w:val="15"/>
          <w:color w:val="1A171C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issn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.  1000-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3614.2015.Z2.011.</w:t>
      </w:r>
    </w:p>
    <w:p>
      <w:pPr>
        <w:pStyle w:val="BodyText"/>
        <w:ind w:left="415" w:right="905" w:hanging="415"/>
        <w:spacing w:before="2" w:line="2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[4]      </w:t>
      </w:r>
      <w:r>
        <w:rPr>
          <w:sz w:val="15"/>
          <w:szCs w:val="15"/>
          <w:color w:val="1A171C"/>
          <w:spacing w:val="7"/>
        </w:rPr>
        <w:t>郭继鸿</w:t>
      </w:r>
      <w:r>
        <w:rPr>
          <w:sz w:val="15"/>
          <w:szCs w:val="15"/>
          <w:color w:val="1A171C"/>
          <w:spacing w:val="-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. </w:t>
      </w:r>
      <w:r>
        <w:rPr>
          <w:sz w:val="15"/>
          <w:szCs w:val="15"/>
          <w:color w:val="1A171C"/>
          <w:spacing w:val="7"/>
        </w:rPr>
        <w:t>成人室上速处理</w:t>
      </w:r>
      <w:r>
        <w:rPr>
          <w:sz w:val="15"/>
          <w:szCs w:val="15"/>
          <w:color w:val="1A171C"/>
          <w:spacing w:val="-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2015</w:t>
      </w:r>
      <w:r>
        <w:rPr>
          <w:rFonts w:ascii="Cambria" w:hAnsi="Cambria" w:eastAsia="Cambria" w:cs="Cambria"/>
          <w:sz w:val="15"/>
          <w:szCs w:val="15"/>
          <w:color w:val="1A171C"/>
          <w:spacing w:val="-4"/>
        </w:rPr>
        <w:t xml:space="preserve"> </w:t>
      </w:r>
      <w:r>
        <w:rPr>
          <w:sz w:val="15"/>
          <w:szCs w:val="15"/>
          <w:color w:val="1A171C"/>
          <w:spacing w:val="7"/>
        </w:rPr>
        <w:t>指</w:t>
      </w:r>
      <w:r>
        <w:rPr>
          <w:sz w:val="15"/>
          <w:szCs w:val="15"/>
          <w:color w:val="1A171C"/>
          <w:spacing w:val="6"/>
        </w:rPr>
        <w:t>南的解读</w:t>
      </w: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1A171C"/>
          <w:spacing w:val="18"/>
        </w:rPr>
        <w:t xml:space="preserve"> </w:t>
      </w:r>
      <w:r>
        <w:rPr>
          <w:sz w:val="15"/>
          <w:szCs w:val="15"/>
          <w:color w:val="1A171C"/>
          <w:spacing w:val="6"/>
        </w:rPr>
        <w:t>临床心电学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3"/>
        </w:rPr>
        <w:t>杂志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2016,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25(1):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65-72.</w:t>
      </w:r>
    </w:p>
    <w:p>
      <w:pPr>
        <w:ind w:left="416" w:right="902" w:firstLine="2"/>
        <w:spacing w:before="1" w:line="294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</w:rPr>
        <w:t>Guo  JH</w:t>
      </w:r>
      <w:r>
        <w:rPr>
          <w:rFonts w:ascii="Cambria" w:hAnsi="Cambria" w:eastAsia="Cambria" w:cs="Cambria"/>
          <w:sz w:val="15"/>
          <w:szCs w:val="15"/>
          <w:color w:val="1A171C"/>
          <w:spacing w:val="11"/>
        </w:rPr>
        <w:t>.  </w:t>
      </w:r>
      <w:r>
        <w:rPr>
          <w:rFonts w:ascii="Cambria" w:hAnsi="Cambria" w:eastAsia="Cambria" w:cs="Cambria"/>
          <w:sz w:val="15"/>
          <w:szCs w:val="15"/>
          <w:color w:val="1A171C"/>
        </w:rPr>
        <w:t>Interpretation</w:t>
      </w:r>
      <w:r>
        <w:rPr>
          <w:rFonts w:ascii="Cambria" w:hAnsi="Cambria" w:eastAsia="Cambria" w:cs="Cambria"/>
          <w:sz w:val="15"/>
          <w:szCs w:val="15"/>
          <w:color w:val="1A171C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  <w:spacing w:val="11"/>
        </w:rPr>
        <w:t xml:space="preserve">  2015  </w:t>
      </w:r>
      <w:r>
        <w:rPr>
          <w:rFonts w:ascii="Cambria" w:hAnsi="Cambria" w:eastAsia="Cambria" w:cs="Cambria"/>
          <w:sz w:val="15"/>
          <w:szCs w:val="15"/>
          <w:color w:val="1A171C"/>
        </w:rPr>
        <w:t>ACC</w:t>
      </w:r>
      <w:r>
        <w:rPr>
          <w:rFonts w:ascii="Cambria" w:hAnsi="Cambria" w:eastAsia="Cambria" w:cs="Cambria"/>
          <w:sz w:val="15"/>
          <w:szCs w:val="15"/>
          <w:color w:val="1A171C"/>
          <w:spacing w:val="11"/>
        </w:rPr>
        <w:t>/</w:t>
      </w:r>
      <w:r>
        <w:rPr>
          <w:rFonts w:ascii="Cambria" w:hAnsi="Cambria" w:eastAsia="Cambria" w:cs="Cambria"/>
          <w:sz w:val="15"/>
          <w:szCs w:val="15"/>
          <w:color w:val="1A171C"/>
        </w:rPr>
        <w:t>AHA</w:t>
      </w:r>
      <w:r>
        <w:rPr>
          <w:rFonts w:ascii="Cambria" w:hAnsi="Cambria" w:eastAsia="Cambria" w:cs="Cambria"/>
          <w:sz w:val="15"/>
          <w:szCs w:val="15"/>
          <w:color w:val="1A171C"/>
          <w:spacing w:val="11"/>
        </w:rPr>
        <w:t>/</w:t>
      </w:r>
      <w:r>
        <w:rPr>
          <w:rFonts w:ascii="Cambria" w:hAnsi="Cambria" w:eastAsia="Cambria" w:cs="Cambria"/>
          <w:sz w:val="15"/>
          <w:szCs w:val="15"/>
          <w:color w:val="1A171C"/>
        </w:rPr>
        <w:t>HRS</w:t>
      </w:r>
      <w:r>
        <w:rPr>
          <w:rFonts w:ascii="Cambria" w:hAnsi="Cambria" w:eastAsia="Cambria" w:cs="Cambria"/>
          <w:sz w:val="15"/>
          <w:szCs w:val="15"/>
          <w:color w:val="1A171C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guideline</w:t>
      </w:r>
      <w:r>
        <w:rPr>
          <w:rFonts w:ascii="Cambria" w:hAnsi="Cambria" w:eastAsia="Cambria" w:cs="Cambria"/>
          <w:sz w:val="15"/>
          <w:szCs w:val="15"/>
          <w:color w:val="1A171C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for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1A171C"/>
        </w:rPr>
        <w:t>the</w:t>
      </w: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1A171C"/>
        </w:rPr>
        <w:t>management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1A171C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1A171C"/>
        </w:rPr>
        <w:t>adult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1A171C"/>
        </w:rPr>
        <w:t>patients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1A171C"/>
        </w:rPr>
        <w:t>with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supraventricular</w:t>
      </w:r>
      <w:r>
        <w:rPr>
          <w:rFonts w:ascii="Cambria" w:hAnsi="Cambria" w:eastAsia="Cambria" w:cs="Cambria"/>
          <w:sz w:val="15"/>
          <w:szCs w:val="15"/>
          <w:color w:val="1A171C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tachycardia[J].</w:t>
      </w:r>
      <w:r>
        <w:rPr>
          <w:rFonts w:ascii="Cambria" w:hAnsi="Cambria" w:eastAsia="Cambria" w:cs="Cambria"/>
          <w:sz w:val="15"/>
          <w:szCs w:val="15"/>
          <w:color w:val="1A171C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J    Clin    Electrocardiol,</w:t>
      </w:r>
      <w:r>
        <w:rPr>
          <w:rFonts w:ascii="Cambria" w:hAnsi="Cambria" w:eastAsia="Cambria" w:cs="Cambria"/>
          <w:sz w:val="15"/>
          <w:szCs w:val="15"/>
          <w:color w:val="1A171C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2"/>
        </w:rPr>
        <w:t>2016,</w:t>
      </w:r>
      <w:r>
        <w:rPr>
          <w:rFonts w:ascii="Cambria" w:hAnsi="Cambria" w:eastAsia="Cambria" w:cs="Cambria"/>
          <w:sz w:val="15"/>
          <w:szCs w:val="15"/>
          <w:color w:val="1A171C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2"/>
        </w:rPr>
        <w:t>25(1):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2"/>
        </w:rPr>
        <w:t>65-72.</w:t>
      </w:r>
    </w:p>
    <w:p>
      <w:pPr>
        <w:pStyle w:val="BodyText"/>
        <w:ind w:left="411" w:right="903" w:hanging="411"/>
        <w:spacing w:before="26" w:line="24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8"/>
        </w:rPr>
        <w:t>[5]       </w:t>
      </w:r>
      <w:r>
        <w:rPr>
          <w:sz w:val="15"/>
          <w:szCs w:val="15"/>
          <w:color w:val="1A171C"/>
          <w:spacing w:val="8"/>
        </w:rPr>
        <w:t>中华医学会心血管病学分</w:t>
      </w:r>
      <w:r>
        <w:rPr>
          <w:sz w:val="15"/>
          <w:szCs w:val="15"/>
          <w:color w:val="1A171C"/>
          <w:spacing w:val="7"/>
        </w:rPr>
        <w:t>会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24"/>
          <w:w w:val="102"/>
        </w:rPr>
        <w:t xml:space="preserve"> </w:t>
      </w:r>
      <w:r>
        <w:rPr>
          <w:sz w:val="15"/>
          <w:szCs w:val="15"/>
          <w:color w:val="1A171C"/>
          <w:spacing w:val="7"/>
        </w:rPr>
        <w:t>中国生物医学工程学会心脏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12"/>
        </w:rPr>
        <w:t>起搏与心电生理分会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40"/>
          <w:w w:val="101"/>
        </w:rPr>
        <w:t xml:space="preserve"> </w:t>
      </w:r>
      <w:r>
        <w:rPr>
          <w:sz w:val="15"/>
          <w:szCs w:val="15"/>
          <w:color w:val="1A171C"/>
          <w:spacing w:val="12"/>
        </w:rPr>
        <w:t>中华心血管病杂志编辑委员会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</w:rPr>
        <w:t>,</w:t>
      </w:r>
      <w:r>
        <w:rPr>
          <w:sz w:val="15"/>
          <w:szCs w:val="15"/>
          <w:color w:val="1A171C"/>
          <w:spacing w:val="12"/>
        </w:rPr>
        <w:t>等</w:t>
      </w:r>
      <w:r>
        <w:rPr>
          <w:sz w:val="15"/>
          <w:szCs w:val="15"/>
          <w:color w:val="1A171C"/>
          <w:spacing w:val="-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</w:rPr>
        <w:t>.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1"/>
        </w:rPr>
        <w:t>室</w:t>
      </w:r>
      <w:r>
        <w:rPr>
          <w:sz w:val="15"/>
          <w:szCs w:val="15"/>
          <w:color w:val="1A171C"/>
          <w:spacing w:val="-11"/>
        </w:rPr>
        <w:t xml:space="preserve"> </w:t>
      </w:r>
      <w:r>
        <w:rPr>
          <w:sz w:val="15"/>
          <w:szCs w:val="15"/>
          <w:color w:val="1A171C"/>
          <w:spacing w:val="1"/>
        </w:rPr>
        <w:t>上</w:t>
      </w:r>
      <w:r>
        <w:rPr>
          <w:sz w:val="15"/>
          <w:szCs w:val="15"/>
          <w:color w:val="1A171C"/>
          <w:spacing w:val="-22"/>
        </w:rPr>
        <w:t xml:space="preserve"> </w:t>
      </w:r>
      <w:r>
        <w:rPr>
          <w:sz w:val="15"/>
          <w:szCs w:val="15"/>
          <w:color w:val="1A171C"/>
          <w:spacing w:val="1"/>
        </w:rPr>
        <w:t>性</w:t>
      </w:r>
      <w:r>
        <w:rPr>
          <w:sz w:val="15"/>
          <w:szCs w:val="15"/>
          <w:color w:val="1A171C"/>
          <w:spacing w:val="-21"/>
        </w:rPr>
        <w:t xml:space="preserve"> </w:t>
      </w:r>
      <w:r>
        <w:rPr>
          <w:sz w:val="15"/>
          <w:szCs w:val="15"/>
          <w:color w:val="1A171C"/>
          <w:spacing w:val="1"/>
        </w:rPr>
        <w:t>快</w:t>
      </w:r>
      <w:r>
        <w:rPr>
          <w:sz w:val="15"/>
          <w:szCs w:val="15"/>
          <w:color w:val="1A171C"/>
          <w:spacing w:val="-20"/>
        </w:rPr>
        <w:t xml:space="preserve"> </w:t>
      </w:r>
      <w:r>
        <w:rPr>
          <w:sz w:val="15"/>
          <w:szCs w:val="15"/>
          <w:color w:val="1A171C"/>
          <w:spacing w:val="1"/>
        </w:rPr>
        <w:t>速</w:t>
      </w:r>
      <w:r>
        <w:rPr>
          <w:sz w:val="15"/>
          <w:szCs w:val="15"/>
          <w:color w:val="1A171C"/>
          <w:spacing w:val="-20"/>
        </w:rPr>
        <w:t xml:space="preserve"> </w:t>
      </w:r>
      <w:r>
        <w:rPr>
          <w:sz w:val="15"/>
          <w:szCs w:val="15"/>
          <w:color w:val="1A171C"/>
          <w:spacing w:val="1"/>
        </w:rPr>
        <w:t>心</w:t>
      </w:r>
      <w:r>
        <w:rPr>
          <w:sz w:val="15"/>
          <w:szCs w:val="15"/>
          <w:color w:val="1A171C"/>
          <w:spacing w:val="-21"/>
        </w:rPr>
        <w:t xml:space="preserve"> </w:t>
      </w:r>
      <w:r>
        <w:rPr>
          <w:sz w:val="15"/>
          <w:szCs w:val="15"/>
          <w:color w:val="1A171C"/>
          <w:spacing w:val="1"/>
        </w:rPr>
        <w:t>律</w:t>
      </w:r>
      <w:r>
        <w:rPr>
          <w:sz w:val="15"/>
          <w:szCs w:val="15"/>
          <w:color w:val="1A171C"/>
          <w:spacing w:val="-22"/>
        </w:rPr>
        <w:t xml:space="preserve"> </w:t>
      </w:r>
      <w:r>
        <w:rPr>
          <w:sz w:val="15"/>
          <w:szCs w:val="15"/>
          <w:color w:val="1A171C"/>
          <w:spacing w:val="1"/>
        </w:rPr>
        <w:t>失</w:t>
      </w:r>
      <w:r>
        <w:rPr>
          <w:sz w:val="15"/>
          <w:szCs w:val="15"/>
          <w:color w:val="1A171C"/>
          <w:spacing w:val="-17"/>
        </w:rPr>
        <w:t xml:space="preserve"> </w:t>
      </w:r>
      <w:r>
        <w:rPr>
          <w:sz w:val="15"/>
          <w:szCs w:val="15"/>
          <w:color w:val="1A171C"/>
          <w:spacing w:val="1"/>
        </w:rPr>
        <w:t>常</w:t>
      </w:r>
      <w:r>
        <w:rPr>
          <w:sz w:val="15"/>
          <w:szCs w:val="15"/>
          <w:color w:val="1A171C"/>
          <w:spacing w:val="-19"/>
        </w:rPr>
        <w:t xml:space="preserve"> </w:t>
      </w:r>
      <w:r>
        <w:rPr>
          <w:sz w:val="15"/>
          <w:szCs w:val="15"/>
          <w:color w:val="1A171C"/>
          <w:spacing w:val="1"/>
        </w:rPr>
        <w:t>治</w:t>
      </w:r>
      <w:r>
        <w:rPr>
          <w:sz w:val="15"/>
          <w:szCs w:val="15"/>
          <w:color w:val="1A171C"/>
          <w:spacing w:val="-23"/>
        </w:rPr>
        <w:t xml:space="preserve"> </w:t>
      </w:r>
      <w:r>
        <w:rPr>
          <w:sz w:val="15"/>
          <w:szCs w:val="15"/>
          <w:color w:val="1A171C"/>
          <w:spacing w:val="1"/>
        </w:rPr>
        <w:t>疗</w:t>
      </w:r>
      <w:r>
        <w:rPr>
          <w:sz w:val="15"/>
          <w:szCs w:val="15"/>
          <w:color w:val="1A171C"/>
          <w:spacing w:val="-20"/>
        </w:rPr>
        <w:t xml:space="preserve"> </w:t>
      </w:r>
      <w:r>
        <w:rPr>
          <w:sz w:val="15"/>
          <w:szCs w:val="15"/>
          <w:color w:val="1A171C"/>
          <w:spacing w:val="1"/>
        </w:rPr>
        <w:t>指</w:t>
      </w:r>
      <w:r>
        <w:rPr>
          <w:sz w:val="15"/>
          <w:szCs w:val="15"/>
          <w:color w:val="1A171C"/>
          <w:spacing w:val="-22"/>
        </w:rPr>
        <w:t xml:space="preserve"> </w:t>
      </w:r>
      <w:r>
        <w:rPr>
          <w:sz w:val="15"/>
          <w:szCs w:val="15"/>
          <w:color w:val="1A171C"/>
          <w:spacing w:val="1"/>
        </w:rPr>
        <w:t>南</w:t>
      </w:r>
      <w:r>
        <w:rPr>
          <w:sz w:val="15"/>
          <w:szCs w:val="15"/>
          <w:color w:val="1A171C"/>
          <w:spacing w:val="-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1"/>
        </w:rPr>
        <w:t>[J].</w:t>
      </w:r>
      <w:r>
        <w:rPr>
          <w:rFonts w:ascii="Cambria" w:hAnsi="Cambria" w:eastAsia="Cambria" w:cs="Cambria"/>
          <w:sz w:val="15"/>
          <w:szCs w:val="15"/>
          <w:color w:val="1A171C"/>
          <w:spacing w:val="23"/>
          <w:w w:val="102"/>
        </w:rPr>
        <w:t xml:space="preserve"> </w:t>
      </w:r>
      <w:r>
        <w:rPr>
          <w:sz w:val="15"/>
          <w:szCs w:val="15"/>
          <w:color w:val="1A171C"/>
          <w:spacing w:val="1"/>
        </w:rPr>
        <w:t>中</w:t>
      </w:r>
      <w:r>
        <w:rPr>
          <w:sz w:val="15"/>
          <w:szCs w:val="15"/>
          <w:color w:val="1A171C"/>
          <w:spacing w:val="-23"/>
        </w:rPr>
        <w:t xml:space="preserve"> </w:t>
      </w:r>
      <w:r>
        <w:rPr>
          <w:sz w:val="15"/>
          <w:szCs w:val="15"/>
          <w:color w:val="1A171C"/>
          <w:spacing w:val="1"/>
        </w:rPr>
        <w:t>华</w:t>
      </w:r>
      <w:r>
        <w:rPr>
          <w:sz w:val="15"/>
          <w:szCs w:val="15"/>
          <w:color w:val="1A171C"/>
          <w:spacing w:val="-20"/>
        </w:rPr>
        <w:t xml:space="preserve"> </w:t>
      </w:r>
      <w:r>
        <w:rPr>
          <w:sz w:val="15"/>
          <w:szCs w:val="15"/>
          <w:color w:val="1A171C"/>
          <w:spacing w:val="1"/>
        </w:rPr>
        <w:t>心</w:t>
      </w:r>
      <w:r>
        <w:rPr>
          <w:sz w:val="15"/>
          <w:szCs w:val="15"/>
          <w:color w:val="1A171C"/>
          <w:spacing w:val="-20"/>
        </w:rPr>
        <w:t xml:space="preserve"> </w:t>
      </w:r>
      <w:r>
        <w:rPr>
          <w:sz w:val="15"/>
          <w:szCs w:val="15"/>
          <w:color w:val="1A171C"/>
          <w:spacing w:val="1"/>
        </w:rPr>
        <w:t>血</w:t>
      </w:r>
      <w:r>
        <w:rPr>
          <w:sz w:val="15"/>
          <w:szCs w:val="15"/>
          <w:color w:val="1A171C"/>
          <w:spacing w:val="-20"/>
        </w:rPr>
        <w:t xml:space="preserve"> </w:t>
      </w:r>
      <w:r>
        <w:rPr>
          <w:sz w:val="15"/>
          <w:szCs w:val="15"/>
          <w:color w:val="1A171C"/>
          <w:spacing w:val="1"/>
        </w:rPr>
        <w:t>管</w:t>
      </w:r>
      <w:r>
        <w:rPr>
          <w:sz w:val="15"/>
          <w:szCs w:val="15"/>
          <w:color w:val="1A171C"/>
          <w:spacing w:val="-22"/>
        </w:rPr>
        <w:t xml:space="preserve"> </w:t>
      </w:r>
      <w:r>
        <w:rPr>
          <w:sz w:val="15"/>
          <w:szCs w:val="15"/>
          <w:color w:val="1A171C"/>
          <w:spacing w:val="1"/>
        </w:rPr>
        <w:t>病</w:t>
      </w:r>
      <w:r>
        <w:rPr>
          <w:sz w:val="15"/>
          <w:szCs w:val="15"/>
          <w:color w:val="1A171C"/>
          <w:spacing w:val="-19"/>
        </w:rPr>
        <w:t xml:space="preserve"> </w:t>
      </w:r>
      <w:r>
        <w:rPr>
          <w:sz w:val="15"/>
          <w:szCs w:val="15"/>
          <w:color w:val="1A171C"/>
          <w:spacing w:val="1"/>
        </w:rPr>
        <w:t>杂</w:t>
      </w:r>
      <w:r>
        <w:rPr>
          <w:sz w:val="15"/>
          <w:szCs w:val="15"/>
          <w:color w:val="1A171C"/>
          <w:spacing w:val="-20"/>
        </w:rPr>
        <w:t xml:space="preserve"> </w:t>
      </w:r>
      <w:r>
        <w:rPr>
          <w:sz w:val="15"/>
          <w:szCs w:val="15"/>
          <w:color w:val="1A171C"/>
          <w:spacing w:val="1"/>
        </w:rPr>
        <w:t>志</w:t>
      </w:r>
      <w:r>
        <w:rPr>
          <w:sz w:val="15"/>
          <w:szCs w:val="15"/>
          <w:color w:val="1A171C"/>
          <w:spacing w:val="-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1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2005,    33(1):   2-15.    </w:t>
      </w:r>
      <w:r>
        <w:rPr>
          <w:rFonts w:ascii="Cambria" w:hAnsi="Cambria" w:eastAsia="Cambria" w:cs="Cambria"/>
          <w:sz w:val="15"/>
          <w:szCs w:val="15"/>
          <w:color w:val="1A171C"/>
        </w:rPr>
        <w:t>DOI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:    10.3760/j.   </w:t>
      </w:r>
      <w:r>
        <w:rPr>
          <w:rFonts w:ascii="Cambria" w:hAnsi="Cambria" w:eastAsia="Cambria" w:cs="Cambria"/>
          <w:sz w:val="15"/>
          <w:szCs w:val="15"/>
          <w:color w:val="1A171C"/>
        </w:rPr>
        <w:t>issn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.   0253-3758.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2005.01.002.</w:t>
      </w:r>
    </w:p>
    <w:p>
      <w:pPr>
        <w:ind w:left="416" w:right="894" w:firstLine="2"/>
        <w:spacing w:before="26" w:line="297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Chinese</w:t>
      </w:r>
      <w:r>
        <w:rPr>
          <w:rFonts w:ascii="Cambria" w:hAnsi="Cambria" w:eastAsia="Cambria" w:cs="Cambria"/>
          <w:sz w:val="15"/>
          <w:szCs w:val="15"/>
          <w:color w:val="1A171C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Society</w:t>
      </w:r>
      <w:r>
        <w:rPr>
          <w:rFonts w:ascii="Cambria" w:hAnsi="Cambria" w:eastAsia="Cambria" w:cs="Cambria"/>
          <w:sz w:val="15"/>
          <w:szCs w:val="15"/>
          <w:color w:val="1A171C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Cardiology,</w:t>
      </w:r>
      <w:r>
        <w:rPr>
          <w:rFonts w:ascii="Cambria" w:hAnsi="Cambria" w:eastAsia="Cambria" w:cs="Cambria"/>
          <w:sz w:val="15"/>
          <w:szCs w:val="15"/>
          <w:color w:val="1A171C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Division</w:t>
      </w:r>
      <w:r>
        <w:rPr>
          <w:rFonts w:ascii="Cambria" w:hAnsi="Cambria" w:eastAsia="Cambria" w:cs="Cambria"/>
          <w:sz w:val="15"/>
          <w:szCs w:val="15"/>
          <w:color w:val="1A171C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cardiac</w:t>
      </w:r>
      <w:r>
        <w:rPr>
          <w:rFonts w:ascii="Cambria" w:hAnsi="Cambria" w:eastAsia="Cambria" w:cs="Cambria"/>
          <w:sz w:val="15"/>
          <w:szCs w:val="15"/>
          <w:color w:val="1A171C"/>
          <w:spacing w:val="32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2"/>
        </w:rPr>
        <w:t>pacing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and  electrophysiology  of  Chinese</w:t>
      </w:r>
      <w:r>
        <w:rPr>
          <w:rFonts w:ascii="Cambria" w:hAnsi="Cambria" w:eastAsia="Cambria" w:cs="Cambria"/>
          <w:sz w:val="15"/>
          <w:szCs w:val="15"/>
          <w:color w:val="1A171C"/>
          <w:spacing w:val="8"/>
          <w:w w:val="10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Society</w:t>
      </w:r>
      <w:r>
        <w:rPr>
          <w:rFonts w:ascii="Cambria" w:hAnsi="Cambria" w:eastAsia="Cambria" w:cs="Cambria"/>
          <w:sz w:val="15"/>
          <w:szCs w:val="15"/>
          <w:color w:val="1A171C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of  B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iomedical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Engineering</w:t>
      </w:r>
      <w:r>
        <w:rPr>
          <w:rFonts w:ascii="Cambria" w:hAnsi="Cambria" w:eastAsia="Cambria" w:cs="Cambria"/>
          <w:sz w:val="15"/>
          <w:szCs w:val="15"/>
          <w:color w:val="1A171C"/>
          <w:spacing w:val="8"/>
        </w:rPr>
        <w:t>,    </w:t>
      </w:r>
      <w:r>
        <w:rPr>
          <w:rFonts w:ascii="Cambria" w:hAnsi="Cambria" w:eastAsia="Cambria" w:cs="Cambria"/>
          <w:sz w:val="15"/>
          <w:szCs w:val="15"/>
          <w:color w:val="1A171C"/>
        </w:rPr>
        <w:t>Editorial</w:t>
      </w:r>
      <w:r>
        <w:rPr>
          <w:rFonts w:ascii="Cambria" w:hAnsi="Cambria" w:eastAsia="Cambria" w:cs="Cambria"/>
          <w:sz w:val="15"/>
          <w:szCs w:val="15"/>
          <w:color w:val="1A171C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</w:rPr>
        <w:t>Board</w:t>
      </w:r>
      <w:r>
        <w:rPr>
          <w:rFonts w:ascii="Cambria" w:hAnsi="Cambria" w:eastAsia="Cambria" w:cs="Cambria"/>
          <w:sz w:val="15"/>
          <w:szCs w:val="15"/>
          <w:color w:val="1A171C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</w:rPr>
        <w:t>Chinese</w:t>
      </w:r>
      <w:r>
        <w:rPr>
          <w:rFonts w:ascii="Cambria" w:hAnsi="Cambria" w:eastAsia="Cambria" w:cs="Cambria"/>
          <w:sz w:val="15"/>
          <w:szCs w:val="15"/>
          <w:color w:val="1A171C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</w:rPr>
        <w:t>Journal</w:t>
      </w:r>
      <w:r>
        <w:rPr>
          <w:rFonts w:ascii="Cambria" w:hAnsi="Cambria" w:eastAsia="Cambria" w:cs="Cambria"/>
          <w:sz w:val="15"/>
          <w:szCs w:val="15"/>
          <w:color w:val="1A171C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of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Cardiovascular,</w:t>
      </w:r>
      <w:r>
        <w:rPr>
          <w:rFonts w:ascii="Cambria" w:hAnsi="Cambria" w:eastAsia="Cambria" w:cs="Cambria"/>
          <w:sz w:val="15"/>
          <w:szCs w:val="15"/>
          <w:color w:val="1A171C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et al.  The</w:t>
      </w:r>
      <w:r>
        <w:rPr>
          <w:rFonts w:ascii="Cambria" w:hAnsi="Cambria" w:eastAsia="Cambria" w:cs="Cambria"/>
          <w:sz w:val="15"/>
          <w:szCs w:val="15"/>
          <w:color w:val="1A171C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guidelines</w:t>
      </w:r>
      <w:r>
        <w:rPr>
          <w:rFonts w:ascii="Cambria" w:hAnsi="Cambria" w:eastAsia="Cambria" w:cs="Cambria"/>
          <w:sz w:val="15"/>
          <w:szCs w:val="15"/>
          <w:color w:val="1A171C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1A171C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1A171C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manag</w:t>
      </w:r>
      <w:r>
        <w:rPr>
          <w:rFonts w:ascii="Cambria" w:hAnsi="Cambria" w:eastAsia="Cambria" w:cs="Cambria"/>
          <w:sz w:val="15"/>
          <w:szCs w:val="15"/>
          <w:color w:val="1A171C"/>
          <w:spacing w:val="2"/>
        </w:rPr>
        <w:t>ement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supraventricular</w:t>
      </w:r>
      <w:r>
        <w:rPr>
          <w:rFonts w:ascii="Cambria" w:hAnsi="Cambria" w:eastAsia="Cambria" w:cs="Cambria"/>
          <w:sz w:val="15"/>
          <w:szCs w:val="15"/>
          <w:color w:val="1A171C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arrhythmias</w:t>
      </w:r>
      <w:r>
        <w:rPr>
          <w:rFonts w:ascii="Cambria" w:hAnsi="Cambria" w:eastAsia="Cambria" w:cs="Cambria"/>
          <w:sz w:val="15"/>
          <w:szCs w:val="15"/>
          <w:color w:val="1A171C"/>
          <w:spacing w:val="10"/>
        </w:rPr>
        <w:t xml:space="preserve">   (</w:t>
      </w:r>
      <w:r>
        <w:rPr>
          <w:rFonts w:ascii="Cambria" w:hAnsi="Cambria" w:eastAsia="Cambria" w:cs="Cambria"/>
          <w:sz w:val="15"/>
          <w:szCs w:val="15"/>
          <w:color w:val="1A171C"/>
        </w:rPr>
        <w:t>no</w:t>
      </w:r>
      <w:r>
        <w:rPr>
          <w:rFonts w:ascii="Cambria" w:hAnsi="Cambria" w:eastAsia="Cambria" w:cs="Cambria"/>
          <w:sz w:val="15"/>
          <w:szCs w:val="15"/>
          <w:color w:val="1A171C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abstract</w:t>
      </w:r>
      <w:r>
        <w:rPr>
          <w:rFonts w:ascii="Cambria" w:hAnsi="Cambria" w:eastAsia="Cambria" w:cs="Cambria"/>
          <w:sz w:val="15"/>
          <w:szCs w:val="15"/>
          <w:color w:val="1A171C"/>
          <w:spacing w:val="10"/>
        </w:rPr>
        <w:t>)</w:t>
      </w:r>
      <w:r>
        <w:rPr>
          <w:rFonts w:ascii="Cambria" w:hAnsi="Cambria" w:eastAsia="Cambria" w:cs="Cambria"/>
          <w:sz w:val="15"/>
          <w:szCs w:val="15"/>
          <w:color w:val="1A171C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10"/>
        </w:rPr>
        <w:t>[J].</w:t>
      </w:r>
      <w:r>
        <w:rPr>
          <w:rFonts w:ascii="Cambria" w:hAnsi="Cambria" w:eastAsia="Cambria" w:cs="Cambria"/>
          <w:sz w:val="15"/>
          <w:szCs w:val="15"/>
          <w:color w:val="1A171C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Chin</w:t>
      </w:r>
      <w:r>
        <w:rPr>
          <w:rFonts w:ascii="Cambria" w:hAnsi="Cambria" w:eastAsia="Cambria" w:cs="Cambria"/>
          <w:sz w:val="15"/>
          <w:szCs w:val="15"/>
          <w:color w:val="1A171C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J </w:t>
      </w:r>
      <w:r>
        <w:rPr>
          <w:rFonts w:ascii="Cambria" w:hAnsi="Cambria" w:eastAsia="Cambria" w:cs="Cambria"/>
          <w:sz w:val="15"/>
          <w:szCs w:val="15"/>
          <w:color w:val="1A171C"/>
        </w:rPr>
        <w:t>Cardiol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2005,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33(1):  2-15.</w:t>
      </w:r>
      <w:r>
        <w:rPr>
          <w:rFonts w:ascii="Cambria" w:hAnsi="Cambria" w:eastAsia="Cambria" w:cs="Cambria"/>
          <w:sz w:val="15"/>
          <w:szCs w:val="15"/>
          <w:color w:val="1A171C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</w:rPr>
        <w:t>DOI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:   10.3760/j.  </w:t>
      </w:r>
      <w:r>
        <w:rPr>
          <w:rFonts w:ascii="Cambria" w:hAnsi="Cambria" w:eastAsia="Cambria" w:cs="Cambria"/>
          <w:sz w:val="15"/>
          <w:szCs w:val="15"/>
          <w:color w:val="1A171C"/>
        </w:rPr>
        <w:t>issn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.  0253-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3758.2005.01.002.</w:t>
      </w:r>
    </w:p>
    <w:p>
      <w:pPr>
        <w:pStyle w:val="BodyText"/>
        <w:ind w:left="414" w:right="905" w:hanging="414"/>
        <w:spacing w:before="2" w:line="213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10"/>
        </w:rPr>
        <w:t>[6]      </w:t>
      </w:r>
      <w:r>
        <w:rPr>
          <w:sz w:val="15"/>
          <w:szCs w:val="15"/>
          <w:color w:val="1A171C"/>
          <w:spacing w:val="10"/>
        </w:rPr>
        <w:t>国家药典委员会</w:t>
      </w:r>
      <w:r>
        <w:rPr>
          <w:sz w:val="15"/>
          <w:szCs w:val="15"/>
          <w:color w:val="1A171C"/>
          <w:spacing w:val="-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10"/>
        </w:rPr>
        <w:t>.  </w:t>
      </w:r>
      <w:r>
        <w:rPr>
          <w:sz w:val="15"/>
          <w:szCs w:val="15"/>
          <w:color w:val="1A171C"/>
          <w:spacing w:val="10"/>
        </w:rPr>
        <w:t>中华人民共和国药典临床用药须知</w:t>
      </w:r>
      <w:r>
        <w:rPr>
          <w:rFonts w:ascii="Cambria" w:hAnsi="Cambria" w:eastAsia="Cambria" w:cs="Cambria"/>
          <w:sz w:val="15"/>
          <w:szCs w:val="15"/>
          <w:color w:val="1A171C"/>
          <w:spacing w:val="10"/>
        </w:rPr>
        <w:t>:</w:t>
      </w:r>
      <w:r>
        <w:rPr>
          <w:sz w:val="15"/>
          <w:szCs w:val="15"/>
          <w:color w:val="1A171C"/>
          <w:spacing w:val="10"/>
        </w:rPr>
        <w:t>化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9"/>
        </w:rPr>
        <w:t>学药和生物制品卷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(2015 </w:t>
      </w:r>
      <w:r>
        <w:rPr>
          <w:sz w:val="15"/>
          <w:szCs w:val="15"/>
          <w:color w:val="1A171C"/>
          <w:spacing w:val="9"/>
        </w:rPr>
        <w:t>年版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)[M]. </w:t>
      </w:r>
      <w:r>
        <w:rPr>
          <w:sz w:val="15"/>
          <w:szCs w:val="15"/>
          <w:color w:val="1A171C"/>
          <w:spacing w:val="9"/>
        </w:rPr>
        <w:t>北京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:</w:t>
      </w:r>
      <w:r>
        <w:rPr>
          <w:sz w:val="15"/>
          <w:szCs w:val="15"/>
          <w:color w:val="1A171C"/>
          <w:spacing w:val="9"/>
        </w:rPr>
        <w:t>中国医药科技出</w:t>
      </w:r>
      <w:r>
        <w:rPr>
          <w:sz w:val="15"/>
          <w:szCs w:val="15"/>
          <w:color w:val="1A171C"/>
          <w:spacing w:val="11"/>
          <w:w w:val="101"/>
        </w:rPr>
        <w:t xml:space="preserve"> </w:t>
      </w:r>
      <w:r>
        <w:rPr>
          <w:sz w:val="15"/>
          <w:szCs w:val="15"/>
          <w:color w:val="1A171C"/>
          <w:spacing w:val="3"/>
        </w:rPr>
        <w:t>版社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2015.</w:t>
      </w:r>
    </w:p>
    <w:p>
      <w:pPr>
        <w:ind w:left="418" w:right="903"/>
        <w:spacing w:before="23" w:line="290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Chinese  Pharmacopoeia  Commission. Guidanc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e  Notes  on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Clinical</w:t>
      </w:r>
      <w:r>
        <w:rPr>
          <w:rFonts w:ascii="Cambria" w:hAnsi="Cambria" w:eastAsia="Cambria" w:cs="Cambria"/>
          <w:sz w:val="15"/>
          <w:szCs w:val="15"/>
          <w:color w:val="1A171C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Medications</w:t>
      </w:r>
      <w:r>
        <w:rPr>
          <w:rFonts w:ascii="Cambria" w:hAnsi="Cambria" w:eastAsia="Cambria" w:cs="Cambria"/>
          <w:sz w:val="15"/>
          <w:szCs w:val="15"/>
          <w:color w:val="1A171C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of the</w:t>
      </w:r>
      <w:r>
        <w:rPr>
          <w:rFonts w:ascii="Cambria" w:hAnsi="Cambria" w:eastAsia="Cambria" w:cs="Cambria"/>
          <w:sz w:val="15"/>
          <w:szCs w:val="15"/>
          <w:color w:val="1A171C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P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harmacopoeia</w:t>
      </w:r>
      <w:r>
        <w:rPr>
          <w:rFonts w:ascii="Cambria" w:hAnsi="Cambria" w:eastAsia="Cambria" w:cs="Cambria"/>
          <w:sz w:val="15"/>
          <w:szCs w:val="15"/>
          <w:color w:val="1A171C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of the</w:t>
      </w:r>
      <w:r>
        <w:rPr>
          <w:rFonts w:ascii="Cambria" w:hAnsi="Cambria" w:eastAsia="Cambria" w:cs="Cambria"/>
          <w:sz w:val="15"/>
          <w:szCs w:val="15"/>
          <w:color w:val="1A171C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People′s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Republic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</w:rPr>
        <w:t>China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:    </w:t>
      </w:r>
      <w:r>
        <w:rPr>
          <w:rFonts w:ascii="Cambria" w:hAnsi="Cambria" w:eastAsia="Cambria" w:cs="Cambria"/>
          <w:sz w:val="15"/>
          <w:szCs w:val="15"/>
          <w:color w:val="1A171C"/>
        </w:rPr>
        <w:t>Volume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</w:rPr>
        <w:t>Chemical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</w:rPr>
        <w:t>Drugs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</w:rPr>
        <w:t>and</w:t>
      </w:r>
      <w:r>
        <w:rPr>
          <w:rFonts w:ascii="Cambria" w:hAnsi="Cambria" w:eastAsia="Cambria" w:cs="Cambria"/>
          <w:sz w:val="15"/>
          <w:szCs w:val="15"/>
          <w:color w:val="1A171C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Biological</w:t>
      </w: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</w:rPr>
        <w:t>Products</w:t>
      </w: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 xml:space="preserve">   (2015)  [M].  </w:t>
      </w:r>
      <w:r>
        <w:rPr>
          <w:rFonts w:ascii="Cambria" w:hAnsi="Cambria" w:eastAsia="Cambria" w:cs="Cambria"/>
          <w:sz w:val="15"/>
          <w:szCs w:val="15"/>
          <w:color w:val="1A171C"/>
        </w:rPr>
        <w:t>Beijing</w:t>
      </w: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>:   </w:t>
      </w:r>
      <w:r>
        <w:rPr>
          <w:rFonts w:ascii="Cambria" w:hAnsi="Cambria" w:eastAsia="Cambria" w:cs="Cambria"/>
          <w:sz w:val="15"/>
          <w:szCs w:val="15"/>
          <w:color w:val="1A171C"/>
        </w:rPr>
        <w:t>China</w:t>
      </w: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</w:rPr>
        <w:t>Medical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Science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Press</w:t>
      </w:r>
      <w:r>
        <w:rPr>
          <w:rFonts w:ascii="Cambria" w:hAnsi="Cambria" w:eastAsia="Cambria" w:cs="Cambria"/>
          <w:sz w:val="15"/>
          <w:szCs w:val="15"/>
          <w:color w:val="1A171C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8"/>
        </w:rPr>
        <w:t>2015.</w:t>
      </w:r>
    </w:p>
    <w:p>
      <w:pPr>
        <w:pStyle w:val="BodyText"/>
        <w:ind w:left="413" w:right="905" w:hanging="413"/>
        <w:spacing w:before="10" w:line="21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[7]       </w:t>
      </w:r>
      <w:r>
        <w:rPr>
          <w:sz w:val="15"/>
          <w:szCs w:val="15"/>
          <w:color w:val="1A171C"/>
          <w:spacing w:val="7"/>
        </w:rPr>
        <w:t>国家基本药物临床应用指南和处</w:t>
      </w:r>
      <w:r>
        <w:rPr>
          <w:sz w:val="15"/>
          <w:szCs w:val="15"/>
          <w:color w:val="1A171C"/>
          <w:spacing w:val="6"/>
        </w:rPr>
        <w:t>方集编委会</w:t>
      </w:r>
      <w:r>
        <w:rPr>
          <w:sz w:val="15"/>
          <w:szCs w:val="15"/>
          <w:color w:val="1A171C"/>
          <w:spacing w:val="-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1A171C"/>
          <w:spacing w:val="23"/>
          <w:w w:val="101"/>
        </w:rPr>
        <w:t xml:space="preserve"> </w:t>
      </w:r>
      <w:r>
        <w:rPr>
          <w:sz w:val="15"/>
          <w:szCs w:val="15"/>
          <w:color w:val="1A171C"/>
          <w:spacing w:val="6"/>
        </w:rPr>
        <w:t>国家基本药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7"/>
        </w:rPr>
        <w:t>物处方集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: </w:t>
      </w:r>
      <w:r>
        <w:rPr>
          <w:sz w:val="15"/>
          <w:szCs w:val="15"/>
          <w:color w:val="1A171C"/>
          <w:spacing w:val="7"/>
        </w:rPr>
        <w:t>化学药品和生物制品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(2012</w:t>
      </w:r>
      <w:r>
        <w:rPr>
          <w:rFonts w:ascii="Cambria" w:hAnsi="Cambria" w:eastAsia="Cambria" w:cs="Cambria"/>
          <w:sz w:val="15"/>
          <w:szCs w:val="15"/>
          <w:color w:val="1A171C"/>
          <w:spacing w:val="-3"/>
        </w:rPr>
        <w:t xml:space="preserve"> </w:t>
      </w:r>
      <w:r>
        <w:rPr>
          <w:sz w:val="15"/>
          <w:szCs w:val="15"/>
          <w:color w:val="1A171C"/>
          <w:spacing w:val="7"/>
        </w:rPr>
        <w:t>年版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)[M]. </w:t>
      </w:r>
      <w:r>
        <w:rPr>
          <w:sz w:val="15"/>
          <w:szCs w:val="15"/>
          <w:color w:val="1A171C"/>
          <w:spacing w:val="7"/>
        </w:rPr>
        <w:t>北京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:</w:t>
      </w:r>
      <w:r>
        <w:rPr>
          <w:sz w:val="15"/>
          <w:szCs w:val="15"/>
          <w:color w:val="1A171C"/>
          <w:spacing w:val="7"/>
        </w:rPr>
        <w:t>人民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5"/>
        </w:rPr>
        <w:t>卫生出版社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2012.</w:t>
      </w:r>
    </w:p>
    <w:p>
      <w:pPr>
        <w:ind w:left="416" w:right="903" w:firstLine="3"/>
        <w:spacing w:before="22" w:line="288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Editorial   Committee   of</w:t>
      </w:r>
      <w:r>
        <w:rPr>
          <w:rFonts w:ascii="Cambria" w:hAnsi="Cambria" w:eastAsia="Cambria" w:cs="Cambria"/>
          <w:sz w:val="15"/>
          <w:szCs w:val="15"/>
          <w:color w:val="1A171C"/>
          <w:spacing w:val="2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Clinical</w:t>
      </w:r>
      <w:r>
        <w:rPr>
          <w:rFonts w:ascii="Cambria" w:hAnsi="Cambria" w:eastAsia="Cambria" w:cs="Cambria"/>
          <w:sz w:val="15"/>
          <w:szCs w:val="15"/>
          <w:color w:val="1A171C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Application   Guidelines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and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</w:rPr>
        <w:t>National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</w:rPr>
        <w:t>Formulary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</w:rPr>
        <w:t>for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</w:rPr>
        <w:t>Essential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</w:rPr>
        <w:t>Drugs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.   </w:t>
      </w:r>
      <w:r>
        <w:rPr>
          <w:rFonts w:ascii="Cambria" w:hAnsi="Cambria" w:eastAsia="Cambria" w:cs="Cambria"/>
          <w:sz w:val="15"/>
          <w:szCs w:val="15"/>
          <w:color w:val="1A171C"/>
        </w:rPr>
        <w:t>National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Formulary</w:t>
      </w:r>
      <w:r>
        <w:rPr>
          <w:rFonts w:ascii="Cambria" w:hAnsi="Cambria" w:eastAsia="Cambria" w:cs="Cambria"/>
          <w:sz w:val="15"/>
          <w:szCs w:val="15"/>
          <w:color w:val="1A171C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for     Essential     Medicine:     </w:t>
      </w:r>
      <w:r>
        <w:rPr>
          <w:rFonts w:ascii="Cambria" w:hAnsi="Cambria" w:eastAsia="Cambria" w:cs="Cambria"/>
          <w:sz w:val="15"/>
          <w:szCs w:val="15"/>
          <w:color w:val="1A171C"/>
          <w:spacing w:val="2"/>
        </w:rPr>
        <w:t>Chemicals</w:t>
      </w:r>
      <w:r>
        <w:rPr>
          <w:rFonts w:ascii="Cambria" w:hAnsi="Cambria" w:eastAsia="Cambria" w:cs="Cambria"/>
          <w:sz w:val="15"/>
          <w:szCs w:val="15"/>
          <w:color w:val="1A171C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1A171C"/>
          <w:spacing w:val="2"/>
        </w:rPr>
        <w:t>and</w:t>
      </w:r>
      <w:r>
        <w:rPr>
          <w:rFonts w:ascii="Cambria" w:hAnsi="Cambria" w:eastAsia="Cambria" w:cs="Cambria"/>
          <w:sz w:val="15"/>
          <w:szCs w:val="15"/>
          <w:color w:val="1A171C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Biological</w:t>
      </w:r>
      <w:r>
        <w:rPr>
          <w:rFonts w:ascii="Cambria" w:hAnsi="Cambria" w:eastAsia="Cambria" w:cs="Cambria"/>
          <w:sz w:val="15"/>
          <w:szCs w:val="15"/>
          <w:color w:val="1A171C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Products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 (2012)  [M]. </w:t>
      </w:r>
      <w:r>
        <w:rPr>
          <w:rFonts w:ascii="Cambria" w:hAnsi="Cambria" w:eastAsia="Cambria" w:cs="Cambria"/>
          <w:sz w:val="15"/>
          <w:szCs w:val="15"/>
          <w:color w:val="1A171C"/>
        </w:rPr>
        <w:t>Beijing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:  </w:t>
      </w:r>
      <w:r>
        <w:rPr>
          <w:rFonts w:ascii="Cambria" w:hAnsi="Cambria" w:eastAsia="Cambria" w:cs="Cambria"/>
          <w:sz w:val="15"/>
          <w:szCs w:val="15"/>
          <w:color w:val="1A171C"/>
        </w:rPr>
        <w:t>People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′</w:t>
      </w:r>
      <w:r>
        <w:rPr>
          <w:rFonts w:ascii="Cambria" w:hAnsi="Cambria" w:eastAsia="Cambria" w:cs="Cambria"/>
          <w:sz w:val="15"/>
          <w:szCs w:val="15"/>
          <w:color w:val="1A171C"/>
        </w:rPr>
        <w:t>s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Medical </w:t>
      </w:r>
      <w:r>
        <w:rPr>
          <w:rFonts w:ascii="Cambria" w:hAnsi="Cambria" w:eastAsia="Cambria" w:cs="Cambria"/>
          <w:sz w:val="15"/>
          <w:szCs w:val="15"/>
          <w:color w:val="1A171C"/>
        </w:rPr>
        <w:t>Publishing</w:t>
      </w:r>
      <w:r>
        <w:rPr>
          <w:rFonts w:ascii="Cambria" w:hAnsi="Cambria" w:eastAsia="Cambria" w:cs="Cambria"/>
          <w:sz w:val="15"/>
          <w:szCs w:val="15"/>
          <w:color w:val="1A171C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House</w:t>
      </w:r>
      <w:r>
        <w:rPr>
          <w:rFonts w:ascii="Cambria" w:hAnsi="Cambria" w:eastAsia="Cambria" w:cs="Cambria"/>
          <w:sz w:val="15"/>
          <w:szCs w:val="15"/>
          <w:color w:val="1A171C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11"/>
        </w:rPr>
        <w:t>2012.</w:t>
      </w:r>
    </w:p>
    <w:p>
      <w:pPr>
        <w:pStyle w:val="BodyText"/>
        <w:ind w:left="415" w:right="906" w:hanging="415"/>
        <w:spacing w:before="20" w:line="2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8"/>
        </w:rPr>
        <w:t>[8]      </w:t>
      </w:r>
      <w:r>
        <w:rPr>
          <w:sz w:val="15"/>
          <w:szCs w:val="15"/>
          <w:color w:val="1A171C"/>
          <w:spacing w:val="8"/>
        </w:rPr>
        <w:t>中国国家处方集编委会</w:t>
      </w:r>
      <w:r>
        <w:rPr>
          <w:sz w:val="15"/>
          <w:szCs w:val="15"/>
          <w:color w:val="1A171C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8"/>
        </w:rPr>
        <w:t>.  </w:t>
      </w:r>
      <w:r>
        <w:rPr>
          <w:sz w:val="15"/>
          <w:szCs w:val="15"/>
          <w:color w:val="1A171C"/>
          <w:spacing w:val="8"/>
        </w:rPr>
        <w:t>中国国家处方集</w:t>
      </w:r>
      <w:r>
        <w:rPr>
          <w:sz w:val="15"/>
          <w:szCs w:val="15"/>
          <w:color w:val="1A171C"/>
          <w:spacing w:val="-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8"/>
        </w:rPr>
        <w:t>: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1"/>
        </w:rPr>
        <w:t xml:space="preserve"> </w:t>
      </w:r>
      <w:r>
        <w:rPr>
          <w:sz w:val="15"/>
          <w:szCs w:val="15"/>
          <w:color w:val="1A171C"/>
          <w:spacing w:val="8"/>
        </w:rPr>
        <w:t>化学药品和生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6"/>
        </w:rPr>
        <w:t>物制品</w:t>
      </w: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>(2010</w:t>
      </w:r>
      <w:r>
        <w:rPr>
          <w:rFonts w:ascii="Cambria" w:hAnsi="Cambria" w:eastAsia="Cambria" w:cs="Cambria"/>
          <w:sz w:val="15"/>
          <w:szCs w:val="15"/>
          <w:color w:val="1A171C"/>
          <w:spacing w:val="-5"/>
        </w:rPr>
        <w:t xml:space="preserve"> </w:t>
      </w:r>
      <w:r>
        <w:rPr>
          <w:sz w:val="15"/>
          <w:szCs w:val="15"/>
          <w:color w:val="1A171C"/>
          <w:spacing w:val="6"/>
        </w:rPr>
        <w:t>年版</w:t>
      </w: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>)[M]. </w:t>
      </w:r>
      <w:r>
        <w:rPr>
          <w:sz w:val="15"/>
          <w:szCs w:val="15"/>
          <w:color w:val="1A171C"/>
          <w:spacing w:val="6"/>
        </w:rPr>
        <w:t>北京</w:t>
      </w: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>:</w:t>
      </w:r>
      <w:r>
        <w:rPr>
          <w:sz w:val="15"/>
          <w:szCs w:val="15"/>
          <w:color w:val="1A171C"/>
          <w:spacing w:val="6"/>
        </w:rPr>
        <w:t>人民军医出版社</w:t>
      </w: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>2010.</w:t>
      </w:r>
    </w:p>
    <w:p>
      <w:pPr>
        <w:ind w:left="419" w:right="903"/>
        <w:spacing w:before="43" w:line="25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China   National 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Formulary   Editorial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Committee.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China</w:t>
      </w:r>
      <w:r>
        <w:rPr>
          <w:rFonts w:ascii="Cambria" w:hAnsi="Cambria" w:eastAsia="Cambria" w:cs="Cambria"/>
          <w:sz w:val="15"/>
          <w:szCs w:val="15"/>
          <w:color w:val="1A171C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National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Formulary:</w:t>
      </w:r>
      <w:r>
        <w:rPr>
          <w:rFonts w:ascii="Cambria" w:hAnsi="Cambria" w:eastAsia="Cambria" w:cs="Cambria"/>
          <w:sz w:val="15"/>
          <w:szCs w:val="15"/>
          <w:color w:val="1A171C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Chemical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1A171C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Biological</w:t>
      </w:r>
      <w:r>
        <w:rPr>
          <w:rFonts w:ascii="Cambria" w:hAnsi="Cambria" w:eastAsia="Cambria" w:cs="Cambria"/>
          <w:sz w:val="15"/>
          <w:szCs w:val="15"/>
          <w:color w:val="1A171C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Products</w:t>
      </w:r>
    </w:p>
    <w:p>
      <w:pPr>
        <w:ind w:left="424"/>
        <w:spacing w:before="38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8"/>
          <w:position w:val="1"/>
        </w:rPr>
        <w:t>(2010)[M].</w:t>
      </w:r>
      <w:r>
        <w:rPr>
          <w:rFonts w:ascii="Cambria" w:hAnsi="Cambria" w:eastAsia="Cambria" w:cs="Cambria"/>
          <w:sz w:val="15"/>
          <w:szCs w:val="15"/>
          <w:color w:val="1A171C"/>
          <w:position w:val="1"/>
        </w:rPr>
        <w:t>Beijing</w:t>
      </w:r>
      <w:r>
        <w:rPr>
          <w:rFonts w:ascii="Cambria" w:hAnsi="Cambria" w:eastAsia="Cambria" w:cs="Cambria"/>
          <w:sz w:val="15"/>
          <w:szCs w:val="15"/>
          <w:color w:val="1A171C"/>
          <w:spacing w:val="8"/>
          <w:position w:val="1"/>
        </w:rPr>
        <w:t>:</w:t>
      </w:r>
      <w:r>
        <w:rPr>
          <w:rFonts w:ascii="Cambria" w:hAnsi="Cambria" w:eastAsia="Cambria" w:cs="Cambria"/>
          <w:sz w:val="15"/>
          <w:szCs w:val="15"/>
          <w:color w:val="1A171C"/>
          <w:spacing w:val="28"/>
          <w:position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position w:val="1"/>
        </w:rPr>
        <w:t>People</w:t>
      </w:r>
      <w:r>
        <w:rPr>
          <w:rFonts w:ascii="Cambria" w:hAnsi="Cambria" w:eastAsia="Cambria" w:cs="Cambria"/>
          <w:sz w:val="15"/>
          <w:szCs w:val="15"/>
          <w:color w:val="1A171C"/>
          <w:spacing w:val="8"/>
          <w:position w:val="1"/>
        </w:rPr>
        <w:t>′</w:t>
      </w:r>
      <w:r>
        <w:rPr>
          <w:rFonts w:ascii="Cambria" w:hAnsi="Cambria" w:eastAsia="Cambria" w:cs="Cambria"/>
          <w:sz w:val="15"/>
          <w:szCs w:val="15"/>
          <w:color w:val="1A171C"/>
          <w:position w:val="1"/>
        </w:rPr>
        <w:t>s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2"/>
          <w:position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position w:val="1"/>
        </w:rPr>
        <w:t>Military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1"/>
          <w:position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position w:val="1"/>
        </w:rPr>
        <w:t>Medical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2"/>
          <w:position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position w:val="1"/>
        </w:rPr>
        <w:t>Press</w:t>
      </w:r>
      <w:r>
        <w:rPr>
          <w:rFonts w:ascii="Cambria" w:hAnsi="Cambria" w:eastAsia="Cambria" w:cs="Cambria"/>
          <w:sz w:val="15"/>
          <w:szCs w:val="15"/>
          <w:color w:val="1A171C"/>
          <w:spacing w:val="8"/>
          <w:position w:val="1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2"/>
          <w:position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8"/>
          <w:position w:val="1"/>
        </w:rPr>
        <w:t>2010.</w:t>
      </w:r>
    </w:p>
    <w:p>
      <w:pPr>
        <w:spacing w:line="184" w:lineRule="exact"/>
        <w:sectPr>
          <w:type w:val="continuous"/>
          <w:pgSz w:w="12246" w:h="16498"/>
          <w:pgMar w:top="1221" w:right="400" w:bottom="0" w:left="400" w:header="971" w:footer="0" w:gutter="0"/>
          <w:cols w:equalWidth="0" w:num="2">
            <w:col w:w="6065" w:space="100"/>
            <w:col w:w="5282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line="305" w:lineRule="auto"/>
        <w:rPr>
          <w:rFonts w:ascii="Arial"/>
          <w:sz w:val="21"/>
        </w:rPr>
      </w:pPr>
      <w:r>
        <w:pict>
          <v:shape id="_x0000_s52" style="position:absolute;margin-left:220.298pt;margin-top:-687.208pt;mso-position-vertical-relative:text;mso-position-horizontal-relative:text;width:307pt;height:0.4pt;z-index:251674624;" filled="false" strokecolor="#1A171C" strokeweight="0.37pt" coordsize="6140,8" coordorigin="0,0" path="m0,3l6139,3e">
            <v:stroke joinstyle="miter" miterlimit="4"/>
          </v:shape>
        </w:pict>
      </w:r>
      <w:r/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spacing w:before="70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69979</wp:posOffset>
            </wp:positionV>
            <wp:extent cx="1219200" cy="143255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sectPr>
      <w:type w:val="continuous"/>
      <w:pgSz w:w="12246" w:h="16498"/>
      <w:pgMar w:top="1221" w:right="400" w:bottom="0" w:left="400" w:header="971" w:footer="0" w:gutter="0"/>
      <w:cols w:equalWidth="0" w:num="1">
        <w:col w:w="1144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803050406030204"/>
    <w:charset w:val="00"/>
    <w:family w:val="auto"/>
    <w:pitch w:val="variable"/>
    <w:sig w:usb0="E00006FF" w:usb1="4000045F" w:usb2="00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51.6944pt;margin-top:271.446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>
      <w:pict>
        <v:shape id="WordPictureWatermark4" style="position:absolute;margin-left:144.878pt;margin-top:225.93pt;mso-position-vertical-relative:page;mso-position-horizontal-relative:page;width:310.75pt;height:356.9pt;z-index:-251657216;" o:allowincell="f" filled="false" stroked="false" type="#_x0000_t75">
          <v:imagedata o:title="" r:id="rId2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22"/>
      <w:spacing w:before="36" w:line="186" w:lineRule="auto"/>
      <w:rPr>
        <w:sz w:val="15"/>
        <w:szCs w:val="15"/>
      </w:rPr>
    </w:pPr>
    <w:r>
      <w:pict>
        <v:shape id="WordPictureWatermark14" style="position:absolute;margin-left:51.6944pt;margin-top:271.446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pict>
        <v:shape id="WordPictureWatermark16" style="position:absolute;margin-left:144.878pt;margin-top:225.93pt;mso-position-vertical-relative:page;mso-position-horizontal-relative:page;width:310.75pt;height:356.9pt;z-index:-251655168;" o:allowincell="f" filled="false" stroked="false" type="#_x0000_t75">
          <v:imagedata o:title="" r:id="rId2"/>
        </v:shape>
      </w:pict>
    </w:r>
    <w:r>
      <w:pict>
        <v:shape id="_x0000_s18" style="position:absolute;margin-left:45.555pt;margin-top:1.25724pt;mso-position-vertical-relative:text;mso-position-horizontal-relative:text;width:33.95pt;height:13.8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1A171C"/>
                    <w:spacing w:val="35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436</w:t>
                </w:r>
                <w:r>
                  <w:rPr>
                    <w:sz w:val="15"/>
                    <w:szCs w:val="15"/>
                    <w:color w:val="1A171C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C"/>
        <w:spacing w:val="-3"/>
      </w:rPr>
      <w:t>中华全科医师杂志 2021 年</w:t>
    </w:r>
    <w:r>
      <w:rPr>
        <w:shd w:val="clear" w:fill="FEFEFE"/>
        <w:sz w:val="15"/>
        <w:szCs w:val="15"/>
        <w:color w:val="1A171C"/>
        <w:spacing w:val="-1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4 月第 20 卷第 4 期    Chin J Gen Pract, April 2021, Vol.</w:t>
    </w:r>
    <w:r>
      <w:rPr>
        <w:shd w:val="clear" w:fill="FEFEFE"/>
        <w:sz w:val="15"/>
        <w:szCs w:val="15"/>
        <w:color w:val="1A171C"/>
        <w:spacing w:val="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20,</w:t>
    </w:r>
    <w:r>
      <w:rPr>
        <w:shd w:val="clear" w:fill="FEFEFE"/>
        <w:sz w:val="15"/>
        <w:szCs w:val="15"/>
        <w:color w:val="1A171C"/>
        <w:spacing w:val="2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No. 4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4"/>
      <w:spacing w:before="36" w:line="186" w:lineRule="auto"/>
      <w:rPr>
        <w:sz w:val="15"/>
        <w:szCs w:val="15"/>
      </w:rPr>
    </w:pPr>
    <w:r>
      <w:pict>
        <v:shape id="WordPictureWatermark22" style="position:absolute;margin-left:51.6944pt;margin-top:271.446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>
      <w:pict>
        <v:shape id="WordPictureWatermark24" style="position:absolute;margin-left:144.878pt;margin-top:225.93pt;mso-position-vertical-relative:page;mso-position-horizontal-relative:page;width:310.75pt;height:356.9pt;z-index:-251652096;" o:allowincell="f" filled="false" stroked="false" type="#_x0000_t75">
          <v:imagedata o:title="" r:id="rId2"/>
        </v:shape>
      </w:pict>
    </w:r>
    <w:r>
      <w:pict>
        <v:shape id="_x0000_s26" style="position:absolute;margin-left:496.106pt;margin-top:1.25724pt;mso-position-vertical-relative:text;mso-position-horizontal-relative:text;width:33.95pt;height:13.8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1A171C"/>
                    <w:spacing w:val="35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437</w:t>
                </w:r>
                <w:r>
                  <w:rPr>
                    <w:sz w:val="15"/>
                    <w:szCs w:val="15"/>
                    <w:color w:val="1A171C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C"/>
        <w:spacing w:val="-3"/>
      </w:rPr>
      <w:t>中华全科医师杂志 2021 年</w:t>
    </w:r>
    <w:r>
      <w:rPr>
        <w:shd w:val="clear" w:fill="FEFEFE"/>
        <w:sz w:val="15"/>
        <w:szCs w:val="15"/>
        <w:color w:val="1A171C"/>
        <w:spacing w:val="-1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4 月第 20 卷第 4 期    Chin J Gen Pract, April 2021, Vol.</w:t>
    </w:r>
    <w:r>
      <w:rPr>
        <w:shd w:val="clear" w:fill="FEFEFE"/>
        <w:sz w:val="15"/>
        <w:szCs w:val="15"/>
        <w:color w:val="1A171C"/>
        <w:spacing w:val="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20,</w:t>
    </w:r>
    <w:r>
      <w:rPr>
        <w:shd w:val="clear" w:fill="FEFEFE"/>
        <w:sz w:val="15"/>
        <w:szCs w:val="15"/>
        <w:color w:val="1A171C"/>
        <w:spacing w:val="2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No. 4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22"/>
      <w:spacing w:before="36" w:line="186" w:lineRule="auto"/>
      <w:rPr>
        <w:sz w:val="15"/>
        <w:szCs w:val="15"/>
      </w:rPr>
    </w:pPr>
    <w:r>
      <w:pict>
        <v:shape id="WordPictureWatermark30" style="position:absolute;margin-left:51.6944pt;margin-top:271.446pt;mso-position-vertical-relative:page;mso-position-horizontal-relative:page;width:514.25pt;height:279.85pt;z-index:-251650048;" o:allowincell="f" filled="false" stroked="false" type="#_x0000_t75">
          <v:imagedata o:title="" r:id="rId1"/>
        </v:shape>
      </w:pict>
    </w:r>
    <w:r>
      <w:pict>
        <v:shape id="WordPictureWatermark32" style="position:absolute;margin-left:144.878pt;margin-top:225.93pt;mso-position-vertical-relative:page;mso-position-horizontal-relative:page;width:310.75pt;height:356.9pt;z-index:-251649024;" o:allowincell="f" filled="false" stroked="false" type="#_x0000_t75">
          <v:imagedata o:title="" r:id="rId2"/>
        </v:shape>
      </w:pict>
    </w:r>
    <w:r>
      <w:pict>
        <v:shape id="_x0000_s34" style="position:absolute;margin-left:45.555pt;margin-top:1.25724pt;mso-position-vertical-relative:text;mso-position-horizontal-relative:text;width:33.95pt;height:13.8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1A171C"/>
                    <w:spacing w:val="35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438</w:t>
                </w:r>
                <w:r>
                  <w:rPr>
                    <w:sz w:val="15"/>
                    <w:szCs w:val="15"/>
                    <w:color w:val="1A171C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C"/>
        <w:spacing w:val="-3"/>
      </w:rPr>
      <w:t>中华全科医师杂志 2021 年</w:t>
    </w:r>
    <w:r>
      <w:rPr>
        <w:shd w:val="clear" w:fill="FEFEFE"/>
        <w:sz w:val="15"/>
        <w:szCs w:val="15"/>
        <w:color w:val="1A171C"/>
        <w:spacing w:val="-1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4 月第 20 卷第 4 期    Chin J Gen Pract, April 2021, Vol.</w:t>
    </w:r>
    <w:r>
      <w:rPr>
        <w:shd w:val="clear" w:fill="FEFEFE"/>
        <w:sz w:val="15"/>
        <w:szCs w:val="15"/>
        <w:color w:val="1A171C"/>
        <w:spacing w:val="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20,</w:t>
    </w:r>
    <w:r>
      <w:rPr>
        <w:shd w:val="clear" w:fill="FEFEFE"/>
        <w:sz w:val="15"/>
        <w:szCs w:val="15"/>
        <w:color w:val="1A171C"/>
        <w:spacing w:val="2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No. 4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4"/>
      <w:spacing w:before="36" w:line="186" w:lineRule="auto"/>
      <w:rPr>
        <w:sz w:val="15"/>
        <w:szCs w:val="15"/>
      </w:rPr>
    </w:pPr>
    <w:r>
      <w:pict>
        <v:shape id="WordPictureWatermark38" style="position:absolute;margin-left:51.6944pt;margin-top:271.446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>
      <w:pict>
        <v:shape id="WordPictureWatermark40" style="position:absolute;margin-left:144.878pt;margin-top:225.93pt;mso-position-vertical-relative:page;mso-position-horizontal-relative:page;width:310.75pt;height:356.9pt;z-index:-251645952;" o:allowincell="f" filled="false" stroked="false" type="#_x0000_t75">
          <v:imagedata o:title="" r:id="rId2"/>
        </v:shape>
      </w:pict>
    </w:r>
    <w:r>
      <w:pict>
        <v:shape id="_x0000_s42" style="position:absolute;margin-left:496.106pt;margin-top:1.25724pt;mso-position-vertical-relative:text;mso-position-horizontal-relative:text;width:33.95pt;height:13.8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1A171C"/>
                    <w:spacing w:val="35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439</w:t>
                </w:r>
                <w:r>
                  <w:rPr>
                    <w:sz w:val="15"/>
                    <w:szCs w:val="15"/>
                    <w:color w:val="1A171C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C"/>
        <w:spacing w:val="-3"/>
      </w:rPr>
      <w:t>中华全科医师杂志 2021 年</w:t>
    </w:r>
    <w:r>
      <w:rPr>
        <w:shd w:val="clear" w:fill="FEFEFE"/>
        <w:sz w:val="15"/>
        <w:szCs w:val="15"/>
        <w:color w:val="1A171C"/>
        <w:spacing w:val="-1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4 月第 20 卷第 4 期    Chin J Gen Pract, April 2021, Vol.</w:t>
    </w:r>
    <w:r>
      <w:rPr>
        <w:shd w:val="clear" w:fill="FEFEFE"/>
        <w:sz w:val="15"/>
        <w:szCs w:val="15"/>
        <w:color w:val="1A171C"/>
        <w:spacing w:val="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20,</w:t>
    </w:r>
    <w:r>
      <w:rPr>
        <w:shd w:val="clear" w:fill="FEFEFE"/>
        <w:sz w:val="15"/>
        <w:szCs w:val="15"/>
        <w:color w:val="1A171C"/>
        <w:spacing w:val="2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No. 4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22"/>
      <w:spacing w:before="36" w:line="186" w:lineRule="auto"/>
      <w:rPr>
        <w:sz w:val="15"/>
        <w:szCs w:val="15"/>
      </w:rPr>
    </w:pPr>
    <w:r>
      <w:pict>
        <v:shape id="WordPictureWatermark46" style="position:absolute;margin-left:51.6944pt;margin-top:271.446pt;mso-position-vertical-relative:page;mso-position-horizontal-relative:page;width:514.25pt;height:279.85pt;z-index:-251643904;" o:allowincell="f" filled="false" stroked="false" type="#_x0000_t75">
          <v:imagedata o:title="" r:id="rId1"/>
        </v:shape>
      </w:pict>
    </w:r>
    <w:r>
      <w:pict>
        <v:shape id="WordPictureWatermark48" style="position:absolute;margin-left:144.878pt;margin-top:225.93pt;mso-position-vertical-relative:page;mso-position-horizontal-relative:page;width:310.75pt;height:356.9pt;z-index:-251642880;" o:allowincell="f" filled="false" stroked="false" type="#_x0000_t75">
          <v:imagedata o:title="" r:id="rId2"/>
        </v:shape>
      </w:pict>
    </w:r>
    <w:r>
      <w:pict>
        <v:shape id="_x0000_s50" style="position:absolute;margin-left:45.555pt;margin-top:1.25724pt;mso-position-vertical-relative:text;mso-position-horizontal-relative:text;width:33.95pt;height:13.8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1A171C"/>
                    <w:spacing w:val="35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440</w:t>
                </w:r>
                <w:r>
                  <w:rPr>
                    <w:sz w:val="15"/>
                    <w:szCs w:val="15"/>
                    <w:color w:val="1A171C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C"/>
        <w:spacing w:val="-3"/>
      </w:rPr>
      <w:t>中华全科医师杂志 2021 年</w:t>
    </w:r>
    <w:r>
      <w:rPr>
        <w:shd w:val="clear" w:fill="FEFEFE"/>
        <w:sz w:val="15"/>
        <w:szCs w:val="15"/>
        <w:color w:val="1A171C"/>
        <w:spacing w:val="-1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4 月第 20 卷第 4 期    Chin J Gen Pract, April 2021, Vol.</w:t>
    </w:r>
    <w:r>
      <w:rPr>
        <w:shd w:val="clear" w:fill="FEFEFE"/>
        <w:sz w:val="15"/>
        <w:szCs w:val="15"/>
        <w:color w:val="1A171C"/>
        <w:spacing w:val="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20,</w:t>
    </w:r>
    <w:r>
      <w:rPr>
        <w:shd w:val="clear" w:fill="FEFEFE"/>
        <w:sz w:val="15"/>
        <w:szCs w:val="15"/>
        <w:color w:val="1A171C"/>
        <w:spacing w:val="2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No. 4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0.png"/><Relationship Id="rId8" Type="http://schemas.openxmlformats.org/officeDocument/2006/relationships/image" Target="media/image9.png"/><Relationship Id="rId7" Type="http://schemas.openxmlformats.org/officeDocument/2006/relationships/header" Target="header2.xml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8" Type="http://schemas.openxmlformats.org/officeDocument/2006/relationships/fontTable" Target="fontTable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header" Target="header6.xml"/><Relationship Id="rId14" Type="http://schemas.openxmlformats.org/officeDocument/2006/relationships/header" Target="header5.xml"/><Relationship Id="rId13" Type="http://schemas.openxmlformats.org/officeDocument/2006/relationships/header" Target="header4.xml"/><Relationship Id="rId12" Type="http://schemas.openxmlformats.org/officeDocument/2006/relationships/header" Target="header3.xml"/><Relationship Id="rId11" Type="http://schemas.openxmlformats.org/officeDocument/2006/relationships/image" Target="media/image12.png"/><Relationship Id="rId10" Type="http://schemas.openxmlformats.org/officeDocument/2006/relationships/image" Target="media/image11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3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4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5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2024-12-28T20:22:48Z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2025-10-29T09:40:30</vt:filetime>
  </property>
</Properties>
</file>