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183"/>
        <w:spacing w:before="64" w:line="19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" style="position:absolute;margin-left:45.5552pt;margin-top:3.22963pt;mso-position-vertical-relative:text;mso-position-horizontal-relative:text;width:33.95pt;height:13.2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8"/>
                      <w:w w:val="105"/>
                    </w:rPr>
                    <w:t>·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8"/>
                      <w:w w:val="105"/>
                    </w:rPr>
                    <w:t>166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  <w:w w:val="102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18"/>
                      <w:w w:val="105"/>
                    </w:rPr>
                    <w:t>·</w:t>
                  </w:r>
                </w:p>
              </w:txbxContent>
            </v:textbox>
          </v:shape>
        </w:pict>
      </w:r>
      <w:r>
        <w:rPr>
          <w:sz w:val="15"/>
          <w:szCs w:val="15"/>
          <w:u w:val="single" w:color="auto"/>
          <w:color w:val="231F20"/>
          <w:spacing w:val="4"/>
        </w:rPr>
        <w:t>中华全科医师杂志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2021 </w:t>
      </w:r>
      <w:r>
        <w:rPr>
          <w:sz w:val="15"/>
          <w:szCs w:val="15"/>
          <w:u w:val="single" w:color="auto"/>
          <w:color w:val="231F20"/>
          <w:spacing w:val="4"/>
        </w:rPr>
        <w:t>年</w:t>
      </w:r>
      <w:r>
        <w:rPr>
          <w:sz w:val="15"/>
          <w:szCs w:val="15"/>
          <w:u w:val="single" w:color="auto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 </w:t>
      </w:r>
      <w:r>
        <w:rPr>
          <w:sz w:val="15"/>
          <w:szCs w:val="15"/>
          <w:u w:val="single" w:color="auto"/>
          <w:color w:val="231F20"/>
          <w:spacing w:val="4"/>
        </w:rPr>
        <w:t>月第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20 </w:t>
      </w:r>
      <w:r>
        <w:rPr>
          <w:sz w:val="15"/>
          <w:szCs w:val="15"/>
          <w:u w:val="single" w:color="auto"/>
          <w:color w:val="231F20"/>
          <w:spacing w:val="4"/>
        </w:rPr>
        <w:t>卷第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 </w:t>
      </w:r>
      <w:r>
        <w:rPr>
          <w:sz w:val="15"/>
          <w:szCs w:val="15"/>
          <w:u w:val="single" w:color="auto"/>
          <w:color w:val="231F20"/>
          <w:spacing w:val="4"/>
        </w:rPr>
        <w:t>期  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Chin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Gen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Pract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February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2021,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20,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6047"/>
        <w:spacing w:before="115" w:line="182" w:lineRule="auto"/>
        <w:rPr/>
      </w:pPr>
      <w:r>
        <w:rPr>
          <w:color w:val="231F20"/>
          <w:spacing w:val="23"/>
          <w:w w:val="125"/>
        </w:rPr>
        <w:t>·</w:t>
      </w:r>
      <w:r>
        <w:rPr>
          <w:sz w:val="27"/>
          <w:szCs w:val="27"/>
          <w:color w:val="231F20"/>
          <w:spacing w:val="23"/>
          <w:w w:val="125"/>
        </w:rPr>
        <w:t>基层常见疾病合理用药指南</w:t>
      </w:r>
      <w:r>
        <w:rPr>
          <w:sz w:val="27"/>
          <w:szCs w:val="27"/>
          <w:color w:val="231F20"/>
          <w:spacing w:val="-29"/>
        </w:rPr>
        <w:t xml:space="preserve"> </w:t>
      </w:r>
      <w:r>
        <w:rPr>
          <w:color w:val="231F20"/>
          <w:spacing w:val="23"/>
          <w:w w:val="125"/>
        </w:rPr>
        <w:t>·</w:t>
      </w:r>
    </w:p>
    <w:p>
      <w:pPr>
        <w:pStyle w:val="BodyText"/>
        <w:ind w:left="920"/>
        <w:spacing w:before="331" w:line="18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心房颤动基层合理用药指南</w:t>
      </w:r>
    </w:p>
    <w:p>
      <w:pPr>
        <w:pStyle w:val="BodyText"/>
        <w:ind w:left="908" w:right="2731" w:firstLine="32"/>
        <w:spacing w:before="308" w:line="225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-4"/>
        </w:rPr>
        <w:t>中华医学会    中华医学会临床药学分会    中华医学会杂志社    中华医学会全科医学分会</w:t>
      </w:r>
      <w:r>
        <w:rPr>
          <w:color w:val="231F20"/>
          <w:spacing w:val="3"/>
        </w:rPr>
        <w:t xml:space="preserve">     </w:t>
      </w:r>
      <w:r>
        <w:rPr>
          <w:color w:val="231F20"/>
          <w:spacing w:val="-9"/>
        </w:rPr>
        <w:t>中华医学会《中华全科医师杂志》编辑委员会</w:t>
      </w:r>
      <w:r>
        <w:rPr>
          <w:color w:val="231F20"/>
          <w:spacing w:val="-10"/>
        </w:rPr>
        <w:t xml:space="preserve">   基层医疗卫生机构合理用药指南编写专家组</w:t>
      </w:r>
      <w:r>
        <w:rPr>
          <w:color w:val="231F20"/>
        </w:rPr>
        <w:t xml:space="preserve">     </w:t>
      </w:r>
      <w:r>
        <w:rPr>
          <w:color w:val="231F20"/>
          <w:spacing w:val="-10"/>
        </w:rPr>
        <w:t>通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0"/>
        </w:rPr>
        <w:t>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作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0"/>
        </w:rPr>
        <w:t>：张 幸 国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0"/>
        </w:rPr>
        <w:t>，浙 江 大 学 医 学 院 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0"/>
        </w:rPr>
        <w:t>属 第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一 医 院 药</w:t>
      </w:r>
      <w:r>
        <w:rPr>
          <w:color w:val="231F20"/>
          <w:spacing w:val="-11"/>
        </w:rPr>
        <w:t xml:space="preserve"> 学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1"/>
        </w:rPr>
        <w:t>，杭 州  </w:t>
      </w:r>
      <w:r>
        <w:rPr>
          <w:rFonts w:ascii="Times New Roman" w:hAnsi="Times New Roman" w:eastAsia="Times New Roman" w:cs="Times New Roman"/>
          <w:color w:val="231F20"/>
          <w:spacing w:val="-11"/>
        </w:rPr>
        <w:t>310003</w:t>
      </w:r>
      <w:r>
        <w:rPr>
          <w:color w:val="231F20"/>
          <w:spacing w:val="-11"/>
        </w:rPr>
        <w:t>，</w:t>
      </w:r>
      <w:r>
        <w:rPr>
          <w:rFonts w:ascii="Times New Roman" w:hAnsi="Times New Roman" w:eastAsia="Times New Roman" w:cs="Times New Roman"/>
          <w:color w:val="231F20"/>
          <w:spacing w:val="-11"/>
        </w:rPr>
        <w:t>Email</w:t>
      </w:r>
      <w:r>
        <w:rPr>
          <w:color w:val="231F20"/>
          <w:spacing w:val="-11"/>
        </w:rPr>
        <w:t>：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xgzhang666@163.com</w:t>
      </w:r>
      <w:r>
        <w:rPr>
          <w:color w:val="231F20"/>
          <w:spacing w:val="-3"/>
        </w:rPr>
        <w:t>；赵杰，</w:t>
      </w:r>
      <w:r>
        <w:rPr>
          <w:color w:val="231F20"/>
          <w:spacing w:val="-4"/>
        </w:rPr>
        <w:t>郑州大学第一附属医院 </w:t>
      </w:r>
      <w:r>
        <w:rPr>
          <w:rFonts w:ascii="Times New Roman" w:hAnsi="Times New Roman" w:eastAsia="Times New Roman" w:cs="Times New Roman"/>
          <w:color w:val="231F20"/>
          <w:spacing w:val="-4"/>
        </w:rPr>
        <w:t>450052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Email</w:t>
      </w:r>
      <w:r>
        <w:rPr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color w:val="231F20"/>
          <w:spacing w:val="-4"/>
        </w:rPr>
        <w:t>zhaojie@zzu.edu.cn</w:t>
      </w:r>
    </w:p>
    <w:p>
      <w:pPr>
        <w:pStyle w:val="BodyText"/>
        <w:ind w:left="1201"/>
        <w:spacing w:before="296" w:line="208" w:lineRule="auto"/>
        <w:rPr>
          <w:sz w:val="17"/>
          <w:szCs w:val="1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1661333</wp:posOffset>
            </wp:positionH>
            <wp:positionV relativeFrom="paragraph">
              <wp:posOffset>74496</wp:posOffset>
            </wp:positionV>
            <wp:extent cx="3949861" cy="46228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1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40"/>
        </w:rPr>
        <w:t xml:space="preserve"> </w:t>
      </w:r>
      <w:r>
        <w:rPr>
          <w:sz w:val="17"/>
          <w:szCs w:val="17"/>
          <w:color w:val="231F20"/>
        </w:rPr>
        <w:t>指南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</w:rPr>
        <w:t>；</w:t>
      </w:r>
      <w:r>
        <w:rPr>
          <w:sz w:val="17"/>
          <w:szCs w:val="17"/>
          <w:color w:val="231F20"/>
          <w:spacing w:val="48"/>
          <w:w w:val="101"/>
        </w:rPr>
        <w:t xml:space="preserve"> </w:t>
      </w:r>
      <w:r>
        <w:rPr>
          <w:sz w:val="17"/>
          <w:szCs w:val="17"/>
          <w:color w:val="231F20"/>
        </w:rPr>
        <w:t>心房颤动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</w:rPr>
        <w:t>；</w:t>
      </w:r>
      <w:r>
        <w:rPr>
          <w:sz w:val="17"/>
          <w:szCs w:val="17"/>
          <w:color w:val="231F20"/>
          <w:spacing w:val="47"/>
          <w:w w:val="101"/>
        </w:rPr>
        <w:t xml:space="preserve"> </w:t>
      </w:r>
      <w:r>
        <w:rPr>
          <w:sz w:val="17"/>
          <w:szCs w:val="17"/>
          <w:color w:val="231F20"/>
        </w:rPr>
        <w:t>药物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914"/>
        <w:spacing w:before="50" w:line="196" w:lineRule="auto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</w:rPr>
        <w:t>Guideline for rational medication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</w:rPr>
        <w:t>of atrial fibrillation in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4"/>
        </w:rPr>
        <w:t>pr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3"/>
        </w:rPr>
        <w:t>imary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7"/>
          <w:szCs w:val="17"/>
          <w:b/>
          <w:bCs/>
          <w:color w:val="231F20"/>
          <w:spacing w:val="3"/>
        </w:rPr>
        <w:t>care</w:t>
      </w:r>
    </w:p>
    <w:p>
      <w:pPr>
        <w:ind w:left="909" w:right="2819" w:firstLine="26"/>
        <w:spacing w:before="84" w:line="284" w:lineRule="auto"/>
        <w:jc w:val="both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Medical Association,  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Society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Clinical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Pharmacy,  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Medica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9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Journals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Publishing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House,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6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 Society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General Practice,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Edi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torial Board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Chinese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Journal 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General Practitioners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Chinese  Medical  Association,    Expert  Group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of   Guidelines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for  Rational  Med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ication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in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Primary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"/>
        </w:rPr>
        <w:t>Care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Institution</w:t>
      </w:r>
    </w:p>
    <w:p>
      <w:pPr>
        <w:ind w:left="938" w:right="2794" w:hanging="15"/>
        <w:spacing w:before="2" w:line="276" w:lineRule="auto"/>
        <w:jc w:val="both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Corresponding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author: Zhang Xingguo,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Department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4"/>
        </w:rPr>
        <w:t>Pharma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cy,  the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First Affiliated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"/>
        </w:rPr>
        <w:t>Hospital, Zhejiang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School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Medicine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Hangzhou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>310003,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 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>: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xgzhang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>666@163.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com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>;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Zhao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>Jie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4"/>
        </w:rPr>
        <w:t>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</w:rPr>
        <w:t xml:space="preserve">  the</w:t>
      </w:r>
    </w:p>
    <w:p>
      <w:pPr>
        <w:ind w:left="949"/>
        <w:spacing w:before="33" w:line="207" w:lineRule="exact"/>
        <w:rPr>
          <w:rFonts w:ascii="Cambria" w:hAnsi="Cambria" w:eastAsia="Cambria" w:cs="Cambria"/>
          <w:sz w:val="17"/>
          <w:szCs w:val="17"/>
        </w:rPr>
      </w:pP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First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-1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Affiliated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Hospital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of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20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University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Zhengzhou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 xml:space="preserve"> 450052,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3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China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,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Email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: 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zhaojie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@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zzu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edu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spacing w:val="17"/>
          <w:position w:val="2"/>
        </w:rPr>
        <w:t>.</w:t>
      </w:r>
      <w:r>
        <w:rPr>
          <w:rFonts w:ascii="Cambria" w:hAnsi="Cambria" w:eastAsia="Cambria" w:cs="Cambria"/>
          <w:sz w:val="17"/>
          <w:szCs w:val="17"/>
          <w:i/>
          <w:iCs/>
          <w:color w:val="231F20"/>
          <w:position w:val="2"/>
        </w:rPr>
        <w:t>cn</w:t>
      </w:r>
    </w:p>
    <w:p>
      <w:pPr>
        <w:spacing w:before="181"/>
        <w:rPr/>
      </w:pPr>
      <w:r/>
    </w:p>
    <w:p>
      <w:pPr>
        <w:sectPr>
          <w:headerReference w:type="default" r:id="rId1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/>
      </w:pPr>
    </w:p>
    <w:p>
      <w:pPr>
        <w:ind w:left="1338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一、疾病概述</w:t>
      </w:r>
    </w:p>
    <w:p>
      <w:pPr>
        <w:pStyle w:val="BodyText"/>
        <w:ind w:left="908" w:right="473" w:firstLine="423"/>
        <w:spacing w:before="51" w:line="223" w:lineRule="auto"/>
        <w:jc w:val="both"/>
        <w:rPr/>
      </w:pPr>
      <w:r>
        <w:rPr>
          <w:color w:val="231F20"/>
        </w:rPr>
        <w:t>心房颤动（</w:t>
      </w:r>
      <w:r>
        <w:rPr>
          <w:rFonts w:ascii="Times New Roman" w:hAnsi="Times New Roman" w:eastAsia="Times New Roman" w:cs="Times New Roman"/>
          <w:color w:val="231F20"/>
        </w:rPr>
        <w:t>atrial fibrilla</w:t>
      </w:r>
      <w:r>
        <w:rPr>
          <w:rFonts w:ascii="Times New Roman" w:hAnsi="Times New Roman" w:eastAsia="Times New Roman" w:cs="Times New Roman"/>
          <w:color w:val="231F20"/>
          <w:spacing w:val="-1"/>
        </w:rPr>
        <w:t>tion</w:t>
      </w:r>
      <w:r>
        <w:rPr>
          <w:color w:val="231F20"/>
          <w:spacing w:val="-1"/>
        </w:rPr>
        <w:t>）是一种常见的心律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失常，是指规则有序的心房电活动丧失，代之以快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速无序的颤动波，是严重的心房电活动紊乱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。心房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颤动在心电图上主要表现为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P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波消失，代之以不规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则的心房颤动波；</w:t>
      </w:r>
      <w:r>
        <w:rPr>
          <w:rFonts w:ascii="Times New Roman" w:hAnsi="Times New Roman" w:eastAsia="Times New Roman" w:cs="Times New Roman"/>
          <w:color w:val="231F20"/>
        </w:rPr>
        <w:t>RR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间期绝对不规则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。心房颤动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使心房失去有效的收缩与舒张，伴有快速或缓慢心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室率，导致心脏泵血功能下降，心房内附壁血栓形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。其常见的临床症状包括心慌、胸闷、运动耐量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下降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。器质性心脏病发生心房颤动的症状较重，当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心室率</w:t>
      </w:r>
      <w:r>
        <w:rPr>
          <w:rFonts w:ascii="Times New Roman" w:hAnsi="Times New Roman" w:eastAsia="Times New Roman" w:cs="Times New Roman"/>
          <w:color w:val="231F20"/>
          <w:spacing w:val="11"/>
        </w:rPr>
        <w:t>&gt;150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1"/>
        </w:rPr>
        <w:t>次</w:t>
      </w:r>
      <w:r>
        <w:rPr>
          <w:rFonts w:ascii="Times New Roman" w:hAnsi="Times New Roman" w:eastAsia="Times New Roman" w:cs="Times New Roman"/>
          <w:color w:val="231F20"/>
          <w:spacing w:val="11"/>
        </w:rPr>
        <w:t>/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时还可诱发冠心病患者出现心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绞痛发作、二尖瓣狭窄患者发生急性肺水肿、心功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能受损患者发生急性心力衰竭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</w:t>
      </w:r>
    </w:p>
    <w:p>
      <w:pPr>
        <w:ind w:left="1337"/>
        <w:spacing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二、药物治疗原则</w:t>
      </w:r>
    </w:p>
    <w:p>
      <w:pPr>
        <w:pStyle w:val="BodyText"/>
        <w:ind w:left="908" w:right="473" w:firstLine="423"/>
        <w:spacing w:before="61" w:line="223" w:lineRule="auto"/>
        <w:jc w:val="both"/>
        <w:rPr/>
      </w:pPr>
      <w:r>
        <w:rPr>
          <w:color w:val="231F20"/>
          <w:spacing w:val="16"/>
        </w:rPr>
        <w:t>心房颤动的主要药物治疗包括预防患者发生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卒中风险的抗凝治疗、改善患者症状、降低心室率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的药物治疗，以及恢复并维持窦性心律的抗心律失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  <w:position w:val="-1"/>
        </w:rPr>
        <w:t>常药物治疗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7"/>
        </w:rPr>
        <w:t>1‑5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。见表 </w:t>
      </w:r>
      <w:r>
        <w:rPr>
          <w:rFonts w:ascii="Times New Roman" w:hAnsi="Times New Roman" w:eastAsia="Times New Roman" w:cs="Times New Roman"/>
          <w:color w:val="231F20"/>
          <w:spacing w:val="-3"/>
          <w:position w:val="-1"/>
        </w:rPr>
        <w:t>1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1348"/>
        <w:spacing w:before="1" w:line="193" w:lineRule="auto"/>
        <w:rPr/>
      </w:pPr>
      <w:r>
        <w:pict>
          <v:shape id="_x0000_s6" style="position:absolute;margin-left:45.2613pt;margin-top:21.1154pt;mso-position-vertical-relative:text;mso-position-horizontal-relative:text;width:399.15pt;height:0.15pt;z-index:251663360;" filled="false" strokecolor="#231F20" strokeweight="0.14pt" coordsize="7982,3" coordorigin="0,0" path="m0,1l7982,1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color w:val="231F20"/>
          <w:spacing w:val="13"/>
        </w:rPr>
        <w:t>1. </w:t>
      </w:r>
      <w:r>
        <w:rPr>
          <w:color w:val="231F20"/>
          <w:spacing w:val="13"/>
        </w:rPr>
        <w:t>心房颤动患者最严重的并发症是脑卒中等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28" w:firstLine="1"/>
        <w:spacing w:before="55" w:line="223" w:lineRule="auto"/>
        <w:jc w:val="both"/>
        <w:rPr/>
      </w:pPr>
      <w:r>
        <w:rPr>
          <w:color w:val="231F20"/>
          <w:spacing w:val="6"/>
        </w:rPr>
        <w:t>血栓性疾病的发生，随机对照研究表明，维生素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K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15"/>
        </w:rPr>
        <w:t>拮抗剂华法林可使心房颤动患者卒中发生率降低</w:t>
      </w:r>
      <w:r>
        <w:rPr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3"/>
        </w:rPr>
        <w:t>64%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3"/>
        </w:rPr>
        <w:t>。非维生素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K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3"/>
        </w:rPr>
        <w:t>拮抗口服抗凝药为心房颤动血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栓预防提供了更安全有效的选择，包括直接凝血酶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抑制剂达比加群酯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6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、</w:t>
      </w:r>
      <w:r>
        <w:rPr>
          <w:rFonts w:ascii="Times New Roman" w:hAnsi="Times New Roman" w:eastAsia="Times New Roman" w:cs="Times New Roman"/>
          <w:color w:val="231F20"/>
          <w:spacing w:val="7"/>
        </w:rPr>
        <w:t>Ⅹa </w:t>
      </w:r>
      <w:r>
        <w:rPr>
          <w:color w:val="231F20"/>
          <w:spacing w:val="7"/>
        </w:rPr>
        <w:t>因子抑制剂利伐沙班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7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sz w:val="10"/>
          <w:szCs w:val="10"/>
          <w:color w:val="231F20"/>
          <w:spacing w:val="2"/>
          <w:position w:val="8"/>
        </w:rPr>
        <w:t xml:space="preserve">  </w:t>
      </w:r>
      <w:r>
        <w:rPr>
          <w:color w:val="231F20"/>
          <w:spacing w:val="-1"/>
        </w:rPr>
        <w:t>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。不推荐抗血小板药物（如阿司匹林、氯吡格雷）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用于心房颤动患者的血栓栓塞的预防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8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right="840" w:firstLine="424"/>
        <w:spacing w:before="11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17"/>
        </w:rPr>
        <w:t>2.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color w:val="231F20"/>
          <w:spacing w:val="17"/>
        </w:rPr>
        <w:t>心室率控制是心房颤动管理的主要策略，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也是治疗的基本目标之一，能够明显改善心房颤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3"/>
        </w:rPr>
        <w:t>动相关症状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。对于无心力衰竭或低血压，不伴有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预激综合征的心房颤动患者，心室率控制的常用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2"/>
        </w:rPr>
        <w:t>药物包括 </w:t>
      </w:r>
      <w:r>
        <w:rPr>
          <w:rFonts w:ascii="Times New Roman" w:hAnsi="Times New Roman" w:eastAsia="Times New Roman" w:cs="Times New Roman"/>
          <w:color w:val="231F20"/>
          <w:spacing w:val="12"/>
        </w:rPr>
        <w:t>β </w:t>
      </w:r>
      <w:r>
        <w:rPr>
          <w:color w:val="231F20"/>
          <w:spacing w:val="12"/>
        </w:rPr>
        <w:t>受体阻滞剂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、非二氢吡啶类钙离子拮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抗剂地尔硫</w:t>
      </w:r>
      <w:r>
        <w:rPr>
          <w:rFonts w:ascii="SimSun" w:hAnsi="SimSun" w:eastAsia="SimSun" w:cs="SimSun"/>
          <w:color w:val="231F20"/>
          <w:spacing w:val="12"/>
        </w:rPr>
        <w:t>草</w:t>
      </w:r>
      <w:r>
        <w:rPr>
          <w:color w:val="231F20"/>
          <w:spacing w:val="12"/>
        </w:rPr>
        <w:t>和维拉帕米</w:t>
      </w:r>
      <w:r>
        <w:rPr>
          <w:sz w:val="10"/>
          <w:szCs w:val="10"/>
          <w:color w:val="231F20"/>
          <w:spacing w:val="1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position w:val="8"/>
        </w:rPr>
        <w:t>9</w:t>
      </w:r>
      <w:r>
        <w:rPr>
          <w:sz w:val="10"/>
          <w:szCs w:val="10"/>
          <w:color w:val="231F20"/>
          <w:spacing w:val="12"/>
          <w:position w:val="8"/>
        </w:rPr>
        <w:t>］</w:t>
      </w:r>
      <w:r>
        <w:rPr>
          <w:color w:val="231F20"/>
          <w:spacing w:val="12"/>
        </w:rPr>
        <w:t>。而对于急性心力衰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竭伴快速心室率心房颤动的患者，可选用胺碘酮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  <w:position w:val="-1"/>
        </w:rPr>
        <w:t>或洋地黄类药物</w:t>
      </w:r>
      <w:r>
        <w:rPr>
          <w:sz w:val="10"/>
          <w:szCs w:val="10"/>
          <w:color w:val="231F20"/>
          <w:spacing w:val="3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7"/>
        </w:rPr>
        <w:t>10</w:t>
      </w:r>
      <w:r>
        <w:rPr>
          <w:sz w:val="10"/>
          <w:szCs w:val="10"/>
          <w:color w:val="231F20"/>
          <w:spacing w:val="3"/>
          <w:position w:val="7"/>
        </w:rPr>
        <w:t>］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right="906" w:firstLine="426"/>
        <w:spacing w:before="61" w:line="215" w:lineRule="auto"/>
        <w:rPr/>
      </w:pPr>
      <w:r>
        <w:pict>
          <v:shape id="_x0000_s8" style="position:absolute;margin-left:158.533pt;margin-top:72.401pt;mso-position-vertical-relative:text;mso-position-horizontal-relative:text;width:68.2pt;height:68.2pt;z-index:251661312;" filled="false" strokecolor="#231F20" strokeweight="0.25pt" coordsize="1363,1363" coordorigin="0,0" path="m,l0,1363l1363,1363l1363,0l0,0e">
            <v:stroke joinstyle="miter" miterlimit="0"/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2012683</wp:posOffset>
            </wp:positionH>
            <wp:positionV relativeFrom="paragraph">
              <wp:posOffset>918813</wp:posOffset>
            </wp:positionV>
            <wp:extent cx="864001" cy="86399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001" cy="863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15"/>
        </w:rPr>
        <w:t>3.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5"/>
        </w:rPr>
        <w:t>恢复并维持窦性心律的抗心律失常药物治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疗是改善心房颤动患者症状的主要治疗措施，主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要的药物包括</w:t>
      </w:r>
      <w:r>
        <w:rPr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Ⅰc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2"/>
        </w:rPr>
        <w:t>类（如普罗帕酮）、</w:t>
      </w:r>
      <w:r>
        <w:rPr>
          <w:rFonts w:ascii="Times New Roman" w:hAnsi="Times New Roman" w:eastAsia="Times New Roman" w:cs="Times New Roman"/>
          <w:color w:val="231F20"/>
          <w:spacing w:val="2"/>
        </w:rPr>
        <w:t>Ⅲ</w:t>
      </w:r>
      <w:r>
        <w:rPr>
          <w:color w:val="231F20"/>
          <w:spacing w:val="2"/>
        </w:rPr>
        <w:t>类抗心律失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常药（如胺碘酮、伊布利特、索他洛尔）等。</w:t>
      </w:r>
    </w:p>
    <w:p>
      <w:pPr>
        <w:spacing w:line="215" w:lineRule="auto"/>
        <w:sectPr>
          <w:type w:val="continuous"/>
          <w:pgSz w:w="12246" w:h="16498"/>
          <w:pgMar w:top="400" w:right="400" w:bottom="0" w:left="400" w:header="0" w:footer="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908"/>
        <w:spacing w:before="73" w:line="20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sz w:val="17"/>
          <w:szCs w:val="17"/>
          <w:color w:val="231F20"/>
          <w:spacing w:val="6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114798-2020121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0-01241</w:t>
      </w:r>
    </w:p>
    <w:p>
      <w:pPr>
        <w:pStyle w:val="BodyText"/>
        <w:ind w:left="912"/>
        <w:spacing w:before="35" w:line="208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7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2020-12-10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"/>
        </w:rPr>
        <w:t xml:space="preserve">          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70"/>
        </w:rPr>
        <w:t xml:space="preserve"> </w:t>
      </w:r>
      <w:r>
        <w:rPr>
          <w:sz w:val="17"/>
          <w:szCs w:val="17"/>
          <w:color w:val="231F20"/>
          <w:spacing w:val="9"/>
        </w:rPr>
        <w:t>赵静姝   刘岚</w:t>
      </w:r>
    </w:p>
    <w:p>
      <w:pPr>
        <w:pStyle w:val="BodyText"/>
        <w:ind w:left="914" w:right="2561" w:firstLine="7"/>
        <w:spacing w:before="33" w:line="24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引用本文：</w:t>
      </w:r>
      <w:r>
        <w:rPr>
          <w:sz w:val="17"/>
          <w:szCs w:val="17"/>
          <w:color w:val="231F20"/>
          <w:spacing w:val="8"/>
        </w:rPr>
        <w:t>中华医学会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8"/>
          <w:w w:val="101"/>
        </w:rPr>
        <w:t xml:space="preserve"> </w:t>
      </w:r>
      <w:r>
        <w:rPr>
          <w:sz w:val="17"/>
          <w:szCs w:val="17"/>
          <w:color w:val="231F20"/>
          <w:spacing w:val="8"/>
        </w:rPr>
        <w:t>中华医学会临床药学分会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8"/>
        </w:rPr>
        <w:t xml:space="preserve"> </w:t>
      </w:r>
      <w:r>
        <w:rPr>
          <w:sz w:val="17"/>
          <w:szCs w:val="17"/>
          <w:color w:val="231F20"/>
          <w:spacing w:val="8"/>
        </w:rPr>
        <w:t>中华医学会杂志社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, </w:t>
      </w:r>
      <w:r>
        <w:rPr>
          <w:sz w:val="17"/>
          <w:szCs w:val="17"/>
          <w:color w:val="231F20"/>
          <w:spacing w:val="8"/>
        </w:rPr>
        <w:t>等</w:t>
      </w:r>
      <w:r>
        <w:rPr>
          <w:sz w:val="17"/>
          <w:szCs w:val="17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. </w:t>
      </w:r>
      <w:r>
        <w:rPr>
          <w:sz w:val="17"/>
          <w:szCs w:val="17"/>
          <w:color w:val="231F20"/>
          <w:spacing w:val="8"/>
        </w:rPr>
        <w:t>心房颤动基层合理用药指南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3"/>
        </w:rPr>
        <w:t xml:space="preserve"> </w:t>
      </w:r>
      <w:r>
        <w:rPr>
          <w:sz w:val="17"/>
          <w:szCs w:val="17"/>
          <w:color w:val="231F20"/>
          <w:spacing w:val="5"/>
        </w:rPr>
        <w:t>中华全科医师杂志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, 2021, 20(2):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166-174.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114798-20201210-01241.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spacing w:before="69" w:line="186" w:lineRule="auto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70220</wp:posOffset>
            </wp:positionV>
            <wp:extent cx="1219200" cy="14325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2246" w:h="16498"/>
          <w:pgMar w:top="400" w:right="400" w:bottom="0" w:left="400" w:header="0" w:footer="0" w:gutter="0"/>
          <w:cols w:equalWidth="0" w:num="1">
            <w:col w:w="11446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268" w:lineRule="auto"/>
        <w:rPr>
          <w:rFonts w:ascii="Arial"/>
          <w:sz w:val="21"/>
        </w:rPr>
      </w:pPr>
      <w:r>
        <w:pict>
          <v:shape id="_x0000_s14" style="position:absolute;margin-left:45.3808pt;margin-top:-1.27216pt;mso-position-vertical-relative:text;mso-position-horizontal-relative:text;width:318.95pt;height:0.4pt;z-index:251665408;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pStyle w:val="BodyText"/>
        <w:ind w:left="4684"/>
        <w:spacing w:before="73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    </w:t>
      </w:r>
      <w:r>
        <w:rPr>
          <w:sz w:val="17"/>
          <w:szCs w:val="17"/>
          <w:color w:val="231F20"/>
          <w:spacing w:val="6"/>
        </w:rPr>
        <w:t>心房颤动的药物治疗</w:t>
      </w:r>
    </w:p>
    <w:p>
      <w:pPr>
        <w:spacing w:line="29" w:lineRule="exact"/>
        <w:rPr/>
      </w:pPr>
      <w:r/>
    </w:p>
    <w:tbl>
      <w:tblPr>
        <w:tblStyle w:val="TableNormal"/>
        <w:tblW w:w="9637" w:type="dxa"/>
        <w:tblInd w:w="90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55"/>
        <w:gridCol w:w="3438"/>
        <w:gridCol w:w="3844"/>
      </w:tblGrid>
      <w:tr>
        <w:trPr>
          <w:trHeight w:val="265" w:hRule="atLeast"/>
        </w:trPr>
        <w:tc>
          <w:tcPr>
            <w:tcW w:w="235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45"/>
              <w:spacing w:before="54" w:line="184" w:lineRule="auto"/>
              <w:rPr/>
            </w:pPr>
            <w:r>
              <w:rPr>
                <w:color w:val="231F20"/>
                <w:spacing w:val="8"/>
              </w:rPr>
              <w:t>用药指征</w:t>
            </w:r>
          </w:p>
        </w:tc>
        <w:tc>
          <w:tcPr>
            <w:tcW w:w="343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49"/>
              <w:spacing w:before="54" w:line="184" w:lineRule="auto"/>
              <w:rPr/>
            </w:pPr>
            <w:r>
              <w:rPr>
                <w:color w:val="231F20"/>
                <w:spacing w:val="8"/>
              </w:rPr>
              <w:t>药物种类</w:t>
            </w:r>
          </w:p>
        </w:tc>
        <w:tc>
          <w:tcPr>
            <w:tcW w:w="38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671"/>
              <w:spacing w:before="53" w:line="187" w:lineRule="auto"/>
              <w:rPr/>
            </w:pPr>
            <w:r>
              <w:rPr>
                <w:color w:val="231F20"/>
                <w:spacing w:val="7"/>
              </w:rPr>
              <w:t>推荐药物</w:t>
            </w:r>
          </w:p>
        </w:tc>
      </w:tr>
      <w:tr>
        <w:trPr>
          <w:trHeight w:val="813" w:hRule="atLeast"/>
        </w:trPr>
        <w:tc>
          <w:tcPr>
            <w:tcW w:w="23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2" w:right="219" w:hanging="159"/>
              <w:spacing w:before="56" w:line="168" w:lineRule="auto"/>
              <w:rPr/>
            </w:pPr>
            <w:r>
              <w:rPr>
                <w:color w:val="231F20"/>
                <w:spacing w:val="9"/>
              </w:rPr>
              <w:t>心房颤动急性发作时控制快速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7"/>
              </w:rPr>
              <w:t>心室率</w:t>
            </w:r>
          </w:p>
        </w:tc>
        <w:tc>
          <w:tcPr>
            <w:tcW w:w="34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0"/>
              <w:spacing w:before="54" w:line="20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Ⅱ</w:t>
            </w:r>
            <w:r>
              <w:rPr>
                <w:color w:val="231F20"/>
                <w:spacing w:val="7"/>
              </w:rPr>
              <w:t>类(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β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7"/>
              </w:rPr>
              <w:t>受体阻滞剂）抗心律失常药</w:t>
            </w:r>
          </w:p>
          <w:p>
            <w:pPr>
              <w:pStyle w:val="TableText"/>
              <w:ind w:left="227" w:right="177" w:firstLine="12"/>
              <w:spacing w:before="56" w:line="22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Ⅳ</w:t>
            </w:r>
            <w:r>
              <w:rPr>
                <w:color w:val="231F20"/>
              </w:rPr>
              <w:t>类（非二氢吡啶类钙拮抗剂）抗心律失常药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洋地黄类抗心律失常药</w:t>
            </w:r>
          </w:p>
        </w:tc>
        <w:tc>
          <w:tcPr>
            <w:tcW w:w="38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6" w:right="1583" w:hanging="1"/>
              <w:spacing w:before="57" w:line="255" w:lineRule="auto"/>
              <w:rPr/>
            </w:pPr>
            <w:r>
              <w:rPr>
                <w:color w:val="231F20"/>
                <w:spacing w:val="-2"/>
              </w:rPr>
              <w:t>美托洛尔、艾司洛尔、普萘洛尔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地尔硫</w:t>
            </w:r>
            <w:r>
              <w:rPr>
                <w:rFonts w:ascii="SimSun" w:hAnsi="SimSun" w:eastAsia="SimSun" w:cs="SimSun"/>
                <w:color w:val="231F20"/>
              </w:rPr>
              <w:t>草</w:t>
            </w:r>
            <w:r>
              <w:rPr>
                <w:color w:val="231F20"/>
              </w:rPr>
              <w:t>、维拉帕米</w:t>
            </w:r>
          </w:p>
          <w:p>
            <w:pPr>
              <w:pStyle w:val="TableText"/>
              <w:ind w:left="188"/>
              <w:spacing w:line="185" w:lineRule="auto"/>
              <w:rPr/>
            </w:pPr>
            <w:r>
              <w:rPr>
                <w:color w:val="231F20"/>
                <w:spacing w:val="1"/>
              </w:rPr>
              <w:t>去乙酰毛花苷、地高辛</w:t>
            </w:r>
          </w:p>
        </w:tc>
      </w:tr>
      <w:tr>
        <w:trPr>
          <w:trHeight w:val="273" w:hRule="atLeast"/>
        </w:trPr>
        <w:tc>
          <w:tcPr>
            <w:tcW w:w="2355" w:type="dxa"/>
            <w:vAlign w:val="top"/>
          </w:tcPr>
          <w:p>
            <w:pPr>
              <w:pStyle w:val="TableText"/>
              <w:ind w:left="64"/>
              <w:spacing w:before="65" w:line="184" w:lineRule="auto"/>
              <w:rPr/>
            </w:pPr>
            <w:r>
              <w:rPr>
                <w:color w:val="231F20"/>
                <w:spacing w:val="5"/>
              </w:rPr>
              <w:t>复律</w:t>
            </w:r>
          </w:p>
        </w:tc>
        <w:tc>
          <w:tcPr>
            <w:tcW w:w="3438" w:type="dxa"/>
            <w:vAlign w:val="top"/>
          </w:tcPr>
          <w:p>
            <w:pPr>
              <w:pStyle w:val="TableText"/>
              <w:ind w:left="278"/>
              <w:spacing w:before="61" w:line="18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Ⅰc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类（钠通道阻滞剂）抗心律失常药</w:t>
            </w:r>
          </w:p>
        </w:tc>
        <w:tc>
          <w:tcPr>
            <w:tcW w:w="3844" w:type="dxa"/>
            <w:vAlign w:val="top"/>
          </w:tcPr>
          <w:p>
            <w:pPr>
              <w:pStyle w:val="TableText"/>
              <w:ind w:left="185"/>
              <w:spacing w:before="65" w:line="183" w:lineRule="auto"/>
              <w:rPr/>
            </w:pPr>
            <w:r>
              <w:rPr>
                <w:color w:val="231F20"/>
                <w:spacing w:val="8"/>
              </w:rPr>
              <w:t>普罗帕酮</w:t>
            </w:r>
          </w:p>
        </w:tc>
      </w:tr>
      <w:tr>
        <w:trPr>
          <w:trHeight w:val="273" w:hRule="atLeast"/>
        </w:trPr>
        <w:tc>
          <w:tcPr>
            <w:tcW w:w="23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38" w:type="dxa"/>
            <w:vAlign w:val="top"/>
          </w:tcPr>
          <w:p>
            <w:pPr>
              <w:pStyle w:val="TableText"/>
              <w:ind w:left="247"/>
              <w:spacing w:before="61" w:line="18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Ⅲ</w:t>
            </w:r>
            <w:r>
              <w:rPr>
                <w:color w:val="231F20"/>
                <w:spacing w:val="-2"/>
              </w:rPr>
              <w:t>类（钾通道阻滞剂）抗心律失常药</w:t>
            </w:r>
          </w:p>
        </w:tc>
        <w:tc>
          <w:tcPr>
            <w:tcW w:w="3844" w:type="dxa"/>
            <w:vAlign w:val="top"/>
          </w:tcPr>
          <w:p>
            <w:pPr>
              <w:pStyle w:val="TableText"/>
              <w:ind w:left="185"/>
              <w:spacing w:before="64" w:line="185" w:lineRule="auto"/>
              <w:rPr/>
            </w:pPr>
            <w:r>
              <w:rPr>
                <w:color w:val="231F20"/>
                <w:spacing w:val="-3"/>
              </w:rPr>
              <w:t>胺碘酮、伊布利特、索他洛尔</w:t>
            </w:r>
          </w:p>
        </w:tc>
      </w:tr>
      <w:tr>
        <w:trPr>
          <w:trHeight w:val="276" w:hRule="atLeast"/>
        </w:trPr>
        <w:tc>
          <w:tcPr>
            <w:tcW w:w="235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4"/>
              <w:spacing w:before="65" w:line="184" w:lineRule="auto"/>
              <w:rPr/>
            </w:pPr>
            <w:r>
              <w:rPr>
                <w:color w:val="231F20"/>
                <w:spacing w:val="9"/>
              </w:rPr>
              <w:t>预防心房颤动引起的血栓栓塞</w:t>
            </w:r>
          </w:p>
        </w:tc>
        <w:tc>
          <w:tcPr>
            <w:tcW w:w="343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5"/>
              <w:spacing w:before="66" w:line="184" w:lineRule="auto"/>
              <w:rPr/>
            </w:pPr>
            <w:r>
              <w:rPr>
                <w:color w:val="231F20"/>
                <w:spacing w:val="8"/>
              </w:rPr>
              <w:t>抗凝药</w:t>
            </w:r>
          </w:p>
        </w:tc>
        <w:tc>
          <w:tcPr>
            <w:tcW w:w="384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85"/>
              <w:spacing w:before="65" w:line="186" w:lineRule="auto"/>
              <w:rPr/>
            </w:pPr>
            <w:r>
              <w:rPr>
                <w:color w:val="231F20"/>
                <w:spacing w:val="-5"/>
              </w:rPr>
              <w:t>华法林、达比加群酯、利伐沙班、肝素、低分子肝素</w:t>
            </w:r>
          </w:p>
        </w:tc>
      </w:tr>
    </w:tbl>
    <w:p>
      <w:pPr>
        <w:spacing w:line="181" w:lineRule="exact"/>
        <w:rPr>
          <w:rFonts w:ascii="Arial"/>
          <w:sz w:val="15"/>
        </w:rPr>
      </w:pPr>
      <w:r/>
    </w:p>
    <w:p>
      <w:pPr>
        <w:spacing w:line="181" w:lineRule="exact"/>
        <w:sectPr>
          <w:headerReference w:type="default" r:id="rId5"/>
          <w:footerReference w:type="default" r:id="rId6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ind w:left="1341"/>
        <w:spacing w:before="47" w:line="269" w:lineRule="exact"/>
        <w:outlineLvl w:val="1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三、治疗药物</w:t>
      </w:r>
      <w:r>
        <w:rPr>
          <w:rFonts w:ascii="SimHei" w:hAnsi="SimHei" w:eastAsia="SimHei" w:cs="SimHei"/>
          <w:sz w:val="10"/>
          <w:szCs w:val="10"/>
          <w:color w:val="231F20"/>
          <w:spacing w:val="-8"/>
          <w:position w:val="9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8"/>
          <w:position w:val="9"/>
        </w:rPr>
        <w:t>11-13</w:t>
      </w:r>
      <w:r>
        <w:rPr>
          <w:rFonts w:ascii="SimHei" w:hAnsi="SimHei" w:eastAsia="SimHei" w:cs="SimHei"/>
          <w:sz w:val="10"/>
          <w:szCs w:val="10"/>
          <w:color w:val="231F20"/>
          <w:spacing w:val="-8"/>
          <w:position w:val="9"/>
        </w:rPr>
        <w:t>］</w:t>
      </w:r>
    </w:p>
    <w:p>
      <w:pPr>
        <w:ind w:left="1255"/>
        <w:spacing w:before="48" w:line="268" w:lineRule="exact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（一）美托洛尔</w:t>
      </w:r>
    </w:p>
    <w:p>
      <w:pPr>
        <w:pStyle w:val="BodyText"/>
        <w:ind w:left="1348"/>
        <w:spacing w:before="57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药品分类：</w:t>
      </w:r>
      <w:r>
        <w:rPr>
          <w:rFonts w:ascii="Times New Roman" w:hAnsi="Times New Roman" w:eastAsia="Times New Roman" w:cs="Times New Roman"/>
          <w:color w:val="231F20"/>
          <w:spacing w:val="4"/>
        </w:rPr>
        <w:t>Ⅱ</w:t>
      </w:r>
      <w:r>
        <w:rPr>
          <w:color w:val="231F20"/>
          <w:spacing w:val="4"/>
        </w:rPr>
        <w:t>类抗心律失常药。</w:t>
      </w:r>
    </w:p>
    <w:p>
      <w:pPr>
        <w:pStyle w:val="BodyText"/>
        <w:ind w:left="1332"/>
        <w:spacing w:before="17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用药目的：用于心房颤动控制心室率。</w:t>
      </w:r>
    </w:p>
    <w:p>
      <w:pPr>
        <w:pStyle w:val="BodyText"/>
        <w:ind w:left="908" w:right="468" w:firstLine="425"/>
        <w:spacing w:before="22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禁忌证：禁用于心原性休克；病态窦房结综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合征；二、三度房室传导阻滞；不稳定的、失代偿性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心力衰竭患者（肺水肿、低灌注或低血压</w:t>
      </w:r>
      <w:r>
        <w:rPr>
          <w:color w:val="231F20"/>
          <w:spacing w:val="-31"/>
          <w:w w:val="65"/>
        </w:rPr>
        <w:t>）；</w:t>
      </w:r>
      <w:r>
        <w:rPr>
          <w:color w:val="231F20"/>
          <w:spacing w:val="6"/>
        </w:rPr>
        <w:t>有症状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的心动过缓或低血压；心率</w:t>
      </w:r>
      <w:r>
        <w:rPr>
          <w:rFonts w:ascii="Times New Roman" w:hAnsi="Times New Roman" w:eastAsia="Times New Roman" w:cs="Times New Roman"/>
          <w:color w:val="231F20"/>
          <w:spacing w:val="6"/>
        </w:rPr>
        <w:t>&lt;45 </w:t>
      </w:r>
      <w:r>
        <w:rPr>
          <w:color w:val="231F20"/>
          <w:spacing w:val="6"/>
        </w:rPr>
        <w:t>次</w:t>
      </w:r>
      <w:r>
        <w:rPr>
          <w:rFonts w:ascii="Times New Roman" w:hAnsi="Times New Roman" w:eastAsia="Times New Roman" w:cs="Times New Roman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color w:val="231F20"/>
          <w:spacing w:val="6"/>
        </w:rPr>
        <w:t>、</w:t>
      </w:r>
      <w:r>
        <w:rPr>
          <w:rFonts w:ascii="Times New Roman" w:hAnsi="Times New Roman" w:eastAsia="Times New Roman" w:cs="Times New Roman"/>
          <w:color w:val="231F20"/>
        </w:rPr>
        <w:t>PQ</w:t>
      </w:r>
      <w:r>
        <w:rPr>
          <w:rFonts w:ascii="Times New Roman" w:hAnsi="Times New Roman" w:eastAsia="Times New Roman" w:cs="Times New Roman"/>
          <w:color w:val="231F20"/>
          <w:spacing w:val="48"/>
          <w:w w:val="101"/>
        </w:rPr>
        <w:t xml:space="preserve"> </w:t>
      </w:r>
      <w:r>
        <w:rPr>
          <w:color w:val="231F20"/>
          <w:spacing w:val="6"/>
        </w:rPr>
        <w:t>间期</w:t>
      </w:r>
      <w:r>
        <w:rPr>
          <w:rFonts w:ascii="Times New Roman" w:hAnsi="Times New Roman" w:eastAsia="Times New Roman" w:cs="Times New Roman"/>
          <w:color w:val="231F20"/>
          <w:spacing w:val="6"/>
        </w:rPr>
        <w:t>&gt;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0.24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s </w:t>
      </w:r>
      <w:r>
        <w:rPr>
          <w:color w:val="231F20"/>
          <w:spacing w:val="-1"/>
        </w:rPr>
        <w:t>或收缩压</w:t>
      </w:r>
      <w:r>
        <w:rPr>
          <w:rFonts w:ascii="Times New Roman" w:hAnsi="Times New Roman" w:eastAsia="Times New Roman" w:cs="Times New Roman"/>
          <w:color w:val="231F20"/>
          <w:spacing w:val="-1"/>
        </w:rPr>
        <w:t>&lt;100 mmHg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1 mmH</w:t>
      </w:r>
      <w:r>
        <w:rPr>
          <w:rFonts w:ascii="Times New Roman" w:hAnsi="Times New Roman" w:eastAsia="Times New Roman" w:cs="Times New Roman"/>
          <w:color w:val="231F20"/>
          <w:spacing w:val="-2"/>
        </w:rPr>
        <w:t>g=0.133 kPa</w:t>
      </w:r>
      <w:r>
        <w:rPr>
          <w:color w:val="231F20"/>
          <w:spacing w:val="-2"/>
        </w:rPr>
        <w:t>）的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怀疑急性心肌梗死的患者；伴有坏疽危险的严重外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周血管疾病患者；对本品中任何成分或其他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β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受体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阻滞剂过敏者。</w:t>
      </w:r>
    </w:p>
    <w:p>
      <w:pPr>
        <w:pStyle w:val="BodyText"/>
        <w:ind w:left="908" w:right="470" w:firstLine="419"/>
        <w:spacing w:before="52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14"/>
        </w:rPr>
        <w:t>4. </w:t>
      </w:r>
      <w:r>
        <w:rPr>
          <w:color w:val="231F20"/>
          <w:spacing w:val="14"/>
        </w:rPr>
        <w:t>不良反应及处理：常见不良反应为心动过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0"/>
          <w:w w:val="99"/>
        </w:rPr>
        <w:t>缓、心脏传导阻滞、心力衰竭、低血压、皮肤瘙痒、胃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肠道反应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、头晕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、乏力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、抑郁等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。一般不需要特殊 </w:t>
      </w:r>
      <w:r>
        <w:rPr>
          <w:color w:val="231F20"/>
          <w:spacing w:val="4"/>
        </w:rPr>
        <w:t>处理。</w:t>
      </w:r>
    </w:p>
    <w:p>
      <w:pPr>
        <w:pStyle w:val="BodyText"/>
        <w:ind w:left="911" w:right="389" w:firstLine="420"/>
        <w:spacing w:before="56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5. </w:t>
      </w:r>
      <w:r>
        <w:rPr>
          <w:color w:val="231F20"/>
          <w:spacing w:val="6"/>
        </w:rPr>
        <w:t>剂型和规格</w:t>
      </w:r>
      <w:r>
        <w:rPr>
          <w:color w:val="231F20"/>
          <w:spacing w:val="-44"/>
          <w:w w:val="79"/>
        </w:rPr>
        <w:t>：（</w:t>
      </w:r>
      <w:r>
        <w:rPr>
          <w:color w:val="231F20"/>
          <w:spacing w:val="6"/>
        </w:rPr>
        <w:t>酒石酸盐）片剂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color w:val="231F20"/>
          <w:spacing w:val="6"/>
        </w:rPr>
        <w:t>25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6"/>
        </w:rPr>
        <w:t>/</w:t>
      </w:r>
      <w:r>
        <w:rPr>
          <w:color w:val="231F20"/>
          <w:spacing w:val="6"/>
        </w:rPr>
        <w:t>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50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mg/</w:t>
      </w:r>
      <w:r>
        <w:rPr>
          <w:color w:val="231F20"/>
          <w:spacing w:val="-8"/>
        </w:rPr>
        <w:t>片</w:t>
      </w:r>
      <w:r>
        <w:rPr>
          <w:color w:val="231F20"/>
          <w:spacing w:val="-29"/>
          <w:w w:val="61"/>
        </w:rPr>
        <w:t>；（</w:t>
      </w:r>
      <w:r>
        <w:rPr>
          <w:color w:val="231F20"/>
          <w:spacing w:val="-8"/>
        </w:rPr>
        <w:t>酒石酸盐）注射液，</w:t>
      </w:r>
      <w:r>
        <w:rPr>
          <w:rFonts w:ascii="Times New Roman" w:hAnsi="Times New Roman" w:eastAsia="Times New Roman" w:cs="Times New Roman"/>
          <w:color w:val="231F20"/>
          <w:spacing w:val="-8"/>
        </w:rPr>
        <w:t>5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ml</w:t>
      </w:r>
      <w:r>
        <w:rPr>
          <w:color w:val="231F20"/>
          <w:spacing w:val="-8"/>
        </w:rPr>
        <w:t>∶</w:t>
      </w:r>
      <w:r>
        <w:rPr>
          <w:rFonts w:ascii="Times New Roman" w:hAnsi="Times New Roman" w:eastAsia="Times New Roman" w:cs="Times New Roman"/>
          <w:color w:val="231F20"/>
          <w:spacing w:val="-9"/>
        </w:rPr>
        <w:t>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</w:t>
      </w:r>
      <w:r>
        <w:rPr>
          <w:color w:val="231F20"/>
          <w:spacing w:val="-9"/>
        </w:rPr>
        <w:t>。</w:t>
      </w:r>
    </w:p>
    <w:p>
      <w:pPr>
        <w:pStyle w:val="BodyText"/>
        <w:ind w:left="1332"/>
        <w:spacing w:before="32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用法和用量：</w:t>
      </w:r>
    </w:p>
    <w:p>
      <w:pPr>
        <w:pStyle w:val="BodyText"/>
        <w:ind w:left="911" w:right="389" w:firstLine="334"/>
        <w:spacing w:before="18" w:line="206" w:lineRule="auto"/>
        <w:rPr/>
      </w:pPr>
      <w:r>
        <w:rPr>
          <w:color w:val="231F20"/>
          <w:spacing w:val="-11"/>
        </w:rPr>
        <w:t>（</w:t>
      </w:r>
      <w:r>
        <w:rPr>
          <w:rFonts w:ascii="Times New Roman" w:hAnsi="Times New Roman" w:eastAsia="Times New Roman" w:cs="Times New Roman"/>
          <w:color w:val="231F20"/>
          <w:spacing w:val="-11"/>
        </w:rPr>
        <w:t>1</w:t>
      </w:r>
      <w:r>
        <w:rPr>
          <w:color w:val="231F20"/>
          <w:spacing w:val="-11"/>
        </w:rPr>
        <w:t>）口服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1"/>
        </w:rPr>
        <w:t>。</w:t>
      </w:r>
      <w:r>
        <w:rPr>
          <w:rFonts w:ascii="Times New Roman" w:hAnsi="Times New Roman" w:eastAsia="Times New Roman" w:cs="Times New Roman"/>
          <w:color w:val="231F20"/>
          <w:spacing w:val="-11"/>
        </w:rPr>
        <w:t>25~50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mg/</w:t>
      </w:r>
      <w:r>
        <w:rPr>
          <w:color w:val="231F20"/>
          <w:spacing w:val="-11"/>
        </w:rPr>
        <w:t>次、</w:t>
      </w:r>
      <w:r>
        <w:rPr>
          <w:rFonts w:ascii="Times New Roman" w:hAnsi="Times New Roman" w:eastAsia="Times New Roman" w:cs="Times New Roman"/>
          <w:color w:val="231F20"/>
          <w:spacing w:val="-11"/>
        </w:rPr>
        <w:t>2~3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-11"/>
        </w:rPr>
        <w:t>次</w:t>
      </w:r>
      <w:r>
        <w:rPr>
          <w:rFonts w:ascii="Times New Roman" w:hAnsi="Times New Roman" w:eastAsia="Times New Roman" w:cs="Times New Roman"/>
          <w:color w:val="231F20"/>
          <w:spacing w:val="-11"/>
        </w:rPr>
        <w:t>/d</w:t>
      </w:r>
      <w:r>
        <w:rPr>
          <w:color w:val="231F20"/>
          <w:spacing w:val="-11"/>
        </w:rPr>
        <w:t>，或 </w:t>
      </w:r>
      <w:r>
        <w:rPr>
          <w:rFonts w:ascii="Times New Roman" w:hAnsi="Times New Roman" w:eastAsia="Times New Roman" w:cs="Times New Roman"/>
          <w:color w:val="231F20"/>
          <w:spacing w:val="-11"/>
        </w:rPr>
        <w:t>100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mg/</w:t>
      </w:r>
      <w:r>
        <w:rPr>
          <w:color w:val="231F20"/>
          <w:spacing w:val="-11"/>
        </w:rPr>
        <w:t>次、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4"/>
        </w:rPr>
        <w:t>次</w:t>
      </w:r>
      <w:r>
        <w:rPr>
          <w:rFonts w:ascii="Times New Roman" w:hAnsi="Times New Roman" w:eastAsia="Times New Roman" w:cs="Times New Roman"/>
          <w:color w:val="231F20"/>
          <w:spacing w:val="4"/>
        </w:rPr>
        <w:t>/d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4"/>
        </w:rPr>
        <w:t>。最大剂量一日不应超过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400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4"/>
        </w:rPr>
        <w:t>。</w:t>
      </w:r>
    </w:p>
    <w:p>
      <w:pPr>
        <w:pStyle w:val="BodyText"/>
        <w:ind w:left="908" w:right="471" w:firstLine="337"/>
        <w:spacing w:before="45" w:line="215" w:lineRule="auto"/>
        <w:rPr/>
      </w:pP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color w:val="231F20"/>
        </w:rPr>
        <w:t>）静脉注射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。成人剂量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 mg</w:t>
      </w:r>
      <w:r>
        <w:rPr>
          <w:color w:val="231F20"/>
        </w:rPr>
        <w:t>，用葡萄糖稀释 </w:t>
      </w:r>
      <w:r>
        <w:rPr>
          <w:color w:val="231F20"/>
          <w:spacing w:val="1"/>
        </w:rPr>
        <w:t>后，以 </w:t>
      </w:r>
      <w:r>
        <w:rPr>
          <w:rFonts w:ascii="Times New Roman" w:hAnsi="Times New Roman" w:eastAsia="Times New Roman" w:cs="Times New Roman"/>
          <w:color w:val="231F20"/>
          <w:spacing w:val="1"/>
        </w:rPr>
        <w:t>1~2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速度缓慢静脉注射，如病情需要</w:t>
      </w:r>
      <w:r>
        <w:rPr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5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后重复注射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"/>
        </w:rPr>
        <w:t>次，视病情而定，总剂量不超过</w:t>
      </w:r>
    </w:p>
    <w:p>
      <w:pPr>
        <w:pStyle w:val="BodyText"/>
        <w:ind w:left="927"/>
        <w:spacing w:before="48" w:line="178" w:lineRule="auto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10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</w:t>
      </w:r>
      <w:r>
        <w:rPr>
          <w:color w:val="231F20"/>
          <w:spacing w:val="-7"/>
        </w:rPr>
        <w:t>。</w:t>
      </w:r>
    </w:p>
    <w:p>
      <w:pPr>
        <w:pStyle w:val="BodyText"/>
        <w:ind w:left="907" w:right="469" w:firstLine="421"/>
        <w:spacing w:before="45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药物代谢动力学：美托洛尔的生物利用度为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40%~50%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9"/>
        </w:rPr>
        <w:t>。在服药 </w:t>
      </w:r>
      <w:r>
        <w:rPr>
          <w:rFonts w:ascii="Times New Roman" w:hAnsi="Times New Roman" w:eastAsia="Times New Roman" w:cs="Times New Roman"/>
          <w:color w:val="231F20"/>
          <w:spacing w:val="9"/>
        </w:rPr>
        <w:t>1~2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h </w:t>
      </w:r>
      <w:r>
        <w:rPr>
          <w:color w:val="231F20"/>
          <w:spacing w:val="9"/>
        </w:rPr>
        <w:t>达到最大的 </w:t>
      </w:r>
      <w:r>
        <w:rPr>
          <w:rFonts w:ascii="Times New Roman" w:hAnsi="Times New Roman" w:eastAsia="Times New Roman" w:cs="Times New Roman"/>
          <w:color w:val="231F20"/>
          <w:spacing w:val="9"/>
        </w:rPr>
        <w:t>β </w:t>
      </w:r>
      <w:r>
        <w:rPr>
          <w:color w:val="231F20"/>
          <w:spacing w:val="8"/>
        </w:rPr>
        <w:t>受体阻滞</w:t>
      </w:r>
      <w:r>
        <w:rPr>
          <w:color w:val="231F20"/>
        </w:rPr>
        <w:t xml:space="preserve"> </w:t>
      </w:r>
      <w:r>
        <w:rPr>
          <w:color w:val="231F20"/>
        </w:rPr>
        <w:t>作用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。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</w:rPr>
        <w:t>次</w:t>
      </w:r>
      <w:r>
        <w:rPr>
          <w:rFonts w:ascii="Times New Roman" w:hAnsi="Times New Roman" w:eastAsia="Times New Roman" w:cs="Times New Roman"/>
          <w:color w:val="231F20"/>
        </w:rPr>
        <w:t>/d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color w:val="231F20"/>
        </w:rPr>
        <w:t>口服 </w:t>
      </w:r>
      <w:r>
        <w:rPr>
          <w:rFonts w:ascii="Times New Roman" w:hAnsi="Times New Roman" w:eastAsia="Times New Roman" w:cs="Times New Roman"/>
          <w:color w:val="231F20"/>
        </w:rPr>
        <w:t>100 mg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后，对心律</w:t>
      </w:r>
      <w:r>
        <w:rPr>
          <w:color w:val="231F20"/>
          <w:spacing w:val="-1"/>
        </w:rPr>
        <w:t>的作用在 </w:t>
      </w:r>
      <w:r>
        <w:rPr>
          <w:rFonts w:ascii="Times New Roman" w:hAnsi="Times New Roman" w:eastAsia="Times New Roman" w:cs="Times New Roman"/>
          <w:color w:val="231F20"/>
          <w:spacing w:val="-1"/>
        </w:rPr>
        <w:t>12 h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7"/>
        </w:rPr>
        <w:t>后仍显著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7"/>
        </w:rPr>
        <w:t>。血浆半衰期为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3~5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7"/>
        </w:rPr>
        <w:t>。约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5% </w:t>
      </w:r>
      <w:r>
        <w:rPr>
          <w:color w:val="231F20"/>
          <w:spacing w:val="7"/>
        </w:rPr>
        <w:t>的美托洛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尔以原形由肾排泄，其余均被代谢。</w:t>
      </w:r>
    </w:p>
    <w:p>
      <w:pPr>
        <w:pStyle w:val="BodyText"/>
        <w:ind w:left="906" w:right="472" w:firstLine="428"/>
        <w:spacing w:before="53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药物相互作用：美托洛尔应避免与巴比妥类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药物、普罗帕酮、维拉帕米合并使用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。当与下列药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物合并使用时可能需要调整剂量：胺碘酮、</w:t>
      </w:r>
      <w:r>
        <w:rPr>
          <w:rFonts w:ascii="Times New Roman" w:hAnsi="Times New Roman" w:eastAsia="Times New Roman" w:cs="Times New Roman"/>
          <w:color w:val="231F20"/>
          <w:spacing w:val="11"/>
        </w:rPr>
        <w:t>Ⅰ</w:t>
      </w:r>
      <w:r>
        <w:rPr>
          <w:color w:val="231F20"/>
          <w:spacing w:val="11"/>
        </w:rPr>
        <w:t>类抗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心律失常药物、非甾体类抗炎药（</w:t>
      </w:r>
      <w:r>
        <w:rPr>
          <w:rFonts w:ascii="Times New Roman" w:hAnsi="Times New Roman" w:eastAsia="Times New Roman" w:cs="Times New Roman"/>
          <w:color w:val="231F20"/>
          <w:spacing w:val="-4"/>
        </w:rPr>
        <w:t>NSAID</w:t>
      </w:r>
      <w:r>
        <w:rPr>
          <w:color w:val="231F20"/>
          <w:spacing w:val="-4"/>
        </w:rPr>
        <w:t>）、苯海拉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、地尔硫</w:t>
      </w:r>
      <w:r>
        <w:rPr>
          <w:rFonts w:ascii="SimSun" w:hAnsi="SimSun" w:eastAsia="SimSun" w:cs="SimSun"/>
          <w:color w:val="231F20"/>
          <w:spacing w:val="-8"/>
        </w:rPr>
        <w:t>草</w:t>
      </w:r>
      <w:r>
        <w:rPr>
          <w:color w:val="231F20"/>
          <w:spacing w:val="-8"/>
        </w:rPr>
        <w:t>、肾上腺素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、苯丙醇胺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、奎尼丁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、可乐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。应严密监控同时接受其他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β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受体阻滞剂（如噻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908" w:firstLine="11"/>
        <w:spacing w:before="52" w:line="221" w:lineRule="auto"/>
        <w:jc w:val="both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-2158033</wp:posOffset>
            </wp:positionH>
            <wp:positionV relativeFrom="paragraph">
              <wp:posOffset>346115</wp:posOffset>
            </wp:positionV>
            <wp:extent cx="3949861" cy="4622869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1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2"/>
        </w:rPr>
        <w:t>吗洛尔滴眼液等）或单胺氧化酶（</w:t>
      </w:r>
      <w:r>
        <w:rPr>
          <w:rFonts w:ascii="Times New Roman" w:hAnsi="Times New Roman" w:eastAsia="Times New Roman" w:cs="Times New Roman"/>
          <w:color w:val="231F20"/>
        </w:rPr>
        <w:t>MAO</w:t>
      </w:r>
      <w:r>
        <w:rPr>
          <w:color w:val="231F20"/>
          <w:spacing w:val="2"/>
        </w:rPr>
        <w:t>）抑制剂的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患者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。接受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β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5"/>
        </w:rPr>
        <w:t>受体阻滞剂治疗的患者，吸入麻醉会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增加心脏抑制作用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。接受 </w:t>
      </w:r>
      <w:r>
        <w:rPr>
          <w:rFonts w:ascii="Times New Roman" w:hAnsi="Times New Roman" w:eastAsia="Times New Roman" w:cs="Times New Roman"/>
          <w:color w:val="231F20"/>
          <w:spacing w:val="13"/>
        </w:rPr>
        <w:t>β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3"/>
        </w:rPr>
        <w:t>受体阻滞剂治疗的患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者应重新调整口服降糖药的剂量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。若与西咪</w:t>
      </w:r>
      <w:r>
        <w:rPr>
          <w:color w:val="231F20"/>
          <w:spacing w:val="13"/>
        </w:rPr>
        <w:t>替丁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或肼屈嗪合用，美托洛尔的血浆浓度会增加。</w:t>
      </w:r>
    </w:p>
    <w:p>
      <w:pPr>
        <w:ind w:left="347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（二）艾司洛尔</w:t>
      </w:r>
    </w:p>
    <w:p>
      <w:pPr>
        <w:pStyle w:val="BodyText"/>
        <w:ind w:left="440"/>
        <w:spacing w:before="56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药品分类：</w:t>
      </w:r>
      <w:r>
        <w:rPr>
          <w:rFonts w:ascii="Times New Roman" w:hAnsi="Times New Roman" w:eastAsia="Times New Roman" w:cs="Times New Roman"/>
          <w:color w:val="231F20"/>
          <w:spacing w:val="4"/>
        </w:rPr>
        <w:t>Ⅱ</w:t>
      </w:r>
      <w:r>
        <w:rPr>
          <w:color w:val="231F20"/>
          <w:spacing w:val="4"/>
        </w:rPr>
        <w:t>类抗心律失常药。</w:t>
      </w:r>
    </w:p>
    <w:p>
      <w:pPr>
        <w:pStyle w:val="BodyText"/>
        <w:ind w:left="423"/>
        <w:spacing w:before="17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2"/>
        </w:rPr>
        <w:t>用药目的：用于心房颤动时控制心室率。</w:t>
      </w:r>
    </w:p>
    <w:p>
      <w:pPr>
        <w:pStyle w:val="BodyText"/>
        <w:ind w:left="1" w:right="839" w:firstLine="425"/>
        <w:spacing w:before="17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禁忌证：禁用于支气管哮喘或有支气管哮喘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病史；严重慢性阻塞性肺病；窦性心动过缓；二、三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度房室传导阻滞；难治性心功能不全；心原</w:t>
      </w:r>
      <w:r>
        <w:rPr>
          <w:color w:val="231F20"/>
          <w:spacing w:val="-1"/>
        </w:rPr>
        <w:t>性休克；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对艾司洛尔过敏者。</w:t>
      </w:r>
    </w:p>
    <w:p>
      <w:pPr>
        <w:pStyle w:val="BodyText"/>
        <w:ind w:right="827" w:firstLine="420"/>
        <w:spacing w:before="59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不良反应：心血管系统常见不良反应为低血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压、心动过缓、传导阻滞、外周灌注不足的</w:t>
      </w:r>
      <w:r>
        <w:rPr>
          <w:color w:val="231F20"/>
          <w:spacing w:val="-4"/>
        </w:rPr>
        <w:t>症状；神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经系统常见不良反应为头痛、头晕、嗜睡、</w:t>
      </w:r>
      <w:r>
        <w:rPr>
          <w:color w:val="231F20"/>
          <w:spacing w:val="-4"/>
        </w:rPr>
        <w:t>乏力、惊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厥等；呼吸系统常见不良反应为支气管痉挛、呼吸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困难；消化系统不良反应为恶心、呕吐、消化不良、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便秘、口干、腹部不适等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。注射部位可发生炎症反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应，表现为水肿、红斑、烧灼感、血栓性静脉炎和外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渗性皮肤坏死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。大多数不良反应为轻度、一过性。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最重要的不良反应是低血压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。使用艾司洛尔单纯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控制心室率有发生死亡的报道。</w:t>
      </w:r>
    </w:p>
    <w:p>
      <w:pPr>
        <w:pStyle w:val="BodyText"/>
        <w:ind w:left="23" w:right="824" w:firstLine="403"/>
        <w:spacing w:before="49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11"/>
        </w:rPr>
        <w:t>5.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-11"/>
        </w:rPr>
        <w:t>剂型和规格：注射液，</w:t>
      </w:r>
      <w:r>
        <w:rPr>
          <w:rFonts w:ascii="Times New Roman" w:hAnsi="Times New Roman" w:eastAsia="Times New Roman" w:cs="Times New Roman"/>
          <w:color w:val="231F20"/>
          <w:spacing w:val="-11"/>
        </w:rPr>
        <w:t>1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ml</w:t>
      </w:r>
      <w:r>
        <w:rPr>
          <w:color w:val="231F20"/>
          <w:spacing w:val="-11"/>
        </w:rPr>
        <w:t>∶</w:t>
      </w:r>
      <w:r>
        <w:rPr>
          <w:rFonts w:ascii="Times New Roman" w:hAnsi="Times New Roman" w:eastAsia="Times New Roman" w:cs="Times New Roman"/>
          <w:color w:val="231F20"/>
          <w:spacing w:val="-11"/>
        </w:rPr>
        <w:t>0.1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g</w:t>
      </w:r>
      <w:r>
        <w:rPr>
          <w:color w:val="231F20"/>
          <w:spacing w:val="-11"/>
        </w:rPr>
        <w:t>、</w:t>
      </w:r>
      <w:r>
        <w:rPr>
          <w:rFonts w:ascii="Times New Roman" w:hAnsi="Times New Roman" w:eastAsia="Times New Roman" w:cs="Times New Roman"/>
          <w:color w:val="231F20"/>
          <w:spacing w:val="-11"/>
        </w:rPr>
        <w:t>2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ml</w:t>
      </w:r>
      <w:r>
        <w:rPr>
          <w:color w:val="231F20"/>
          <w:spacing w:val="-11"/>
        </w:rPr>
        <w:t>∶</w:t>
      </w:r>
      <w:r>
        <w:rPr>
          <w:rFonts w:ascii="Times New Roman" w:hAnsi="Times New Roman" w:eastAsia="Times New Roman" w:cs="Times New Roman"/>
          <w:color w:val="231F20"/>
          <w:spacing w:val="-11"/>
        </w:rPr>
        <w:t>0.2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g</w:t>
      </w:r>
      <w:r>
        <w:rPr>
          <w:color w:val="231F20"/>
          <w:spacing w:val="-11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10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ml</w:t>
      </w:r>
      <w:r>
        <w:rPr>
          <w:color w:val="231F20"/>
          <w:spacing w:val="-10"/>
        </w:rPr>
        <w:t>∶</w:t>
      </w:r>
      <w:r>
        <w:rPr>
          <w:rFonts w:ascii="Times New Roman" w:hAnsi="Times New Roman" w:eastAsia="Times New Roman" w:cs="Times New Roman"/>
          <w:color w:val="231F20"/>
          <w:spacing w:val="-10"/>
        </w:rPr>
        <w:t>0.1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g</w:t>
      </w:r>
      <w:r>
        <w:rPr>
          <w:color w:val="231F20"/>
          <w:spacing w:val="-10"/>
        </w:rPr>
        <w:t>。</w:t>
      </w:r>
    </w:p>
    <w:p>
      <w:pPr>
        <w:pStyle w:val="BodyText"/>
        <w:ind w:left="2" w:right="827" w:firstLine="424"/>
        <w:spacing w:before="36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5"/>
        </w:rPr>
        <w:t>用法和用量：成人使用本品时，起始静脉注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射负荷量为 </w:t>
      </w:r>
      <w:r>
        <w:rPr>
          <w:rFonts w:ascii="Times New Roman" w:hAnsi="Times New Roman" w:eastAsia="Times New Roman" w:cs="Times New Roman"/>
          <w:color w:val="231F20"/>
          <w:spacing w:val="5"/>
        </w:rPr>
        <w:t>0.5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5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7"/>
          <w:position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·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-1</w:t>
      </w:r>
      <w:r>
        <w:rPr>
          <w:color w:val="231F20"/>
          <w:spacing w:val="5"/>
        </w:rPr>
        <w:t>，约 </w:t>
      </w:r>
      <w:r>
        <w:rPr>
          <w:rFonts w:ascii="Times New Roman" w:hAnsi="Times New Roman" w:eastAsia="Times New Roman" w:cs="Times New Roman"/>
          <w:color w:val="231F20"/>
          <w:spacing w:val="5"/>
        </w:rPr>
        <w:t>1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color w:val="231F20"/>
          <w:spacing w:val="5"/>
        </w:rPr>
        <w:t>，随后静脉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滴注维持，剂量自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0.05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2"/>
          <w:position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·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-1</w:t>
      </w:r>
      <w:r>
        <w:rPr>
          <w:color w:val="231F20"/>
          <w:spacing w:val="3"/>
        </w:rPr>
        <w:t>开始，</w:t>
      </w:r>
      <w:r>
        <w:rPr>
          <w:rFonts w:ascii="Times New Roman" w:hAnsi="Times New Roman" w:eastAsia="Times New Roman" w:cs="Times New Roman"/>
          <w:color w:val="231F20"/>
          <w:spacing w:val="3"/>
        </w:rPr>
        <w:t>4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3"/>
        </w:rPr>
        <w:t>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若疗效理想则继续维持，若疗效不佳可重复给予负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荷量并将维持量以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0.05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9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·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position w:val="8"/>
        </w:rPr>
        <w:t xml:space="preserve"> </w:t>
      </w:r>
      <w:r>
        <w:rPr>
          <w:color w:val="231F20"/>
          <w:spacing w:val="9"/>
        </w:rPr>
        <w:t>的幅度递增。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维 持 量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大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可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加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至</w:t>
      </w:r>
      <w:r>
        <w:rPr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0.3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4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-1  </w:t>
      </w:r>
      <w:r>
        <w:rPr>
          <w:rFonts w:ascii="Times New Roman" w:hAnsi="Times New Roman" w:eastAsia="Times New Roman" w:cs="Times New Roman"/>
          <w:color w:val="231F20"/>
          <w:spacing w:val="4"/>
        </w:rPr>
        <w:t>·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-1 </w:t>
      </w:r>
      <w:r>
        <w:rPr>
          <w:color w:val="231F20"/>
          <w:spacing w:val="4"/>
        </w:rPr>
        <w:t>，但</w:t>
      </w:r>
      <w:r>
        <w:rPr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0.2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2"/>
        </w:rPr>
        <w:t>·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-1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6"/>
          <w:w w:val="101"/>
          <w:position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·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-1  </w:t>
      </w:r>
      <w:r>
        <w:rPr>
          <w:color w:val="231F20"/>
          <w:spacing w:val="2"/>
        </w:rPr>
        <w:t>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上 的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未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显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能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来 明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显 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好处。</w:t>
      </w:r>
    </w:p>
    <w:p>
      <w:pPr>
        <w:pStyle w:val="BodyText"/>
        <w:ind w:left="3" w:right="827" w:firstLine="421"/>
        <w:spacing w:before="51" w:line="208" w:lineRule="auto"/>
        <w:rPr/>
      </w:pPr>
      <w:r>
        <w:rPr>
          <w:rFonts w:ascii="Times New Roman" w:hAnsi="Times New Roman" w:eastAsia="Times New Roman" w:cs="Times New Roman"/>
          <w:color w:val="231F20"/>
          <w:spacing w:val="14"/>
        </w:rPr>
        <w:t>7. </w:t>
      </w:r>
      <w:r>
        <w:rPr>
          <w:color w:val="231F20"/>
          <w:spacing w:val="14"/>
        </w:rPr>
        <w:t>药物代谢动力学：艾司洛尔在体内代谢迅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速，不受代谢组织（如肝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5"/>
        </w:rPr>
        <w:t>、肾）的血流量影响，半衰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期短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，通过持续静脉滴注可维持稳态血药浓度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6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在体内代谢为酸性代谢产物和甲醇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，在用药后</w:t>
      </w:r>
    </w:p>
    <w:p>
      <w:pPr>
        <w:spacing w:line="208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08" w:space="100"/>
            <w:col w:w="5439" w:space="0"/>
          </w:cols>
        </w:sectPr>
        <w:rPr/>
      </w:pPr>
    </w:p>
    <w:p>
      <w:pPr>
        <w:spacing w:before="55"/>
        <w:rPr/>
      </w:pPr>
      <w:r>
        <w:pict>
          <v:shape id="_x0000_s20" style="position:absolute;margin-left:228.137pt;margin-top:59.6178pt;mso-position-vertical-relative:page;mso-position-horizontal-relative:page;width:318.95pt;height:0.4pt;z-index:251670528;" o:allowincell="f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12" w:right="473"/>
        <w:spacing w:before="57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24 h </w:t>
      </w:r>
      <w:r>
        <w:rPr>
          <w:color w:val="231F20"/>
          <w:spacing w:val="8"/>
        </w:rPr>
        <w:t>内，</w:t>
      </w:r>
      <w:r>
        <w:rPr>
          <w:rFonts w:ascii="Times New Roman" w:hAnsi="Times New Roman" w:eastAsia="Times New Roman" w:cs="Times New Roman"/>
          <w:color w:val="231F20"/>
          <w:spacing w:val="8"/>
        </w:rPr>
        <w:t>73%~88% </w:t>
      </w:r>
      <w:r>
        <w:rPr>
          <w:color w:val="231F20"/>
          <w:spacing w:val="8"/>
        </w:rPr>
        <w:t>的药物以酸性代谢产物形式由 </w:t>
      </w:r>
      <w:r>
        <w:rPr>
          <w:color w:val="231F20"/>
          <w:spacing w:val="5"/>
        </w:rPr>
        <w:t>尿排出，仅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2% </w:t>
      </w:r>
      <w:r>
        <w:rPr>
          <w:color w:val="231F20"/>
          <w:spacing w:val="5"/>
        </w:rPr>
        <w:t>以原形由尿排出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。艾司洛尔约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55%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10"/>
        </w:rPr>
        <w:t>与血浆蛋白结合，其酸性代谢产物 </w:t>
      </w:r>
      <w:r>
        <w:rPr>
          <w:rFonts w:ascii="Times New Roman" w:hAnsi="Times New Roman" w:eastAsia="Times New Roman" w:cs="Times New Roman"/>
          <w:color w:val="231F20"/>
          <w:spacing w:val="10"/>
        </w:rPr>
        <w:t>10% </w:t>
      </w:r>
      <w:r>
        <w:rPr>
          <w:color w:val="231F20"/>
          <w:spacing w:val="10"/>
        </w:rPr>
        <w:t>与血浆蛋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白结合。</w:t>
      </w:r>
    </w:p>
    <w:p>
      <w:pPr>
        <w:pStyle w:val="BodyText"/>
        <w:ind w:left="907" w:right="474" w:firstLine="429"/>
        <w:spacing w:before="42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药物相互作用：艾司洛尔与交感神经节阻断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剂合用，会有协同作用，应防止发生低血压、</w:t>
      </w:r>
      <w:r>
        <w:rPr>
          <w:color w:val="231F20"/>
          <w:spacing w:val="-4"/>
        </w:rPr>
        <w:t>心动过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缓、晕厥；与华法林合用，艾司洛尔的血药浓</w:t>
      </w:r>
      <w:r>
        <w:rPr>
          <w:color w:val="231F20"/>
          <w:spacing w:val="-4"/>
        </w:rPr>
        <w:t>度可能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会升高，但临床意义不大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。与地高辛合用时，地高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辛血药浓度可升高 </w:t>
      </w:r>
      <w:r>
        <w:rPr>
          <w:rFonts w:ascii="Times New Roman" w:hAnsi="Times New Roman" w:eastAsia="Times New Roman" w:cs="Times New Roman"/>
          <w:color w:val="231F20"/>
          <w:spacing w:val="1"/>
        </w:rPr>
        <w:t>10%~20%</w:t>
      </w:r>
      <w:r>
        <w:rPr>
          <w:color w:val="231F20"/>
          <w:spacing w:val="1"/>
        </w:rPr>
        <w:t>；与吗啡合用时，艾司 </w:t>
      </w:r>
      <w:r>
        <w:rPr>
          <w:color w:val="231F20"/>
          <w:spacing w:val="5"/>
        </w:rPr>
        <w:t>洛尔的稳态血药浓度会升高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46%</w:t>
      </w:r>
      <w:r>
        <w:rPr>
          <w:color w:val="231F20"/>
          <w:spacing w:val="5"/>
        </w:rPr>
        <w:t>；与琥珀胆碱合用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可延长琥珀胆碱的神经肌肉阻滞作用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5~8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color w:val="231F20"/>
          <w:spacing w:val="9"/>
        </w:rPr>
        <w:t>；艾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司洛尔会降低肾上腺素的药效；艾司洛尔与维拉帕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米合用于心功能不良患者会导致心脏停搏。</w:t>
      </w:r>
    </w:p>
    <w:p>
      <w:pPr>
        <w:ind w:left="1254"/>
        <w:spacing w:before="41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（三）普萘洛尔</w:t>
      </w:r>
    </w:p>
    <w:p>
      <w:pPr>
        <w:pStyle w:val="BodyText"/>
        <w:ind w:left="1347"/>
        <w:spacing w:before="55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药品分类：</w:t>
      </w:r>
      <w:r>
        <w:rPr>
          <w:rFonts w:ascii="Times New Roman" w:hAnsi="Times New Roman" w:eastAsia="Times New Roman" w:cs="Times New Roman"/>
          <w:color w:val="231F20"/>
          <w:spacing w:val="4"/>
        </w:rPr>
        <w:t>Ⅱ</w:t>
      </w:r>
      <w:r>
        <w:rPr>
          <w:color w:val="231F20"/>
          <w:spacing w:val="4"/>
        </w:rPr>
        <w:t>类抗心律失常药。</w:t>
      </w:r>
    </w:p>
    <w:p>
      <w:pPr>
        <w:pStyle w:val="BodyText"/>
        <w:ind w:left="912" w:right="475" w:firstLine="419"/>
        <w:spacing w:before="15" w:line="203" w:lineRule="auto"/>
        <w:rPr/>
      </w:pPr>
      <w:r>
        <w:rPr>
          <w:rFonts w:ascii="Times New Roman" w:hAnsi="Times New Roman" w:eastAsia="Times New Roman" w:cs="Times New Roman"/>
          <w:color w:val="231F20"/>
          <w:spacing w:val="14"/>
        </w:rPr>
        <w:t>2. </w:t>
      </w:r>
      <w:r>
        <w:rPr>
          <w:color w:val="231F20"/>
          <w:spacing w:val="14"/>
        </w:rPr>
        <w:t>用药目的：用于洋地黄疗效不佳的心房扑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动、心房颤动心室率的控制。</w:t>
      </w:r>
    </w:p>
    <w:p>
      <w:pPr>
        <w:pStyle w:val="BodyText"/>
        <w:ind w:left="1333"/>
        <w:spacing w:before="49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3.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10"/>
        </w:rPr>
        <w:t>禁忌证：禁用于支气管哮喘；心原性休克；</w:t>
      </w:r>
    </w:p>
    <w:p>
      <w:pPr>
        <w:pStyle w:val="BodyText"/>
        <w:ind w:left="910" w:right="475" w:hanging="1"/>
        <w:spacing w:before="19" w:line="219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1661460</wp:posOffset>
            </wp:positionH>
            <wp:positionV relativeFrom="paragraph">
              <wp:posOffset>-1730398</wp:posOffset>
            </wp:positionV>
            <wp:extent cx="3949860" cy="462286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二、三度房室传导阻滞；重度或急性心力衰竭；窦性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心动过缓者。</w:t>
      </w:r>
    </w:p>
    <w:p>
      <w:pPr>
        <w:pStyle w:val="BodyText"/>
        <w:ind w:left="825" w:right="473" w:firstLine="501"/>
        <w:spacing w:before="2" w:line="21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5"/>
        </w:rPr>
        <w:t>4.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不良反应：应用本品可出现眩晕、神智模糊</w:t>
      </w:r>
      <w:r>
        <w:rPr>
          <w:color w:val="231F20"/>
        </w:rPr>
        <w:t xml:space="preserve"> </w:t>
      </w:r>
      <w:r>
        <w:rPr>
          <w:color w:val="231F20"/>
        </w:rPr>
        <w:t>（尤见于老年人）、精神抑郁、反应迟钝等中枢神经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系统不良反应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2"/>
        </w:rPr>
        <w:t>；头昏（低血压所致</w:t>
      </w:r>
      <w:r>
        <w:rPr>
          <w:color w:val="231F20"/>
          <w:spacing w:val="-35"/>
          <w:w w:val="72"/>
        </w:rPr>
        <w:t>）；</w:t>
      </w:r>
      <w:r>
        <w:rPr>
          <w:color w:val="231F20"/>
          <w:spacing w:val="12"/>
        </w:rPr>
        <w:t>心动过缓（</w:t>
      </w:r>
      <w:r>
        <w:rPr>
          <w:rFonts w:ascii="Times New Roman" w:hAnsi="Times New Roman" w:eastAsia="Times New Roman" w:cs="Times New Roman"/>
          <w:color w:val="231F20"/>
          <w:spacing w:val="12"/>
        </w:rPr>
        <w:t>&lt;</w:t>
      </w:r>
    </w:p>
    <w:p>
      <w:pPr>
        <w:pStyle w:val="BodyText"/>
        <w:ind w:left="909" w:right="393" w:firstLine="2"/>
        <w:spacing w:before="18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50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次</w:t>
      </w:r>
      <w:r>
        <w:rPr>
          <w:rFonts w:ascii="Times New Roman" w:hAnsi="Times New Roman" w:eastAsia="Times New Roman" w:cs="Times New Roman"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color w:val="231F20"/>
          <w:spacing w:val="-30"/>
          <w:w w:val="63"/>
        </w:rPr>
        <w:t>）；</w:t>
      </w:r>
      <w:r>
        <w:rPr>
          <w:color w:val="231F20"/>
          <w:spacing w:val="6"/>
        </w:rPr>
        <w:t>较少见的有支气管痉挛及呼吸困难、充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血性心力衰竭；更少见的有发热和咽痛（粒细胞缺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2"/>
        </w:rPr>
        <w:t>乏）、皮疹（过敏反应）、出血倾向（血小板减少</w:t>
      </w:r>
      <w:r>
        <w:rPr>
          <w:color w:val="231F20"/>
          <w:spacing w:val="-31"/>
          <w:w w:val="65"/>
        </w:rPr>
        <w:t>）；</w:t>
      </w:r>
      <w:r>
        <w:rPr>
          <w:color w:val="231F20"/>
          <w:spacing w:val="-12"/>
        </w:rPr>
        <w:t>不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5"/>
        </w:rPr>
        <w:t>良反应持续存在时，须格外警惕雷诺征样四肢冰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冷、腹泻、倦怠、眼口或皮肤干燥、恶心、指趾麻木、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异常疲乏等。</w:t>
      </w:r>
    </w:p>
    <w:p>
      <w:pPr>
        <w:pStyle w:val="BodyText"/>
        <w:ind w:left="1331"/>
        <w:spacing w:before="49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5.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7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7"/>
        </w:rPr>
        <w:t>10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mg/</w:t>
      </w:r>
      <w:r>
        <w:rPr>
          <w:color w:val="231F20"/>
          <w:spacing w:val="-7"/>
        </w:rPr>
        <w:t>片。</w:t>
      </w:r>
    </w:p>
    <w:p>
      <w:pPr>
        <w:pStyle w:val="BodyText"/>
        <w:ind w:left="1332"/>
        <w:spacing w:before="30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用法和用量：</w:t>
      </w:r>
    </w:p>
    <w:p>
      <w:pPr>
        <w:pStyle w:val="BodyText"/>
        <w:ind w:left="912" w:right="475" w:firstLine="333"/>
        <w:spacing w:before="15" w:line="202" w:lineRule="auto"/>
        <w:rPr/>
      </w:pPr>
      <w:r>
        <w:rPr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color w:val="231F20"/>
          <w:spacing w:val="-7"/>
        </w:rPr>
        <w:t>）成人：</w:t>
      </w:r>
      <w:r>
        <w:rPr>
          <w:rFonts w:ascii="Times New Roman" w:hAnsi="Times New Roman" w:eastAsia="Times New Roman" w:cs="Times New Roman"/>
          <w:color w:val="231F20"/>
          <w:spacing w:val="-7"/>
        </w:rPr>
        <w:t>10~30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mg/</w:t>
      </w:r>
      <w:r>
        <w:rPr>
          <w:color w:val="231F20"/>
          <w:spacing w:val="-7"/>
        </w:rPr>
        <w:t>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、</w:t>
      </w:r>
      <w:r>
        <w:rPr>
          <w:rFonts w:ascii="Times New Roman" w:hAnsi="Times New Roman" w:eastAsia="Times New Roman" w:cs="Times New Roman"/>
          <w:color w:val="231F20"/>
          <w:spacing w:val="-7"/>
        </w:rPr>
        <w:t>3~4 </w:t>
      </w:r>
      <w:r>
        <w:rPr>
          <w:color w:val="231F20"/>
          <w:spacing w:val="-7"/>
        </w:rPr>
        <w:t>次</w:t>
      </w:r>
      <w:r>
        <w:rPr>
          <w:rFonts w:ascii="Times New Roman" w:hAnsi="Times New Roman" w:eastAsia="Times New Roman" w:cs="Times New Roman"/>
          <w:color w:val="231F20"/>
          <w:spacing w:val="-7"/>
        </w:rPr>
        <w:t>/d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7"/>
        </w:rPr>
        <w:t>。饭前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、睡前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服用。</w:t>
      </w:r>
    </w:p>
    <w:p>
      <w:pPr>
        <w:pStyle w:val="BodyText"/>
        <w:ind w:left="910" w:right="407" w:firstLine="335"/>
        <w:spacing w:before="52" w:line="203" w:lineRule="auto"/>
        <w:rPr/>
      </w:pPr>
      <w:r>
        <w:rPr>
          <w:color w:val="231F20"/>
          <w:spacing w:val="-15"/>
        </w:rPr>
        <w:t>（</w:t>
      </w:r>
      <w:r>
        <w:rPr>
          <w:rFonts w:ascii="Times New Roman" w:hAnsi="Times New Roman" w:eastAsia="Times New Roman" w:cs="Times New Roman"/>
          <w:color w:val="231F20"/>
          <w:spacing w:val="-15"/>
        </w:rPr>
        <w:t>2</w:t>
      </w:r>
      <w:r>
        <w:rPr>
          <w:color w:val="231F20"/>
          <w:spacing w:val="-15"/>
        </w:rPr>
        <w:t>）儿童：根据体重计算用量，</w:t>
      </w:r>
      <w:r>
        <w:rPr>
          <w:rFonts w:ascii="Times New Roman" w:hAnsi="Times New Roman" w:eastAsia="Times New Roman" w:cs="Times New Roman"/>
          <w:color w:val="231F20"/>
          <w:spacing w:val="-15"/>
        </w:rPr>
        <w:t>0.5~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5"/>
        </w:rPr>
        <w:t>1.</w:t>
      </w:r>
      <w:r>
        <w:rPr>
          <w:rFonts w:ascii="Times New Roman" w:hAnsi="Times New Roman" w:eastAsia="Times New Roman" w:cs="Times New Roman"/>
          <w:color w:val="231F20"/>
          <w:spacing w:val="-16"/>
        </w:rPr>
        <w:t>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6"/>
        </w:rPr>
        <w:t>mg·kg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-1</w:t>
      </w:r>
      <w:r>
        <w:rPr>
          <w:rFonts w:ascii="Times New Roman" w:hAnsi="Times New Roman" w:eastAsia="Times New Roman" w:cs="Times New Roman"/>
          <w:color w:val="231F20"/>
          <w:spacing w:val="2"/>
        </w:rPr>
        <w:t>·d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-1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分次口服。</w:t>
      </w:r>
    </w:p>
    <w:p>
      <w:pPr>
        <w:pStyle w:val="BodyText"/>
        <w:ind w:left="910" w:right="395" w:firstLine="419"/>
        <w:spacing w:before="46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10"/>
        </w:rPr>
        <w:t>7.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10"/>
        </w:rPr>
        <w:t>药物代谢动力学：本药口服吸收率约</w:t>
      </w:r>
      <w:r>
        <w:rPr>
          <w:rFonts w:ascii="Times New Roman" w:hAnsi="Times New Roman" w:eastAsia="Times New Roman" w:cs="Times New Roman"/>
          <w:color w:val="231F20"/>
          <w:spacing w:val="10"/>
        </w:rPr>
        <w:t>90%</w:t>
      </w:r>
      <w:r>
        <w:rPr>
          <w:color w:val="231F20"/>
          <w:spacing w:val="10"/>
        </w:rPr>
        <w:t>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5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h </w:t>
      </w:r>
      <w:r>
        <w:rPr>
          <w:color w:val="231F20"/>
          <w:spacing w:val="4"/>
        </w:rPr>
        <w:t>达血药峰浓度，血浆蛋白结合率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90%~95%</w:t>
      </w:r>
      <w:r>
        <w:rPr>
          <w:color w:val="231F20"/>
          <w:spacing w:val="4"/>
        </w:rPr>
        <w:t>，在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肝脏广泛代谢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口服半衰期为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3.5~6.0 h</w:t>
      </w:r>
      <w:r>
        <w:rPr>
          <w:color w:val="231F20"/>
          <w:spacing w:val="2"/>
        </w:rPr>
        <w:t>，经肾脏排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泄，包括大部分代谢产物及小部分（</w:t>
      </w:r>
      <w:r>
        <w:rPr>
          <w:rFonts w:ascii="Times New Roman" w:hAnsi="Times New Roman" w:eastAsia="Times New Roman" w:cs="Times New Roman"/>
          <w:color w:val="231F20"/>
          <w:spacing w:val="-6"/>
        </w:rPr>
        <w:t>&lt;1%</w:t>
      </w:r>
      <w:r>
        <w:rPr>
          <w:color w:val="231F20"/>
          <w:spacing w:val="-6"/>
        </w:rPr>
        <w:t>）原形。</w:t>
      </w:r>
    </w:p>
    <w:p>
      <w:pPr>
        <w:pStyle w:val="BodyText"/>
        <w:ind w:left="910" w:right="473" w:firstLine="426"/>
        <w:spacing w:before="18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8. </w:t>
      </w:r>
      <w:r>
        <w:rPr>
          <w:color w:val="231F20"/>
          <w:spacing w:val="2"/>
        </w:rPr>
        <w:t>药物相互作用：与利血平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、洋地黄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、钙拮抗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剂、拟交感胺类、氟哌啶醇等药物有相互作用，需严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密观察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。与氢氧化铝凝胶、氯丙嗪、甲状腺素、降糖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药、苯妥英钠、苯巴比妥和利福平等合用时需调整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药物剂量。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47"/>
        <w:spacing w:before="44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（四）地尔硫䓬</w:t>
      </w:r>
    </w:p>
    <w:p>
      <w:pPr>
        <w:pStyle w:val="BodyText"/>
        <w:ind w:left="440"/>
        <w:spacing w:before="53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1.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"/>
        </w:rPr>
        <w:t>药品分类：</w:t>
      </w:r>
      <w:r>
        <w:rPr>
          <w:rFonts w:ascii="Times New Roman" w:hAnsi="Times New Roman" w:eastAsia="Times New Roman" w:cs="Times New Roman"/>
          <w:color w:val="231F20"/>
          <w:spacing w:val="-1"/>
        </w:rPr>
        <w:t>Ⅳ</w:t>
      </w:r>
      <w:r>
        <w:rPr>
          <w:color w:val="231F20"/>
          <w:spacing w:val="-1"/>
        </w:rPr>
        <w:t>类抗心律失常药。</w:t>
      </w:r>
    </w:p>
    <w:p>
      <w:pPr>
        <w:pStyle w:val="BodyText"/>
        <w:ind w:left="423"/>
        <w:spacing w:before="14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用药目的：用于心房颤动控制心室率。</w:t>
      </w:r>
    </w:p>
    <w:p>
      <w:pPr>
        <w:pStyle w:val="BodyText"/>
        <w:ind w:left="1" w:right="906" w:firstLine="424"/>
        <w:spacing w:before="16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禁忌证：禁用于病态窦房结综合征或二、三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度房室传导阻滞（已安置心脏起搏器者除外</w:t>
      </w:r>
      <w:r>
        <w:rPr>
          <w:color w:val="231F20"/>
          <w:spacing w:val="-31"/>
          <w:w w:val="65"/>
        </w:rPr>
        <w:t>）；</w:t>
      </w:r>
      <w:r>
        <w:rPr>
          <w:color w:val="231F20"/>
          <w:spacing w:val="6"/>
        </w:rPr>
        <w:t>低血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压（收缩压</w:t>
      </w:r>
      <w:r>
        <w:rPr>
          <w:rFonts w:ascii="Times New Roman" w:hAnsi="Times New Roman" w:eastAsia="Times New Roman" w:cs="Times New Roman"/>
          <w:color w:val="231F20"/>
          <w:spacing w:val="3"/>
        </w:rPr>
        <w:t>&lt;90 </w:t>
      </w:r>
      <w:r>
        <w:rPr>
          <w:rFonts w:ascii="Times New Roman" w:hAnsi="Times New Roman" w:eastAsia="Times New Roman" w:cs="Times New Roman"/>
          <w:color w:val="231F20"/>
        </w:rPr>
        <w:t>mmHg</w:t>
      </w:r>
      <w:r>
        <w:rPr>
          <w:color w:val="231F20"/>
          <w:spacing w:val="-28"/>
          <w:w w:val="58"/>
        </w:rPr>
        <w:t>）；</w:t>
      </w:r>
      <w:r>
        <w:rPr>
          <w:color w:val="231F20"/>
          <w:spacing w:val="3"/>
        </w:rPr>
        <w:t>对地尔硫</w:t>
      </w:r>
      <w:r>
        <w:rPr>
          <w:rFonts w:ascii="SimSun" w:hAnsi="SimSun" w:eastAsia="SimSun" w:cs="SimSun"/>
          <w:color w:val="231F20"/>
          <w:spacing w:val="3"/>
        </w:rPr>
        <w:t>草</w:t>
      </w:r>
      <w:r>
        <w:rPr>
          <w:color w:val="231F20"/>
          <w:spacing w:val="3"/>
        </w:rPr>
        <w:t>过敏者。</w:t>
      </w:r>
    </w:p>
    <w:p>
      <w:pPr>
        <w:pStyle w:val="BodyText"/>
        <w:ind w:left="3" w:right="905" w:firstLine="415"/>
        <w:spacing w:before="31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4.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-4"/>
        </w:rPr>
        <w:t>不良反应：常见的不良反应有浮肿、头痛、恶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心、眩晕、皮疹、无力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。罕见的不良反应有：</w:t>
      </w:r>
    </w:p>
    <w:p>
      <w:pPr>
        <w:pStyle w:val="BodyText"/>
        <w:ind w:left="1" w:right="906" w:firstLine="336"/>
        <w:spacing w:before="14" w:line="209" w:lineRule="auto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color w:val="231F20"/>
          <w:spacing w:val="-5"/>
        </w:rPr>
        <w:t>）心血管系统：房室传导阻滞、心动过缓、束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支传导阻滞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、充血性心力衰竭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、心电图异常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、低血</w:t>
      </w:r>
      <w:r>
        <w:rPr>
          <w:color w:val="231F20"/>
        </w:rPr>
        <w:t xml:space="preserve"> </w:t>
      </w:r>
      <w:r>
        <w:rPr>
          <w:color w:val="231F20"/>
          <w:spacing w:val="-9"/>
          <w:w w:val="97"/>
        </w:rPr>
        <w:t>压、心悸、晕厥、心动过速、室性早搏。</w:t>
      </w:r>
    </w:p>
    <w:p>
      <w:pPr>
        <w:pStyle w:val="BodyText"/>
        <w:ind w:left="2" w:right="847" w:firstLine="335"/>
        <w:spacing w:before="47" w:line="203" w:lineRule="auto"/>
        <w:rPr/>
      </w:pPr>
      <w:r>
        <w:rPr>
          <w:color w:val="231F20"/>
          <w:spacing w:val="-14"/>
        </w:rPr>
        <w:t>（</w:t>
      </w:r>
      <w:r>
        <w:rPr>
          <w:rFonts w:ascii="Times New Roman" w:hAnsi="Times New Roman" w:eastAsia="Times New Roman" w:cs="Times New Roman"/>
          <w:color w:val="231F20"/>
          <w:spacing w:val="-14"/>
        </w:rPr>
        <w:t>2</w:t>
      </w:r>
      <w:r>
        <w:rPr>
          <w:color w:val="231F20"/>
          <w:spacing w:val="-14"/>
        </w:rPr>
        <w:t>）神经系统：多梦、遗忘、抑郁、步态异常、幻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  <w:w w:val="96"/>
        </w:rPr>
        <w:t>觉、失眠、神经质、感觉异常、性格改变、嗜睡、震颤。</w:t>
      </w:r>
    </w:p>
    <w:p>
      <w:pPr>
        <w:pStyle w:val="BodyText"/>
        <w:ind w:left="2" w:right="905" w:firstLine="335"/>
        <w:spacing w:before="50" w:line="209" w:lineRule="auto"/>
        <w:rPr/>
      </w:pPr>
      <w:r>
        <w:rPr>
          <w:color w:val="231F20"/>
          <w:spacing w:val="-14"/>
        </w:rPr>
        <w:t>（</w:t>
      </w:r>
      <w:r>
        <w:rPr>
          <w:rFonts w:ascii="Times New Roman" w:hAnsi="Times New Roman" w:eastAsia="Times New Roman" w:cs="Times New Roman"/>
          <w:color w:val="231F20"/>
          <w:spacing w:val="-14"/>
        </w:rPr>
        <w:t>3</w:t>
      </w:r>
      <w:r>
        <w:rPr>
          <w:color w:val="231F20"/>
          <w:spacing w:val="-14"/>
        </w:rPr>
        <w:t>）消化系统：厌食、便秘、腹泻、味觉障碍、消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  <w:w w:val="98"/>
        </w:rPr>
        <w:t>化不良、口渴、呕吐、体重增加、碱性磷酸酶、乳酸脱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氢酶、谷草转氨酶、谷丙转氨酶轻度升高。</w:t>
      </w:r>
    </w:p>
    <w:p>
      <w:pPr>
        <w:pStyle w:val="BodyText"/>
        <w:ind w:left="338"/>
        <w:spacing w:before="50" w:line="205" w:lineRule="auto"/>
        <w:rPr/>
      </w:pPr>
      <w:r>
        <w:rPr>
          <w:color w:val="231F20"/>
          <w:spacing w:val="-15"/>
          <w:w w:val="98"/>
        </w:rPr>
        <w:t>（</w:t>
      </w:r>
      <w:r>
        <w:rPr>
          <w:rFonts w:ascii="Times New Roman" w:hAnsi="Times New Roman" w:eastAsia="Times New Roman" w:cs="Times New Roman"/>
          <w:color w:val="231F20"/>
          <w:spacing w:val="-15"/>
          <w:w w:val="98"/>
        </w:rPr>
        <w:t>4</w:t>
      </w:r>
      <w:r>
        <w:rPr>
          <w:color w:val="231F20"/>
          <w:spacing w:val="-15"/>
          <w:w w:val="98"/>
        </w:rPr>
        <w:t>）皮肤：瘀点、光敏感、瘙痒、荨麻疹。</w:t>
      </w:r>
    </w:p>
    <w:p>
      <w:pPr>
        <w:pStyle w:val="BodyText"/>
        <w:ind w:left="424"/>
        <w:spacing w:before="22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5.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7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7"/>
        </w:rPr>
        <w:t>30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mg/</w:t>
      </w:r>
      <w:r>
        <w:rPr>
          <w:color w:val="231F20"/>
          <w:spacing w:val="-7"/>
        </w:rPr>
        <w:t>片。</w:t>
      </w:r>
    </w:p>
    <w:p>
      <w:pPr>
        <w:pStyle w:val="BodyText"/>
        <w:ind w:left="2" w:right="838" w:firstLine="422"/>
        <w:spacing w:before="28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11"/>
        </w:rPr>
        <w:t>6.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-11"/>
        </w:rPr>
        <w:t>用法和用量：口服，起始剂量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30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1"/>
        </w:rPr>
        <w:t>mg/</w:t>
      </w:r>
      <w:r>
        <w:rPr>
          <w:color w:val="231F20"/>
          <w:spacing w:val="-11"/>
        </w:rPr>
        <w:t>次、</w:t>
      </w:r>
      <w:r>
        <w:rPr>
          <w:rFonts w:ascii="Times New Roman" w:hAnsi="Times New Roman" w:eastAsia="Times New Roman" w:cs="Times New Roman"/>
          <w:color w:val="231F20"/>
          <w:spacing w:val="-11"/>
        </w:rPr>
        <w:t>4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11"/>
        </w:rPr>
        <w:t>次</w:t>
      </w:r>
      <w:r>
        <w:rPr>
          <w:rFonts w:ascii="Times New Roman" w:hAnsi="Times New Roman" w:eastAsia="Times New Roman" w:cs="Times New Roman"/>
          <w:color w:val="231F20"/>
          <w:spacing w:val="-12"/>
        </w:rPr>
        <w:t>/d</w:t>
      </w:r>
      <w:r>
        <w:rPr>
          <w:color w:val="231F20"/>
          <w:spacing w:val="-1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餐前及睡前服药，每 </w:t>
      </w:r>
      <w:r>
        <w:rPr>
          <w:rFonts w:ascii="Times New Roman" w:hAnsi="Times New Roman" w:eastAsia="Times New Roman" w:cs="Times New Roman"/>
          <w:color w:val="231F20"/>
          <w:spacing w:val="-3"/>
        </w:rPr>
        <w:t>1~2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3"/>
        </w:rPr>
        <w:t>天增加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次剂量，直至获得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最佳疗效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4"/>
        </w:rPr>
        <w:t>。平均剂量范围为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90~360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4"/>
        </w:rPr>
        <w:t>/d</w:t>
      </w:r>
      <w:r>
        <w:rPr>
          <w:color w:val="231F20"/>
          <w:spacing w:val="4"/>
        </w:rPr>
        <w:t>。</w:t>
      </w:r>
    </w:p>
    <w:p>
      <w:pPr>
        <w:pStyle w:val="BodyText"/>
        <w:ind w:right="903" w:firstLine="421"/>
        <w:spacing w:before="40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7.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-3"/>
        </w:rPr>
        <w:t>药物代谢动力学：口服后通过胃肠道吸收</w:t>
      </w:r>
      <w:r>
        <w:rPr>
          <w:color w:val="231F20"/>
          <w:spacing w:val="-4"/>
        </w:rPr>
        <w:t>较完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全，有较强的肝脏首过效应，生物利用度为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40%</w:t>
      </w:r>
      <w:r>
        <w:rPr>
          <w:color w:val="231F20"/>
          <w:spacing w:val="-3"/>
        </w:rPr>
        <w:t>。血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浆蛋白结合率为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70%~80%</w:t>
      </w:r>
      <w:r>
        <w:rPr>
          <w:color w:val="231F20"/>
          <w:spacing w:val="2"/>
        </w:rPr>
        <w:t>。体内代谢完全</w:t>
      </w:r>
      <w:r>
        <w:rPr>
          <w:color w:val="231F20"/>
          <w:spacing w:val="1"/>
        </w:rPr>
        <w:t>，仅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2%~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4% </w:t>
      </w:r>
      <w:r>
        <w:rPr>
          <w:color w:val="231F20"/>
          <w:spacing w:val="2"/>
        </w:rPr>
        <w:t>以原形随尿液排泄。血浆消除半衰期为</w:t>
      </w:r>
      <w:r>
        <w:rPr>
          <w:rFonts w:ascii="Times New Roman" w:hAnsi="Times New Roman" w:eastAsia="Times New Roman" w:cs="Times New Roman"/>
          <w:color w:val="231F20"/>
          <w:spacing w:val="2"/>
        </w:rPr>
        <w:t>3.</w:t>
      </w:r>
      <w:r>
        <w:rPr>
          <w:rFonts w:ascii="Times New Roman" w:hAnsi="Times New Roman" w:eastAsia="Times New Roman" w:cs="Times New Roman"/>
          <w:color w:val="231F20"/>
          <w:spacing w:val="1"/>
        </w:rPr>
        <w:t>5 h</w:t>
      </w:r>
      <w:r>
        <w:rPr>
          <w:color w:val="231F20"/>
          <w:spacing w:val="1"/>
        </w:rPr>
        <w:t>。</w:t>
      </w:r>
    </w:p>
    <w:p>
      <w:pPr>
        <w:pStyle w:val="BodyText"/>
        <w:ind w:right="823" w:firstLine="429"/>
        <w:spacing w:before="25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8.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-1"/>
        </w:rPr>
        <w:t>药物相互作用：本品与普萘洛尔、西咪替丁、</w:t>
      </w:r>
      <w:r>
        <w:rPr>
          <w:color w:val="231F20"/>
        </w:rPr>
        <w:t xml:space="preserve"> </w:t>
      </w:r>
      <w:r>
        <w:rPr>
          <w:color w:val="231F20"/>
          <w:spacing w:val="-10"/>
          <w:w w:val="99"/>
        </w:rPr>
        <w:t>地高辛、麻醉药、卡马西平、环孢菌素、利福平、三唑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仑和米达唑仑等有相互作用，在开始或停止合用时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需调整药物剂量。</w:t>
      </w:r>
    </w:p>
    <w:p>
      <w:pPr>
        <w:ind w:left="347"/>
        <w:spacing w:before="43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（五）维拉帕米</w:t>
      </w:r>
    </w:p>
    <w:p>
      <w:pPr>
        <w:pStyle w:val="BodyText"/>
        <w:ind w:left="440"/>
        <w:spacing w:before="53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1.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"/>
        </w:rPr>
        <w:t>药品分类：</w:t>
      </w:r>
      <w:r>
        <w:rPr>
          <w:rFonts w:ascii="Times New Roman" w:hAnsi="Times New Roman" w:eastAsia="Times New Roman" w:cs="Times New Roman"/>
          <w:color w:val="231F20"/>
          <w:spacing w:val="-1"/>
        </w:rPr>
        <w:t>Ⅳ</w:t>
      </w:r>
      <w:r>
        <w:rPr>
          <w:color w:val="231F20"/>
          <w:spacing w:val="-1"/>
        </w:rPr>
        <w:t>类抗心律失常药。</w:t>
      </w:r>
    </w:p>
    <w:p>
      <w:pPr>
        <w:pStyle w:val="BodyText"/>
        <w:ind w:left="423"/>
        <w:spacing w:before="14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用药目的：用于心房颤动控制心室率。</w:t>
      </w:r>
    </w:p>
    <w:p>
      <w:pPr>
        <w:pStyle w:val="BodyText"/>
        <w:ind w:right="905" w:firstLine="426"/>
        <w:spacing w:before="19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禁忌证：禁用于严重左心室功能不全；低血</w:t>
      </w:r>
      <w:r>
        <w:rPr>
          <w:color w:val="231F20"/>
        </w:rPr>
        <w:t xml:space="preserve"> </w:t>
      </w:r>
      <w:r>
        <w:rPr>
          <w:color w:val="231F20"/>
        </w:rPr>
        <w:t>压（收缩压</w:t>
      </w:r>
      <w:r>
        <w:rPr>
          <w:rFonts w:ascii="Times New Roman" w:hAnsi="Times New Roman" w:eastAsia="Times New Roman" w:cs="Times New Roman"/>
          <w:color w:val="231F20"/>
        </w:rPr>
        <w:t>&lt;90 mmHg</w:t>
      </w:r>
      <w:r>
        <w:rPr>
          <w:color w:val="231F20"/>
        </w:rPr>
        <w:t>）或心原性休克；病态窦房结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综合征（已安装心脏起搏器患者除外</w:t>
      </w:r>
      <w:r>
        <w:rPr>
          <w:color w:val="231F20"/>
          <w:spacing w:val="-28"/>
          <w:w w:val="59"/>
        </w:rPr>
        <w:t>）；</w:t>
      </w:r>
      <w:r>
        <w:rPr>
          <w:color w:val="231F20"/>
          <w:spacing w:val="7"/>
        </w:rPr>
        <w:t>二或三度房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室阻滞（已安装心脏起搏器患者除外</w:t>
      </w:r>
      <w:r>
        <w:rPr>
          <w:color w:val="231F20"/>
          <w:spacing w:val="-28"/>
          <w:w w:val="59"/>
        </w:rPr>
        <w:t>）；</w:t>
      </w:r>
      <w:r>
        <w:rPr>
          <w:color w:val="231F20"/>
          <w:spacing w:val="7"/>
        </w:rPr>
        <w:t>心房扑动或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心房颤动患者合并房室旁路通道；已知对盐酸维拉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帕米过敏的患者。</w:t>
      </w:r>
    </w:p>
    <w:p>
      <w:pPr>
        <w:pStyle w:val="BodyText"/>
        <w:ind w:left="1" w:right="840" w:firstLine="418"/>
        <w:spacing w:before="49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9"/>
        </w:rPr>
        <w:t>4.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9"/>
        </w:rPr>
        <w:t>不良反应及处理：便秘，眩晕，恶心，</w:t>
      </w:r>
      <w:r>
        <w:rPr>
          <w:color w:val="231F20"/>
          <w:spacing w:val="-10"/>
        </w:rPr>
        <w:t>低血压，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头痛，外周水肿，充血性心力衰竭，窦性心动过缓，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房室传导阻滞，皮疹，乏力，心悸，转氨酶升高，伴或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不伴碱性磷酸酶和胆红素的升高，这种升高有时是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一过性的，甚至继续使用维拉帕米仍可消失。</w:t>
      </w:r>
    </w:p>
    <w:p>
      <w:pPr>
        <w:pStyle w:val="BodyText"/>
        <w:ind w:left="422"/>
        <w:spacing w:before="48" w:line="165" w:lineRule="auto"/>
        <w:rPr/>
      </w:pPr>
      <w:r>
        <w:rPr>
          <w:rFonts w:ascii="Times New Roman" w:hAnsi="Times New Roman" w:eastAsia="Times New Roman" w:cs="Times New Roman"/>
          <w:color w:val="231F20"/>
          <w:spacing w:val="-19"/>
          <w:w w:val="97"/>
        </w:rPr>
        <w:t>5.</w:t>
      </w:r>
      <w:r>
        <w:rPr>
          <w:color w:val="231F20"/>
          <w:spacing w:val="-19"/>
          <w:w w:val="97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19"/>
          <w:w w:val="97"/>
        </w:rPr>
        <w:t>40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9"/>
          <w:w w:val="97"/>
        </w:rPr>
        <w:t>mg/</w:t>
      </w:r>
      <w:r>
        <w:rPr>
          <w:color w:val="231F20"/>
          <w:spacing w:val="-19"/>
          <w:w w:val="97"/>
        </w:rPr>
        <w:t>片；注射剂，</w:t>
      </w:r>
      <w:r>
        <w:rPr>
          <w:rFonts w:ascii="Times New Roman" w:hAnsi="Times New Roman" w:eastAsia="Times New Roman" w:cs="Times New Roman"/>
          <w:color w:val="231F20"/>
          <w:spacing w:val="-19"/>
          <w:w w:val="97"/>
        </w:rPr>
        <w:t>2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9"/>
          <w:w w:val="97"/>
        </w:rPr>
        <w:t>ml</w:t>
      </w:r>
      <w:r>
        <w:rPr>
          <w:color w:val="231F20"/>
          <w:spacing w:val="-19"/>
          <w:w w:val="97"/>
        </w:rPr>
        <w:t>∶</w:t>
      </w:r>
      <w:r>
        <w:rPr>
          <w:rFonts w:ascii="Times New Roman" w:hAnsi="Times New Roman" w:eastAsia="Times New Roman" w:cs="Times New Roman"/>
          <w:color w:val="231F20"/>
          <w:spacing w:val="-19"/>
          <w:w w:val="97"/>
        </w:rPr>
        <w:t>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9"/>
          <w:w w:val="97"/>
        </w:rPr>
        <w:t>mg</w:t>
      </w:r>
      <w:r>
        <w:rPr>
          <w:color w:val="231F20"/>
          <w:spacing w:val="-19"/>
          <w:w w:val="97"/>
        </w:rPr>
        <w:t>。</w:t>
      </w:r>
    </w:p>
    <w:p>
      <w:pPr>
        <w:spacing w:line="165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2" w:space="100"/>
            <w:col w:w="5435" w:space="0"/>
          </w:cols>
        </w:sectPr>
        <w:rPr/>
      </w:pPr>
    </w:p>
    <w:p>
      <w:pPr>
        <w:spacing w:before="60"/>
        <w:rPr/>
      </w:pPr>
      <w:r>
        <w:pict>
          <v:shape id="_x0000_s26" style="position:absolute;margin-left:65.1968pt;margin-top:59.6178pt;mso-position-vertical-relative:page;mso-position-horizontal-relative:page;width:318.95pt;height:0.4pt;z-index:251675648;" o:allowincell="f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sectPr>
          <w:headerReference w:type="default" r:id="rId8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1333"/>
        <w:spacing w:before="46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用法和用量：</w:t>
      </w:r>
    </w:p>
    <w:p>
      <w:pPr>
        <w:pStyle w:val="BodyText"/>
        <w:ind w:left="1247"/>
        <w:spacing w:before="15" w:line="199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</w:rPr>
        <w:t>1</w:t>
      </w:r>
      <w:r>
        <w:rPr>
          <w:color w:val="231F20"/>
          <w:spacing w:val="3"/>
        </w:rPr>
        <w:t>）口服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。成人起始剂量为 </w:t>
      </w:r>
      <w:r>
        <w:rPr>
          <w:rFonts w:ascii="Times New Roman" w:hAnsi="Times New Roman" w:eastAsia="Times New Roman" w:cs="Times New Roman"/>
          <w:color w:val="231F20"/>
          <w:spacing w:val="3"/>
        </w:rPr>
        <w:t>40~80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color w:val="231F20"/>
          <w:spacing w:val="3"/>
        </w:rPr>
        <w:t>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、</w:t>
      </w:r>
      <w:r>
        <w:rPr>
          <w:rFonts w:ascii="Times New Roman" w:hAnsi="Times New Roman" w:eastAsia="Times New Roman" w:cs="Times New Roman"/>
          <w:color w:val="231F20"/>
          <w:spacing w:val="3"/>
        </w:rPr>
        <w:t>3~</w:t>
      </w:r>
    </w:p>
    <w:p>
      <w:pPr>
        <w:pStyle w:val="BodyText"/>
        <w:ind w:left="908" w:right="405"/>
        <w:spacing w:before="36" w:line="21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4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次</w:t>
      </w:r>
      <w:r>
        <w:rPr>
          <w:rFonts w:ascii="Times New Roman" w:hAnsi="Times New Roman" w:eastAsia="Times New Roman" w:cs="Times New Roman"/>
          <w:color w:val="231F20"/>
          <w:spacing w:val="4"/>
        </w:rPr>
        <w:t>/d</w:t>
      </w:r>
      <w:r>
        <w:rPr>
          <w:color w:val="231F20"/>
          <w:spacing w:val="4"/>
        </w:rPr>
        <w:t>，按需要及耐受情况可逐日或逐周增加剂量，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一日总量一般在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240~480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8"/>
        </w:rPr>
        <w:t>；成人处方极量一 日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480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mg</w:t>
      </w:r>
      <w:r>
        <w:rPr>
          <w:color w:val="231F20"/>
          <w:spacing w:val="-2"/>
        </w:rPr>
        <w:t>。</w:t>
      </w:r>
    </w:p>
    <w:p>
      <w:pPr>
        <w:pStyle w:val="BodyText"/>
        <w:ind w:left="910" w:right="405" w:firstLine="336"/>
        <w:spacing w:before="2" w:line="220" w:lineRule="auto"/>
        <w:jc w:val="both"/>
        <w:rPr/>
      </w:pP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color w:val="231F20"/>
          <w:spacing w:val="-3"/>
        </w:rPr>
        <w:t>）静脉注射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。用于治疗快速室上性心律</w:t>
      </w:r>
      <w:r>
        <w:rPr>
          <w:color w:val="231F20"/>
          <w:spacing w:val="-4"/>
        </w:rPr>
        <w:t>失常，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必须在连续心电监测下进行，于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2~3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内注</w:t>
      </w:r>
      <w:r>
        <w:rPr>
          <w:color w:val="231F20"/>
          <w:spacing w:val="4"/>
        </w:rPr>
        <w:t>射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5~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10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3"/>
        </w:rPr>
        <w:t>，必要时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5~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10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后可再给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3"/>
        </w:rPr>
        <w:t>。对老年患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者，为减轻不良反应，上述剂量经</w:t>
      </w:r>
      <w:r>
        <w:rPr>
          <w:rFonts w:ascii="Times New Roman" w:hAnsi="Times New Roman" w:eastAsia="Times New Roman" w:cs="Times New Roman"/>
          <w:color w:val="231F20"/>
          <w:spacing w:val="-5"/>
        </w:rPr>
        <w:t>3~4 min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-5"/>
        </w:rPr>
        <w:t>缓</w:t>
      </w:r>
      <w:r>
        <w:rPr>
          <w:color w:val="231F20"/>
          <w:spacing w:val="-6"/>
        </w:rPr>
        <w:t>慢注入。</w:t>
      </w:r>
    </w:p>
    <w:p>
      <w:pPr>
        <w:pStyle w:val="BodyText"/>
        <w:ind w:left="909" w:right="472" w:firstLine="337"/>
        <w:spacing w:before="2" w:line="210" w:lineRule="auto"/>
        <w:rPr/>
      </w:pP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）静脉滴注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。加入氯化钠注射液或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5% </w:t>
      </w:r>
      <w:r>
        <w:rPr>
          <w:color w:val="231F20"/>
          <w:spacing w:val="4"/>
        </w:rPr>
        <w:t>葡萄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糖注射液中静脉滴注，</w:t>
      </w:r>
      <w:r>
        <w:rPr>
          <w:rFonts w:ascii="Times New Roman" w:hAnsi="Times New Roman" w:eastAsia="Times New Roman" w:cs="Times New Roman"/>
          <w:color w:val="231F20"/>
          <w:spacing w:val="6"/>
        </w:rPr>
        <w:t>5~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6"/>
        </w:rPr>
        <w:t>/h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6"/>
        </w:rPr>
        <w:t>。一 日总</w:t>
      </w:r>
      <w:r>
        <w:rPr>
          <w:color w:val="231F20"/>
          <w:spacing w:val="5"/>
        </w:rPr>
        <w:t>量不超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过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50~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100 mg</w:t>
      </w:r>
      <w:r>
        <w:rPr>
          <w:color w:val="231F20"/>
          <w:spacing w:val="-1"/>
        </w:rPr>
        <w:t>。</w:t>
      </w:r>
    </w:p>
    <w:p>
      <w:pPr>
        <w:pStyle w:val="BodyText"/>
        <w:ind w:left="911" w:right="472" w:firstLine="335"/>
        <w:spacing w:before="43" w:line="214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4</w:t>
      </w:r>
      <w:r>
        <w:rPr>
          <w:color w:val="231F20"/>
          <w:spacing w:val="2"/>
        </w:rPr>
        <w:t>）肝、肾功能损害的患者慎用维拉帕米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。严</w:t>
      </w:r>
      <w:r>
        <w:rPr>
          <w:color w:val="231F20"/>
        </w:rPr>
        <w:t xml:space="preserve"> </w:t>
      </w:r>
      <w:r>
        <w:rPr>
          <w:color w:val="231F20"/>
          <w:spacing w:val="26"/>
        </w:rPr>
        <w:t>重肝功能不全时维拉帕米的清除半衰期延长至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14~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16 h</w:t>
      </w:r>
      <w:r>
        <w:rPr>
          <w:color w:val="231F20"/>
          <w:spacing w:val="1"/>
        </w:rPr>
        <w:t>，该类患者只需服用正常剂量的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30%</w:t>
      </w:r>
      <w:r>
        <w:rPr>
          <w:color w:val="231F20"/>
          <w:spacing w:val="1"/>
        </w:rPr>
        <w:t>。</w:t>
      </w:r>
    </w:p>
    <w:p>
      <w:pPr>
        <w:pStyle w:val="BodyText"/>
        <w:ind w:left="909" w:right="406" w:firstLine="420"/>
        <w:spacing w:before="29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药物代谢动力学：口服后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90% </w:t>
      </w:r>
      <w:r>
        <w:rPr>
          <w:color w:val="231F20"/>
          <w:spacing w:val="5"/>
        </w:rPr>
        <w:t>以上被吸收，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1~2 h </w:t>
      </w:r>
      <w:r>
        <w:rPr>
          <w:color w:val="231F20"/>
          <w:spacing w:val="3"/>
        </w:rPr>
        <w:t>内达血药峰浓度，作用持续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6~8 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3"/>
        </w:rPr>
        <w:t>。血浆蛋白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结合率约为</w:t>
      </w:r>
      <w:r>
        <w:rPr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90%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1"/>
        </w:rPr>
        <w:t>。主要经肝脏代谢，约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70% </w:t>
      </w:r>
      <w:r>
        <w:rPr>
          <w:color w:val="231F20"/>
          <w:spacing w:val="1"/>
        </w:rPr>
        <w:t>以代谢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物随尿液排泄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。平均半衰期为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2.8~7.4 h</w:t>
      </w:r>
      <w:r>
        <w:rPr>
          <w:color w:val="231F20"/>
          <w:spacing w:val="3"/>
        </w:rPr>
        <w:t>，长期用药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可增至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4.5~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12.0 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14"/>
        </w:rPr>
        <w:t>。静脉注射后的清除呈双指数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型，分布半衰期约为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4 min</w:t>
      </w:r>
      <w:r>
        <w:rPr>
          <w:color w:val="231F20"/>
          <w:spacing w:val="-2"/>
        </w:rPr>
        <w:t>，消除半衰期为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2~5 h</w:t>
      </w:r>
      <w:r>
        <w:rPr>
          <w:color w:val="231F20"/>
          <w:spacing w:val="-2"/>
        </w:rPr>
        <w:t>。</w:t>
      </w:r>
    </w:p>
    <w:p>
      <w:pPr>
        <w:pStyle w:val="BodyText"/>
        <w:ind w:left="909" w:right="473" w:firstLine="426"/>
        <w:spacing w:before="25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8.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4"/>
        </w:rPr>
        <w:t>药物相互作用：与 </w:t>
      </w:r>
      <w:r>
        <w:rPr>
          <w:rFonts w:ascii="Times New Roman" w:hAnsi="Times New Roman" w:eastAsia="Times New Roman" w:cs="Times New Roman"/>
          <w:color w:val="231F20"/>
          <w:spacing w:val="-4"/>
        </w:rPr>
        <w:t>β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4"/>
        </w:rPr>
        <w:t>受体阻滞剂、地高辛、胺</w:t>
      </w:r>
      <w:r>
        <w:rPr>
          <w:color w:val="231F20"/>
        </w:rPr>
        <w:t xml:space="preserve"> </w:t>
      </w:r>
      <w:r>
        <w:rPr>
          <w:color w:val="231F20"/>
          <w:spacing w:val="-8"/>
          <w:w w:val="98"/>
        </w:rPr>
        <w:t>碘酮、环磷酰胺、长春新碱、苯巴比妥、泼尼松、西咪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替丁、阿霉素、顺铂等药物有相互作用，合用时应调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6"/>
        </w:rPr>
        <w:t>整药物剂量。</w:t>
      </w:r>
    </w:p>
    <w:p>
      <w:pPr>
        <w:ind w:left="1254"/>
        <w:spacing w:before="42" w:line="270" w:lineRule="exact"/>
        <w:outlineLvl w:val="2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1656761</wp:posOffset>
            </wp:positionH>
            <wp:positionV relativeFrom="paragraph">
              <wp:posOffset>-3109846</wp:posOffset>
            </wp:positionV>
            <wp:extent cx="3949861" cy="462286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1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-7"/>
          <w:position w:val="1"/>
        </w:rPr>
        <w:t>（六）去乙酰毛花苷</w:t>
      </w:r>
    </w:p>
    <w:p>
      <w:pPr>
        <w:pStyle w:val="BodyText"/>
        <w:ind w:left="1347"/>
        <w:spacing w:before="52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1"/>
        </w:rPr>
        <w:t>药品分类：洋地黄类抗心律失常药。</w:t>
      </w:r>
    </w:p>
    <w:p>
      <w:pPr>
        <w:pStyle w:val="BodyText"/>
        <w:ind w:left="910" w:right="473" w:firstLine="419"/>
        <w:spacing w:before="16" w:line="202" w:lineRule="auto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2. </w:t>
      </w:r>
      <w:r>
        <w:rPr>
          <w:color w:val="231F20"/>
          <w:spacing w:val="-7"/>
        </w:rPr>
        <w:t>用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7"/>
        </w:rPr>
        <w:t>药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目 的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：用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心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率 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心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房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颤动。</w:t>
      </w:r>
    </w:p>
    <w:p>
      <w:pPr>
        <w:pStyle w:val="BodyText"/>
        <w:ind w:left="909" w:right="473" w:firstLine="423"/>
        <w:spacing w:before="50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禁忌证：禁用于预激综合征伴心房颤动或扑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动；任何强心苷制剂中毒；室性心动过速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、心室颤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动；梗阻性肥厚型心肌病（若伴收缩功能不全或心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房颤动仍可考虑）。</w:t>
      </w:r>
    </w:p>
    <w:p>
      <w:pPr>
        <w:pStyle w:val="BodyText"/>
        <w:ind w:left="906" w:right="474" w:firstLine="420"/>
        <w:spacing w:before="19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不良反应及处理：新出现的心律失常、胃纳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不佳或恶心、呕吐（刺激延髓中枢）、下腹痛、异常的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无力、软弱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。疑有洋地黄中毒时，应作地高辛血药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浓度测定。</w:t>
      </w:r>
    </w:p>
    <w:p>
      <w:pPr>
        <w:pStyle w:val="BodyText"/>
        <w:ind w:left="1330"/>
        <w:spacing w:before="50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9"/>
        </w:rPr>
        <w:t>5.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9"/>
        </w:rPr>
        <w:t>剂型和规格：注射剂，</w:t>
      </w:r>
      <w:r>
        <w:rPr>
          <w:rFonts w:ascii="Times New Roman" w:hAnsi="Times New Roman" w:eastAsia="Times New Roman" w:cs="Times New Roman"/>
          <w:color w:val="231F20"/>
          <w:spacing w:val="-9"/>
        </w:rPr>
        <w:t>2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ml</w:t>
      </w:r>
      <w:r>
        <w:rPr>
          <w:color w:val="231F20"/>
          <w:spacing w:val="-9"/>
        </w:rPr>
        <w:t>∶</w:t>
      </w:r>
      <w:r>
        <w:rPr>
          <w:rFonts w:ascii="Times New Roman" w:hAnsi="Times New Roman" w:eastAsia="Times New Roman" w:cs="Times New Roman"/>
          <w:color w:val="231F20"/>
          <w:spacing w:val="-9"/>
        </w:rPr>
        <w:t>0.4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</w:t>
      </w:r>
      <w:r>
        <w:rPr>
          <w:color w:val="231F20"/>
          <w:spacing w:val="-9"/>
        </w:rPr>
        <w:t>。</w:t>
      </w:r>
    </w:p>
    <w:p>
      <w:pPr>
        <w:pStyle w:val="BodyText"/>
        <w:ind w:left="907" w:right="473" w:firstLine="422"/>
        <w:spacing w:before="29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6.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-3"/>
        </w:rPr>
        <w:t>用法和用量：静脉注射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。首剂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0.4~0.6 mg</w:t>
      </w:r>
      <w:r>
        <w:rPr>
          <w:color w:val="231F20"/>
          <w:spacing w:val="-3"/>
        </w:rPr>
        <w:t>，用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5%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3"/>
        </w:rPr>
        <w:t>葡萄糖注射液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20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3"/>
        </w:rPr>
        <w:t>稀释后缓慢注射，需要时可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2~4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2"/>
        </w:rPr>
        <w:t>后再给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0.2 mg</w:t>
      </w:r>
      <w:r>
        <w:rPr>
          <w:color w:val="231F20"/>
          <w:spacing w:val="-2"/>
        </w:rPr>
        <w:t>；维持剂量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0.2~0.4 mg</w:t>
      </w:r>
      <w:r>
        <w:rPr>
          <w:rFonts w:ascii="Times New Roman" w:hAnsi="Times New Roman" w:eastAsia="Times New Roman" w:cs="Times New Roman"/>
          <w:color w:val="231F20"/>
          <w:spacing w:val="-3"/>
        </w:rPr>
        <w:t>/</w:t>
      </w:r>
      <w:r>
        <w:rPr>
          <w:color w:val="231F20"/>
          <w:spacing w:val="-3"/>
        </w:rPr>
        <w:t>次、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3"/>
        </w:rPr>
        <w:t>次</w:t>
      </w:r>
      <w:r>
        <w:rPr>
          <w:rFonts w:ascii="Times New Roman" w:hAnsi="Times New Roman" w:eastAsia="Times New Roman" w:cs="Times New Roman"/>
          <w:color w:val="231F20"/>
          <w:spacing w:val="-3"/>
        </w:rPr>
        <w:t>/d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-2"/>
        </w:rPr>
        <w:t>或 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2"/>
        </w:rPr>
        <w:t>次</w:t>
      </w:r>
      <w:r>
        <w:rPr>
          <w:rFonts w:ascii="Times New Roman" w:hAnsi="Times New Roman" w:eastAsia="Times New Roman" w:cs="Times New Roman"/>
          <w:color w:val="231F20"/>
          <w:spacing w:val="-2"/>
        </w:rPr>
        <w:t>/12 h</w:t>
      </w:r>
      <w:r>
        <w:rPr>
          <w:color w:val="231F20"/>
          <w:spacing w:val="-2"/>
        </w:rPr>
        <w:t>。情况紧急时，</w:t>
      </w:r>
      <w:r>
        <w:rPr>
          <w:rFonts w:ascii="Times New Roman" w:hAnsi="Times New Roman" w:eastAsia="Times New Roman" w:cs="Times New Roman"/>
          <w:color w:val="231F20"/>
          <w:spacing w:val="-2"/>
        </w:rPr>
        <w:t>0.4~0.6 mg </w:t>
      </w:r>
      <w:r>
        <w:rPr>
          <w:color w:val="231F20"/>
          <w:spacing w:val="-2"/>
        </w:rPr>
        <w:t>以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25%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2"/>
        </w:rPr>
        <w:t>葡萄糖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液稀释后静脉注射（</w:t>
      </w:r>
      <w:r>
        <w:rPr>
          <w:rFonts w:ascii="Times New Roman" w:hAnsi="Times New Roman" w:eastAsia="Times New Roman" w:cs="Times New Roman"/>
          <w:color w:val="231F20"/>
          <w:spacing w:val="-1"/>
        </w:rPr>
        <w:t>5 min </w:t>
      </w:r>
      <w:r>
        <w:rPr>
          <w:color w:val="231F20"/>
          <w:spacing w:val="-1"/>
        </w:rPr>
        <w:t>以上</w:t>
      </w:r>
      <w:r>
        <w:rPr>
          <w:color w:val="231F20"/>
          <w:spacing w:val="-25"/>
          <w:w w:val="53"/>
        </w:rPr>
        <w:t>），</w:t>
      </w:r>
      <w:r>
        <w:rPr>
          <w:rFonts w:ascii="Times New Roman" w:hAnsi="Times New Roman" w:eastAsia="Times New Roman" w:cs="Times New Roman"/>
          <w:color w:val="231F20"/>
          <w:spacing w:val="-1"/>
        </w:rPr>
        <w:t>2~4 h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1"/>
        </w:rPr>
        <w:t>后需</w:t>
      </w:r>
      <w:r>
        <w:rPr>
          <w:color w:val="231F20"/>
          <w:spacing w:val="-2"/>
        </w:rPr>
        <w:t>要时再给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0.2~0.4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1"/>
        </w:rPr>
        <w:t>。起效后可改口服洋地黄制剂。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05" w:firstLine="420"/>
        <w:spacing w:before="46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7.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6"/>
        </w:rPr>
        <w:t>药物代谢动力学：静脉注射后 </w:t>
      </w:r>
      <w:r>
        <w:rPr>
          <w:rFonts w:ascii="Times New Roman" w:hAnsi="Times New Roman" w:eastAsia="Times New Roman" w:cs="Times New Roman"/>
          <w:color w:val="231F20"/>
          <w:spacing w:val="6"/>
        </w:rPr>
        <w:t>10~30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6"/>
        </w:rPr>
        <w:t>起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效，</w:t>
      </w:r>
      <w:r>
        <w:rPr>
          <w:rFonts w:ascii="Times New Roman" w:hAnsi="Times New Roman" w:eastAsia="Times New Roman" w:cs="Times New Roman"/>
          <w:color w:val="231F20"/>
          <w:spacing w:val="-4"/>
        </w:rPr>
        <w:t>1~3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4"/>
        </w:rPr>
        <w:t>作用达高峰，作用持续时间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2~5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h</w:t>
      </w:r>
      <w:r>
        <w:rPr>
          <w:color w:val="231F20"/>
          <w:spacing w:val="-4"/>
        </w:rPr>
        <w:t>，半衰期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为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33~36 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3"/>
        </w:rPr>
        <w:t>。</w:t>
      </w:r>
      <w:r>
        <w:rPr>
          <w:rFonts w:ascii="Times New Roman" w:hAnsi="Times New Roman" w:eastAsia="Times New Roman" w:cs="Times New Roman"/>
          <w:color w:val="231F20"/>
          <w:spacing w:val="3"/>
        </w:rPr>
        <w:t>3~6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d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3"/>
        </w:rPr>
        <w:t>作用完全消失，在体内转化为地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高辛，经肾脏排泄。</w:t>
      </w:r>
    </w:p>
    <w:p>
      <w:pPr>
        <w:pStyle w:val="BodyText"/>
        <w:ind w:left="2" w:right="905" w:firstLine="428"/>
        <w:spacing w:before="52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8.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3"/>
        </w:rPr>
        <w:t>药物相互作用：与两性霉素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</w:t>
      </w:r>
      <w:r>
        <w:rPr>
          <w:color w:val="231F20"/>
          <w:spacing w:val="-3"/>
        </w:rPr>
        <w:t>、皮质激素或失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钾利尿剂同用，可引起低血钾而致洋地黄中毒；与制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酸药（尤其三硅酸镁）或止泻吸附药（如白陶土、果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胶、考来烯胺）和其他阴离子交换树脂、柳氮磺吡啶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或新霉素、对氨基水杨酸同用时，可抑制洋地黄强心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苷吸收而导致强心苷作用减弱；与抗心律失常药、钙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  <w:w w:val="98"/>
        </w:rPr>
        <w:t>盐注射剂、可卡因、泮库溴胺、萝芙木碱、琥珀胆碱或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拟肾上腺素类药同用时，可致心律失常；与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β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-3"/>
        </w:rPr>
        <w:t>受体阻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滞剂同用，可致心动过缓；与奎尼丁、维拉帕米、地尔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硫</w:t>
      </w:r>
      <w:r>
        <w:rPr>
          <w:rFonts w:ascii="SimSun" w:hAnsi="SimSun" w:eastAsia="SimSun" w:cs="SimSun"/>
          <w:color w:val="231F20"/>
          <w:spacing w:val="-3"/>
        </w:rPr>
        <w:t>草</w:t>
      </w:r>
      <w:r>
        <w:rPr>
          <w:color w:val="231F20"/>
          <w:spacing w:val="-3"/>
        </w:rPr>
        <w:t>、胺碘酮合用，可提高地高辛血药浓度</w:t>
      </w:r>
      <w:r>
        <w:rPr>
          <w:color w:val="231F20"/>
          <w:spacing w:val="-4"/>
        </w:rPr>
        <w:t>；与螺内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酯、吲哚美辛合用可延长半衰期；与血管紧张素转换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酶抑制剂和血管紧张素</w:t>
      </w:r>
      <w:r>
        <w:rPr>
          <w:rFonts w:ascii="Times New Roman" w:hAnsi="Times New Roman" w:eastAsia="Times New Roman" w:cs="Times New Roman"/>
          <w:color w:val="231F20"/>
          <w:spacing w:val="9"/>
        </w:rPr>
        <w:t>Ⅱ</w:t>
      </w:r>
      <w:r>
        <w:rPr>
          <w:color w:val="231F20"/>
          <w:spacing w:val="9"/>
        </w:rPr>
        <w:t>受体拮抗剂合用可使血药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浓度增高；与肝素同用，可抵消肝素的抗凝</w:t>
      </w:r>
      <w:r>
        <w:rPr>
          <w:color w:val="231F20"/>
          <w:spacing w:val="-4"/>
        </w:rPr>
        <w:t>作用；红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霉素可增加去乙酰毛花苷在胃肠道的吸收；禁忌与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钙注射剂合用；不宜与酸、碱类配伍。</w:t>
      </w:r>
    </w:p>
    <w:p>
      <w:pPr>
        <w:ind w:left="349"/>
        <w:spacing w:before="38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5"/>
          <w:position w:val="1"/>
        </w:rPr>
        <w:t>（七）地高辛</w:t>
      </w:r>
    </w:p>
    <w:p>
      <w:pPr>
        <w:pStyle w:val="BodyText"/>
        <w:ind w:left="442"/>
        <w:spacing w:before="52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1"/>
        </w:rPr>
        <w:t>药品分类：洋地黄类抗心率失常药。</w:t>
      </w:r>
    </w:p>
    <w:p>
      <w:pPr>
        <w:pStyle w:val="BodyText"/>
        <w:ind w:left="6" w:right="905" w:firstLine="419"/>
        <w:spacing w:before="16" w:line="202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5"/>
        </w:rPr>
        <w:t>用药目的：用于控制伴有快速心室率的心房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颤动。</w:t>
      </w:r>
    </w:p>
    <w:p>
      <w:pPr>
        <w:pStyle w:val="BodyText"/>
        <w:ind w:left="5" w:right="905" w:firstLine="422"/>
        <w:spacing w:before="50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禁忌证：禁用于对任何洋地黄类制剂过敏或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中毒者；室性心动过速、心室颤动；梗阻性肥厚型心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5"/>
        </w:rPr>
        <w:t>肌病患者（若伴收缩功能不全或心房颤动仍可考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虑</w:t>
      </w:r>
      <w:r>
        <w:rPr>
          <w:color w:val="231F20"/>
          <w:spacing w:val="-29"/>
          <w:w w:val="61"/>
        </w:rPr>
        <w:t>）；</w:t>
      </w:r>
      <w:r>
        <w:rPr>
          <w:color w:val="231F20"/>
          <w:spacing w:val="10"/>
        </w:rPr>
        <w:t>伴心房颤动或扑动的预激综合征患者。</w:t>
      </w:r>
    </w:p>
    <w:p>
      <w:pPr>
        <w:pStyle w:val="BodyText"/>
        <w:ind w:left="3" w:right="823" w:firstLine="419"/>
        <w:spacing w:before="26" w:line="215" w:lineRule="auto"/>
        <w:rPr/>
      </w:pPr>
      <w:r>
        <w:rPr>
          <w:rFonts w:ascii="Times New Roman" w:hAnsi="Times New Roman" w:eastAsia="Times New Roman" w:cs="Times New Roman"/>
          <w:color w:val="231F20"/>
        </w:rPr>
        <w:t>4.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</w:rPr>
        <w:t>不良反应及处理：常见心律失常、食欲缺乏、 </w:t>
      </w:r>
      <w:r>
        <w:rPr>
          <w:color w:val="231F20"/>
          <w:spacing w:val="-10"/>
          <w:w w:val="97"/>
        </w:rPr>
        <w:t>恶心、呕吐、下腹痛、无力；少见视物模糊或“色视”、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腹泻、精神抑郁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"/>
        </w:rPr>
        <w:t>。罕见嗜睡、头痛及皮疹、荨麻疹；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在洋地黄的中毒表现中，最常见者为室性早搏，其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次为房室传导阻滞，阵发性或加速性交界性心动过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速，阵发性房性心动过速伴房室传导阻滞，室性心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动过速、窦性停搏、心室颤动等。</w:t>
      </w:r>
    </w:p>
    <w:p>
      <w:pPr>
        <w:pStyle w:val="BodyText"/>
        <w:ind w:left="7" w:right="837" w:firstLine="417"/>
        <w:spacing w:before="5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5.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-5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5"/>
        </w:rPr>
        <w:t>0.25 mg/</w:t>
      </w:r>
      <w:r>
        <w:rPr>
          <w:color w:val="231F20"/>
          <w:spacing w:val="-5"/>
        </w:rPr>
        <w:t>片；口服溶液剂，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3"/>
        </w:rPr>
        <w:t>10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3"/>
        </w:rPr>
        <w:t>ml</w:t>
      </w:r>
      <w:r>
        <w:rPr>
          <w:color w:val="231F20"/>
          <w:spacing w:val="-23"/>
        </w:rPr>
        <w:t>∶</w:t>
      </w:r>
      <w:r>
        <w:rPr>
          <w:rFonts w:ascii="Times New Roman" w:hAnsi="Times New Roman" w:eastAsia="Times New Roman" w:cs="Times New Roman"/>
          <w:color w:val="231F20"/>
          <w:spacing w:val="-23"/>
        </w:rPr>
        <w:t>0.5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3"/>
        </w:rPr>
        <w:t>mg</w:t>
      </w:r>
      <w:r>
        <w:rPr>
          <w:color w:val="231F20"/>
          <w:spacing w:val="-23"/>
        </w:rPr>
        <w:t>、</w:t>
      </w:r>
      <w:r>
        <w:rPr>
          <w:rFonts w:ascii="Times New Roman" w:hAnsi="Times New Roman" w:eastAsia="Times New Roman" w:cs="Times New Roman"/>
          <w:color w:val="231F20"/>
          <w:spacing w:val="-23"/>
        </w:rPr>
        <w:t>30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3"/>
        </w:rPr>
        <w:t>ml</w:t>
      </w:r>
      <w:r>
        <w:rPr>
          <w:color w:val="231F20"/>
          <w:spacing w:val="-23"/>
        </w:rPr>
        <w:t>∶</w:t>
      </w:r>
      <w:r>
        <w:rPr>
          <w:rFonts w:ascii="Times New Roman" w:hAnsi="Times New Roman" w:eastAsia="Times New Roman" w:cs="Times New Roman"/>
          <w:color w:val="231F20"/>
          <w:spacing w:val="-23"/>
        </w:rPr>
        <w:t>1.5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3"/>
        </w:rPr>
        <w:t>mg</w:t>
      </w:r>
      <w:r>
        <w:rPr>
          <w:color w:val="231F20"/>
          <w:spacing w:val="-23"/>
        </w:rPr>
        <w:t>、</w:t>
      </w:r>
      <w:r>
        <w:rPr>
          <w:rFonts w:ascii="Times New Roman" w:hAnsi="Times New Roman" w:eastAsia="Times New Roman" w:cs="Times New Roman"/>
          <w:color w:val="231F20"/>
          <w:spacing w:val="-23"/>
        </w:rPr>
        <w:t>50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3"/>
        </w:rPr>
        <w:t>ml</w:t>
      </w:r>
      <w:r>
        <w:rPr>
          <w:color w:val="231F20"/>
          <w:spacing w:val="-23"/>
        </w:rPr>
        <w:t>∶</w:t>
      </w:r>
      <w:r>
        <w:rPr>
          <w:rFonts w:ascii="Times New Roman" w:hAnsi="Times New Roman" w:eastAsia="Times New Roman" w:cs="Times New Roman"/>
          <w:color w:val="231F20"/>
          <w:spacing w:val="-23"/>
        </w:rPr>
        <w:t>2.5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4"/>
        </w:rPr>
        <w:t>mg</w:t>
      </w:r>
      <w:r>
        <w:rPr>
          <w:color w:val="231F20"/>
          <w:spacing w:val="-24"/>
        </w:rPr>
        <w:t>、</w:t>
      </w:r>
      <w:r>
        <w:rPr>
          <w:rFonts w:ascii="Times New Roman" w:hAnsi="Times New Roman" w:eastAsia="Times New Roman" w:cs="Times New Roman"/>
          <w:color w:val="231F20"/>
          <w:spacing w:val="-24"/>
        </w:rPr>
        <w:t>100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4"/>
        </w:rPr>
        <w:t>ml</w:t>
      </w:r>
      <w:r>
        <w:rPr>
          <w:color w:val="231F20"/>
          <w:spacing w:val="-24"/>
        </w:rPr>
        <w:t>∶</w:t>
      </w:r>
      <w:r>
        <w:rPr>
          <w:rFonts w:ascii="Times New Roman" w:hAnsi="Times New Roman" w:eastAsia="Times New Roman" w:cs="Times New Roman"/>
          <w:color w:val="231F20"/>
          <w:spacing w:val="-24"/>
        </w:rPr>
        <w:t>5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4"/>
        </w:rPr>
        <w:t>mg</w:t>
      </w:r>
      <w:r>
        <w:rPr>
          <w:color w:val="231F20"/>
          <w:spacing w:val="-24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注射液，</w:t>
      </w:r>
      <w:r>
        <w:rPr>
          <w:rFonts w:ascii="Times New Roman" w:hAnsi="Times New Roman" w:eastAsia="Times New Roman" w:cs="Times New Roman"/>
          <w:color w:val="231F20"/>
          <w:spacing w:val="-17"/>
        </w:rPr>
        <w:t>2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7"/>
        </w:rPr>
        <w:t>ml</w:t>
      </w:r>
      <w:r>
        <w:rPr>
          <w:color w:val="231F20"/>
          <w:spacing w:val="-17"/>
        </w:rPr>
        <w:t>∶</w:t>
      </w:r>
      <w:r>
        <w:rPr>
          <w:rFonts w:ascii="Times New Roman" w:hAnsi="Times New Roman" w:eastAsia="Times New Roman" w:cs="Times New Roman"/>
          <w:color w:val="231F20"/>
          <w:spacing w:val="-17"/>
        </w:rPr>
        <w:t>0.5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7"/>
        </w:rPr>
        <w:t>mg</w:t>
      </w:r>
      <w:r>
        <w:rPr>
          <w:color w:val="231F20"/>
          <w:spacing w:val="-17"/>
        </w:rPr>
        <w:t>。</w:t>
      </w:r>
    </w:p>
    <w:p>
      <w:pPr>
        <w:pStyle w:val="BodyText"/>
        <w:ind w:left="425"/>
        <w:spacing w:before="29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用法和用量：</w:t>
      </w:r>
    </w:p>
    <w:p>
      <w:pPr>
        <w:pStyle w:val="BodyText"/>
        <w:ind w:left="4" w:right="824" w:firstLine="335"/>
        <w:spacing w:before="16" w:line="213" w:lineRule="auto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color w:val="231F20"/>
          <w:spacing w:val="-2"/>
        </w:rPr>
        <w:t>）口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服 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人 常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量 </w:t>
      </w:r>
      <w:r>
        <w:rPr>
          <w:rFonts w:ascii="Times New Roman" w:hAnsi="Times New Roman" w:eastAsia="Times New Roman" w:cs="Times New Roman"/>
          <w:color w:val="231F20"/>
          <w:spacing w:val="-2"/>
        </w:rPr>
        <w:t>0.125~0.500 mg/</w:t>
      </w:r>
      <w:r>
        <w:rPr>
          <w:color w:val="231F20"/>
          <w:spacing w:val="-2"/>
        </w:rPr>
        <w:t>次 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 </w:t>
      </w:r>
      <w:r>
        <w:rPr>
          <w:color w:val="231F20"/>
          <w:spacing w:val="5"/>
        </w:rPr>
        <w:t>次</w:t>
      </w:r>
      <w:r>
        <w:rPr>
          <w:rFonts w:ascii="Times New Roman" w:hAnsi="Times New Roman" w:eastAsia="Times New Roman" w:cs="Times New Roman"/>
          <w:color w:val="231F20"/>
          <w:spacing w:val="5"/>
        </w:rPr>
        <w:t>/d</w:t>
      </w:r>
      <w:r>
        <w:rPr>
          <w:color w:val="231F20"/>
          <w:spacing w:val="5"/>
        </w:rPr>
        <w:t>，</w:t>
      </w:r>
      <w:r>
        <w:rPr>
          <w:rFonts w:ascii="Times New Roman" w:hAnsi="Times New Roman" w:eastAsia="Times New Roman" w:cs="Times New Roman"/>
          <w:color w:val="231F20"/>
          <w:spacing w:val="5"/>
        </w:rPr>
        <w:t>7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d </w:t>
      </w:r>
      <w:r>
        <w:rPr>
          <w:color w:val="231F20"/>
          <w:spacing w:val="5"/>
        </w:rPr>
        <w:t>可达稳态血药浓度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。若达快速负荷量，</w:t>
      </w:r>
      <w:r>
        <w:rPr>
          <w:color w:val="231F20"/>
        </w:rPr>
        <w:t xml:space="preserve"> </w:t>
      </w:r>
      <w:r>
        <w:rPr>
          <w:color w:val="231F20"/>
        </w:rPr>
        <w:t>可每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6~8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</w:rPr>
        <w:t>小时给药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0.25 mg</w:t>
      </w:r>
      <w:r>
        <w:rPr>
          <w:color w:val="231F20"/>
        </w:rPr>
        <w:t>，总剂量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0.75~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1.25 m</w:t>
      </w:r>
      <w:r>
        <w:rPr>
          <w:rFonts w:ascii="Times New Roman" w:hAnsi="Times New Roman" w:eastAsia="Times New Roman" w:cs="Times New Roman"/>
          <w:color w:val="231F20"/>
          <w:spacing w:val="-1"/>
        </w:rPr>
        <w:t>g/d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维持量，</w:t>
      </w:r>
      <w:r>
        <w:rPr>
          <w:rFonts w:ascii="Times New Roman" w:hAnsi="Times New Roman" w:eastAsia="Times New Roman" w:cs="Times New Roman"/>
          <w:color w:val="231F20"/>
          <w:spacing w:val="-5"/>
        </w:rPr>
        <w:t>0.125~0.500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mg/</w:t>
      </w:r>
      <w:r>
        <w:rPr>
          <w:color w:val="231F20"/>
          <w:spacing w:val="-5"/>
        </w:rPr>
        <w:t>次、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次</w:t>
      </w:r>
      <w:r>
        <w:rPr>
          <w:rFonts w:ascii="Times New Roman" w:hAnsi="Times New Roman" w:eastAsia="Times New Roman" w:cs="Times New Roman"/>
          <w:color w:val="231F20"/>
          <w:spacing w:val="-5"/>
        </w:rPr>
        <w:t>/d</w:t>
      </w:r>
      <w:r>
        <w:rPr>
          <w:color w:val="231F20"/>
          <w:spacing w:val="-5"/>
        </w:rPr>
        <w:t>。</w:t>
      </w:r>
    </w:p>
    <w:p>
      <w:pPr>
        <w:pStyle w:val="BodyText"/>
        <w:ind w:left="21" w:right="837" w:firstLine="401"/>
        <w:spacing w:before="41" w:line="189" w:lineRule="auto"/>
        <w:rPr/>
      </w:pPr>
      <w:r>
        <w:rPr>
          <w:color w:val="231F20"/>
          <w:spacing w:val="-1"/>
        </w:rPr>
        <w:t>儿童一日总量：早产儿按体重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0.02~0.03 mg/kg</w:t>
      </w:r>
      <w:r>
        <w:rPr>
          <w:color w:val="231F20"/>
          <w:spacing w:val="-1"/>
        </w:rPr>
        <w:t>；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月龄以下足月新生儿按体重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0.03~0.04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1"/>
        </w:rPr>
        <w:t>；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1"/>
        </w:rPr>
        <w:t>个</w:t>
      </w:r>
    </w:p>
    <w:p>
      <w:pPr>
        <w:spacing w:line="189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before="65"/>
        <w:rPr/>
      </w:pPr>
      <w:r>
        <w:pict>
          <v:shape id="_x0000_s32" style="position:absolute;margin-left:228.137pt;margin-top:59.6178pt;mso-position-vertical-relative:page;mso-position-horizontal-relative:page;width:318.95pt;height:0.4pt;z-index:251680768;" o:allowincell="f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sectPr>
          <w:headerReference w:type="default" r:id="rId9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13"/>
        <w:spacing w:before="43" w:line="190" w:lineRule="auto"/>
        <w:rPr/>
      </w:pPr>
      <w:r>
        <w:rPr>
          <w:color w:val="231F20"/>
          <w:spacing w:val="-1"/>
        </w:rPr>
        <w:t>月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~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&lt;2 </w:t>
      </w:r>
      <w:r>
        <w:rPr>
          <w:color w:val="231F20"/>
          <w:spacing w:val="-1"/>
        </w:rPr>
        <w:t>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重 </w:t>
      </w:r>
      <w:r>
        <w:rPr>
          <w:rFonts w:ascii="Times New Roman" w:hAnsi="Times New Roman" w:eastAsia="Times New Roman" w:cs="Times New Roman"/>
          <w:color w:val="231F20"/>
          <w:spacing w:val="-1"/>
        </w:rPr>
        <w:t>0.05~0.06 mg/kg</w:t>
      </w:r>
      <w:r>
        <w:rPr>
          <w:color w:val="231F20"/>
          <w:spacing w:val="-1"/>
        </w:rPr>
        <w:t>；</w:t>
      </w:r>
      <w:r>
        <w:rPr>
          <w:rFonts w:ascii="Times New Roman" w:hAnsi="Times New Roman" w:eastAsia="Times New Roman" w:cs="Times New Roman"/>
          <w:color w:val="231F20"/>
          <w:spacing w:val="-1"/>
        </w:rPr>
        <w:t>2~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&lt;5 </w:t>
      </w:r>
      <w:r>
        <w:rPr>
          <w:color w:val="231F20"/>
          <w:spacing w:val="-1"/>
        </w:rPr>
        <w:t>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体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重</w:t>
      </w:r>
    </w:p>
    <w:p>
      <w:pPr>
        <w:pStyle w:val="BodyText"/>
        <w:ind w:left="911" w:right="471" w:hanging="1"/>
        <w:spacing w:before="52" w:line="207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2"/>
        </w:rPr>
        <w:t>0.03~0.04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2"/>
        </w:rPr>
        <w:t>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2"/>
        </w:rPr>
        <w:t>；</w:t>
      </w:r>
      <w:r>
        <w:rPr>
          <w:rFonts w:ascii="Times New Roman" w:hAnsi="Times New Roman" w:eastAsia="Times New Roman" w:cs="Times New Roman"/>
          <w:color w:val="231F20"/>
          <w:spacing w:val="2"/>
        </w:rPr>
        <w:t>5~ &lt;10  </w:t>
      </w:r>
      <w:r>
        <w:rPr>
          <w:color w:val="231F20"/>
          <w:spacing w:val="2"/>
        </w:rPr>
        <w:t>岁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按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体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重  </w:t>
      </w:r>
      <w:r>
        <w:rPr>
          <w:rFonts w:ascii="Times New Roman" w:hAnsi="Times New Roman" w:eastAsia="Times New Roman" w:cs="Times New Roman"/>
          <w:color w:val="231F20"/>
          <w:spacing w:val="2"/>
        </w:rPr>
        <w:t>0.020~</w:t>
      </w:r>
      <w:r>
        <w:rPr>
          <w:rFonts w:ascii="Times New Roman" w:hAnsi="Times New Roman" w:eastAsia="Times New Roman" w:cs="Times New Roman"/>
          <w:color w:val="231F20"/>
          <w:spacing w:val="1"/>
        </w:rPr>
        <w:t>0.035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mg/kg</w:t>
      </w:r>
      <w:r>
        <w:rPr>
          <w:color w:val="231F20"/>
        </w:rPr>
        <w:t>；</w:t>
      </w:r>
      <w:r>
        <w:rPr>
          <w:rFonts w:ascii="Times New Roman" w:hAnsi="Times New Roman" w:eastAsia="Times New Roman" w:cs="Times New Roman"/>
          <w:color w:val="231F20"/>
        </w:rPr>
        <w:t>≥10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</w:rPr>
        <w:t>岁参照成人常用量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。总量分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</w:rPr>
        <w:t>次或每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6~</w:t>
      </w:r>
    </w:p>
    <w:p>
      <w:pPr>
        <w:pStyle w:val="BodyText"/>
        <w:ind w:left="917"/>
        <w:spacing w:before="54" w:line="198" w:lineRule="auto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8 </w:t>
      </w:r>
      <w:r>
        <w:rPr>
          <w:color w:val="231F20"/>
          <w:spacing w:val="-8"/>
        </w:rPr>
        <w:t>小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时</w:t>
      </w:r>
      <w:r>
        <w:rPr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1 </w:t>
      </w:r>
      <w:r>
        <w:rPr>
          <w:color w:val="231F20"/>
          <w:spacing w:val="-8"/>
        </w:rPr>
        <w:t>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给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，维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剂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总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量 的</w:t>
      </w:r>
      <w:r>
        <w:rPr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1/5~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1/3</w:t>
      </w:r>
      <w:r>
        <w:rPr>
          <w:color w:val="231F20"/>
          <w:spacing w:val="-8"/>
        </w:rPr>
        <w:t>，分</w:t>
      </w:r>
    </w:p>
    <w:p>
      <w:pPr>
        <w:pStyle w:val="BodyText"/>
        <w:ind w:left="911"/>
        <w:spacing w:before="38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-4"/>
        </w:rPr>
        <w:t>次，每 </w:t>
      </w:r>
      <w:r>
        <w:rPr>
          <w:rFonts w:ascii="Times New Roman" w:hAnsi="Times New Roman" w:eastAsia="Times New Roman" w:cs="Times New Roman"/>
          <w:color w:val="231F20"/>
          <w:spacing w:val="-4"/>
        </w:rPr>
        <w:t>12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4"/>
        </w:rPr>
        <w:t>小时 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4"/>
        </w:rPr>
        <w:t>次或每日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4"/>
        </w:rPr>
        <w:t>次。</w:t>
      </w:r>
    </w:p>
    <w:p>
      <w:pPr>
        <w:pStyle w:val="BodyText"/>
        <w:ind w:left="909" w:right="472" w:firstLine="336"/>
        <w:spacing w:before="37" w:line="225" w:lineRule="auto"/>
        <w:jc w:val="both"/>
        <w:rPr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1301415</wp:posOffset>
            </wp:positionH>
            <wp:positionV relativeFrom="paragraph">
              <wp:posOffset>598132</wp:posOffset>
            </wp:positionV>
            <wp:extent cx="3949860" cy="462286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color w:val="231F20"/>
          <w:spacing w:val="-4"/>
        </w:rPr>
        <w:t>）静脉注射：成人常用量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0.25~0.50 mg</w:t>
      </w:r>
      <w:r>
        <w:rPr>
          <w:rFonts w:ascii="Times New Roman" w:hAnsi="Times New Roman" w:eastAsia="Times New Roman" w:cs="Times New Roman"/>
          <w:color w:val="231F20"/>
          <w:spacing w:val="-5"/>
        </w:rPr>
        <w:t>/</w:t>
      </w:r>
      <w:r>
        <w:rPr>
          <w:color w:val="231F20"/>
          <w:spacing w:val="-5"/>
        </w:rPr>
        <w:t>次，用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5%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液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释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慢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，之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0.25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1"/>
        </w:rPr>
        <w:t>/</w:t>
      </w:r>
      <w:r>
        <w:rPr>
          <w:color w:val="231F20"/>
          <w:spacing w:val="1"/>
        </w:rPr>
        <w:t>次，每隔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4~6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1"/>
        </w:rPr>
        <w:t>小时按需注射，但一日总量不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超过 </w:t>
      </w:r>
      <w:r>
        <w:rPr>
          <w:rFonts w:ascii="Times New Roman" w:hAnsi="Times New Roman" w:eastAsia="Times New Roman" w:cs="Times New Roman"/>
          <w:color w:val="231F20"/>
          <w:spacing w:val="1"/>
        </w:rPr>
        <w:t>1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"/>
        </w:rPr>
        <w:t>。不能口服者需静脉注射，维持量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0.125~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0.500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mg/</w:t>
      </w:r>
      <w:r>
        <w:rPr>
          <w:color w:val="231F20"/>
          <w:spacing w:val="-5"/>
        </w:rPr>
        <w:t>次、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次</w:t>
      </w:r>
      <w:r>
        <w:rPr>
          <w:rFonts w:ascii="Times New Roman" w:hAnsi="Times New Roman" w:eastAsia="Times New Roman" w:cs="Times New Roman"/>
          <w:color w:val="231F20"/>
          <w:spacing w:val="-5"/>
        </w:rPr>
        <w:t>/d</w:t>
      </w:r>
      <w:r>
        <w:rPr>
          <w:color w:val="231F20"/>
          <w:spacing w:val="-5"/>
        </w:rPr>
        <w:t>。</w:t>
      </w:r>
    </w:p>
    <w:p>
      <w:pPr>
        <w:pStyle w:val="BodyText"/>
        <w:ind w:left="907" w:right="396" w:firstLine="421"/>
        <w:spacing w:before="3" w:line="225" w:lineRule="auto"/>
        <w:jc w:val="both"/>
        <w:rPr/>
      </w:pPr>
      <w:r>
        <w:rPr>
          <w:color w:val="231F20"/>
          <w:spacing w:val="6"/>
        </w:rPr>
        <w:t>儿童：按下列剂量分 </w:t>
      </w:r>
      <w:r>
        <w:rPr>
          <w:rFonts w:ascii="Times New Roman" w:hAnsi="Times New Roman" w:eastAsia="Times New Roman" w:cs="Times New Roman"/>
          <w:color w:val="231F20"/>
          <w:spacing w:val="6"/>
        </w:rPr>
        <w:t>3 </w:t>
      </w:r>
      <w:r>
        <w:rPr>
          <w:color w:val="231F20"/>
          <w:spacing w:val="6"/>
        </w:rPr>
        <w:t>次或每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6~8 </w:t>
      </w:r>
      <w:r>
        <w:rPr>
          <w:color w:val="231F20"/>
          <w:spacing w:val="6"/>
        </w:rPr>
        <w:t>小</w:t>
      </w:r>
      <w:r>
        <w:rPr>
          <w:color w:val="231F20"/>
          <w:spacing w:val="5"/>
        </w:rPr>
        <w:t>时给予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早产儿按体重 </w:t>
      </w:r>
      <w:r>
        <w:rPr>
          <w:rFonts w:ascii="Times New Roman" w:hAnsi="Times New Roman" w:eastAsia="Times New Roman" w:cs="Times New Roman"/>
          <w:color w:val="231F20"/>
          <w:spacing w:val="5"/>
        </w:rPr>
        <w:t>0.015~0.025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5"/>
        </w:rPr>
        <w:t>；</w:t>
      </w:r>
      <w:r>
        <w:rPr>
          <w:rFonts w:ascii="Times New Roman" w:hAnsi="Times New Roman" w:eastAsia="Times New Roman" w:cs="Times New Roman"/>
          <w:color w:val="231F20"/>
          <w:spacing w:val="5"/>
        </w:rPr>
        <w:t>1 </w:t>
      </w:r>
      <w:r>
        <w:rPr>
          <w:color w:val="231F20"/>
          <w:spacing w:val="5"/>
        </w:rPr>
        <w:t>月龄以下足月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"/>
        </w:rPr>
        <w:t>新生儿按体重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0.02~0.03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1"/>
        </w:rPr>
        <w:t>；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1"/>
        </w:rPr>
        <w:t>个月</w:t>
      </w:r>
      <w:r>
        <w:rPr>
          <w:rFonts w:ascii="Times New Roman" w:hAnsi="Times New Roman" w:eastAsia="Times New Roman" w:cs="Times New Roman"/>
          <w:color w:val="231F20"/>
          <w:spacing w:val="1"/>
        </w:rPr>
        <w:t>~&lt;2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"/>
        </w:rPr>
        <w:t>岁按体重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0.04~0.05 mg/kg</w:t>
      </w:r>
      <w:r>
        <w:rPr>
          <w:color w:val="231F20"/>
        </w:rPr>
        <w:t>；</w:t>
      </w:r>
      <w:r>
        <w:rPr>
          <w:rFonts w:ascii="Times New Roman" w:hAnsi="Times New Roman" w:eastAsia="Times New Roman" w:cs="Times New Roman"/>
          <w:color w:val="231F20"/>
        </w:rPr>
        <w:t>2~&lt;5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</w:rPr>
        <w:t>岁按体重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</w:t>
      </w:r>
      <w:r>
        <w:rPr>
          <w:rFonts w:ascii="Times New Roman" w:hAnsi="Times New Roman" w:eastAsia="Times New Roman" w:cs="Times New Roman"/>
          <w:color w:val="231F20"/>
          <w:spacing w:val="-1"/>
        </w:rPr>
        <w:t>.025~0.035 mg/kg</w:t>
      </w:r>
      <w:r>
        <w:rPr>
          <w:color w:val="231F20"/>
          <w:spacing w:val="-1"/>
        </w:rPr>
        <w:t>；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5~&lt;10 </w:t>
      </w:r>
      <w:r>
        <w:rPr>
          <w:color w:val="231F20"/>
          <w:spacing w:val="5"/>
        </w:rPr>
        <w:t>岁按体重 </w:t>
      </w:r>
      <w:r>
        <w:rPr>
          <w:rFonts w:ascii="Times New Roman" w:hAnsi="Times New Roman" w:eastAsia="Times New Roman" w:cs="Times New Roman"/>
          <w:color w:val="231F20"/>
          <w:spacing w:val="5"/>
        </w:rPr>
        <w:t>0.015~0.030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color w:val="231F20"/>
          <w:spacing w:val="5"/>
        </w:rPr>
        <w:t>；</w:t>
      </w:r>
      <w:r>
        <w:rPr>
          <w:rFonts w:ascii="Times New Roman" w:hAnsi="Times New Roman" w:eastAsia="Times New Roman" w:cs="Times New Roman"/>
          <w:color w:val="231F20"/>
          <w:spacing w:val="5"/>
        </w:rPr>
        <w:t>≥10 </w:t>
      </w:r>
      <w:r>
        <w:rPr>
          <w:color w:val="231F20"/>
          <w:spacing w:val="5"/>
        </w:rPr>
        <w:t>岁参照成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人常用量。</w:t>
      </w:r>
    </w:p>
    <w:p>
      <w:pPr>
        <w:pStyle w:val="BodyText"/>
        <w:ind w:left="906" w:right="409" w:firstLine="421"/>
        <w:spacing w:line="22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药物代谢动力学：口服后主要经小肠上部吸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收，吸收不完全且不规则，吸收率约为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75%</w:t>
      </w:r>
      <w:r>
        <w:rPr>
          <w:color w:val="231F20"/>
          <w:spacing w:val="-4"/>
        </w:rPr>
        <w:t>，片剂的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生物利用度为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60%~80%</w:t>
      </w:r>
      <w:r>
        <w:rPr>
          <w:color w:val="231F20"/>
          <w:spacing w:val="2"/>
        </w:rPr>
        <w:t>，口服起效时间为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0.5~2 h</w:t>
      </w:r>
      <w:r>
        <w:rPr>
          <w:color w:val="231F20"/>
          <w:spacing w:val="2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血浆浓度达峰时间为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2~3 h</w:t>
      </w:r>
      <w:r>
        <w:rPr>
          <w:color w:val="231F20"/>
          <w:spacing w:val="7"/>
        </w:rPr>
        <w:t>，获最大效应时间为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4~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0"/>
        </w:rPr>
        <w:t>6</w:t>
      </w:r>
      <w:r>
        <w:rPr>
          <w:rFonts w:ascii="Times New Roman" w:hAnsi="Times New Roman" w:eastAsia="Times New Roman" w:cs="Times New Roman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10"/>
        </w:rPr>
        <w:t>。吸收后广泛分布至各组织，部分经胆道吸收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入血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4"/>
        </w:rPr>
        <w:t>，形成肠肝循环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。血浆蛋白结合率为 </w:t>
      </w:r>
      <w:r>
        <w:rPr>
          <w:rFonts w:ascii="Times New Roman" w:hAnsi="Times New Roman" w:eastAsia="Times New Roman" w:cs="Times New Roman"/>
          <w:color w:val="231F20"/>
          <w:spacing w:val="14"/>
        </w:rPr>
        <w:t>20</w:t>
      </w:r>
      <w:r>
        <w:rPr>
          <w:rFonts w:ascii="Times New Roman" w:hAnsi="Times New Roman" w:eastAsia="Times New Roman" w:cs="Times New Roman"/>
          <w:color w:val="231F20"/>
          <w:spacing w:val="13"/>
        </w:rPr>
        <w:t>%~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"/>
        </w:rPr>
        <w:t>25%</w:t>
      </w:r>
      <w:r>
        <w:rPr>
          <w:color w:val="231F20"/>
          <w:spacing w:val="1"/>
        </w:rPr>
        <w:t>，表观分布容积为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6~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10 L/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1"/>
        </w:rPr>
        <w:t>。体内转化代谢较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少，主要以原形药物经肾脏排泄，给药量的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5</w:t>
      </w:r>
      <w:r>
        <w:rPr>
          <w:rFonts w:ascii="Times New Roman" w:hAnsi="Times New Roman" w:eastAsia="Times New Roman" w:cs="Times New Roman"/>
          <w:color w:val="231F20"/>
          <w:spacing w:val="8"/>
        </w:rPr>
        <w:t>0%~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0"/>
        </w:rPr>
        <w:t>70% </w:t>
      </w:r>
      <w:r>
        <w:rPr>
          <w:color w:val="231F20"/>
          <w:spacing w:val="10"/>
        </w:rPr>
        <w:t>随尿液排泄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。排泄较快而蓄积性较小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。消除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半衰期平均为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36h</w:t>
      </w:r>
      <w:r>
        <w:rPr>
          <w:color w:val="231F20"/>
          <w:spacing w:val="10"/>
        </w:rPr>
        <w:t>。</w:t>
      </w:r>
    </w:p>
    <w:p>
      <w:pPr>
        <w:pStyle w:val="BodyText"/>
        <w:ind w:left="903" w:right="394" w:firstLine="431"/>
        <w:spacing w:before="44" w:line="222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 </w:t>
      </w:r>
      <w:r>
        <w:rPr>
          <w:color w:val="231F20"/>
          <w:spacing w:val="5"/>
        </w:rPr>
        <w:t>药物相互作用：与两性霉素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B</w:t>
      </w:r>
      <w:r>
        <w:rPr>
          <w:color w:val="231F20"/>
          <w:spacing w:val="5"/>
        </w:rPr>
        <w:t>、皮质激素或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排钾利尿剂等同用时，可引起低血钾而致洋</w:t>
      </w:r>
      <w:r>
        <w:rPr>
          <w:color w:val="231F20"/>
          <w:spacing w:val="5"/>
        </w:rPr>
        <w:t>地黄中</w:t>
      </w:r>
      <w:r>
        <w:rPr>
          <w:color w:val="231F20"/>
        </w:rPr>
        <w:t xml:space="preserve">  </w:t>
      </w:r>
      <w:r>
        <w:rPr>
          <w:color w:val="231F20"/>
        </w:rPr>
        <w:t>毒；与制酸药或止泻吸附药、柳氮磺吡啶或新霉素、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对氨基水杨酸同用时，可抑制洋地黄强心甙</w:t>
      </w:r>
      <w:r>
        <w:rPr>
          <w:color w:val="231F20"/>
          <w:spacing w:val="5"/>
        </w:rPr>
        <w:t>吸收而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导致强心苷作用减弱；与抗心律失常药、钙</w:t>
      </w:r>
      <w:r>
        <w:rPr>
          <w:color w:val="231F20"/>
          <w:spacing w:val="5"/>
        </w:rPr>
        <w:t>盐注射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剂、可卡因、泮库溴胺、萝芙木碱、琥珀胆碱或</w:t>
      </w:r>
      <w:r>
        <w:rPr>
          <w:color w:val="231F20"/>
          <w:spacing w:val="-4"/>
        </w:rPr>
        <w:t>拟肾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上腺素类药同用时，可因作用相加而导致心律失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常；有严重或完全性房室传导阻滞且伴正常</w:t>
      </w:r>
      <w:r>
        <w:rPr>
          <w:color w:val="231F20"/>
          <w:spacing w:val="5"/>
        </w:rPr>
        <w:t>血钾者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的应用洋地黄也不应同时应用钾盐；与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β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6"/>
        </w:rPr>
        <w:t>受体阻滞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剂同用，有导致房室传导阻滞的可能；奎尼</w:t>
      </w:r>
      <w:r>
        <w:rPr>
          <w:color w:val="231F20"/>
          <w:spacing w:val="5"/>
        </w:rPr>
        <w:t>丁可使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地高辛血药浓度提高约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5"/>
        </w:rPr>
        <w:t>倍；与维拉帕米、地尔硫</w:t>
      </w:r>
      <w:r>
        <w:rPr>
          <w:color w:val="231F20"/>
        </w:rPr>
        <w:t xml:space="preserve">  </w:t>
      </w:r>
      <w:r>
        <w:rPr>
          <w:color w:val="231F20"/>
          <w:position w:val="-2"/>
        </w:rPr>
        <w:drawing>
          <wp:inline distT="0" distB="0" distL="0" distR="0">
            <wp:extent cx="138010" cy="13801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10" cy="1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-4"/>
        </w:rPr>
        <w:t>、胺碘酮合用，可引起严重心动过缓；螺内酯可延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长地高辛半衰期，需调整剂量或给药间期；血管紧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张素转换酶抑制剂及血管紧张素</w:t>
      </w:r>
      <w:r>
        <w:rPr>
          <w:rFonts w:ascii="Times New Roman" w:hAnsi="Times New Roman" w:eastAsia="Times New Roman" w:cs="Times New Roman"/>
          <w:color w:val="231F20"/>
          <w:spacing w:val="19"/>
        </w:rPr>
        <w:t>Ⅱ</w:t>
      </w:r>
      <w:r>
        <w:rPr>
          <w:color w:val="231F20"/>
          <w:spacing w:val="19"/>
        </w:rPr>
        <w:t>受体拮抗剂可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使地高辛血药浓度增高；吲哚美辛可使地高辛半衰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期延长，有中毒危险，需监测血药浓度及心电图；红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霉素可增加地高辛在胃肠道的吸收；甲氧氯普胺可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6"/>
        <w:spacing w:before="43" w:line="217" w:lineRule="auto"/>
        <w:rPr/>
      </w:pPr>
      <w:r>
        <w:rPr>
          <w:color w:val="231F20"/>
          <w:spacing w:val="5"/>
        </w:rPr>
        <w:t>减少地高辛的生物利用度约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25%</w:t>
      </w:r>
      <w:r>
        <w:rPr>
          <w:color w:val="231F20"/>
          <w:spacing w:val="5"/>
        </w:rPr>
        <w:t>；普鲁本辛可提高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地高辛生物利用度约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25%</w:t>
      </w:r>
      <w:r>
        <w:rPr>
          <w:color w:val="231F20"/>
          <w:spacing w:val="3"/>
        </w:rPr>
        <w:t>；禁忌与钙注射剂合用。</w:t>
      </w:r>
    </w:p>
    <w:p>
      <w:pPr>
        <w:ind w:left="347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（八）普罗帕酮</w:t>
      </w:r>
    </w:p>
    <w:p>
      <w:pPr>
        <w:pStyle w:val="BodyText"/>
        <w:ind w:left="440"/>
        <w:spacing w:before="52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1.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7"/>
        </w:rPr>
        <w:t>药品分类：</w:t>
      </w:r>
      <w:r>
        <w:rPr>
          <w:rFonts w:ascii="Times New Roman" w:hAnsi="Times New Roman" w:eastAsia="Times New Roman" w:cs="Times New Roman"/>
          <w:color w:val="231F20"/>
          <w:spacing w:val="7"/>
        </w:rPr>
        <w:t>Ⅰc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7"/>
        </w:rPr>
        <w:t>类抗心律失常药。</w:t>
      </w:r>
    </w:p>
    <w:p>
      <w:pPr>
        <w:pStyle w:val="BodyText"/>
        <w:ind w:left="423"/>
        <w:spacing w:before="14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2.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3"/>
        </w:rPr>
        <w:t>用药目的：用于新近发生的心房颤动转复。</w:t>
      </w:r>
    </w:p>
    <w:p>
      <w:pPr>
        <w:pStyle w:val="BodyText"/>
        <w:ind w:left="2" w:right="906" w:firstLine="423"/>
        <w:spacing w:before="16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禁忌证：禁用于无起搏器保护的窦房结功能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障碍；二或三度房室传导阻滞；双束支传导阻滞患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者；心原性休克；肝肾功能障碍患者。</w:t>
      </w:r>
    </w:p>
    <w:p>
      <w:pPr>
        <w:pStyle w:val="BodyText"/>
        <w:ind w:right="905" w:firstLine="419"/>
        <w:spacing w:before="46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4.</w:t>
      </w:r>
      <w:r>
        <w:rPr>
          <w:rFonts w:ascii="Times New Roman" w:hAnsi="Times New Roman" w:eastAsia="Times New Roman" w:cs="Times New Roman"/>
          <w:color w:val="231F20"/>
          <w:spacing w:val="-5"/>
        </w:rPr>
        <w:t xml:space="preserve"> </w:t>
      </w:r>
      <w:r>
        <w:rPr>
          <w:color w:val="231F20"/>
          <w:spacing w:val="-4"/>
        </w:rPr>
        <w:t>不良反应：不良反应较少，主要为口干、舌唇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麻木，可能是由于其局部麻醉作用所致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。早期的不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良反应还有头痛、头晕，其后可出现胃肠道障碍如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恶心、呕吐、便秘等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5"/>
        </w:rPr>
        <w:t>。有少数患者出现上述口干、头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痛、眩晕、胃肠道不适等轻微反应，一般都</w:t>
      </w:r>
      <w:r>
        <w:rPr>
          <w:color w:val="231F20"/>
          <w:spacing w:val="-4"/>
        </w:rPr>
        <w:t>在停药后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或减量后症状消失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。有报道个别患者出现房室传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导阻滞、</w:t>
      </w:r>
      <w:r>
        <w:rPr>
          <w:rFonts w:ascii="Times New Roman" w:hAnsi="Times New Roman" w:eastAsia="Times New Roman" w:cs="Times New Roman"/>
          <w:color w:val="231F20"/>
          <w:spacing w:val="-5"/>
        </w:rPr>
        <w:t>QT </w:t>
      </w:r>
      <w:r>
        <w:rPr>
          <w:color w:val="231F20"/>
          <w:spacing w:val="-5"/>
        </w:rPr>
        <w:t>间期延长、</w:t>
      </w:r>
      <w:r>
        <w:rPr>
          <w:rFonts w:ascii="Times New Roman" w:hAnsi="Times New Roman" w:eastAsia="Times New Roman" w:cs="Times New Roman"/>
          <w:color w:val="231F20"/>
          <w:spacing w:val="-5"/>
        </w:rPr>
        <w:t>PR </w:t>
      </w:r>
      <w:r>
        <w:rPr>
          <w:color w:val="231F20"/>
          <w:spacing w:val="-5"/>
        </w:rPr>
        <w:t>间期轻度延长、</w:t>
      </w:r>
      <w:r>
        <w:rPr>
          <w:rFonts w:ascii="Times New Roman" w:hAnsi="Times New Roman" w:eastAsia="Times New Roman" w:cs="Times New Roman"/>
          <w:color w:val="231F20"/>
          <w:spacing w:val="-5"/>
        </w:rPr>
        <w:t>QRS </w:t>
      </w:r>
      <w:r>
        <w:rPr>
          <w:color w:val="231F20"/>
          <w:spacing w:val="-5"/>
        </w:rPr>
        <w:t>时间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延长等。</w:t>
      </w:r>
    </w:p>
    <w:p>
      <w:pPr>
        <w:pStyle w:val="BodyText"/>
        <w:ind w:left="2" w:right="905" w:firstLine="422"/>
        <w:spacing w:before="48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6"/>
        </w:rPr>
        <w:t>5. </w:t>
      </w:r>
      <w:r>
        <w:rPr>
          <w:color w:val="231F20"/>
          <w:spacing w:val="-6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6"/>
        </w:rPr>
        <w:t>50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mg/</w:t>
      </w:r>
      <w:r>
        <w:rPr>
          <w:color w:val="231F20"/>
          <w:spacing w:val="-6"/>
        </w:rPr>
        <w:t>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6"/>
        </w:rPr>
        <w:t>、</w:t>
      </w:r>
      <w:r>
        <w:rPr>
          <w:rFonts w:ascii="Times New Roman" w:hAnsi="Times New Roman" w:eastAsia="Times New Roman" w:cs="Times New Roman"/>
          <w:color w:val="231F20"/>
          <w:spacing w:val="-6"/>
        </w:rPr>
        <w:t>100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mg/</w:t>
      </w:r>
      <w:r>
        <w:rPr>
          <w:color w:val="231F20"/>
          <w:spacing w:val="-6"/>
        </w:rPr>
        <w:t>片；注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射液，</w:t>
      </w:r>
      <w:r>
        <w:rPr>
          <w:rFonts w:ascii="Times New Roman" w:hAnsi="Times New Roman" w:eastAsia="Times New Roman" w:cs="Times New Roman"/>
          <w:color w:val="231F20"/>
          <w:spacing w:val="-13"/>
        </w:rPr>
        <w:t>10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3"/>
        </w:rPr>
        <w:t>ml</w:t>
      </w:r>
      <w:r>
        <w:rPr>
          <w:color w:val="231F20"/>
          <w:spacing w:val="-13"/>
        </w:rPr>
        <w:t>∶</w:t>
      </w:r>
      <w:r>
        <w:rPr>
          <w:rFonts w:ascii="Times New Roman" w:hAnsi="Times New Roman" w:eastAsia="Times New Roman" w:cs="Times New Roman"/>
          <w:color w:val="231F20"/>
          <w:spacing w:val="-13"/>
        </w:rPr>
        <w:t>35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3"/>
        </w:rPr>
        <w:t>mg</w:t>
      </w:r>
      <w:r>
        <w:rPr>
          <w:color w:val="231F20"/>
          <w:spacing w:val="-13"/>
        </w:rPr>
        <w:t>。</w:t>
      </w:r>
    </w:p>
    <w:p>
      <w:pPr>
        <w:pStyle w:val="BodyText"/>
        <w:ind w:left="425"/>
        <w:spacing w:before="29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用法和用量：</w:t>
      </w:r>
    </w:p>
    <w:p>
      <w:pPr>
        <w:pStyle w:val="BodyText"/>
        <w:ind w:left="2" w:right="826" w:firstLine="337"/>
        <w:spacing w:before="16" w:line="213" w:lineRule="auto"/>
        <w:rPr/>
      </w:pP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1"/>
        </w:rPr>
        <w:t>）口服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由于其局部麻醉作用，宜在饭后与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饮料或食物同时吞服，不得嚼碎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100~200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color w:val="231F20"/>
          <w:spacing w:val="3"/>
        </w:rPr>
        <w:t>次，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3~4 </w:t>
      </w:r>
      <w:r>
        <w:rPr>
          <w:color w:val="231F20"/>
        </w:rPr>
        <w:t>次</w:t>
      </w:r>
      <w:r>
        <w:rPr>
          <w:rFonts w:ascii="Times New Roman" w:hAnsi="Times New Roman" w:eastAsia="Times New Roman" w:cs="Times New Roman"/>
          <w:color w:val="231F20"/>
        </w:rPr>
        <w:t>/d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</w:rPr>
        <w:t>。治疗量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300~900 mg/d</w:t>
      </w:r>
      <w:r>
        <w:rPr>
          <w:color w:val="231F20"/>
        </w:rPr>
        <w:t>，分 </w:t>
      </w:r>
      <w:r>
        <w:rPr>
          <w:rFonts w:ascii="Times New Roman" w:hAnsi="Times New Roman" w:eastAsia="Times New Roman" w:cs="Times New Roman"/>
          <w:color w:val="231F20"/>
        </w:rPr>
        <w:t>4~6 </w:t>
      </w:r>
      <w:r>
        <w:rPr>
          <w:color w:val="231F20"/>
        </w:rPr>
        <w:t>次服用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。 </w:t>
      </w:r>
      <w:r>
        <w:rPr>
          <w:color w:val="231F20"/>
          <w:spacing w:val="-1"/>
        </w:rPr>
        <w:t>维持量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300~600 mg/d</w:t>
      </w:r>
      <w:r>
        <w:rPr>
          <w:color w:val="231F20"/>
          <w:spacing w:val="-1"/>
        </w:rPr>
        <w:t>，分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2~4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1"/>
        </w:rPr>
        <w:t>次服用。</w:t>
      </w:r>
    </w:p>
    <w:p>
      <w:pPr>
        <w:pStyle w:val="BodyText"/>
        <w:ind w:left="6" w:right="904" w:firstLine="333"/>
        <w:spacing w:before="41" w:line="206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color w:val="231F20"/>
          <w:spacing w:val="2"/>
        </w:rPr>
        <w:t>）静脉注射或滴注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。需在严密监护下缓慢静</w:t>
      </w:r>
      <w:r>
        <w:rPr>
          <w:color w:val="231F20"/>
        </w:rPr>
        <w:t xml:space="preserve"> </w:t>
      </w:r>
      <w:r>
        <w:rPr>
          <w:color w:val="231F20"/>
        </w:rPr>
        <w:t>脉注射或静脉滴注，成人常用量</w:t>
      </w:r>
      <w:r>
        <w:rPr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1.0~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1.5 mg/kg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</w:rPr>
        <w:t>或以</w:t>
      </w:r>
    </w:p>
    <w:p>
      <w:pPr>
        <w:pStyle w:val="BodyText"/>
        <w:ind w:left="2" w:right="839"/>
        <w:spacing w:before="46" w:line="204" w:lineRule="auto"/>
        <w:rPr/>
      </w:pPr>
      <w:r>
        <w:rPr>
          <w:rFonts w:ascii="Times New Roman" w:hAnsi="Times New Roman" w:eastAsia="Times New Roman" w:cs="Times New Roman"/>
          <w:color w:val="231F20"/>
        </w:rPr>
        <w:t>70 mg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</w:rPr>
        <w:t>加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5% </w:t>
      </w:r>
      <w:r>
        <w:rPr>
          <w:color w:val="231F20"/>
        </w:rPr>
        <w:t>葡萄糖液稀释，于 </w:t>
      </w:r>
      <w:r>
        <w:rPr>
          <w:rFonts w:ascii="Times New Roman" w:hAnsi="Times New Roman" w:eastAsia="Times New Roman" w:cs="Times New Roman"/>
          <w:color w:val="231F20"/>
        </w:rPr>
        <w:t>10 min </w:t>
      </w:r>
      <w:r>
        <w:rPr>
          <w:color w:val="231F20"/>
        </w:rPr>
        <w:t>内缓慢注射， </w:t>
      </w:r>
      <w:r>
        <w:rPr>
          <w:color w:val="231F20"/>
          <w:spacing w:val="-1"/>
        </w:rPr>
        <w:t>必要时 </w:t>
      </w:r>
      <w:r>
        <w:rPr>
          <w:rFonts w:ascii="Times New Roman" w:hAnsi="Times New Roman" w:eastAsia="Times New Roman" w:cs="Times New Roman"/>
          <w:color w:val="231F20"/>
          <w:spacing w:val="-1"/>
        </w:rPr>
        <w:t>10~20 min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1"/>
        </w:rPr>
        <w:t>重复 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1"/>
        </w:rPr>
        <w:t>次，总量</w:t>
      </w:r>
      <w:r>
        <w:rPr>
          <w:color w:val="231F20"/>
          <w:spacing w:val="-2"/>
        </w:rPr>
        <w:t>不超过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210 mg</w:t>
      </w:r>
      <w:r>
        <w:rPr>
          <w:color w:val="231F20"/>
          <w:spacing w:val="-2"/>
        </w:rPr>
        <w:t>。</w:t>
      </w:r>
    </w:p>
    <w:p>
      <w:pPr>
        <w:pStyle w:val="BodyText"/>
        <w:ind w:left="3" w:right="903" w:firstLine="419"/>
        <w:spacing w:before="41" w:line="216" w:lineRule="auto"/>
        <w:rPr/>
      </w:pPr>
      <w:r>
        <w:rPr>
          <w:rFonts w:ascii="Times New Roman" w:hAnsi="Times New Roman" w:eastAsia="Times New Roman" w:cs="Times New Roman"/>
          <w:color w:val="231F20"/>
        </w:rPr>
        <w:t>7.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</w:rPr>
        <w:t>药物代谢动力学：口服吸收良好，服后 </w:t>
      </w:r>
      <w:r>
        <w:rPr>
          <w:rFonts w:ascii="Times New Roman" w:hAnsi="Times New Roman" w:eastAsia="Times New Roman" w:cs="Times New Roman"/>
          <w:color w:val="231F20"/>
        </w:rPr>
        <w:t>2~3 h </w:t>
      </w:r>
      <w:r>
        <w:rPr>
          <w:color w:val="231F20"/>
          <w:spacing w:val="5"/>
        </w:rPr>
        <w:t>达峰效，作用可持续</w:t>
      </w:r>
      <w:r>
        <w:rPr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8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h </w:t>
      </w:r>
      <w:r>
        <w:rPr>
          <w:color w:val="231F20"/>
          <w:spacing w:val="5"/>
        </w:rPr>
        <w:t>以上，血浆蛋白结合率高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达 </w:t>
      </w:r>
      <w:r>
        <w:rPr>
          <w:rFonts w:ascii="Times New Roman" w:hAnsi="Times New Roman" w:eastAsia="Times New Roman" w:cs="Times New Roman"/>
          <w:color w:val="231F20"/>
          <w:spacing w:val="11"/>
        </w:rPr>
        <w:t>93%</w:t>
      </w:r>
      <w:r>
        <w:rPr>
          <w:color w:val="231F20"/>
          <w:spacing w:val="11"/>
        </w:rPr>
        <w:t>，严重肝功能损害时清除减慢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。半衰期为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3.5~4.0 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2"/>
        </w:rPr>
        <w:t>。经肾脏排泄，不能经过透析排</w:t>
      </w:r>
      <w:r>
        <w:rPr>
          <w:color w:val="231F20"/>
          <w:spacing w:val="1"/>
        </w:rPr>
        <w:t>出。</w:t>
      </w:r>
    </w:p>
    <w:p>
      <w:pPr>
        <w:pStyle w:val="BodyText"/>
        <w:ind w:right="906" w:firstLine="428"/>
        <w:spacing w:before="28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药物相互作用：与奎尼丁合用可以减慢代谢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过程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。与局麻药合用增加中枢神经系统不良反应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的发生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。普罗帕酮可以增加血清地高辛浓度，并呈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剂量依赖型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。与普萘洛尔、美托洛尔合用可以显著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增加其血浆浓度和清除半衰期，而对普罗帕酮没有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4"/>
        </w:rPr>
        <w:t>影响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。与华法林合用时可增加华法林血药浓度和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凝血酶原时间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。与西咪替丁合用可使普罗帕酮血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药稳态水平提高，但对其电生理参数没有影响。</w:t>
      </w:r>
    </w:p>
    <w:p>
      <w:pPr>
        <w:ind w:left="347"/>
        <w:spacing w:before="41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5"/>
          <w:position w:val="1"/>
        </w:rPr>
        <w:t>（九）胺碘酮</w:t>
      </w:r>
    </w:p>
    <w:p>
      <w:pPr>
        <w:pStyle w:val="BodyText"/>
        <w:ind w:left="440"/>
        <w:spacing w:before="54" w:line="210" w:lineRule="auto"/>
        <w:rPr/>
      </w:pPr>
      <w:r>
        <w:rPr>
          <w:rFonts w:ascii="Times New Roman" w:hAnsi="Times New Roman" w:eastAsia="Times New Roman" w:cs="Times New Roman"/>
          <w:color w:val="231F20"/>
        </w:rPr>
        <w:t>1.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药品分类：</w:t>
      </w:r>
      <w:r>
        <w:rPr>
          <w:rFonts w:ascii="Times New Roman" w:hAnsi="Times New Roman" w:eastAsia="Times New Roman" w:cs="Times New Roman"/>
          <w:color w:val="231F20"/>
        </w:rPr>
        <w:t>Ⅲ</w:t>
      </w:r>
      <w:r>
        <w:rPr>
          <w:color w:val="231F20"/>
        </w:rPr>
        <w:t>类抗心律失常药。</w:t>
      </w:r>
    </w:p>
    <w:p>
      <w:pPr>
        <w:pStyle w:val="BodyText"/>
        <w:ind w:left="3" w:right="906" w:firstLine="419"/>
        <w:spacing w:before="14" w:line="20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5"/>
        </w:rPr>
        <w:t>用药目的：用于心房颤动转律和转律后窦性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心律的维持。</w:t>
      </w:r>
    </w:p>
    <w:p>
      <w:pPr>
        <w:pStyle w:val="BodyText"/>
        <w:ind w:left="426"/>
        <w:spacing w:before="48" w:line="165" w:lineRule="auto"/>
        <w:rPr/>
      </w:pPr>
      <w:r>
        <w:rPr>
          <w:rFonts w:ascii="Times New Roman" w:hAnsi="Times New Roman" w:eastAsia="Times New Roman" w:cs="Times New Roman"/>
          <w:color w:val="231F20"/>
        </w:rPr>
        <w:t>3.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</w:rPr>
        <w:t>禁忌证：禁用于甲状腺功能异常；碘过敏者；</w:t>
      </w:r>
    </w:p>
    <w:p>
      <w:pPr>
        <w:spacing w:line="165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1" w:space="100"/>
            <w:col w:w="5436" w:space="0"/>
          </w:cols>
        </w:sectPr>
        <w:rPr/>
      </w:pPr>
    </w:p>
    <w:p>
      <w:pPr>
        <w:spacing w:before="60"/>
        <w:rPr/>
      </w:pPr>
      <w:r>
        <w:pict>
          <v:shape id="_x0000_s38" style="position:absolute;margin-left:65.1968pt;margin-top:59.6178pt;mso-position-vertical-relative:page;mso-position-horizontal-relative:page;width:318.95pt;height:0.4pt;z-index:251685888;" o:allowincell="f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sectPr>
          <w:headerReference w:type="default" r:id="rId11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8" w:right="472" w:firstLine="2"/>
        <w:spacing w:before="48" w:line="220" w:lineRule="auto"/>
        <w:rPr/>
      </w:pPr>
      <w:r>
        <w:rPr>
          <w:color w:val="231F20"/>
          <w:spacing w:val="5"/>
        </w:rPr>
        <w:t>二或三度房室传导阻滞；双束支传导阻滞（已安装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起搏器者除外</w:t>
      </w:r>
      <w:r>
        <w:rPr>
          <w:color w:val="231F20"/>
          <w:spacing w:val="-30"/>
          <w:w w:val="63"/>
        </w:rPr>
        <w:t>）；</w:t>
      </w:r>
      <w:r>
        <w:rPr>
          <w:color w:val="231F20"/>
          <w:spacing w:val="10"/>
        </w:rPr>
        <w:t>病态窦房结综合征。</w:t>
      </w:r>
    </w:p>
    <w:p>
      <w:pPr>
        <w:pStyle w:val="BodyText"/>
        <w:ind w:left="908" w:right="472" w:firstLine="419"/>
        <w:spacing w:before="3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不良反应：可能出现角膜微沉积、甲状腺激</w:t>
      </w:r>
      <w:r>
        <w:rPr>
          <w:color w:val="231F20"/>
        </w:rPr>
        <w:t xml:space="preserve"> </w:t>
      </w:r>
      <w:r>
        <w:rPr>
          <w:color w:val="231F20"/>
          <w:spacing w:val="-8"/>
          <w:w w:val="98"/>
        </w:rPr>
        <w:t>素水平异常、睡眠障碍、头痛、梦魇、感觉、运动或混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合性外周神经病变、血清转氨酶增高、凝血异常、良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性胃肠道异常（恶心、呕吐、厌食和便秘）、乏力、震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颤、不自主运动、步态异常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color w:val="231F20"/>
          <w:spacing w:val="3"/>
        </w:rPr>
        <w:t>共济失调或其他锥体外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系症状，停止胺碘酮治疗后通常完全可逆；光过敏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反应，应避免暴露于阳光（以及紫外光）下</w:t>
      </w:r>
      <w:r>
        <w:rPr>
          <w:color w:val="231F20"/>
          <w:spacing w:val="-4"/>
        </w:rPr>
        <w:t>；弥漫性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间质性或肺泡性肺病和闭塞性细支气管炎伴机化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性肺炎。</w:t>
      </w:r>
    </w:p>
    <w:p>
      <w:pPr>
        <w:pStyle w:val="BodyText"/>
        <w:ind w:left="1332"/>
        <w:spacing w:before="52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19"/>
        </w:rPr>
        <w:t>5.</w:t>
      </w:r>
      <w:r>
        <w:rPr>
          <w:color w:val="231F20"/>
          <w:spacing w:val="-19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19"/>
        </w:rPr>
        <w:t>0.2 g/</w:t>
      </w:r>
      <w:r>
        <w:rPr>
          <w:color w:val="231F20"/>
          <w:spacing w:val="-19"/>
        </w:rPr>
        <w:t>片；注射液，</w:t>
      </w:r>
      <w:r>
        <w:rPr>
          <w:rFonts w:ascii="Times New Roman" w:hAnsi="Times New Roman" w:eastAsia="Times New Roman" w:cs="Times New Roman"/>
          <w:color w:val="231F20"/>
          <w:spacing w:val="-19"/>
        </w:rPr>
        <w:t>3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9"/>
        </w:rPr>
        <w:t>ml</w:t>
      </w:r>
      <w:r>
        <w:rPr>
          <w:color w:val="231F20"/>
          <w:spacing w:val="-19"/>
        </w:rPr>
        <w:t>∶</w:t>
      </w:r>
      <w:r>
        <w:rPr>
          <w:rFonts w:ascii="Times New Roman" w:hAnsi="Times New Roman" w:eastAsia="Times New Roman" w:cs="Times New Roman"/>
          <w:color w:val="231F20"/>
          <w:spacing w:val="-19"/>
        </w:rPr>
        <w:t>0.15 g</w:t>
      </w:r>
      <w:r>
        <w:rPr>
          <w:color w:val="231F20"/>
          <w:spacing w:val="-19"/>
        </w:rPr>
        <w:t>。</w:t>
      </w:r>
    </w:p>
    <w:p>
      <w:pPr>
        <w:pStyle w:val="BodyText"/>
        <w:ind w:left="1333"/>
        <w:spacing w:before="30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用法和用量：</w:t>
      </w:r>
    </w:p>
    <w:p>
      <w:pPr>
        <w:pStyle w:val="BodyText"/>
        <w:ind w:left="912" w:right="470" w:firstLine="335"/>
        <w:spacing w:before="15" w:line="222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1656761</wp:posOffset>
            </wp:positionH>
            <wp:positionV relativeFrom="paragraph">
              <wp:posOffset>-730828</wp:posOffset>
            </wp:positionV>
            <wp:extent cx="3949861" cy="462286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1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color w:val="231F20"/>
          <w:spacing w:val="-5"/>
        </w:rPr>
        <w:t>）口服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5"/>
        </w:rPr>
        <w:t>。</w:t>
      </w:r>
      <w:r>
        <w:rPr>
          <w:rFonts w:ascii="Times New Roman" w:hAnsi="Times New Roman" w:eastAsia="Times New Roman" w:cs="Times New Roman"/>
          <w:color w:val="231F20"/>
          <w:spacing w:val="-5"/>
        </w:rPr>
        <w:t>0.4~0.6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g/d</w:t>
      </w:r>
      <w:r>
        <w:rPr>
          <w:color w:val="231F20"/>
          <w:spacing w:val="-5"/>
        </w:rPr>
        <w:t>，分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2~3 </w:t>
      </w:r>
      <w:r>
        <w:rPr>
          <w:color w:val="231F20"/>
          <w:spacing w:val="-5"/>
        </w:rPr>
        <w:t>次服用，服用 </w:t>
      </w:r>
      <w:r>
        <w:rPr>
          <w:rFonts w:ascii="Times New Roman" w:hAnsi="Times New Roman" w:eastAsia="Times New Roman" w:cs="Times New Roman"/>
          <w:color w:val="231F20"/>
          <w:spacing w:val="-5"/>
        </w:rPr>
        <w:t>1~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</w:rPr>
        <w:t>周后改为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0.2~0.4 g/d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</w:rPr>
        <w:t>维持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。严重者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0.6~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1.2 g/d</w:t>
      </w:r>
      <w:r>
        <w:rPr>
          <w:color w:val="231F20"/>
        </w:rPr>
        <w:t>，分</w:t>
      </w:r>
    </w:p>
    <w:p>
      <w:pPr>
        <w:pStyle w:val="BodyText"/>
        <w:ind w:left="911" w:right="471" w:firstLine="3"/>
        <w:spacing w:before="2" w:line="218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 </w:t>
      </w:r>
      <w:r>
        <w:rPr>
          <w:color w:val="231F20"/>
          <w:spacing w:val="7"/>
        </w:rPr>
        <w:t>次服用，服用 </w:t>
      </w:r>
      <w:r>
        <w:rPr>
          <w:rFonts w:ascii="Times New Roman" w:hAnsi="Times New Roman" w:eastAsia="Times New Roman" w:cs="Times New Roman"/>
          <w:color w:val="231F20"/>
          <w:spacing w:val="7"/>
        </w:rPr>
        <w:t>1~2 </w:t>
      </w:r>
      <w:r>
        <w:rPr>
          <w:color w:val="231F20"/>
          <w:spacing w:val="7"/>
        </w:rPr>
        <w:t>周后根据需要改为</w:t>
      </w:r>
      <w:r>
        <w:rPr>
          <w:rFonts w:ascii="Times New Roman" w:hAnsi="Times New Roman" w:eastAsia="Times New Roman" w:cs="Times New Roman"/>
          <w:color w:val="231F20"/>
          <w:spacing w:val="7"/>
        </w:rPr>
        <w:t>0.2~0.4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g/d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3"/>
        </w:rPr>
        <w:t>维持。</w:t>
      </w:r>
    </w:p>
    <w:p>
      <w:pPr>
        <w:pStyle w:val="BodyText"/>
        <w:ind w:left="1246"/>
        <w:spacing w:before="1" w:line="199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2</w:t>
      </w:r>
      <w:r>
        <w:rPr>
          <w:color w:val="231F20"/>
          <w:spacing w:val="-2"/>
        </w:rPr>
        <w:t>）静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脉 滴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注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。 负 荷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量  </w:t>
      </w:r>
      <w:r>
        <w:rPr>
          <w:rFonts w:ascii="Times New Roman" w:hAnsi="Times New Roman" w:eastAsia="Times New Roman" w:cs="Times New Roman"/>
          <w:color w:val="231F20"/>
          <w:spacing w:val="-2"/>
        </w:rPr>
        <w:t>3 mg/kg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2"/>
        </w:rPr>
        <w:t>，以 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1.0~</w:t>
      </w:r>
    </w:p>
    <w:p>
      <w:pPr>
        <w:pStyle w:val="BodyText"/>
        <w:ind w:left="909" w:right="406" w:firstLine="19"/>
        <w:spacing w:before="36" w:line="21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1.5 mg/min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1"/>
        </w:rPr>
        <w:t>静脉滴注维持，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"/>
        </w:rPr>
        <w:t>后改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0.5~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1.0 mg/min</w:t>
      </w:r>
      <w:r>
        <w:rPr>
          <w:color w:val="231F20"/>
          <w:spacing w:val="-1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每日总量 </w:t>
      </w:r>
      <w:r>
        <w:rPr>
          <w:rFonts w:ascii="Times New Roman" w:hAnsi="Times New Roman" w:eastAsia="Times New Roman" w:cs="Times New Roman"/>
          <w:color w:val="231F20"/>
          <w:spacing w:val="1"/>
        </w:rPr>
        <w:t>1 200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1"/>
        </w:rPr>
        <w:t>，最大量不超过</w:t>
      </w:r>
      <w:r>
        <w:rPr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2.2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g</w:t>
      </w:r>
      <w:r>
        <w:rPr>
          <w:color w:val="231F20"/>
          <w:spacing w:val="1"/>
        </w:rPr>
        <w:t>，以后逐渐</w:t>
      </w:r>
      <w:r>
        <w:rPr>
          <w:color w:val="231F20"/>
        </w:rPr>
        <w:t xml:space="preserve">  </w:t>
      </w:r>
      <w:r>
        <w:rPr>
          <w:color w:val="231F20"/>
        </w:rPr>
        <w:t>减量，最好滴注不超过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3~4 d</w:t>
      </w:r>
      <w:r>
        <w:rPr>
          <w:color w:val="231F20"/>
        </w:rPr>
        <w:t>。</w:t>
      </w:r>
    </w:p>
    <w:p>
      <w:pPr>
        <w:pStyle w:val="BodyText"/>
        <w:ind w:left="909" w:right="473" w:firstLine="419"/>
        <w:spacing w:before="5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药物代谢动力学：主要在肝内代谢，半衰期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 </w:t>
      </w:r>
      <w:r>
        <w:rPr>
          <w:rFonts w:ascii="Times New Roman" w:hAnsi="Times New Roman" w:eastAsia="Times New Roman" w:cs="Times New Roman"/>
          <w:color w:val="231F20"/>
          <w:spacing w:val="5"/>
        </w:rPr>
        <w:t>14~28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5"/>
        </w:rPr>
        <w:t>，口服后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4~6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h </w:t>
      </w:r>
      <w:r>
        <w:rPr>
          <w:color w:val="231F20"/>
          <w:spacing w:val="5"/>
        </w:rPr>
        <w:t>血药浓度达峰值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。生物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利用度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50%</w:t>
      </w:r>
      <w:r>
        <w:rPr>
          <w:color w:val="231F20"/>
          <w:spacing w:val="5"/>
        </w:rPr>
        <w:t>，血浆蛋白结合率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62.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1%</w:t>
      </w:r>
      <w:r>
        <w:rPr>
          <w:color w:val="231F20"/>
          <w:spacing w:val="4"/>
        </w:rPr>
        <w:t>，主要经胆汁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由粪便排泄。</w:t>
      </w:r>
    </w:p>
    <w:p>
      <w:pPr>
        <w:pStyle w:val="BodyText"/>
        <w:ind w:left="907" w:right="405" w:firstLine="428"/>
        <w:spacing w:before="47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药物相互作用：胺碘酮可增加华法林的抗凝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作用；增强其他抗心律失常药物对心脏的作用；增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加日光敏感性药物作用；与排钾利尿药合用，可增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加低血钾所致的心律失常；增加血清地高辛</w:t>
      </w:r>
      <w:r>
        <w:rPr>
          <w:color w:val="231F20"/>
          <w:spacing w:val="8"/>
        </w:rPr>
        <w:t>浓度；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与钙通道阻滞药合用可加重窦性心动过缓、窦性停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搏及房室传导阻滞。</w:t>
      </w:r>
    </w:p>
    <w:p>
      <w:pPr>
        <w:ind w:left="1253"/>
        <w:spacing w:before="40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（十）伊布利特</w:t>
      </w:r>
    </w:p>
    <w:p>
      <w:pPr>
        <w:pStyle w:val="BodyText"/>
        <w:ind w:left="1346"/>
        <w:spacing w:before="53" w:line="210" w:lineRule="auto"/>
        <w:rPr/>
      </w:pPr>
      <w:r>
        <w:rPr>
          <w:rFonts w:ascii="Times New Roman" w:hAnsi="Times New Roman" w:eastAsia="Times New Roman" w:cs="Times New Roman"/>
          <w:color w:val="231F20"/>
        </w:rPr>
        <w:t>1.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药品分类：</w:t>
      </w:r>
      <w:r>
        <w:rPr>
          <w:rFonts w:ascii="Times New Roman" w:hAnsi="Times New Roman" w:eastAsia="Times New Roman" w:cs="Times New Roman"/>
          <w:color w:val="231F20"/>
        </w:rPr>
        <w:t>Ⅲ</w:t>
      </w:r>
      <w:r>
        <w:rPr>
          <w:color w:val="231F20"/>
        </w:rPr>
        <w:t>类抗心律失常药。</w:t>
      </w:r>
    </w:p>
    <w:p>
      <w:pPr>
        <w:pStyle w:val="BodyText"/>
        <w:ind w:left="908" w:right="475" w:firstLine="420"/>
        <w:spacing w:before="16" w:line="208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5"/>
        </w:rPr>
        <w:t>用药目的：用于近期发作的心房颤动或心房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扑动逆转成窦性心律，不宜用于预防反复发作或阵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7"/>
        </w:rPr>
        <w:t>发性心房颤动。</w:t>
      </w:r>
    </w:p>
    <w:p>
      <w:pPr>
        <w:pStyle w:val="BodyText"/>
        <w:ind w:left="907" w:right="473" w:firstLine="424"/>
        <w:spacing w:before="55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禁忌证：对成分有过敏史者；多形性室性心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动过速者（如尖端扭转型室性心动过速</w:t>
      </w:r>
      <w:r>
        <w:rPr>
          <w:color w:val="231F20"/>
          <w:spacing w:val="-33"/>
          <w:w w:val="69"/>
        </w:rPr>
        <w:t>）；</w:t>
      </w:r>
      <w:r>
        <w:rPr>
          <w:color w:val="231F20"/>
          <w:spacing w:val="10"/>
        </w:rPr>
        <w:t>先前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4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h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-1"/>
        </w:rPr>
        <w:t>内使用过</w:t>
      </w:r>
      <w:r>
        <w:rPr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Ⅰ</w:t>
      </w:r>
      <w:r>
        <w:rPr>
          <w:color w:val="231F20"/>
          <w:spacing w:val="-1"/>
        </w:rPr>
        <w:t>类抗心律失常药（如奎尼丁、丙吡胺、普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鲁卡因胺等）或</w:t>
      </w:r>
      <w:r>
        <w:rPr>
          <w:rFonts w:ascii="Times New Roman" w:hAnsi="Times New Roman" w:eastAsia="Times New Roman" w:cs="Times New Roman"/>
          <w:color w:val="231F20"/>
          <w:spacing w:val="-3"/>
        </w:rPr>
        <w:t>Ⅲ</w:t>
      </w:r>
      <w:r>
        <w:rPr>
          <w:color w:val="231F20"/>
          <w:spacing w:val="-3"/>
        </w:rPr>
        <w:t>类抗心律失常药（如胺碘酮、索他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4"/>
          <w:w w:val="98"/>
        </w:rPr>
        <w:t>洛尔等）。</w:t>
      </w:r>
    </w:p>
    <w:p>
      <w:pPr>
        <w:pStyle w:val="BodyText"/>
        <w:ind w:left="910" w:right="475" w:firstLine="415"/>
        <w:spacing w:before="23" w:line="19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不良反应：常见不良反应包括低血压、心力</w:t>
      </w:r>
      <w:r>
        <w:rPr>
          <w:color w:val="231F20"/>
        </w:rPr>
        <w:t xml:space="preserve"> </w:t>
      </w:r>
      <w:r>
        <w:rPr>
          <w:color w:val="231F20"/>
          <w:spacing w:val="-10"/>
          <w:w w:val="99"/>
        </w:rPr>
        <w:t>衰竭、肾衰竭、胃肠道症状、恶心、头痛、尖端扭转型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室性心动过速等。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2"/>
        <w:spacing w:before="49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12"/>
        </w:rPr>
        <w:t>5.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-12"/>
        </w:rPr>
        <w:t>剂型和规格：注射剂，</w:t>
      </w:r>
      <w:r>
        <w:rPr>
          <w:rFonts w:ascii="Times New Roman" w:hAnsi="Times New Roman" w:eastAsia="Times New Roman" w:cs="Times New Roman"/>
          <w:color w:val="231F20"/>
          <w:spacing w:val="-12"/>
        </w:rPr>
        <w:t>10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ml </w:t>
      </w:r>
      <w:r>
        <w:rPr>
          <w:color w:val="231F20"/>
          <w:spacing w:val="-12"/>
        </w:rPr>
        <w:t>∶</w:t>
      </w:r>
      <w:r>
        <w:rPr>
          <w:rFonts w:ascii="Times New Roman" w:hAnsi="Times New Roman" w:eastAsia="Times New Roman" w:cs="Times New Roman"/>
          <w:color w:val="231F20"/>
          <w:spacing w:val="-12"/>
        </w:rPr>
        <w:t>1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mg</w:t>
      </w:r>
      <w:r>
        <w:rPr>
          <w:color w:val="231F20"/>
          <w:spacing w:val="-12"/>
        </w:rPr>
        <w:t>。</w:t>
      </w:r>
    </w:p>
    <w:p>
      <w:pPr>
        <w:pStyle w:val="BodyText"/>
        <w:ind w:right="842" w:firstLine="422"/>
        <w:spacing w:before="32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6.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4"/>
        </w:rPr>
        <w:t>用法和用量：体重</w:t>
      </w:r>
      <w:r>
        <w:rPr>
          <w:rFonts w:ascii="Times New Roman" w:hAnsi="Times New Roman" w:eastAsia="Times New Roman" w:cs="Times New Roman"/>
          <w:color w:val="231F20"/>
          <w:spacing w:val="-4"/>
        </w:rPr>
        <w:t>&lt;60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kg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-4"/>
        </w:rPr>
        <w:t>者剂量为</w:t>
      </w:r>
      <w:r>
        <w:rPr>
          <w:rFonts w:ascii="Times New Roman" w:hAnsi="Times New Roman" w:eastAsia="Times New Roman" w:cs="Times New Roman"/>
          <w:color w:val="231F20"/>
          <w:spacing w:val="-4"/>
        </w:rPr>
        <w:t>0.01 mg/kg</w:t>
      </w:r>
      <w:r>
        <w:rPr>
          <w:color w:val="231F20"/>
          <w:spacing w:val="-4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体重</w:t>
      </w:r>
      <w:r>
        <w:rPr>
          <w:rFonts w:ascii="Times New Roman" w:hAnsi="Times New Roman" w:eastAsia="Times New Roman" w:cs="Times New Roman"/>
          <w:color w:val="231F20"/>
          <w:spacing w:val="10"/>
        </w:rPr>
        <w:t>≥60 </w:t>
      </w:r>
      <w:r>
        <w:rPr>
          <w:rFonts w:ascii="Times New Roman" w:hAnsi="Times New Roman" w:eastAsia="Times New Roman" w:cs="Times New Roman"/>
          <w:color w:val="231F20"/>
        </w:rPr>
        <w:t>kg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者为 </w:t>
      </w:r>
      <w:r>
        <w:rPr>
          <w:rFonts w:ascii="Times New Roman" w:hAnsi="Times New Roman" w:eastAsia="Times New Roman" w:cs="Times New Roman"/>
          <w:color w:val="231F20"/>
          <w:spacing w:val="10"/>
        </w:rPr>
        <w:t>1</w:t>
      </w:r>
      <w:r>
        <w:rPr>
          <w:rFonts w:ascii="Times New Roman" w:hAnsi="Times New Roman" w:eastAsia="Times New Roman" w:cs="Times New Roman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10"/>
        </w:rPr>
        <w:t>，使用方法为直接</w:t>
      </w:r>
      <w:r>
        <w:rPr>
          <w:color w:val="231F20"/>
          <w:spacing w:val="9"/>
        </w:rPr>
        <w:t>注射或用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12"/>
        </w:rPr>
        <w:t>5% </w:t>
      </w:r>
      <w:r>
        <w:rPr>
          <w:color w:val="231F20"/>
          <w:spacing w:val="12"/>
        </w:rPr>
        <w:t>葡萄糖注射液或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0.9% </w:t>
      </w:r>
      <w:r>
        <w:rPr>
          <w:color w:val="231F20"/>
          <w:spacing w:val="12"/>
        </w:rPr>
        <w:t>氯化钠注射液稀释</w:t>
      </w:r>
      <w:r>
        <w:rPr>
          <w:color w:val="231F20"/>
          <w:spacing w:val="11"/>
        </w:rPr>
        <w:t>后静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脉注射，注射时间不少于 </w:t>
      </w:r>
      <w:r>
        <w:rPr>
          <w:rFonts w:ascii="Times New Roman" w:hAnsi="Times New Roman" w:eastAsia="Times New Roman" w:cs="Times New Roman"/>
          <w:color w:val="231F20"/>
          <w:spacing w:val="3"/>
        </w:rPr>
        <w:t>10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3"/>
        </w:rPr>
        <w:t>。如果心律失常在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注射后的 </w:t>
      </w:r>
      <w:r>
        <w:rPr>
          <w:rFonts w:ascii="Times New Roman" w:hAnsi="Times New Roman" w:eastAsia="Times New Roman" w:cs="Times New Roman"/>
          <w:color w:val="231F20"/>
          <w:spacing w:val="1"/>
        </w:rPr>
        <w:t>10 </w:t>
      </w:r>
      <w:r>
        <w:rPr>
          <w:rFonts w:ascii="Times New Roman" w:hAnsi="Times New Roman" w:eastAsia="Times New Roman" w:cs="Times New Roman"/>
          <w:color w:val="231F20"/>
        </w:rPr>
        <w:t>min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内没有终止，可重复用药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"/>
        </w:rPr>
        <w:t>次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。若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心律失常终止，出现持续性或非持续性室性心动过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速，或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QT </w:t>
      </w:r>
      <w:r>
        <w:rPr>
          <w:color w:val="231F20"/>
          <w:spacing w:val="-5"/>
        </w:rPr>
        <w:t>间期或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Q‑Tc </w:t>
      </w:r>
      <w:r>
        <w:rPr>
          <w:color w:val="231F20"/>
          <w:spacing w:val="-5"/>
        </w:rPr>
        <w:t>间期延长时，应</w:t>
      </w:r>
      <w:r>
        <w:rPr>
          <w:color w:val="231F20"/>
          <w:spacing w:val="-6"/>
        </w:rPr>
        <w:t>马上停药。</w:t>
      </w:r>
    </w:p>
    <w:p>
      <w:pPr>
        <w:pStyle w:val="BodyText"/>
        <w:ind w:left="1" w:right="906" w:firstLine="421"/>
        <w:spacing w:before="38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7. </w:t>
      </w:r>
      <w:r>
        <w:rPr>
          <w:color w:val="231F20"/>
          <w:spacing w:val="-4"/>
        </w:rPr>
        <w:t>药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力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学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：本 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血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蛋 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结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率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40%</w:t>
      </w:r>
      <w:r>
        <w:rPr>
          <w:color w:val="231F20"/>
          <w:spacing w:val="8"/>
        </w:rPr>
        <w:t>，清除半衰期 </w:t>
      </w:r>
      <w:r>
        <w:rPr>
          <w:rFonts w:ascii="Times New Roman" w:hAnsi="Times New Roman" w:eastAsia="Times New Roman" w:cs="Times New Roman"/>
          <w:color w:val="231F20"/>
          <w:spacing w:val="8"/>
        </w:rPr>
        <w:t>6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h</w:t>
      </w:r>
      <w:r>
        <w:rPr>
          <w:color w:val="231F20"/>
          <w:spacing w:val="8"/>
        </w:rPr>
        <w:t>，</w:t>
      </w:r>
      <w:r>
        <w:rPr>
          <w:rFonts w:ascii="Times New Roman" w:hAnsi="Times New Roman" w:eastAsia="Times New Roman" w:cs="Times New Roman"/>
          <w:color w:val="231F20"/>
          <w:spacing w:val="8"/>
        </w:rPr>
        <w:t>82% </w:t>
      </w:r>
      <w:r>
        <w:rPr>
          <w:color w:val="231F20"/>
          <w:spacing w:val="8"/>
        </w:rPr>
        <w:t>经尿液由肾脏排出和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19%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6"/>
        </w:rPr>
        <w:t>经胆汁由粪便排出。</w:t>
      </w:r>
    </w:p>
    <w:p>
      <w:pPr>
        <w:pStyle w:val="BodyText"/>
        <w:ind w:right="906" w:firstLine="429"/>
        <w:spacing w:before="29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药物相互作用：</w:t>
      </w:r>
      <w:r>
        <w:rPr>
          <w:rFonts w:ascii="Times New Roman" w:hAnsi="Times New Roman" w:eastAsia="Times New Roman" w:cs="Times New Roman"/>
          <w:color w:val="231F20"/>
          <w:spacing w:val="5"/>
        </w:rPr>
        <w:t>Ⅰa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5"/>
        </w:rPr>
        <w:t>类抗心律失常药（如丙吡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胺、奎尼丁、普鲁卡因胺）以及其他</w:t>
      </w:r>
      <w:r>
        <w:rPr>
          <w:rFonts w:ascii="Times New Roman" w:hAnsi="Times New Roman" w:eastAsia="Times New Roman" w:cs="Times New Roman"/>
          <w:color w:val="231F20"/>
          <w:spacing w:val="-3"/>
        </w:rPr>
        <w:t>Ⅲ</w:t>
      </w:r>
      <w:r>
        <w:rPr>
          <w:color w:val="231F20"/>
          <w:spacing w:val="-3"/>
        </w:rPr>
        <w:t>类药物（如胺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碘酮、索他洛尔）可能延长不应期，均不能</w:t>
      </w:r>
      <w:r>
        <w:rPr>
          <w:color w:val="231F20"/>
          <w:spacing w:val="-4"/>
        </w:rPr>
        <w:t>和伊布利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特注射液同时使用或注射后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4 h </w:t>
      </w:r>
      <w:r>
        <w:rPr>
          <w:color w:val="231F20"/>
          <w:spacing w:val="7"/>
        </w:rPr>
        <w:t>内使用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。使</w:t>
      </w:r>
      <w:r>
        <w:rPr>
          <w:color w:val="231F20"/>
          <w:spacing w:val="6"/>
        </w:rPr>
        <w:t>用其他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延长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QT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间期药物（如酚噻嗪、三环类抗抑郁剂、四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环类抗抑郁剂和某些抗组织胺类）的患者，伊布利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5"/>
        </w:rPr>
        <w:t>特注射液可能增加尖端扭转型室性心动过速发生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5"/>
        </w:rPr>
        <w:t>的几率。</w:t>
      </w:r>
    </w:p>
    <w:p>
      <w:pPr>
        <w:ind w:left="347"/>
        <w:spacing w:before="40" w:line="268" w:lineRule="exact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（十一）索他洛尔</w:t>
      </w:r>
    </w:p>
    <w:p>
      <w:pPr>
        <w:pStyle w:val="BodyText"/>
        <w:ind w:left="440"/>
        <w:spacing w:before="54" w:line="210" w:lineRule="auto"/>
        <w:rPr/>
      </w:pPr>
      <w:r>
        <w:rPr>
          <w:rFonts w:ascii="Times New Roman" w:hAnsi="Times New Roman" w:eastAsia="Times New Roman" w:cs="Times New Roman"/>
          <w:color w:val="231F20"/>
        </w:rPr>
        <w:t>1.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</w:rPr>
        <w:t>药品分类：</w:t>
      </w:r>
      <w:r>
        <w:rPr>
          <w:rFonts w:ascii="Times New Roman" w:hAnsi="Times New Roman" w:eastAsia="Times New Roman" w:cs="Times New Roman"/>
          <w:color w:val="231F20"/>
        </w:rPr>
        <w:t>Ⅲ</w:t>
      </w:r>
      <w:r>
        <w:rPr>
          <w:color w:val="231F20"/>
        </w:rPr>
        <w:t>类抗心律失常药。</w:t>
      </w:r>
    </w:p>
    <w:p>
      <w:pPr>
        <w:pStyle w:val="BodyText"/>
        <w:ind w:left="423"/>
        <w:spacing w:before="15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</w:t>
      </w:r>
      <w:r>
        <w:rPr>
          <w:rFonts w:ascii="Times New Roman" w:hAnsi="Times New Roman" w:eastAsia="Times New Roman" w:cs="Times New Roman"/>
          <w:color w:val="231F20"/>
          <w:spacing w:val="-3"/>
        </w:rPr>
        <w:t xml:space="preserve"> </w:t>
      </w:r>
      <w:r>
        <w:rPr>
          <w:color w:val="231F20"/>
          <w:spacing w:val="2"/>
        </w:rPr>
        <w:t>用药目的：用于心房颤动时控制心室率。</w:t>
      </w:r>
    </w:p>
    <w:p>
      <w:pPr>
        <w:pStyle w:val="BodyText"/>
        <w:ind w:left="1" w:right="838" w:firstLine="425"/>
        <w:spacing w:before="15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1"/>
        </w:rPr>
        <w:t>禁忌证：禁用于对本药过敏者；支气管哮喘；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心动过缓；房室传导阻滞；先天性或获得性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QT </w:t>
      </w:r>
      <w:r>
        <w:rPr>
          <w:color w:val="231F20"/>
          <w:spacing w:val="-2"/>
        </w:rPr>
        <w:t>间期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延长综合征；休克患者；未控制的心力衰竭患者；低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血压。</w:t>
      </w:r>
    </w:p>
    <w:p>
      <w:pPr>
        <w:pStyle w:val="BodyText"/>
        <w:ind w:left="1" w:right="828" w:firstLine="419"/>
        <w:spacing w:before="58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4.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-1"/>
        </w:rPr>
        <w:t>不良反应：心动过缓、低血压、支气管痉挛。</w:t>
      </w:r>
      <w:r>
        <w:rPr>
          <w:color w:val="231F20"/>
        </w:rPr>
        <w:t xml:space="preserve"> </w:t>
      </w:r>
      <w:r>
        <w:rPr>
          <w:color w:val="231F20"/>
          <w:spacing w:val="-9"/>
          <w:w w:val="98"/>
        </w:rPr>
        <w:t>可有乏力、气短、眩晕、恶心、呕吐、皮疹等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  <w:w w:val="98"/>
        </w:rPr>
        <w:t>。严重的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不良反应是致心律失常，可表现为原有心律失常加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重或出现新的心律失常，严重时可出现扭转性室性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心动过速、多源性室性心动过速、心室颤动，多与剂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4"/>
        </w:rPr>
        <w:t>量大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、低钾血症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、</w:t>
      </w:r>
      <w:r>
        <w:rPr>
          <w:rFonts w:ascii="Times New Roman" w:hAnsi="Times New Roman" w:eastAsia="Times New Roman" w:cs="Times New Roman"/>
          <w:color w:val="231F20"/>
        </w:rPr>
        <w:t>QT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间期延长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、严重心脏病变等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有关。</w:t>
      </w:r>
    </w:p>
    <w:p>
      <w:pPr>
        <w:pStyle w:val="BodyText"/>
        <w:ind w:left="423"/>
        <w:spacing w:before="50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5.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7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7"/>
        </w:rPr>
        <w:t>80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mg/</w:t>
      </w:r>
      <w:r>
        <w:rPr>
          <w:color w:val="231F20"/>
          <w:spacing w:val="-7"/>
        </w:rPr>
        <w:t>片。</w:t>
      </w:r>
    </w:p>
    <w:p>
      <w:pPr>
        <w:pStyle w:val="BodyText"/>
        <w:ind w:left="1" w:right="907" w:firstLine="422"/>
        <w:spacing w:before="28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6. </w:t>
      </w:r>
      <w:r>
        <w:rPr>
          <w:color w:val="231F20"/>
          <w:spacing w:val="-3"/>
        </w:rPr>
        <w:t>用法和用量：口服，</w:t>
      </w:r>
      <w:r>
        <w:rPr>
          <w:rFonts w:ascii="Times New Roman" w:hAnsi="Times New Roman" w:eastAsia="Times New Roman" w:cs="Times New Roman"/>
          <w:color w:val="231F20"/>
          <w:spacing w:val="-3"/>
        </w:rPr>
        <w:t>40~80 mg/</w:t>
      </w:r>
      <w:r>
        <w:rPr>
          <w:color w:val="231F20"/>
          <w:spacing w:val="-3"/>
        </w:rPr>
        <w:t>次</w:t>
      </w:r>
      <w:r>
        <w:rPr>
          <w:color w:val="231F20"/>
          <w:spacing w:val="-4"/>
        </w:rPr>
        <w:t>、</w:t>
      </w:r>
      <w:r>
        <w:rPr>
          <w:rFonts w:ascii="Times New Roman" w:hAnsi="Times New Roman" w:eastAsia="Times New Roman" w:cs="Times New Roman"/>
          <w:color w:val="231F20"/>
          <w:spacing w:val="-4"/>
        </w:rPr>
        <w:t>2 </w:t>
      </w:r>
      <w:r>
        <w:rPr>
          <w:color w:val="231F20"/>
          <w:spacing w:val="-4"/>
        </w:rPr>
        <w:t>次</w:t>
      </w:r>
      <w:r>
        <w:rPr>
          <w:rFonts w:ascii="Times New Roman" w:hAnsi="Times New Roman" w:eastAsia="Times New Roman" w:cs="Times New Roman"/>
          <w:color w:val="231F20"/>
          <w:spacing w:val="-4"/>
        </w:rPr>
        <w:t>/d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-4"/>
        </w:rPr>
        <w:t>。从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小剂量开始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2"/>
        </w:rPr>
        <w:t>，逐渐加量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2"/>
        </w:rPr>
        <w:t>。合并室性心动过速者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160~480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2"/>
        </w:rPr>
        <w:t>/d</w:t>
      </w:r>
      <w:r>
        <w:rPr>
          <w:color w:val="231F20"/>
          <w:spacing w:val="2"/>
        </w:rPr>
        <w:t>。</w:t>
      </w:r>
    </w:p>
    <w:p>
      <w:pPr>
        <w:pStyle w:val="BodyText"/>
        <w:ind w:left="1" w:right="865" w:firstLine="419"/>
        <w:spacing w:before="40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7. </w:t>
      </w:r>
      <w:r>
        <w:rPr>
          <w:color w:val="231F20"/>
          <w:spacing w:val="4"/>
        </w:rPr>
        <w:t>药物代谢动力学：口服吸收近 </w:t>
      </w:r>
      <w:r>
        <w:rPr>
          <w:rFonts w:ascii="Times New Roman" w:hAnsi="Times New Roman" w:eastAsia="Times New Roman" w:cs="Times New Roman"/>
          <w:color w:val="231F20"/>
          <w:spacing w:val="4"/>
        </w:rPr>
        <w:t>100%</w:t>
      </w:r>
      <w:r>
        <w:rPr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color w:val="231F20"/>
          <w:spacing w:val="4"/>
        </w:rPr>
        <w:t>2~</w:t>
      </w:r>
      <w:r>
        <w:rPr>
          <w:rFonts w:ascii="Times New Roman" w:hAnsi="Times New Roman" w:eastAsia="Times New Roman" w:cs="Times New Roman"/>
          <w:color w:val="231F20"/>
          <w:spacing w:val="3"/>
        </w:rPr>
        <w:t>3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h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5"/>
        </w:rPr>
        <w:t>血药浓度达峰值水平，无肝脏首过效应，生物利用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度达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95%</w:t>
      </w:r>
      <w:r>
        <w:rPr>
          <w:color w:val="231F20"/>
          <w:spacing w:val="-4"/>
        </w:rPr>
        <w:t>，主要由肾脏排泄，肾功能正常时，消除半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衰期为 </w:t>
      </w:r>
      <w:r>
        <w:rPr>
          <w:rFonts w:ascii="Times New Roman" w:hAnsi="Times New Roman" w:eastAsia="Times New Roman" w:cs="Times New Roman"/>
          <w:color w:val="231F20"/>
          <w:spacing w:val="2"/>
        </w:rPr>
        <w:t>15~20 h</w:t>
      </w:r>
      <w:r>
        <w:rPr>
          <w:color w:val="231F20"/>
          <w:spacing w:val="2"/>
        </w:rPr>
        <w:t>，肾功能受损消除半衰期明</w:t>
      </w:r>
      <w:r>
        <w:rPr>
          <w:color w:val="231F20"/>
          <w:spacing w:val="1"/>
        </w:rPr>
        <w:t>显延长。</w:t>
      </w:r>
    </w:p>
    <w:p>
      <w:pPr>
        <w:pStyle w:val="BodyText"/>
        <w:ind w:left="2" w:right="907" w:firstLine="426"/>
        <w:spacing w:before="29" w:line="194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8.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2"/>
        </w:rPr>
        <w:t>药物相互作用：与其他</w:t>
      </w:r>
      <w:r>
        <w:rPr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Ⅰa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Ⅱ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Ⅲ</w:t>
      </w:r>
      <w:r>
        <w:rPr>
          <w:color w:val="231F20"/>
          <w:spacing w:val="-2"/>
        </w:rPr>
        <w:t>类抗心律失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常药同用时有协同作用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。与钙拮抗剂同用时可加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重传导障碍，进一步抑制心室功能，降低血压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。与</w:t>
      </w:r>
    </w:p>
    <w:p>
      <w:pPr>
        <w:spacing w:line="194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0" w:space="100"/>
            <w:col w:w="5437" w:space="0"/>
          </w:cols>
        </w:sectPr>
        <w:rPr/>
      </w:pPr>
    </w:p>
    <w:p>
      <w:pPr>
        <w:spacing w:before="60"/>
        <w:rPr/>
      </w:pPr>
      <w:r>
        <w:pict>
          <v:shape id="_x0000_s44" style="position:absolute;margin-left:228.137pt;margin-top:59.6178pt;mso-position-vertical-relative:page;mso-position-horizontal-relative:page;width:318.95pt;height:0.4pt;z-index:251691008;" o:allowincell="f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sectPr>
          <w:headerReference w:type="default" r:id="rId12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09" w:right="474"/>
        <w:spacing w:before="45" w:line="219" w:lineRule="auto"/>
        <w:jc w:val="both"/>
        <w:rPr/>
      </w:pPr>
      <w:r>
        <w:rPr>
          <w:color w:val="231F20"/>
          <w:spacing w:val="-4"/>
        </w:rPr>
        <w:t>儿茶酚胺类药（如利血平、胍乙啶）同用产生低血压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和严重心动过缓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。有血糖增高，需增加胰岛素和降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糖药的报道。</w:t>
      </w:r>
    </w:p>
    <w:p>
      <w:pPr>
        <w:ind w:left="1255"/>
        <w:spacing w:line="270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1"/>
          <w:position w:val="1"/>
        </w:rPr>
        <w:t>（十二）华法林</w:t>
      </w:r>
    </w:p>
    <w:p>
      <w:pPr>
        <w:pStyle w:val="BodyText"/>
        <w:ind w:left="1348"/>
        <w:spacing w:before="52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药品分类：抗凝药。</w:t>
      </w:r>
    </w:p>
    <w:p>
      <w:pPr>
        <w:pStyle w:val="BodyText"/>
        <w:ind w:left="911" w:right="474" w:firstLine="420"/>
        <w:spacing w:before="13" w:line="20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5"/>
        </w:rPr>
        <w:t>用药目的：预防心房颤动引起的血栓栓塞并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发症。</w:t>
      </w:r>
    </w:p>
    <w:p>
      <w:pPr>
        <w:pStyle w:val="BodyText"/>
        <w:ind w:left="908" w:right="404" w:firstLine="426"/>
        <w:spacing w:before="51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1"/>
        </w:rPr>
        <w:t>禁忌证：禁用于肝肾功能损害；严重高血压；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凝血功能障碍伴有出血倾向；活动性溃疡；</w:t>
      </w:r>
      <w:r>
        <w:rPr>
          <w:color w:val="231F20"/>
          <w:spacing w:val="-4"/>
        </w:rPr>
        <w:t>外伤；先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兆流产；近期手术者；妊娠期妇女。</w:t>
      </w:r>
    </w:p>
    <w:p>
      <w:pPr>
        <w:pStyle w:val="BodyText"/>
        <w:ind w:left="826" w:right="474" w:firstLine="501"/>
        <w:spacing w:before="43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4.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4"/>
        </w:rPr>
        <w:t>不良反应及处理：出血是主要不良反应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。可</w:t>
      </w:r>
      <w:r>
        <w:rPr>
          <w:color w:val="231F20"/>
        </w:rPr>
        <w:t xml:space="preserve"> </w:t>
      </w:r>
      <w:r>
        <w:rPr>
          <w:color w:val="231F20"/>
        </w:rPr>
        <w:t>有瘀斑、紫癜、牙龈出血、鼻出血、伤口出血经久不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7"/>
        </w:rPr>
        <w:t>愈，月经过多等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7"/>
        </w:rPr>
        <w:t>。用药期间应监测凝血酶原时间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</w:t>
      </w:r>
      <w:r>
        <w:rPr>
          <w:rFonts w:ascii="Times New Roman" w:hAnsi="Times New Roman" w:eastAsia="Times New Roman" w:cs="Times New Roman"/>
          <w:color w:val="231F20"/>
        </w:rPr>
        <w:t>PT</w:t>
      </w:r>
      <w:r>
        <w:rPr>
          <w:color w:val="231F20"/>
          <w:spacing w:val="1"/>
        </w:rPr>
        <w:t>）和国际标准化比值（</w:t>
      </w:r>
      <w:r>
        <w:rPr>
          <w:rFonts w:ascii="Times New Roman" w:hAnsi="Times New Roman" w:eastAsia="Times New Roman" w:cs="Times New Roman"/>
          <w:color w:val="231F20"/>
        </w:rPr>
        <w:t>INR</w:t>
      </w:r>
      <w:r>
        <w:rPr>
          <w:color w:val="231F20"/>
          <w:spacing w:val="-29"/>
          <w:w w:val="61"/>
        </w:rPr>
        <w:t>），</w:t>
      </w:r>
      <w:r>
        <w:rPr>
          <w:color w:val="231F20"/>
          <w:spacing w:val="1"/>
        </w:rPr>
        <w:t>控制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INR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"/>
        </w:rPr>
        <w:t>在目标范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围内，并严密观察有无自发性出血。</w:t>
      </w:r>
    </w:p>
    <w:p>
      <w:pPr>
        <w:pStyle w:val="BodyText"/>
        <w:ind w:left="909" w:right="474" w:firstLine="417"/>
        <w:spacing w:before="53" w:line="220" w:lineRule="auto"/>
        <w:jc w:val="both"/>
        <w:rPr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1661460</wp:posOffset>
            </wp:positionH>
            <wp:positionV relativeFrom="paragraph">
              <wp:posOffset>-1109235</wp:posOffset>
            </wp:positionV>
            <wp:extent cx="3949860" cy="462286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4"/>
        </w:rPr>
        <w:t>若发生轻度出血，应减量或停药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。严重出血可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立即给予维生素 </w:t>
      </w:r>
      <w:r>
        <w:rPr>
          <w:rFonts w:ascii="Times New Roman" w:hAnsi="Times New Roman" w:eastAsia="Times New Roman" w:cs="Times New Roman"/>
          <w:color w:val="231F20"/>
          <w:spacing w:val="3"/>
        </w:rPr>
        <w:t>K </w:t>
      </w:r>
      <w:r>
        <w:rPr>
          <w:color w:val="231F20"/>
          <w:spacing w:val="3"/>
        </w:rPr>
        <w:t>治疗，</w:t>
      </w:r>
      <w:r>
        <w:rPr>
          <w:rFonts w:ascii="Times New Roman" w:hAnsi="Times New Roman" w:eastAsia="Times New Roman" w:cs="Times New Roman"/>
          <w:color w:val="231F20"/>
          <w:spacing w:val="3"/>
        </w:rPr>
        <w:t>5~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/</w:t>
      </w:r>
      <w:r>
        <w:rPr>
          <w:color w:val="231F20"/>
          <w:spacing w:val="3"/>
        </w:rPr>
        <w:t>次，建议静脉应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。必要时联合凝血酶原复合物浓缩物或新</w:t>
      </w:r>
      <w:r>
        <w:rPr>
          <w:color w:val="231F20"/>
          <w:spacing w:val="13"/>
        </w:rPr>
        <w:t>鲜冰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冻血浆快速逆转抗凝的作用。</w:t>
      </w:r>
    </w:p>
    <w:p>
      <w:pPr>
        <w:pStyle w:val="BodyText"/>
        <w:ind w:left="910" w:right="474" w:firstLine="418"/>
        <w:spacing w:line="219" w:lineRule="auto"/>
        <w:rPr/>
      </w:pPr>
      <w:r>
        <w:rPr>
          <w:color w:val="231F20"/>
          <w:spacing w:val="-5"/>
        </w:rPr>
        <w:t>其他不良反应有恶心、呕吐、腹泻、皮疹、过敏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7"/>
        </w:rPr>
        <w:t>反应和皮肤坏死等。</w:t>
      </w:r>
    </w:p>
    <w:p>
      <w:pPr>
        <w:pStyle w:val="BodyText"/>
        <w:ind w:left="1332"/>
        <w:spacing w:before="1" w:line="199" w:lineRule="auto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5.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8"/>
        </w:rPr>
        <w:t>剂型和规格：片剂，</w:t>
      </w:r>
      <w:r>
        <w:rPr>
          <w:rFonts w:ascii="Times New Roman" w:hAnsi="Times New Roman" w:eastAsia="Times New Roman" w:cs="Times New Roman"/>
          <w:color w:val="231F20"/>
          <w:spacing w:val="-8"/>
        </w:rPr>
        <w:t>2.5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mg/</w:t>
      </w:r>
      <w:r>
        <w:rPr>
          <w:color w:val="231F20"/>
          <w:spacing w:val="-8"/>
        </w:rPr>
        <w:t>片、</w:t>
      </w:r>
      <w:r>
        <w:rPr>
          <w:rFonts w:ascii="Times New Roman" w:hAnsi="Times New Roman" w:eastAsia="Times New Roman" w:cs="Times New Roman"/>
          <w:color w:val="231F20"/>
          <w:spacing w:val="-8"/>
        </w:rPr>
        <w:t>3.0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mg/</w:t>
      </w:r>
      <w:r>
        <w:rPr>
          <w:color w:val="231F20"/>
          <w:spacing w:val="-8"/>
        </w:rPr>
        <w:t>片。</w:t>
      </w:r>
    </w:p>
    <w:p>
      <w:pPr>
        <w:pStyle w:val="BodyText"/>
        <w:ind w:left="907" w:right="473" w:firstLine="424"/>
        <w:spacing w:before="35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6.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4"/>
        </w:rPr>
        <w:t>用法和用量：口服，成人常用量：避免冲击治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疗，口服第 </w:t>
      </w:r>
      <w:r>
        <w:rPr>
          <w:rFonts w:ascii="Times New Roman" w:hAnsi="Times New Roman" w:eastAsia="Times New Roman" w:cs="Times New Roman"/>
          <w:color w:val="231F20"/>
          <w:spacing w:val="2"/>
        </w:rPr>
        <w:t>1~3 </w:t>
      </w:r>
      <w:r>
        <w:rPr>
          <w:color w:val="231F20"/>
          <w:spacing w:val="2"/>
        </w:rPr>
        <w:t>天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3~4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color w:val="231F20"/>
          <w:spacing w:val="2"/>
        </w:rPr>
        <w:t>（年老体弱及糖尿</w:t>
      </w:r>
      <w:r>
        <w:rPr>
          <w:color w:val="231F20"/>
          <w:spacing w:val="1"/>
        </w:rPr>
        <w:t>病患者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半量即可</w:t>
      </w:r>
      <w:r>
        <w:rPr>
          <w:color w:val="231F20"/>
          <w:spacing w:val="-29"/>
          <w:w w:val="61"/>
        </w:rPr>
        <w:t>），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后可给维持量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2.5~5.0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5"/>
        </w:rPr>
        <w:t>/d</w:t>
      </w:r>
      <w:r>
        <w:rPr>
          <w:color w:val="231F20"/>
          <w:spacing w:val="5"/>
        </w:rPr>
        <w:t>（可参考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凝血时间调整剂量使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INR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值达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2~3</w:t>
      </w:r>
      <w:r>
        <w:rPr>
          <w:color w:val="231F20"/>
          <w:spacing w:val="4"/>
        </w:rPr>
        <w:t>）。 因本品起效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缓慢，治疗初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 </w:t>
      </w:r>
      <w:r>
        <w:rPr>
          <w:color w:val="231F20"/>
          <w:spacing w:val="-1"/>
        </w:rPr>
        <w:t>由于血浆抗凝蛋白细胞被抑制，可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以存在短暂高凝状态，如需立即产生抗凝作用，可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在开始同时应用肝素，待本品充分发挥抗凝效果后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再停用肝素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。肝肾功能不全者和儿童，可依据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INR </w:t>
      </w:r>
      <w:r>
        <w:rPr>
          <w:color w:val="231F20"/>
          <w:spacing w:val="6"/>
        </w:rPr>
        <w:t>调整剂量。</w:t>
      </w:r>
    </w:p>
    <w:p>
      <w:pPr>
        <w:pStyle w:val="BodyText"/>
        <w:ind w:left="911" w:right="396" w:firstLine="418"/>
        <w:spacing w:before="52" w:line="217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药物代谢动力学：口服吸收迅速而完全，生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物利用度高达 </w:t>
      </w:r>
      <w:r>
        <w:rPr>
          <w:rFonts w:ascii="Times New Roman" w:hAnsi="Times New Roman" w:eastAsia="Times New Roman" w:cs="Times New Roman"/>
          <w:color w:val="231F20"/>
          <w:spacing w:val="17"/>
        </w:rPr>
        <w:t>100%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17"/>
        </w:rPr>
        <w:t>。血浆蛋白结合率达</w:t>
      </w:r>
      <w:r>
        <w:rPr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7"/>
        </w:rPr>
        <w:t>98%~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4"/>
        </w:rPr>
        <w:t>99%</w:t>
      </w:r>
      <w:r>
        <w:rPr>
          <w:color w:val="231F20"/>
          <w:spacing w:val="-4"/>
        </w:rPr>
        <w:t>，能透过胎盘，母乳中极少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。主要由肺、肝、脾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和肾中储积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由肝脏代谢，代谢产物由肾脏排泄。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服药后</w:t>
      </w:r>
      <w:r>
        <w:rPr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12~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18 h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1"/>
        </w:rPr>
        <w:t>起效，</w:t>
      </w:r>
      <w:r>
        <w:rPr>
          <w:rFonts w:ascii="Times New Roman" w:hAnsi="Times New Roman" w:eastAsia="Times New Roman" w:cs="Times New Roman"/>
          <w:color w:val="231F20"/>
          <w:spacing w:val="-1"/>
        </w:rPr>
        <w:t>36~48 h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1"/>
        </w:rPr>
        <w:t>达抗凝高峰，</w:t>
      </w:r>
      <w:r>
        <w:rPr>
          <w:color w:val="231F20"/>
          <w:spacing w:val="-2"/>
        </w:rPr>
        <w:t>维持 </w:t>
      </w:r>
      <w:r>
        <w:rPr>
          <w:rFonts w:ascii="Times New Roman" w:hAnsi="Times New Roman" w:eastAsia="Times New Roman" w:cs="Times New Roman"/>
          <w:color w:val="231F20"/>
          <w:spacing w:val="-2"/>
        </w:rPr>
        <w:t>3~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6"/>
        </w:rPr>
        <w:t>6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d</w:t>
      </w:r>
      <w:r>
        <w:rPr>
          <w:color w:val="231F20"/>
          <w:spacing w:val="-6"/>
        </w:rPr>
        <w:t>，半衰期约 </w:t>
      </w:r>
      <w:r>
        <w:rPr>
          <w:rFonts w:ascii="Times New Roman" w:hAnsi="Times New Roman" w:eastAsia="Times New Roman" w:cs="Times New Roman"/>
          <w:color w:val="231F20"/>
          <w:spacing w:val="-6"/>
        </w:rPr>
        <w:t>37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h</w:t>
      </w:r>
      <w:r>
        <w:rPr>
          <w:color w:val="231F20"/>
          <w:spacing w:val="-6"/>
        </w:rPr>
        <w:t>。</w:t>
      </w:r>
    </w:p>
    <w:p>
      <w:pPr>
        <w:pStyle w:val="BodyText"/>
        <w:ind w:left="1336"/>
        <w:spacing w:before="27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药物相互作用：</w:t>
      </w:r>
    </w:p>
    <w:p>
      <w:pPr>
        <w:pStyle w:val="BodyText"/>
        <w:ind w:left="908" w:right="393" w:firstLine="337"/>
        <w:spacing w:before="18" w:line="207" w:lineRule="auto"/>
        <w:jc w:val="both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color w:val="231F20"/>
          <w:spacing w:val="-5"/>
        </w:rPr>
        <w:t>）增强华法林抗凝作用的药物：阿司匹林</w:t>
      </w:r>
      <w:r>
        <w:rPr>
          <w:color w:val="231F20"/>
          <w:spacing w:val="-6"/>
        </w:rPr>
        <w:t>、水</w:t>
      </w:r>
      <w:r>
        <w:rPr>
          <w:color w:val="231F20"/>
        </w:rPr>
        <w:t xml:space="preserve">  </w:t>
      </w:r>
      <w:r>
        <w:rPr>
          <w:color w:val="231F20"/>
          <w:spacing w:val="-8"/>
          <w:w w:val="98"/>
        </w:rPr>
        <w:t>杨酸钠、胰高血糖素、奎尼丁、吲哚美辛、保泰松、奎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宁、利尿酸、甲磺丁脲、甲硝唑、别嘌呤醇、红霉素、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氯霉素、某些氨基糖苷类抗菌药物、头孢菌素类、苯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碘达隆、西咪替丁、氯贝丁酯、右旋甲状腺素、对乙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7"/>
        </w:rPr>
        <w:t>酰氨基酚等。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906" w:firstLine="334"/>
        <w:spacing w:before="49" w:line="209" w:lineRule="auto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2</w:t>
      </w:r>
      <w:r>
        <w:rPr>
          <w:color w:val="231F20"/>
          <w:spacing w:val="-5"/>
        </w:rPr>
        <w:t>）降低华法林抗凝作用的药物：苯妥英钠</w:t>
      </w:r>
      <w:r>
        <w:rPr>
          <w:color w:val="231F20"/>
          <w:spacing w:val="-6"/>
        </w:rPr>
        <w:t>、巴</w:t>
      </w:r>
      <w:r>
        <w:rPr>
          <w:color w:val="231F20"/>
        </w:rPr>
        <w:t xml:space="preserve"> </w:t>
      </w:r>
      <w:r>
        <w:rPr>
          <w:color w:val="231F20"/>
          <w:spacing w:val="-10"/>
          <w:w w:val="99"/>
        </w:rPr>
        <w:t>比妥类、口服避孕药、雌激素、考来烯胺、利福平、维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生素 </w:t>
      </w:r>
      <w:r>
        <w:rPr>
          <w:rFonts w:ascii="Times New Roman" w:hAnsi="Times New Roman" w:eastAsia="Times New Roman" w:cs="Times New Roman"/>
          <w:color w:val="231F20"/>
          <w:spacing w:val="-9"/>
        </w:rPr>
        <w:t>K </w:t>
      </w:r>
      <w:r>
        <w:rPr>
          <w:color w:val="231F20"/>
          <w:spacing w:val="-9"/>
        </w:rPr>
        <w:t>类、氯噻酮、螺内酯、扑米酮、</w:t>
      </w:r>
      <w:r>
        <w:rPr>
          <w:color w:val="231F20"/>
          <w:spacing w:val="-10"/>
        </w:rPr>
        <w:t>皮质激素等。</w:t>
      </w:r>
    </w:p>
    <w:p>
      <w:pPr>
        <w:pStyle w:val="BodyText"/>
        <w:ind w:right="824" w:firstLine="336"/>
        <w:spacing w:before="50" w:line="201" w:lineRule="auto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3</w:t>
      </w:r>
      <w:r>
        <w:rPr>
          <w:color w:val="231F20"/>
          <w:spacing w:val="-5"/>
        </w:rPr>
        <w:t>）不能与本品合用的药物：盐酸肾上腺素、阿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米卡星、维生素 </w:t>
      </w:r>
      <w:r>
        <w:rPr>
          <w:rFonts w:ascii="Times New Roman" w:hAnsi="Times New Roman" w:eastAsia="Times New Roman" w:cs="Times New Roman"/>
          <w:color w:val="231F20"/>
          <w:spacing w:val="-3"/>
        </w:rPr>
        <w:t>B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-3"/>
        </w:rPr>
        <w:t>12</w:t>
      </w:r>
      <w:r>
        <w:rPr>
          <w:color w:val="231F20"/>
          <w:spacing w:val="-3"/>
          <w:position w:val="-3"/>
        </w:rPr>
        <w:t>、</w:t>
      </w:r>
      <w:r>
        <w:rPr>
          <w:color w:val="231F20"/>
          <w:spacing w:val="-3"/>
        </w:rPr>
        <w:t>间羟胺、缩宫素、</w:t>
      </w:r>
      <w:r>
        <w:rPr>
          <w:color w:val="231F20"/>
          <w:spacing w:val="-4"/>
        </w:rPr>
        <w:t>盐酸氯丙嗪、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盐酸万古霉素等。</w:t>
      </w:r>
    </w:p>
    <w:p>
      <w:pPr>
        <w:pStyle w:val="BodyText"/>
        <w:ind w:left="1" w:right="906" w:firstLine="336"/>
        <w:spacing w:before="46" w:line="209" w:lineRule="auto"/>
        <w:rPr/>
      </w:pPr>
      <w:r>
        <w:rPr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color w:val="231F20"/>
          <w:spacing w:val="-5"/>
        </w:rPr>
        <w:t>4</w:t>
      </w:r>
      <w:r>
        <w:rPr>
          <w:color w:val="231F20"/>
          <w:spacing w:val="-5"/>
        </w:rPr>
        <w:t>）与水合氯醛合用，其药效和毒性均增强，应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减量慎用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。维生素 </w:t>
      </w:r>
      <w:r>
        <w:rPr>
          <w:rFonts w:ascii="Times New Roman" w:hAnsi="Times New Roman" w:eastAsia="Times New Roman" w:cs="Times New Roman"/>
          <w:color w:val="231F20"/>
          <w:spacing w:val="9"/>
        </w:rPr>
        <w:t>K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color w:val="231F20"/>
          <w:spacing w:val="9"/>
        </w:rPr>
        <w:t>的吸收障碍或合成下降也影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响本品的抗凝作用。</w:t>
      </w:r>
    </w:p>
    <w:p>
      <w:pPr>
        <w:ind w:left="346"/>
        <w:spacing w:before="42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（十三）达比加群酯</w:t>
      </w:r>
    </w:p>
    <w:p>
      <w:pPr>
        <w:pStyle w:val="BodyText"/>
        <w:ind w:left="439"/>
        <w:spacing w:before="55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药品分类：抗凝药。</w:t>
      </w:r>
    </w:p>
    <w:p>
      <w:pPr>
        <w:pStyle w:val="BodyText"/>
        <w:ind w:left="1" w:right="906" w:firstLine="422"/>
        <w:spacing w:before="15" w:line="20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5"/>
        </w:rPr>
        <w:t>用药目的：预防存在一个或多个危险因素的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成人非瓣性心房颤动患者的卒中和全身性栓塞。</w:t>
      </w:r>
    </w:p>
    <w:p>
      <w:pPr>
        <w:pStyle w:val="BodyText"/>
        <w:ind w:right="905" w:firstLine="425"/>
        <w:spacing w:before="51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禁忌证：禁用于重度肾功能不全（肌酐清除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率</w:t>
      </w:r>
      <w:r>
        <w:rPr>
          <w:rFonts w:ascii="Times New Roman" w:hAnsi="Times New Roman" w:eastAsia="Times New Roman" w:cs="Times New Roman"/>
          <w:color w:val="231F20"/>
          <w:spacing w:val="-1"/>
        </w:rPr>
        <w:t>&lt;30 ml/min</w:t>
      </w:r>
      <w:r>
        <w:rPr>
          <w:color w:val="231F20"/>
          <w:spacing w:val="-1"/>
        </w:rPr>
        <w:t>）患者；临床上显著的活动性出血；有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5"/>
        </w:rPr>
        <w:t>大出血显著风险的疾病或状况，如近期消化道溃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疡，脑、脊髓或眼部手术，近期颅内出血，</w:t>
      </w:r>
      <w:r>
        <w:rPr>
          <w:color w:val="231F20"/>
          <w:spacing w:val="-4"/>
        </w:rPr>
        <w:t>已知或可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疑的食道静脉曲张，动静脉畸形，血管动脉瘤或主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要脊柱内或脑内血管异常；机械人工瓣膜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。联合使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用环孢菌素、全身性酮康唑、伊曲康唑、他</w:t>
      </w:r>
      <w:r>
        <w:rPr>
          <w:color w:val="231F20"/>
          <w:spacing w:val="-4"/>
        </w:rPr>
        <w:t>克莫司和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决奈达隆，会使利伐沙班血药浓度升高，需慎用。</w:t>
      </w:r>
    </w:p>
    <w:p>
      <w:pPr>
        <w:pStyle w:val="BodyText"/>
        <w:ind w:left="1" w:right="905" w:firstLine="418"/>
        <w:spacing w:before="45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不良反应及处理：主要为出血，轻度出血停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药即可，重度出血使用依达赛珠单抗进行拮抗；肝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酶升高；胃肠道反应；贫血、血红蛋白减少、血小板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减少；过敏反应等。</w:t>
      </w:r>
    </w:p>
    <w:p>
      <w:pPr>
        <w:pStyle w:val="BodyText"/>
        <w:ind w:left="3" w:right="905" w:firstLine="420"/>
        <w:spacing w:before="44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8"/>
        </w:rPr>
        <w:t>5.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-8"/>
        </w:rPr>
        <w:t>剂型和规格：胶囊，</w:t>
      </w:r>
      <w:r>
        <w:rPr>
          <w:rFonts w:ascii="Times New Roman" w:hAnsi="Times New Roman" w:eastAsia="Times New Roman" w:cs="Times New Roman"/>
          <w:color w:val="231F20"/>
          <w:spacing w:val="-8"/>
        </w:rPr>
        <w:t>110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mg/</w:t>
      </w:r>
      <w:r>
        <w:rPr>
          <w:color w:val="231F20"/>
          <w:spacing w:val="-8"/>
        </w:rPr>
        <w:t>粒、</w:t>
      </w:r>
      <w:r>
        <w:rPr>
          <w:rFonts w:ascii="Times New Roman" w:hAnsi="Times New Roman" w:eastAsia="Times New Roman" w:cs="Times New Roman"/>
          <w:color w:val="231F20"/>
          <w:spacing w:val="-8"/>
        </w:rPr>
        <w:t>150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mg/</w:t>
      </w:r>
      <w:r>
        <w:rPr>
          <w:color w:val="231F20"/>
          <w:spacing w:val="-9"/>
        </w:rPr>
        <w:t>粒（以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达比加群酯计）。</w:t>
      </w:r>
    </w:p>
    <w:p>
      <w:pPr>
        <w:pStyle w:val="BodyText"/>
        <w:ind w:left="424"/>
        <w:spacing w:before="21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6.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用法和用量：</w:t>
      </w:r>
    </w:p>
    <w:p>
      <w:pPr>
        <w:pStyle w:val="BodyText"/>
        <w:ind w:left="1" w:right="838" w:firstLine="337"/>
        <w:spacing w:before="15" w:line="209" w:lineRule="auto"/>
        <w:rPr/>
      </w:pPr>
      <w:r>
        <w:rPr>
          <w:color w:val="231F20"/>
          <w:spacing w:val="2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color w:val="231F20"/>
          <w:spacing w:val="2"/>
        </w:rPr>
        <w:t>）用水送服，餐时或餐后服用均可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。请勿打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开胶囊。成人的推荐剂量为</w:t>
      </w:r>
      <w:r>
        <w:rPr>
          <w:rFonts w:ascii="Times New Roman" w:hAnsi="Times New Roman" w:eastAsia="Times New Roman" w:cs="Times New Roman"/>
          <w:color w:val="231F20"/>
          <w:spacing w:val="-10"/>
        </w:rPr>
        <w:t>150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mg</w:t>
      </w:r>
      <w:r>
        <w:rPr>
          <w:color w:val="231F20"/>
          <w:spacing w:val="-10"/>
        </w:rPr>
        <w:t>（</w:t>
      </w:r>
      <w:r>
        <w:rPr>
          <w:rFonts w:ascii="Times New Roman" w:hAnsi="Times New Roman" w:eastAsia="Times New Roman" w:cs="Times New Roman"/>
          <w:color w:val="231F20"/>
          <w:spacing w:val="-10"/>
        </w:rPr>
        <w:t>1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-10"/>
        </w:rPr>
        <w:t>粒）</w:t>
      </w:r>
      <w:r>
        <w:rPr>
          <w:rFonts w:ascii="Times New Roman" w:hAnsi="Times New Roman" w:eastAsia="Times New Roman" w:cs="Times New Roman"/>
          <w:color w:val="231F20"/>
          <w:spacing w:val="-10"/>
        </w:rPr>
        <w:t>/</w:t>
      </w:r>
      <w:r>
        <w:rPr>
          <w:color w:val="231F20"/>
          <w:spacing w:val="-10"/>
        </w:rPr>
        <w:t>次、</w:t>
      </w:r>
      <w:r>
        <w:rPr>
          <w:rFonts w:ascii="Times New Roman" w:hAnsi="Times New Roman" w:eastAsia="Times New Roman" w:cs="Times New Roman"/>
          <w:color w:val="231F20"/>
          <w:spacing w:val="-10"/>
        </w:rPr>
        <w:t>2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10"/>
        </w:rPr>
        <w:t>次</w:t>
      </w:r>
      <w:r>
        <w:rPr>
          <w:rFonts w:ascii="Times New Roman" w:hAnsi="Times New Roman" w:eastAsia="Times New Roman" w:cs="Times New Roman"/>
          <w:color w:val="231F20"/>
          <w:spacing w:val="-10"/>
        </w:rPr>
        <w:t>/d</w:t>
      </w:r>
      <w:r>
        <w:rPr>
          <w:color w:val="231F20"/>
          <w:spacing w:val="-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应维持终生治疗。</w:t>
      </w:r>
    </w:p>
    <w:p>
      <w:pPr>
        <w:pStyle w:val="BodyText"/>
        <w:ind w:left="3" w:right="823" w:firstLine="335"/>
        <w:spacing w:before="48" w:line="216" w:lineRule="auto"/>
        <w:rPr/>
      </w:pPr>
      <w:r>
        <w:rPr>
          <w:color w:val="231F20"/>
          <w:spacing w:val="-13"/>
        </w:rPr>
        <w:t>（</w:t>
      </w:r>
      <w:r>
        <w:rPr>
          <w:rFonts w:ascii="Times New Roman" w:hAnsi="Times New Roman" w:eastAsia="Times New Roman" w:cs="Times New Roman"/>
          <w:color w:val="231F20"/>
          <w:spacing w:val="-13"/>
        </w:rPr>
        <w:t>2</w:t>
      </w:r>
      <w:r>
        <w:rPr>
          <w:color w:val="231F20"/>
          <w:spacing w:val="-13"/>
        </w:rPr>
        <w:t>）存在出血风险的患者：如高龄(</w:t>
      </w:r>
      <w:r>
        <w:rPr>
          <w:rFonts w:ascii="Times New Roman" w:hAnsi="Times New Roman" w:eastAsia="Times New Roman" w:cs="Times New Roman"/>
          <w:color w:val="231F20"/>
          <w:spacing w:val="-13"/>
        </w:rPr>
        <w:t>≥80 </w:t>
      </w:r>
      <w:r>
        <w:rPr>
          <w:color w:val="231F20"/>
          <w:spacing w:val="-13"/>
        </w:rPr>
        <w:t>岁）、中度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肾功不全、联用其他抗血小板药物或之前胃肠道出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血者：可考虑将患者的剂量减少为 </w:t>
      </w:r>
      <w:r>
        <w:rPr>
          <w:rFonts w:ascii="Times New Roman" w:hAnsi="Times New Roman" w:eastAsia="Times New Roman" w:cs="Times New Roman"/>
          <w:color w:val="231F20"/>
          <w:spacing w:val="-9"/>
        </w:rPr>
        <w:t>110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</w:t>
      </w:r>
      <w:r>
        <w:rPr>
          <w:color w:val="231F20"/>
          <w:spacing w:val="-9"/>
        </w:rPr>
        <w:t>（</w:t>
      </w: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rFonts w:ascii="Times New Roman" w:hAnsi="Times New Roman" w:eastAsia="Times New Roman" w:cs="Times New Roman"/>
          <w:color w:val="231F20"/>
          <w:spacing w:val="-20"/>
        </w:rPr>
        <w:t xml:space="preserve"> </w:t>
      </w:r>
      <w:r>
        <w:rPr>
          <w:color w:val="231F20"/>
          <w:spacing w:val="-9"/>
        </w:rPr>
        <w:t>粒）</w:t>
      </w:r>
      <w:r>
        <w:rPr>
          <w:rFonts w:ascii="Times New Roman" w:hAnsi="Times New Roman" w:eastAsia="Times New Roman" w:cs="Times New Roman"/>
          <w:color w:val="231F20"/>
          <w:spacing w:val="-10"/>
        </w:rPr>
        <w:t>/</w:t>
      </w:r>
      <w:r>
        <w:rPr>
          <w:color w:val="231F20"/>
          <w:spacing w:val="-10"/>
        </w:rPr>
        <w:t>次、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1"/>
        </w:rPr>
        <w:t>次</w:t>
      </w:r>
      <w:r>
        <w:rPr>
          <w:rFonts w:ascii="Times New Roman" w:hAnsi="Times New Roman" w:eastAsia="Times New Roman" w:cs="Times New Roman"/>
          <w:color w:val="231F20"/>
          <w:spacing w:val="1"/>
        </w:rPr>
        <w:t>/d</w:t>
      </w:r>
      <w:r>
        <w:rPr>
          <w:color w:val="231F20"/>
          <w:spacing w:val="1"/>
        </w:rPr>
        <w:t>。</w:t>
      </w:r>
    </w:p>
    <w:p>
      <w:pPr>
        <w:pStyle w:val="BodyText"/>
        <w:ind w:left="3" w:right="904" w:firstLine="335"/>
        <w:spacing w:before="24" w:line="217" w:lineRule="auto"/>
        <w:rPr/>
      </w:pP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）肾功能不全患者，在开始本品治疗前应通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5"/>
        </w:rPr>
        <w:t>过计算肌酐清除率对肾功能进行评估，轻、中度肾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功能不全患者无需调整剂量，重度肾功能不全的患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者（即肌酐清除率</w:t>
      </w:r>
      <w:r>
        <w:rPr>
          <w:rFonts w:ascii="Times New Roman" w:hAnsi="Times New Roman" w:eastAsia="Times New Roman" w:cs="Times New Roman"/>
          <w:color w:val="231F20"/>
          <w:spacing w:val="-4"/>
        </w:rPr>
        <w:t>&lt;30 ml/min</w:t>
      </w:r>
      <w:r>
        <w:rPr>
          <w:color w:val="231F20"/>
          <w:spacing w:val="-4"/>
        </w:rPr>
        <w:t>）</w:t>
      </w:r>
      <w:r>
        <w:rPr>
          <w:color w:val="231F20"/>
          <w:spacing w:val="-5"/>
        </w:rPr>
        <w:t>禁用。</w:t>
      </w:r>
    </w:p>
    <w:p>
      <w:pPr>
        <w:pStyle w:val="BodyText"/>
        <w:ind w:left="2" w:right="904" w:firstLine="420"/>
        <w:spacing w:before="20" w:line="20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7.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药物代谢动力学：达比加群酯吸收后被水解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为达比加群，达峰时间为给药后 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h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7"/>
        </w:rPr>
        <w:t>。绝对生物利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用度为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3%~7%</w:t>
      </w:r>
      <w:r>
        <w:rPr>
          <w:color w:val="231F20"/>
          <w:spacing w:val="1"/>
        </w:rPr>
        <w:t>，血浆蛋白结合率约为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35%</w:t>
      </w:r>
      <w:r>
        <w:rPr>
          <w:color w:val="231F20"/>
          <w:spacing w:val="1"/>
        </w:rPr>
        <w:t>，分布容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积为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50~70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L</w:t>
      </w:r>
      <w:r>
        <w:rPr>
          <w:color w:val="231F20"/>
          <w:spacing w:val="9"/>
        </w:rPr>
        <w:t>（以达比加群酯计</w:t>
      </w:r>
      <w:r>
        <w:rPr>
          <w:color w:val="231F20"/>
          <w:spacing w:val="-31"/>
          <w:w w:val="64"/>
        </w:rPr>
        <w:t>），</w:t>
      </w:r>
      <w:r>
        <w:rPr>
          <w:color w:val="231F20"/>
          <w:spacing w:val="9"/>
        </w:rPr>
        <w:t>可被代谢为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4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9"/>
        </w:rPr>
        <w:t>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不同的酰基葡萄糖醛酸，主要随尿液排泄，静脉给</w:t>
      </w:r>
    </w:p>
    <w:p>
      <w:pPr>
        <w:spacing w:line="205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912" w:space="100"/>
            <w:col w:w="5435" w:space="0"/>
          </w:cols>
        </w:sectPr>
        <w:rPr/>
      </w:pPr>
    </w:p>
    <w:p>
      <w:pPr>
        <w:spacing w:before="67"/>
        <w:rPr/>
      </w:pPr>
      <w:r>
        <w:pict>
          <v:shape id="_x0000_s50" style="position:absolute;margin-left:65.1968pt;margin-top:59.6178pt;mso-position-vertical-relative:page;mso-position-horizontal-relative:page;width:318.95pt;height:0.4pt;z-index:251696128;" o:allowincell="f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sectPr>
          <w:headerReference w:type="default" r:id="rId13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927" w:right="372" w:hanging="17"/>
        <w:spacing w:before="44" w:line="219" w:lineRule="auto"/>
        <w:rPr/>
      </w:pPr>
      <w:r>
        <w:rPr>
          <w:color w:val="231F20"/>
          <w:spacing w:val="13"/>
        </w:rPr>
        <w:t>药后肾清除率为总清除率的 </w:t>
      </w:r>
      <w:r>
        <w:rPr>
          <w:rFonts w:ascii="Times New Roman" w:hAnsi="Times New Roman" w:eastAsia="Times New Roman" w:cs="Times New Roman"/>
          <w:color w:val="231F20"/>
          <w:spacing w:val="13"/>
        </w:rPr>
        <w:t>80%</w:t>
      </w:r>
      <w:r>
        <w:rPr>
          <w:color w:val="231F20"/>
          <w:spacing w:val="13"/>
        </w:rPr>
        <w:t>，半衰期为 </w:t>
      </w:r>
      <w:r>
        <w:rPr>
          <w:rFonts w:ascii="Times New Roman" w:hAnsi="Times New Roman" w:eastAsia="Times New Roman" w:cs="Times New Roman"/>
          <w:color w:val="231F20"/>
          <w:spacing w:val="13"/>
        </w:rPr>
        <w:t>12~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17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h</w:t>
      </w:r>
      <w:r>
        <w:rPr>
          <w:color w:val="231F20"/>
          <w:spacing w:val="-5"/>
        </w:rPr>
        <w:t>。</w:t>
      </w:r>
    </w:p>
    <w:p>
      <w:pPr>
        <w:pStyle w:val="BodyText"/>
        <w:ind w:left="826" w:right="292" w:firstLine="510"/>
        <w:spacing w:before="10" w:line="219" w:lineRule="auto"/>
        <w:jc w:val="both"/>
        <w:rPr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1656761</wp:posOffset>
            </wp:positionH>
            <wp:positionV relativeFrom="paragraph">
              <wp:posOffset>1467104</wp:posOffset>
            </wp:positionV>
            <wp:extent cx="3949861" cy="4622869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1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5"/>
        </w:rPr>
        <w:t>8.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药物相互作用：与其他抗凝药［如普通肝素</w:t>
      </w:r>
      <w:r>
        <w:rPr>
          <w:color w:val="231F20"/>
        </w:rPr>
        <w:t xml:space="preserve">  </w:t>
      </w:r>
      <w:r>
        <w:rPr>
          <w:color w:val="231F20"/>
        </w:rPr>
        <w:t>（保持中央静脉或动脉导管通畅所需剂量除外）、低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分子肝素、肝素衍生物（磺达肝癸钠、地西卢定）、口</w:t>
      </w:r>
      <w:r>
        <w:rPr>
          <w:color w:val="231F20"/>
        </w:rPr>
        <w:t xml:space="preserve">  </w:t>
      </w:r>
      <w:r>
        <w:rPr>
          <w:color w:val="231F20"/>
        </w:rPr>
        <w:t>服抗凝血药（如华法林、利伐沙班，使用此类药物转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换为本药时或使用本药转换为此类药物时除外</w:t>
      </w:r>
      <w:r>
        <w:rPr>
          <w:color w:val="231F20"/>
          <w:spacing w:val="-23"/>
          <w:w w:val="60"/>
        </w:rPr>
        <w:t>）］</w:t>
      </w:r>
      <w:r>
        <w:rPr>
          <w:color w:val="231F20"/>
          <w:spacing w:val="14"/>
        </w:rPr>
        <w:t>、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溶栓药、维生素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K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8"/>
        </w:rPr>
        <w:t>拮抗药合用可能导致出血风险增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加；与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P‑</w:t>
      </w:r>
      <w:r>
        <w:rPr>
          <w:color w:val="231F20"/>
          <w:spacing w:val="7"/>
        </w:rPr>
        <w:t>糖蛋白抑制药（如决奈达隆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7"/>
        </w:rPr>
        <w:t>、全身用</w:t>
      </w:r>
      <w:r>
        <w:rPr>
          <w:color w:val="231F20"/>
          <w:spacing w:val="6"/>
        </w:rPr>
        <w:t>酮康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唑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5"/>
        </w:rPr>
        <w:t>、维拉帕米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5"/>
        </w:rPr>
        <w:t>、胺碘酮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5"/>
        </w:rPr>
        <w:t>、奎尼丁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、克拉霉素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5"/>
        </w:rPr>
        <w:t>、替格瑞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洛）合用可使达比加群的血药浓度升高。</w:t>
      </w:r>
    </w:p>
    <w:p>
      <w:pPr>
        <w:ind w:left="1255"/>
        <w:spacing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8"/>
          <w:position w:val="1"/>
        </w:rPr>
        <w:t>（十四）利伐沙班</w:t>
      </w:r>
    </w:p>
    <w:p>
      <w:pPr>
        <w:pStyle w:val="BodyText"/>
        <w:ind w:left="1348"/>
        <w:spacing w:before="53" w:line="210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1.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5"/>
        </w:rPr>
        <w:t>药品分类：抗凝药。</w:t>
      </w:r>
    </w:p>
    <w:p>
      <w:pPr>
        <w:pStyle w:val="BodyText"/>
        <w:ind w:left="826" w:right="292" w:firstLine="505"/>
        <w:spacing w:before="16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14"/>
        </w:rPr>
        <w:t>2. </w:t>
      </w:r>
      <w:r>
        <w:rPr>
          <w:color w:val="231F20"/>
          <w:spacing w:val="14"/>
        </w:rPr>
        <w:t>用药目的：用于具有一种或多种危险因素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（如充血性心力衰竭、高血压、年龄</w:t>
      </w:r>
      <w:r>
        <w:rPr>
          <w:rFonts w:ascii="Times New Roman" w:hAnsi="Times New Roman" w:eastAsia="Times New Roman" w:cs="Times New Roman"/>
          <w:color w:val="231F20"/>
          <w:spacing w:val="-3"/>
        </w:rPr>
        <w:t>≥75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-3"/>
        </w:rPr>
        <w:t>岁、糖尿病、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卒中或短暂性脑缺血发作病史）的非瓣膜性心房颤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动成年患者，以降低卒中和全身性栓塞的风险。</w:t>
      </w:r>
    </w:p>
    <w:p>
      <w:pPr>
        <w:pStyle w:val="BodyText"/>
        <w:ind w:left="907" w:right="374" w:firstLine="426"/>
        <w:spacing w:before="45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5"/>
        </w:rPr>
        <w:t>禁忌证：禁用于对利伐沙班或片剂中任何辅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料过敏的患者；有临床明显活动性出血的患者；伴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有凝血异常和临床相关出血风险的肝病患者；妊娠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期及哺乳期妇女。</w:t>
      </w:r>
    </w:p>
    <w:p>
      <w:pPr>
        <w:pStyle w:val="BodyText"/>
        <w:ind w:left="910" w:right="374" w:firstLine="417"/>
        <w:spacing w:before="51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不良反应：常见不良反应有出血和贫血、恶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心、</w:t>
      </w:r>
      <w:r>
        <w:rPr>
          <w:rFonts w:ascii="Times New Roman" w:hAnsi="Times New Roman" w:eastAsia="Times New Roman" w:cs="Times New Roman"/>
          <w:color w:val="231F20"/>
          <w:spacing w:val="6"/>
        </w:rPr>
        <w:t>γ‑</w:t>
      </w:r>
      <w:r>
        <w:rPr>
          <w:color w:val="231F20"/>
          <w:spacing w:val="6"/>
        </w:rPr>
        <w:t>谷氨酰转肽酶升高和转氨酶升高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。出血性并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发症可能表现为虚弱、无力、苍白、头晕、头痛或原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因不明的肿胀。</w:t>
      </w:r>
    </w:p>
    <w:p>
      <w:pPr>
        <w:pStyle w:val="BodyText"/>
        <w:ind w:left="911" w:right="293" w:firstLine="419"/>
        <w:spacing w:before="51" w:line="206" w:lineRule="auto"/>
        <w:rPr/>
      </w:pPr>
      <w:r>
        <w:rPr>
          <w:rFonts w:ascii="Times New Roman" w:hAnsi="Times New Roman" w:eastAsia="Times New Roman" w:cs="Times New Roman"/>
          <w:color w:val="231F20"/>
          <w:spacing w:val="-9"/>
        </w:rPr>
        <w:t>5.</w:t>
      </w:r>
      <w:r>
        <w:rPr>
          <w:rFonts w:ascii="Times New Roman" w:hAnsi="Times New Roman" w:eastAsia="Times New Roman" w:cs="Times New Roman"/>
          <w:color w:val="231F20"/>
          <w:spacing w:val="34"/>
        </w:rPr>
        <w:t xml:space="preserve"> </w:t>
      </w:r>
      <w:r>
        <w:rPr>
          <w:color w:val="231F20"/>
          <w:spacing w:val="-9"/>
        </w:rPr>
        <w:t>剂 型 和 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格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：片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9"/>
        </w:rPr>
        <w:t>，</w:t>
      </w:r>
      <w:r>
        <w:rPr>
          <w:rFonts w:ascii="Times New Roman" w:hAnsi="Times New Roman" w:eastAsia="Times New Roman" w:cs="Times New Roman"/>
          <w:color w:val="231F20"/>
          <w:spacing w:val="-9"/>
        </w:rPr>
        <w:t>10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mg/</w:t>
      </w:r>
      <w:r>
        <w:rPr>
          <w:color w:val="231F20"/>
          <w:spacing w:val="-9"/>
        </w:rPr>
        <w:t>片 、</w:t>
      </w:r>
      <w:r>
        <w:rPr>
          <w:rFonts w:ascii="Times New Roman" w:hAnsi="Times New Roman" w:eastAsia="Times New Roman" w:cs="Times New Roman"/>
          <w:color w:val="231F20"/>
          <w:spacing w:val="-9"/>
        </w:rPr>
        <w:t>15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mg/</w:t>
      </w:r>
      <w:r>
        <w:rPr>
          <w:color w:val="231F20"/>
          <w:spacing w:val="-9"/>
        </w:rPr>
        <w:t>片 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mg/</w:t>
      </w:r>
      <w:r>
        <w:rPr>
          <w:color w:val="231F20"/>
          <w:spacing w:val="-1"/>
        </w:rPr>
        <w:t>片。</w:t>
      </w:r>
    </w:p>
    <w:p>
      <w:pPr>
        <w:pStyle w:val="BodyText"/>
        <w:ind w:left="909" w:right="374" w:firstLine="422"/>
        <w:spacing w:before="40"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7"/>
        </w:rPr>
        <w:t>6.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7"/>
        </w:rPr>
        <w:t>用法和用量：推荐剂量为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20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mg/</w:t>
      </w:r>
      <w:r>
        <w:rPr>
          <w:color w:val="231F20"/>
          <w:spacing w:val="-7"/>
        </w:rPr>
        <w:t>次、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7"/>
        </w:rPr>
        <w:t>次</w:t>
      </w:r>
      <w:r>
        <w:rPr>
          <w:rFonts w:ascii="Times New Roman" w:hAnsi="Times New Roman" w:eastAsia="Times New Roman" w:cs="Times New Roman"/>
          <w:color w:val="231F20"/>
          <w:spacing w:val="-7"/>
        </w:rPr>
        <w:t>/d</w:t>
      </w:r>
      <w:r>
        <w:rPr>
          <w:color w:val="231F20"/>
          <w:spacing w:val="-7"/>
        </w:rPr>
        <w:t>，最</w:t>
      </w:r>
      <w:r>
        <w:rPr>
          <w:color w:val="231F20"/>
        </w:rPr>
        <w:t xml:space="preserve"> </w:t>
      </w:r>
      <w:r>
        <w:rPr>
          <w:color w:val="231F20"/>
        </w:rPr>
        <w:t>大日剂量为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20 mg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</w:rPr>
        <w:t>。低体重和高龄（</w:t>
      </w:r>
      <w:r>
        <w:rPr>
          <w:rFonts w:ascii="Times New Roman" w:hAnsi="Times New Roman" w:eastAsia="Times New Roman" w:cs="Times New Roman"/>
          <w:color w:val="231F20"/>
        </w:rPr>
        <w:t>&gt;75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</w:rPr>
        <w:t>岁）患者可 </w:t>
      </w:r>
      <w:r>
        <w:rPr>
          <w:color w:val="231F20"/>
          <w:spacing w:val="-7"/>
        </w:rPr>
        <w:t>减为 </w:t>
      </w:r>
      <w:r>
        <w:rPr>
          <w:rFonts w:ascii="Times New Roman" w:hAnsi="Times New Roman" w:eastAsia="Times New Roman" w:cs="Times New Roman"/>
          <w:color w:val="231F20"/>
          <w:spacing w:val="-7"/>
        </w:rPr>
        <w:t>15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mg/</w:t>
      </w:r>
      <w:r>
        <w:rPr>
          <w:color w:val="231F20"/>
          <w:spacing w:val="-7"/>
        </w:rPr>
        <w:t>次、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7"/>
        </w:rPr>
        <w:t>次</w:t>
      </w:r>
      <w:r>
        <w:rPr>
          <w:rFonts w:ascii="Times New Roman" w:hAnsi="Times New Roman" w:eastAsia="Times New Roman" w:cs="Times New Roman"/>
          <w:color w:val="231F20"/>
          <w:spacing w:val="-7"/>
        </w:rPr>
        <w:t>/d</w:t>
      </w:r>
      <w:r>
        <w:rPr>
          <w:color w:val="231F20"/>
          <w:spacing w:val="-7"/>
        </w:rPr>
        <w:t>。</w:t>
      </w:r>
    </w:p>
    <w:p>
      <w:pPr>
        <w:pStyle w:val="BodyText"/>
        <w:ind w:left="909" w:right="372" w:firstLine="420"/>
        <w:spacing w:before="39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7.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7"/>
        </w:rPr>
        <w:t>药物代谢动力学：</w:t>
      </w:r>
      <w:r>
        <w:rPr>
          <w:rFonts w:ascii="Times New Roman" w:hAnsi="Times New Roman" w:eastAsia="Times New Roman" w:cs="Times New Roman"/>
          <w:color w:val="231F20"/>
          <w:spacing w:val="7"/>
        </w:rPr>
        <w:t>10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的利伐沙班的绝对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生物利用度较高（</w:t>
      </w:r>
      <w:r>
        <w:rPr>
          <w:rFonts w:ascii="Times New Roman" w:hAnsi="Times New Roman" w:eastAsia="Times New Roman" w:cs="Times New Roman"/>
          <w:color w:val="231F20"/>
          <w:spacing w:val="5"/>
        </w:rPr>
        <w:t>80%~100%</w:t>
      </w:r>
      <w:r>
        <w:rPr>
          <w:color w:val="231F20"/>
          <w:spacing w:val="5"/>
        </w:rPr>
        <w:t>）。 利伐沙</w:t>
      </w:r>
      <w:r>
        <w:rPr>
          <w:color w:val="231F20"/>
          <w:spacing w:val="4"/>
        </w:rPr>
        <w:t>班吸收迅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速，服用后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2~4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h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6"/>
        </w:rPr>
        <w:t>达到最大浓度（</w:t>
      </w:r>
      <w:r>
        <w:rPr>
          <w:rFonts w:ascii="Times New Roman" w:hAnsi="Times New Roman" w:eastAsia="Times New Roman" w:cs="Times New Roman"/>
          <w:color w:val="231F20"/>
          <w:spacing w:val="-6"/>
        </w:rPr>
        <w:t>Cmax</w:t>
      </w:r>
      <w:r>
        <w:rPr>
          <w:color w:val="231F20"/>
          <w:spacing w:val="-6"/>
        </w:rPr>
        <w:t>）。 进食对利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沙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班</w:t>
      </w:r>
      <w:r>
        <w:rPr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10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color w:val="231F20"/>
          <w:spacing w:val="-9"/>
        </w:rPr>
        <w:t>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剂 的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时 曲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积（</w:t>
      </w:r>
      <w:r>
        <w:rPr>
          <w:rFonts w:ascii="Times New Roman" w:hAnsi="Times New Roman" w:eastAsia="Times New Roman" w:cs="Times New Roman"/>
          <w:color w:val="231F20"/>
          <w:spacing w:val="-10"/>
        </w:rPr>
        <w:t>AUC</w:t>
      </w:r>
      <w:r>
        <w:rPr>
          <w:color w:val="231F20"/>
          <w:spacing w:val="-10"/>
        </w:rPr>
        <w:t>）或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Cmax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9"/>
        </w:rPr>
        <w:t>无明显影响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。利伐沙班的药物代谢动力学基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本呈线性，直至达到约每日一次 </w:t>
      </w:r>
      <w:r>
        <w:rPr>
          <w:rFonts w:ascii="Times New Roman" w:hAnsi="Times New Roman" w:eastAsia="Times New Roman" w:cs="Times New Roman"/>
          <w:color w:val="231F20"/>
          <w:spacing w:val="4"/>
        </w:rPr>
        <w:t>15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剂量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。利伐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沙班与血浆蛋白结合率约为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92%~95%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9"/>
        </w:rPr>
        <w:t>。稳态下分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布容积约为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50 L</w:t>
      </w:r>
      <w:r>
        <w:rPr>
          <w:color w:val="231F20"/>
          <w:spacing w:val="1"/>
        </w:rPr>
        <w:t>。在利伐沙班用药剂量中，约有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2/3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5"/>
        </w:rPr>
        <w:t>通过代谢降解，然后其中一半通过肾脏排出，另外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6"/>
        </w:rPr>
        <w:t>一半通过粪便途径排出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。其余 </w:t>
      </w:r>
      <w:r>
        <w:rPr>
          <w:rFonts w:ascii="Times New Roman" w:hAnsi="Times New Roman" w:eastAsia="Times New Roman" w:cs="Times New Roman"/>
          <w:color w:val="231F20"/>
          <w:spacing w:val="6"/>
        </w:rPr>
        <w:t>1/3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6"/>
        </w:rPr>
        <w:t>用药剂量以活性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药物原型的形式直接通过肾脏在尿液中排泄，主要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4"/>
        </w:rPr>
        <w:t>是通过肾脏主动分泌的方式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。利伐沙班通过</w:t>
      </w:r>
      <w:r>
        <w:rPr>
          <w:color w:val="231F20"/>
          <w:spacing w:val="13"/>
        </w:rPr>
        <w:t>细胞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色素 </w:t>
      </w:r>
      <w:r>
        <w:rPr>
          <w:rFonts w:ascii="Times New Roman" w:hAnsi="Times New Roman" w:eastAsia="Times New Roman" w:cs="Times New Roman"/>
          <w:color w:val="231F20"/>
          <w:spacing w:val="-3"/>
        </w:rPr>
        <w:t>P450</w:t>
      </w:r>
      <w:r>
        <w:rPr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color w:val="231F20"/>
          <w:spacing w:val="-3"/>
        </w:rPr>
        <w:t>CYP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3A4</w:t>
      </w:r>
      <w:r>
        <w:rPr>
          <w:color w:val="231F20"/>
          <w:spacing w:val="-3"/>
        </w:rPr>
        <w:t>、</w:t>
      </w:r>
      <w:r>
        <w:rPr>
          <w:rFonts w:ascii="Times New Roman" w:hAnsi="Times New Roman" w:eastAsia="Times New Roman" w:cs="Times New Roman"/>
          <w:color w:val="231F20"/>
          <w:spacing w:val="-3"/>
        </w:rPr>
        <w:t>CYP2J2 </w:t>
      </w:r>
      <w:r>
        <w:rPr>
          <w:color w:val="231F20"/>
          <w:spacing w:val="-3"/>
        </w:rPr>
        <w:t>和不依赖 </w:t>
      </w:r>
      <w:r>
        <w:rPr>
          <w:rFonts w:ascii="Times New Roman" w:hAnsi="Times New Roman" w:eastAsia="Times New Roman" w:cs="Times New Roman"/>
          <w:color w:val="231F20"/>
          <w:spacing w:val="-3"/>
        </w:rPr>
        <w:t>CYP </w:t>
      </w:r>
      <w:r>
        <w:rPr>
          <w:color w:val="231F20"/>
          <w:spacing w:val="-3"/>
        </w:rPr>
        <w:t>机制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进行代谢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。利伐沙班全身清除率约为 </w:t>
      </w:r>
      <w:r>
        <w:rPr>
          <w:rFonts w:ascii="Times New Roman" w:hAnsi="Times New Roman" w:eastAsia="Times New Roman" w:cs="Times New Roman"/>
          <w:color w:val="231F20"/>
          <w:spacing w:val="3"/>
        </w:rPr>
        <w:t>10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L/h</w:t>
      </w:r>
      <w:r>
        <w:rPr>
          <w:color w:val="231F20"/>
          <w:spacing w:val="3"/>
        </w:rPr>
        <w:t>，为低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4"/>
        <w:spacing w:before="45" w:line="185" w:lineRule="auto"/>
        <w:rPr/>
      </w:pPr>
      <w:r>
        <w:rPr>
          <w:color w:val="231F20"/>
          <w:spacing w:val="6"/>
        </w:rPr>
        <w:t>清除率药物。</w:t>
      </w:r>
    </w:p>
    <w:p>
      <w:pPr>
        <w:pStyle w:val="BodyText"/>
        <w:ind w:left="99" w:right="828" w:firstLine="427"/>
        <w:spacing w:before="48" w:line="223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8.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-2"/>
        </w:rPr>
        <w:t>药物相互作用：不建议利伐沙班与</w:t>
      </w:r>
      <w:r>
        <w:rPr>
          <w:rFonts w:ascii="Times New Roman" w:hAnsi="Times New Roman" w:eastAsia="Times New Roman" w:cs="Times New Roman"/>
          <w:color w:val="231F20"/>
          <w:spacing w:val="-2"/>
        </w:rPr>
        <w:t>CYP3A4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P‑</w:t>
      </w:r>
      <w:r>
        <w:rPr>
          <w:color w:val="231F20"/>
          <w:spacing w:val="-2"/>
        </w:rPr>
        <w:t>糖蛋白的强效抑制剂，如吡咯类抗真菌剂</w:t>
      </w:r>
      <w:r>
        <w:rPr>
          <w:color w:val="231F20"/>
          <w:spacing w:val="-3"/>
        </w:rPr>
        <w:t>（如酮康</w:t>
      </w:r>
      <w:r>
        <w:rPr>
          <w:color w:val="231F20"/>
        </w:rPr>
        <w:t xml:space="preserve">  </w:t>
      </w:r>
      <w:r>
        <w:rPr>
          <w:color w:val="231F20"/>
          <w:spacing w:val="-8"/>
          <w:w w:val="98"/>
        </w:rPr>
        <w:t>唑、伊曲康唑、伏立康唑和泊沙康唑）或人类免疫缺陷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病毒蛋白酶抑制剂合用，可能导致出血风险升高。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非甾体抗炎药（包括乙酰水杨酸）和血小板聚集抑制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剂通常会提高利伐沙班的出血风险。利伐沙班与强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  <w:w w:val="99"/>
        </w:rPr>
        <w:t>效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  <w:w w:val="99"/>
        </w:rPr>
        <w:t>CYP3A4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9"/>
          <w:w w:val="99"/>
        </w:rPr>
        <w:t>诱导剂（如利福平、苯妥英、卡马西平、苯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巴比妥或圣约翰草）合用，可能使利伐沙班血药浓度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降低。</w:t>
      </w:r>
    </w:p>
    <w:p>
      <w:pPr>
        <w:spacing w:before="146" w:line="267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《基层医疗卫生机构合理用药指南》编写专家组：</w:t>
      </w:r>
    </w:p>
    <w:p>
      <w:pPr>
        <w:pStyle w:val="BodyText"/>
        <w:ind w:left="106"/>
        <w:spacing w:before="51" w:line="235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3"/>
        </w:rPr>
        <w:t>组长：</w:t>
      </w:r>
      <w:r>
        <w:rPr>
          <w:sz w:val="17"/>
          <w:szCs w:val="17"/>
          <w:color w:val="231F20"/>
          <w:spacing w:val="-3"/>
        </w:rPr>
        <w:t>阚全程</w:t>
      </w:r>
      <w:r>
        <w:rPr>
          <w:sz w:val="17"/>
          <w:szCs w:val="17"/>
          <w:color w:val="231F20"/>
          <w:spacing w:val="14"/>
        </w:rPr>
        <w:t xml:space="preserve">   </w:t>
      </w:r>
      <w:r>
        <w:rPr>
          <w:sz w:val="17"/>
          <w:szCs w:val="17"/>
          <w:color w:val="231F20"/>
          <w:spacing w:val="-3"/>
        </w:rPr>
        <w:t>赵杰</w:t>
      </w:r>
      <w:r>
        <w:rPr>
          <w:sz w:val="17"/>
          <w:szCs w:val="17"/>
          <w:color w:val="231F20"/>
          <w:spacing w:val="13"/>
        </w:rPr>
        <w:t xml:space="preserve">   </w:t>
      </w:r>
      <w:r>
        <w:rPr>
          <w:sz w:val="17"/>
          <w:szCs w:val="17"/>
          <w:color w:val="231F20"/>
          <w:spacing w:val="-3"/>
        </w:rPr>
        <w:t>迟春花</w:t>
      </w:r>
    </w:p>
    <w:p>
      <w:pPr>
        <w:pStyle w:val="BodyText"/>
        <w:ind w:left="112"/>
        <w:spacing w:before="29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2"/>
        </w:rPr>
        <w:t>副组长：</w:t>
      </w:r>
      <w:r>
        <w:rPr>
          <w:sz w:val="17"/>
          <w:szCs w:val="17"/>
          <w:color w:val="231F20"/>
          <w:spacing w:val="-2"/>
        </w:rPr>
        <w:t>张幸国    张晓坚</w:t>
      </w:r>
      <w:r>
        <w:rPr>
          <w:sz w:val="17"/>
          <w:szCs w:val="17"/>
          <w:color w:val="231F20"/>
          <w:spacing w:val="15"/>
          <w:w w:val="101"/>
        </w:rPr>
        <w:t xml:space="preserve">   </w:t>
      </w:r>
      <w:r>
        <w:rPr>
          <w:sz w:val="17"/>
          <w:szCs w:val="17"/>
          <w:color w:val="231F20"/>
          <w:spacing w:val="-2"/>
        </w:rPr>
        <w:t>郭玉金</w:t>
      </w:r>
    </w:p>
    <w:p>
      <w:pPr>
        <w:pStyle w:val="BodyText"/>
        <w:ind w:left="106"/>
        <w:spacing w:before="31" w:line="236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-5"/>
        </w:rPr>
        <w:t>秘书长：</w:t>
      </w:r>
      <w:r>
        <w:rPr>
          <w:sz w:val="17"/>
          <w:szCs w:val="17"/>
          <w:color w:val="231F20"/>
          <w:spacing w:val="-5"/>
        </w:rPr>
        <w:t>梁淑红</w:t>
      </w:r>
      <w:r>
        <w:rPr>
          <w:sz w:val="17"/>
          <w:szCs w:val="17"/>
          <w:color w:val="231F20"/>
          <w:spacing w:val="14"/>
          <w:w w:val="101"/>
        </w:rPr>
        <w:t xml:space="preserve">   </w:t>
      </w:r>
      <w:r>
        <w:rPr>
          <w:sz w:val="17"/>
          <w:szCs w:val="17"/>
          <w:color w:val="231F20"/>
          <w:spacing w:val="-5"/>
        </w:rPr>
        <w:t>杨思</w:t>
      </w:r>
    </w:p>
    <w:p>
      <w:pPr>
        <w:pStyle w:val="BodyText"/>
        <w:ind w:left="29" w:right="847" w:firstLine="71"/>
        <w:spacing w:before="21" w:line="236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2"/>
        </w:rPr>
        <w:t>成员</w:t>
      </w:r>
      <w:r>
        <w:rPr>
          <w:sz w:val="17"/>
          <w:szCs w:val="17"/>
          <w:color w:val="231F20"/>
          <w:spacing w:val="2"/>
        </w:rPr>
        <w:t>（按姓氏拼音排序</w:t>
      </w:r>
      <w:r>
        <w:rPr>
          <w:sz w:val="17"/>
          <w:szCs w:val="17"/>
          <w:color w:val="231F20"/>
          <w:spacing w:val="-34"/>
          <w:w w:val="78"/>
        </w:rPr>
        <w:t>）：</w:t>
      </w:r>
      <w:r>
        <w:rPr>
          <w:sz w:val="17"/>
          <w:szCs w:val="17"/>
          <w:color w:val="231F20"/>
          <w:spacing w:val="2"/>
        </w:rPr>
        <w:t>巴桑拉姆（西藏自治区人</w:t>
      </w:r>
      <w:r>
        <w:rPr>
          <w:sz w:val="17"/>
          <w:szCs w:val="17"/>
          <w:color w:val="231F20"/>
          <w:spacing w:val="1"/>
        </w:rPr>
        <w:t>民医院</w:t>
      </w:r>
      <w:r>
        <w:rPr>
          <w:sz w:val="17"/>
          <w:szCs w:val="17"/>
          <w:color w:val="231F20"/>
          <w:spacing w:val="-34"/>
          <w:w w:val="78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14"/>
        </w:rPr>
        <w:t>曹力（南昌大学第一附属医院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14"/>
        </w:rPr>
        <w:t>陈步星（北京天坛医院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1"/>
        </w:rPr>
        <w:t>陈孝（中山大学附属第一医院</w:t>
      </w:r>
      <w:r>
        <w:rPr>
          <w:sz w:val="17"/>
          <w:szCs w:val="17"/>
          <w:color w:val="231F20"/>
          <w:spacing w:val="-30"/>
          <w:w w:val="74"/>
        </w:rPr>
        <w:t>）；</w:t>
      </w:r>
      <w:r>
        <w:rPr>
          <w:sz w:val="17"/>
          <w:szCs w:val="17"/>
          <w:color w:val="231F20"/>
          <w:spacing w:val="1"/>
        </w:rPr>
        <w:t>陈亚红（北京大学</w:t>
      </w:r>
      <w:r>
        <w:rPr>
          <w:sz w:val="17"/>
          <w:szCs w:val="17"/>
          <w:color w:val="231F20"/>
        </w:rPr>
        <w:t>第三医院</w:t>
      </w:r>
      <w:r>
        <w:rPr>
          <w:sz w:val="17"/>
          <w:szCs w:val="17"/>
          <w:color w:val="231F20"/>
          <w:spacing w:val="-30"/>
          <w:w w:val="74"/>
        </w:rPr>
        <w:t>）；</w:t>
      </w:r>
      <w:r>
        <w:rPr>
          <w:sz w:val="17"/>
          <w:szCs w:val="17"/>
          <w:color w:val="231F20"/>
          <w:spacing w:val="2"/>
        </w:rPr>
        <w:t xml:space="preserve"> </w:t>
      </w:r>
      <w:r>
        <w:rPr>
          <w:sz w:val="17"/>
          <w:szCs w:val="17"/>
          <w:color w:val="231F20"/>
          <w:spacing w:val="1"/>
        </w:rPr>
        <w:t>陈英（广西壮族自治区人民医院</w:t>
      </w:r>
      <w:r>
        <w:rPr>
          <w:sz w:val="17"/>
          <w:szCs w:val="17"/>
          <w:color w:val="231F20"/>
          <w:spacing w:val="-30"/>
          <w:w w:val="74"/>
        </w:rPr>
        <w:t>）；</w:t>
      </w:r>
      <w:r>
        <w:rPr>
          <w:sz w:val="17"/>
          <w:szCs w:val="17"/>
          <w:color w:val="231F20"/>
          <w:spacing w:val="1"/>
        </w:rPr>
        <w:t>迟春花（北京</w:t>
      </w:r>
      <w:r>
        <w:rPr>
          <w:sz w:val="17"/>
          <w:szCs w:val="17"/>
          <w:color w:val="231F20"/>
        </w:rPr>
        <w:t>大学医学部</w:t>
      </w:r>
      <w:r>
        <w:rPr>
          <w:sz w:val="17"/>
          <w:szCs w:val="17"/>
          <w:color w:val="231F20"/>
          <w:spacing w:val="-30"/>
          <w:w w:val="74"/>
        </w:rPr>
        <w:t>）；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17"/>
          <w:szCs w:val="17"/>
          <w:color w:val="231F20"/>
          <w:spacing w:val="22"/>
        </w:rPr>
        <w:t>杜光（华中科技大学同济医学院附属同济医院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22"/>
        </w:rPr>
        <w:t>杜智敏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6"/>
        </w:rPr>
        <w:t>（哈 尔滨医科大学附属第二医院</w:t>
      </w:r>
      <w:r>
        <w:rPr>
          <w:sz w:val="17"/>
          <w:szCs w:val="17"/>
          <w:color w:val="231F20"/>
          <w:spacing w:val="-40"/>
          <w:w w:val="98"/>
        </w:rPr>
        <w:t>）；</w:t>
      </w:r>
      <w:r>
        <w:rPr>
          <w:sz w:val="17"/>
          <w:szCs w:val="17"/>
          <w:color w:val="231F20"/>
          <w:spacing w:val="16"/>
        </w:rPr>
        <w:t>方晴霞（浙江省人民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冯玫（山西白求恩医院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高申（海军军医大学第一附属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葛卫红（南京大学医学院附属鼓楼医院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龚志成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1"/>
        </w:rPr>
        <w:t>（ 中 南大学湘雅医院</w:t>
      </w:r>
      <w:r>
        <w:rPr>
          <w:sz w:val="17"/>
          <w:szCs w:val="17"/>
          <w:color w:val="231F20"/>
          <w:spacing w:val="-39"/>
          <w:w w:val="95"/>
        </w:rPr>
        <w:t>）；</w:t>
      </w:r>
      <w:r>
        <w:rPr>
          <w:sz w:val="17"/>
          <w:szCs w:val="17"/>
          <w:color w:val="231F20"/>
          <w:spacing w:val="11"/>
        </w:rPr>
        <w:t>郭代红（解放军总医院</w:t>
      </w:r>
      <w:r>
        <w:rPr>
          <w:sz w:val="17"/>
          <w:szCs w:val="17"/>
          <w:color w:val="231F20"/>
          <w:spacing w:val="-39"/>
          <w:w w:val="95"/>
        </w:rPr>
        <w:t>）；</w:t>
      </w:r>
      <w:r>
        <w:rPr>
          <w:sz w:val="17"/>
          <w:szCs w:val="17"/>
          <w:color w:val="231F20"/>
          <w:spacing w:val="11"/>
        </w:rPr>
        <w:t>郭瑞臣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"/>
        </w:rPr>
        <w:t>（山东大学齐鲁医院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郭玉金（济宁市第一人民医院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侯锐钢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（山西医科大学第二医院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胡欣（北京医院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黄品芳（福建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医科大学附属第一医院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14"/>
        </w:rPr>
        <w:t>菅凌燕（中国医科大学附属盛京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-4"/>
        </w:rPr>
        <w:t>医院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-4"/>
        </w:rPr>
        <w:t>姜玲（安徽省立医院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-4"/>
        </w:rPr>
        <w:t>阚全程（郑州大学第一附属医院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7"/>
        </w:rPr>
        <w:t>李焕德（中南大学湘雅二医院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李丽（海南医学院第一附属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梁岩（中国医学科学院阜外医院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刘皋林（上海市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8"/>
        </w:rPr>
        <w:t>第一人民医院</w:t>
      </w:r>
      <w:r>
        <w:rPr>
          <w:sz w:val="17"/>
          <w:szCs w:val="17"/>
          <w:color w:val="231F20"/>
          <w:spacing w:val="-35"/>
          <w:w w:val="86"/>
        </w:rPr>
        <w:t>）；</w:t>
      </w:r>
      <w:r>
        <w:rPr>
          <w:sz w:val="17"/>
          <w:szCs w:val="17"/>
          <w:color w:val="231F20"/>
          <w:spacing w:val="18"/>
        </w:rPr>
        <w:t>刘景丰（福建医科大学</w:t>
      </w:r>
      <w:r>
        <w:rPr>
          <w:sz w:val="17"/>
          <w:szCs w:val="17"/>
          <w:color w:val="231F20"/>
          <w:spacing w:val="25"/>
        </w:rPr>
        <w:t xml:space="preserve"> </w:t>
      </w:r>
      <w:r>
        <w:rPr>
          <w:sz w:val="17"/>
          <w:szCs w:val="17"/>
          <w:color w:val="231F20"/>
          <w:spacing w:val="18"/>
        </w:rPr>
        <w:t>孟超肝胆医院</w:t>
      </w:r>
      <w:r>
        <w:rPr>
          <w:sz w:val="17"/>
          <w:szCs w:val="17"/>
          <w:color w:val="231F20"/>
          <w:spacing w:val="-35"/>
          <w:w w:val="86"/>
        </w:rPr>
        <w:t>）；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4"/>
        </w:rPr>
        <w:t>刘丽宏（首都医科大学附属北京朝阳医院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14"/>
        </w:rPr>
        <w:t>刘世霆（南方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8"/>
        </w:rPr>
        <w:t>医科大学南方医院</w:t>
      </w:r>
      <w:r>
        <w:rPr>
          <w:sz w:val="17"/>
          <w:szCs w:val="17"/>
          <w:color w:val="231F20"/>
          <w:spacing w:val="-36"/>
          <w:w w:val="87"/>
        </w:rPr>
        <w:t>）；</w:t>
      </w:r>
      <w:r>
        <w:rPr>
          <w:sz w:val="17"/>
          <w:szCs w:val="17"/>
          <w:color w:val="231F20"/>
          <w:spacing w:val="18"/>
        </w:rPr>
        <w:t>刘小玲（ 内蒙古自治区人民医院</w:t>
      </w:r>
      <w:r>
        <w:rPr>
          <w:sz w:val="17"/>
          <w:szCs w:val="17"/>
          <w:color w:val="231F20"/>
          <w:spacing w:val="-36"/>
          <w:w w:val="87"/>
        </w:rPr>
        <w:t>）；</w:t>
      </w:r>
      <w:r>
        <w:rPr>
          <w:sz w:val="17"/>
          <w:szCs w:val="17"/>
          <w:color w:val="231F20"/>
          <w:spacing w:val="4"/>
        </w:rPr>
        <w:t xml:space="preserve"> </w:t>
      </w:r>
      <w:r>
        <w:rPr>
          <w:sz w:val="17"/>
          <w:szCs w:val="17"/>
          <w:color w:val="231F20"/>
          <w:spacing w:val="13"/>
        </w:rPr>
        <w:t>卢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13"/>
        </w:rPr>
        <w:t>海儒（青海省人民医院</w:t>
      </w:r>
      <w:r>
        <w:rPr>
          <w:sz w:val="17"/>
          <w:szCs w:val="17"/>
          <w:color w:val="231F20"/>
          <w:spacing w:val="-27"/>
          <w:w w:val="65"/>
        </w:rPr>
        <w:t>）；</w:t>
      </w:r>
      <w:r>
        <w:rPr>
          <w:sz w:val="17"/>
          <w:szCs w:val="17"/>
          <w:color w:val="231F20"/>
          <w:spacing w:val="13"/>
        </w:rPr>
        <w:t>卢晓阳（浙江大学医学院附属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第一医院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吕迁洲（复旦大学附属中山医院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梅丹（北京协和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缪丽燕（苏州大学附属第一医院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齐晓勇（河北省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8"/>
        </w:rPr>
        <w:t>史玲（上海市普陀区长风街道长风社区卫生</w:t>
      </w:r>
      <w:r>
        <w:rPr>
          <w:sz w:val="17"/>
          <w:szCs w:val="17"/>
          <w:color w:val="231F20"/>
          <w:spacing w:val="7"/>
        </w:rPr>
        <w:t>服务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中心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宋金春（武汉大学人民医院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隋忠国（青岛大学附属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孙洲亮（厦门大学附属第一医院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童荣生（四川省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王建华（新疆医科大学第一附属医院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王爽（中国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医科大学附属第一医院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7"/>
        </w:rPr>
        <w:t>文爱东（空军军医大学西京医院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14"/>
        </w:rPr>
        <w:t>文友民（宁夏医科大学总医院</w:t>
      </w:r>
      <w:r>
        <w:rPr>
          <w:sz w:val="17"/>
          <w:szCs w:val="17"/>
          <w:color w:val="231F20"/>
          <w:spacing w:val="-29"/>
          <w:w w:val="70"/>
        </w:rPr>
        <w:t>）；</w:t>
      </w:r>
      <w:r>
        <w:rPr>
          <w:sz w:val="17"/>
          <w:szCs w:val="17"/>
          <w:color w:val="231F20"/>
          <w:spacing w:val="14"/>
        </w:rPr>
        <w:t>吴浩（北京市丰台区方庄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5"/>
        </w:rPr>
        <w:t>社区卫生服务中心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武新安（兰州大学第一医院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夏培元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7"/>
        </w:rPr>
        <w:t>（陆军军医大学第一附属医院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7"/>
        </w:rPr>
        <w:t>胥婕（北京大学第三医院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5"/>
        </w:rPr>
        <w:t>杨华（复旦大学附属中山医院</w:t>
      </w:r>
      <w:r>
        <w:rPr>
          <w:sz w:val="17"/>
          <w:szCs w:val="17"/>
          <w:color w:val="231F20"/>
          <w:spacing w:val="-26"/>
          <w:w w:val="64"/>
        </w:rPr>
        <w:t>）；</w:t>
      </w:r>
      <w:r>
        <w:rPr>
          <w:sz w:val="17"/>
          <w:szCs w:val="17"/>
          <w:color w:val="231F20"/>
          <w:spacing w:val="5"/>
        </w:rPr>
        <w:t>杨宏昕（ 内蒙古自治区人民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杨婉花（上海交通大学医学院附属瑞金医院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于倩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7"/>
        </w:rPr>
        <w:t>（吉林大学中日联谊医院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张健（上海交通大学医学院附属</w:t>
      </w:r>
    </w:p>
    <w:p>
      <w:pPr>
        <w:spacing w:line="236" w:lineRule="auto"/>
        <w:sectPr>
          <w:type w:val="continuous"/>
          <w:pgSz w:w="12246" w:h="16498"/>
          <w:pgMar w:top="1221" w:right="400" w:bottom="566" w:left="400" w:header="971" w:footer="300" w:gutter="0"/>
          <w:cols w:equalWidth="0" w:num="2">
            <w:col w:w="5812" w:space="100"/>
            <w:col w:w="5535" w:space="0"/>
          </w:cols>
        </w:sectPr>
        <w:rPr>
          <w:sz w:val="17"/>
          <w:szCs w:val="17"/>
        </w:rPr>
      </w:pPr>
    </w:p>
    <w:p>
      <w:pPr>
        <w:spacing w:before="56"/>
        <w:rPr/>
      </w:pPr>
      <w:r>
        <w:pict>
          <v:shape id="_x0000_s56" style="position:absolute;margin-left:228.137pt;margin-top:59.6178pt;mso-position-vertical-relative:page;mso-position-horizontal-relative:page;width:318.95pt;height:0.4pt;z-index:251701248;" o:allowincell="f" filled="false" strokecolor="#231F20" strokeweight="0.37pt" coordsize="6379,8" coordorigin="0,0" path="m0,3l6378,3e">
            <v:stroke joinstyle="miter" miterlimit="4"/>
          </v:shape>
        </w:pict>
      </w:r>
      <w:r/>
    </w:p>
    <w:p>
      <w:pPr>
        <w:sectPr>
          <w:headerReference w:type="default" r:id="rId14"/>
          <w:pgSz w:w="12246" w:h="16498"/>
          <w:pgMar w:top="1221" w:right="400" w:bottom="566" w:left="400" w:header="971" w:footer="300" w:gutter="0"/>
          <w:cols w:equalWidth="0" w:num="1">
            <w:col w:w="11446" w:space="0"/>
          </w:cols>
        </w:sectPr>
        <w:rPr/>
      </w:pPr>
    </w:p>
    <w:p>
      <w:pPr>
        <w:pStyle w:val="BodyText"/>
        <w:ind w:left="839" w:right="479" w:firstLine="72"/>
        <w:spacing w:before="51" w:line="234" w:lineRule="auto"/>
        <w:jc w:val="both"/>
        <w:rPr>
          <w:sz w:val="17"/>
          <w:szCs w:val="17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1661460</wp:posOffset>
            </wp:positionH>
            <wp:positionV relativeFrom="paragraph">
              <wp:posOffset>1893596</wp:posOffset>
            </wp:positionV>
            <wp:extent cx="3949860" cy="462286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860" cy="4622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color w:val="231F20"/>
          <w:spacing w:val="12"/>
        </w:rPr>
        <w:t>新华医院</w:t>
      </w:r>
      <w:r>
        <w:rPr>
          <w:sz w:val="17"/>
          <w:szCs w:val="17"/>
          <w:color w:val="231F20"/>
          <w:spacing w:val="-27"/>
          <w:w w:val="65"/>
        </w:rPr>
        <w:t>）；</w:t>
      </w:r>
      <w:r>
        <w:rPr>
          <w:sz w:val="17"/>
          <w:szCs w:val="17"/>
          <w:color w:val="231F20"/>
          <w:spacing w:val="12"/>
        </w:rPr>
        <w:t>张鉴（山东省立医院</w:t>
      </w:r>
      <w:r>
        <w:rPr>
          <w:sz w:val="17"/>
          <w:szCs w:val="17"/>
          <w:color w:val="231F20"/>
          <w:spacing w:val="-27"/>
          <w:w w:val="65"/>
        </w:rPr>
        <w:t>）；</w:t>
      </w:r>
      <w:r>
        <w:rPr>
          <w:sz w:val="17"/>
          <w:szCs w:val="17"/>
          <w:color w:val="231F20"/>
          <w:spacing w:val="12"/>
        </w:rPr>
        <w:t>张抗怀（西安交通</w:t>
      </w:r>
      <w:r>
        <w:rPr>
          <w:sz w:val="17"/>
          <w:szCs w:val="17"/>
          <w:color w:val="231F20"/>
          <w:spacing w:val="11"/>
        </w:rPr>
        <w:t>大学</w:t>
      </w:r>
      <w:r>
        <w:rPr>
          <w:sz w:val="17"/>
          <w:szCs w:val="17"/>
          <w:color w:val="231F20"/>
          <w:spacing w:val="3"/>
        </w:rPr>
        <w:t xml:space="preserve">  </w:t>
      </w:r>
      <w:r>
        <w:rPr>
          <w:sz w:val="17"/>
          <w:szCs w:val="17"/>
          <w:color w:val="231F20"/>
          <w:spacing w:val="8"/>
        </w:rPr>
        <w:t>第二附属医院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张抒扬（北京协和医院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张伟（河南省人民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张晓坚（郑州大学第一附属医院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张幸国（浙江大学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1"/>
        </w:rPr>
        <w:t>医学院附属第一医院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21"/>
        </w:rPr>
        <w:t>张永军（石河子大学医学院第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21"/>
        </w:rPr>
        <w:t>一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附属医院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7"/>
        </w:rPr>
        <w:t>张玉（华中科技大学同济医学院附属协和医院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7"/>
        </w:rPr>
        <w:t>张志清（河北医科大学第二医院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张志仁（哈尔滨医科大学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附属肿瘤医院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赵杰（郑州大学第一附属医院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赵庆春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17"/>
        </w:rPr>
        <w:t>（北</w:t>
      </w:r>
      <w:r>
        <w:rPr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17"/>
        </w:rPr>
        <w:t>部战区总医院</w:t>
      </w:r>
      <w:r>
        <w:rPr>
          <w:sz w:val="17"/>
          <w:szCs w:val="17"/>
          <w:color w:val="231F20"/>
          <w:spacing w:val="-38"/>
          <w:w w:val="93"/>
        </w:rPr>
        <w:t>）；</w:t>
      </w:r>
      <w:r>
        <w:rPr>
          <w:sz w:val="17"/>
          <w:szCs w:val="17"/>
          <w:color w:val="231F20"/>
          <w:spacing w:val="17"/>
        </w:rPr>
        <w:t>赵青威（浙江大学医学院附属第</w:t>
      </w:r>
      <w:r>
        <w:rPr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17"/>
        </w:rPr>
        <w:t>一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8"/>
        </w:rPr>
        <w:t>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郑志昌（贵阳医学院附属医院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周云曙（中华医学会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临床药学分会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8"/>
        </w:rPr>
        <w:t>朱兰（上海市徐汇区斜土街道社区卫生</w:t>
      </w:r>
      <w:r>
        <w:rPr>
          <w:sz w:val="17"/>
          <w:szCs w:val="17"/>
          <w:color w:val="231F20"/>
          <w:spacing w:val="7"/>
        </w:rPr>
        <w:t>服务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9"/>
        </w:rPr>
        <w:t>中心</w:t>
      </w:r>
      <w:r>
        <w:rPr>
          <w:sz w:val="17"/>
          <w:szCs w:val="17"/>
          <w:color w:val="231F20"/>
          <w:spacing w:val="-25"/>
          <w:w w:val="61"/>
        </w:rPr>
        <w:t>）；</w:t>
      </w:r>
      <w:r>
        <w:rPr>
          <w:sz w:val="17"/>
          <w:szCs w:val="17"/>
          <w:color w:val="231F20"/>
          <w:spacing w:val="9"/>
        </w:rPr>
        <w:t>左笑丛（中南大学湘雅三医院）</w:t>
      </w:r>
    </w:p>
    <w:p>
      <w:pPr>
        <w:pStyle w:val="BodyText"/>
        <w:ind w:left="838" w:right="478" w:firstLine="76"/>
        <w:spacing w:before="19" w:line="235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color w:val="231F20"/>
          <w:spacing w:val="11"/>
        </w:rPr>
        <w:t>心血管系统疾病合理用药指南编写组成员</w:t>
      </w:r>
      <w:r>
        <w:rPr>
          <w:sz w:val="17"/>
          <w:szCs w:val="17"/>
          <w:color w:val="231F20"/>
          <w:spacing w:val="11"/>
        </w:rPr>
        <w:t>（按</w:t>
      </w:r>
      <w:r>
        <w:rPr>
          <w:sz w:val="17"/>
          <w:szCs w:val="17"/>
          <w:color w:val="231F20"/>
          <w:spacing w:val="10"/>
        </w:rPr>
        <w:t>姓氏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拼音排序</w:t>
      </w:r>
      <w:r>
        <w:rPr>
          <w:sz w:val="17"/>
          <w:szCs w:val="17"/>
          <w:color w:val="231F20"/>
          <w:spacing w:val="-25"/>
          <w:w w:val="58"/>
        </w:rPr>
        <w:t>）：</w:t>
      </w:r>
      <w:r>
        <w:rPr>
          <w:sz w:val="17"/>
          <w:szCs w:val="17"/>
          <w:color w:val="231F20"/>
          <w:spacing w:val="2"/>
        </w:rPr>
        <w:t>陈步星（北京中医药大学东直门医院</w:t>
      </w:r>
      <w:r>
        <w:rPr>
          <w:sz w:val="17"/>
          <w:szCs w:val="17"/>
          <w:color w:val="231F20"/>
          <w:spacing w:val="-25"/>
          <w:w w:val="58"/>
        </w:rPr>
        <w:t>）；</w:t>
      </w:r>
      <w:r>
        <w:rPr>
          <w:sz w:val="17"/>
          <w:szCs w:val="17"/>
          <w:color w:val="231F20"/>
          <w:spacing w:val="2"/>
        </w:rPr>
        <w:t>陈英（广西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壮族自治区人民医院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8"/>
        </w:rPr>
        <w:t>杜光（华中科技大学同济医学院</w:t>
      </w:r>
      <w:r>
        <w:rPr>
          <w:sz w:val="17"/>
          <w:szCs w:val="17"/>
          <w:color w:val="231F20"/>
          <w:spacing w:val="7"/>
        </w:rPr>
        <w:t>附属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2"/>
        </w:rPr>
        <w:t>同济医院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  <w:spacing w:val="12"/>
        </w:rPr>
        <w:t>弓小雪（济宁市第一人民医院</w:t>
      </w:r>
      <w:r>
        <w:rPr>
          <w:sz w:val="17"/>
          <w:szCs w:val="17"/>
          <w:color w:val="231F20"/>
          <w:spacing w:val="-32"/>
          <w:w w:val="79"/>
        </w:rPr>
        <w:t>）；</w:t>
      </w:r>
      <w:r>
        <w:rPr>
          <w:sz w:val="17"/>
          <w:szCs w:val="17"/>
          <w:color w:val="231F20"/>
          <w:spacing w:val="12"/>
        </w:rPr>
        <w:t>郭瑞臣（</w:t>
      </w:r>
      <w:r>
        <w:rPr>
          <w:sz w:val="17"/>
          <w:szCs w:val="17"/>
          <w:color w:val="231F20"/>
          <w:spacing w:val="11"/>
        </w:rPr>
        <w:t>山东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23"/>
        </w:rPr>
        <w:t>大学齐鲁医院</w:t>
      </w:r>
      <w:r>
        <w:rPr>
          <w:sz w:val="17"/>
          <w:szCs w:val="17"/>
          <w:color w:val="231F20"/>
          <w:spacing w:val="-28"/>
          <w:w w:val="68"/>
        </w:rPr>
        <w:t>）；</w:t>
      </w:r>
      <w:r>
        <w:rPr>
          <w:sz w:val="17"/>
          <w:szCs w:val="17"/>
          <w:color w:val="231F20"/>
          <w:spacing w:val="23"/>
        </w:rPr>
        <w:t>郭玉金（济宁市第一人民医院</w:t>
      </w:r>
      <w:r>
        <w:rPr>
          <w:sz w:val="17"/>
          <w:szCs w:val="17"/>
          <w:color w:val="231F20"/>
          <w:spacing w:val="-28"/>
          <w:w w:val="68"/>
        </w:rPr>
        <w:t>）；</w:t>
      </w:r>
      <w:r>
        <w:rPr>
          <w:sz w:val="17"/>
          <w:szCs w:val="17"/>
          <w:color w:val="231F20"/>
          <w:spacing w:val="22"/>
        </w:rPr>
        <w:t>李焕德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7"/>
        </w:rPr>
        <w:t>（中南大学湘雅二医院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7"/>
        </w:rPr>
        <w:t>李丽（海南医学院第一附属医院</w:t>
      </w:r>
      <w:r>
        <w:rPr>
          <w:sz w:val="17"/>
          <w:szCs w:val="17"/>
          <w:color w:val="231F20"/>
          <w:spacing w:val="-32"/>
          <w:w w:val="78"/>
        </w:rPr>
        <w:t>）；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sz w:val="17"/>
          <w:szCs w:val="17"/>
          <w:color w:val="231F20"/>
          <w:spacing w:val="1"/>
        </w:rPr>
        <w:t>梁岩（中国医学科学院阜外医院</w:t>
      </w:r>
      <w:r>
        <w:rPr>
          <w:sz w:val="17"/>
          <w:szCs w:val="17"/>
          <w:color w:val="231F20"/>
          <w:spacing w:val="-24"/>
          <w:w w:val="58"/>
        </w:rPr>
        <w:t>）；</w:t>
      </w:r>
      <w:r>
        <w:rPr>
          <w:sz w:val="17"/>
          <w:szCs w:val="17"/>
          <w:color w:val="231F20"/>
          <w:spacing w:val="1"/>
        </w:rPr>
        <w:t>刘世霆（南方医科大学南方  </w:t>
      </w:r>
      <w:r>
        <w:rPr>
          <w:sz w:val="17"/>
          <w:szCs w:val="17"/>
          <w:color w:val="231F20"/>
          <w:spacing w:val="15"/>
        </w:rPr>
        <w:t>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刘晓燕（山东大学齐鲁医院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卢海儒（青海省人民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"/>
        </w:rPr>
        <w:t>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卢晓阳（浙江大学医学院附属第一医院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齐晓勇（河北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5"/>
        </w:rPr>
        <w:t>省人民医院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隋忠国（青岛大学附属医院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15"/>
        </w:rPr>
        <w:t>王婧（河北省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2"/>
        </w:rPr>
        <w:t>人民医院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王爽（中国医科大学附属第一医院</w:t>
      </w:r>
      <w:r>
        <w:rPr>
          <w:sz w:val="17"/>
          <w:szCs w:val="17"/>
          <w:color w:val="231F20"/>
          <w:spacing w:val="-23"/>
          <w:w w:val="57"/>
        </w:rPr>
        <w:t>）；</w:t>
      </w:r>
      <w:r>
        <w:rPr>
          <w:sz w:val="17"/>
          <w:szCs w:val="17"/>
          <w:color w:val="231F20"/>
          <w:spacing w:val="2"/>
        </w:rPr>
        <w:t>文爱东（空军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22"/>
        </w:rPr>
        <w:t>军医大学西京医院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吴惠珍（河北省人民医院</w:t>
      </w:r>
      <w:r>
        <w:rPr>
          <w:sz w:val="17"/>
          <w:szCs w:val="17"/>
          <w:color w:val="231F20"/>
          <w:spacing w:val="-29"/>
          <w:w w:val="72"/>
        </w:rPr>
        <w:t>）；</w:t>
      </w:r>
      <w:r>
        <w:rPr>
          <w:sz w:val="17"/>
          <w:szCs w:val="17"/>
          <w:color w:val="231F20"/>
          <w:spacing w:val="22"/>
        </w:rPr>
        <w:t>夏培元</w:t>
      </w:r>
      <w:r>
        <w:rPr>
          <w:sz w:val="17"/>
          <w:szCs w:val="17"/>
          <w:color w:val="231F20"/>
        </w:rPr>
        <w:t xml:space="preserve">  </w:t>
      </w:r>
      <w:r>
        <w:rPr>
          <w:sz w:val="17"/>
          <w:szCs w:val="17"/>
          <w:color w:val="231F20"/>
          <w:spacing w:val="7"/>
        </w:rPr>
        <w:t>（陆军军医大学第一附属医院</w:t>
      </w:r>
      <w:r>
        <w:rPr>
          <w:sz w:val="17"/>
          <w:szCs w:val="17"/>
          <w:color w:val="231F20"/>
          <w:spacing w:val="-27"/>
          <w:w w:val="66"/>
        </w:rPr>
        <w:t>）；</w:t>
      </w:r>
      <w:r>
        <w:rPr>
          <w:sz w:val="17"/>
          <w:szCs w:val="17"/>
          <w:color w:val="231F20"/>
          <w:spacing w:val="7"/>
        </w:rPr>
        <w:t>杨华（复旦大学附属中山医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8"/>
        </w:rPr>
        <w:t>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杨思（浙江大学医学院附属第一医院</w:t>
      </w:r>
      <w:r>
        <w:rPr>
          <w:sz w:val="17"/>
          <w:szCs w:val="17"/>
          <w:color w:val="231F20"/>
          <w:spacing w:val="-25"/>
          <w:w w:val="62"/>
        </w:rPr>
        <w:t>）；</w:t>
      </w:r>
      <w:r>
        <w:rPr>
          <w:sz w:val="17"/>
          <w:szCs w:val="17"/>
          <w:color w:val="231F20"/>
          <w:spacing w:val="8"/>
        </w:rPr>
        <w:t>张抗怀（西安交</w:t>
      </w:r>
      <w:r>
        <w:rPr>
          <w:sz w:val="17"/>
          <w:szCs w:val="17"/>
          <w:color w:val="231F20"/>
          <w:spacing w:val="2"/>
        </w:rPr>
        <w:t xml:space="preserve">  </w:t>
      </w:r>
      <w:r>
        <w:rPr>
          <w:sz w:val="17"/>
          <w:szCs w:val="17"/>
          <w:color w:val="231F20"/>
          <w:spacing w:val="14"/>
        </w:rPr>
        <w:t>通大学第二附属医院西北医院</w:t>
      </w:r>
      <w:r>
        <w:rPr>
          <w:sz w:val="17"/>
          <w:szCs w:val="17"/>
          <w:color w:val="231F20"/>
          <w:spacing w:val="-28"/>
          <w:w w:val="69"/>
        </w:rPr>
        <w:t>）；</w:t>
      </w:r>
      <w:r>
        <w:rPr>
          <w:sz w:val="17"/>
          <w:szCs w:val="17"/>
          <w:color w:val="231F20"/>
          <w:spacing w:val="14"/>
        </w:rPr>
        <w:t>张幸国（浙江大学医学院</w:t>
      </w:r>
      <w:r>
        <w:rPr>
          <w:sz w:val="17"/>
          <w:szCs w:val="17"/>
          <w:color w:val="231F20"/>
          <w:spacing w:val="1"/>
        </w:rPr>
        <w:t xml:space="preserve">  </w:t>
      </w:r>
      <w:r>
        <w:rPr>
          <w:sz w:val="17"/>
          <w:szCs w:val="17"/>
          <w:color w:val="231F20"/>
          <w:spacing w:val="14"/>
        </w:rPr>
        <w:t>附属第一医院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14"/>
        </w:rPr>
        <w:t>赵青威（浙江大学医学院附属第一医院</w:t>
      </w:r>
      <w:r>
        <w:rPr>
          <w:sz w:val="17"/>
          <w:szCs w:val="17"/>
          <w:color w:val="231F20"/>
          <w:spacing w:val="-33"/>
          <w:w w:val="81"/>
        </w:rPr>
        <w:t>）；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sz w:val="17"/>
          <w:szCs w:val="17"/>
          <w:color w:val="231F20"/>
          <w:spacing w:val="7"/>
        </w:rPr>
        <w:t>郑志昌（贵阳医学院附属医院）</w:t>
      </w:r>
    </w:p>
    <w:p>
      <w:pPr>
        <w:pStyle w:val="BodyText"/>
        <w:ind w:left="912" w:right="573" w:hanging="2"/>
        <w:spacing w:line="259" w:lineRule="auto"/>
        <w:jc w:val="both"/>
        <w:rPr>
          <w:sz w:val="15"/>
          <w:szCs w:val="15"/>
        </w:rPr>
      </w:pPr>
      <w:r>
        <w:rPr>
          <w:rFonts w:ascii="SimHei" w:hAnsi="SimHei" w:eastAsia="SimHei" w:cs="SimHei"/>
          <w:color w:val="231F20"/>
          <w:spacing w:val="-2"/>
        </w:rPr>
        <w:t>本指南执笔专家：</w:t>
      </w:r>
      <w:r>
        <w:rPr>
          <w:sz w:val="17"/>
          <w:szCs w:val="17"/>
          <w:color w:val="231F20"/>
          <w:spacing w:val="-2"/>
        </w:rPr>
        <w:t>郭瑞臣</w:t>
      </w:r>
      <w:r>
        <w:rPr>
          <w:sz w:val="17"/>
          <w:szCs w:val="17"/>
          <w:color w:val="231F20"/>
          <w:spacing w:val="20"/>
        </w:rPr>
        <w:t xml:space="preserve">   </w:t>
      </w:r>
      <w:r>
        <w:rPr>
          <w:sz w:val="17"/>
          <w:szCs w:val="17"/>
          <w:color w:val="231F20"/>
          <w:spacing w:val="-2"/>
        </w:rPr>
        <w:t>刘晓燕    </w:t>
      </w:r>
      <w:r>
        <w:rPr>
          <w:rFonts w:ascii="SimHei" w:hAnsi="SimHei" w:eastAsia="SimHei" w:cs="SimHei"/>
          <w:color w:val="231F20"/>
          <w:spacing w:val="-2"/>
        </w:rPr>
        <w:t>审校专家：</w:t>
      </w:r>
      <w:r>
        <w:rPr>
          <w:sz w:val="17"/>
          <w:szCs w:val="17"/>
          <w:color w:val="231F20"/>
          <w:spacing w:val="-2"/>
        </w:rPr>
        <w:t>张幸国</w:t>
      </w:r>
      <w:r>
        <w:rPr>
          <w:sz w:val="17"/>
          <w:szCs w:val="17"/>
          <w:color w:val="231F20"/>
        </w:rPr>
        <w:t xml:space="preserve"> 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8"/>
        </w:rPr>
        <w:t>所有作者均声明不存在利益冲突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2550"/>
        <w:spacing w:before="55" w:line="230" w:lineRule="exact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472" w:right="534" w:hanging="410"/>
        <w:spacing w:before="64" w:line="22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[1]      </w:t>
      </w:r>
      <w:r>
        <w:rPr>
          <w:sz w:val="15"/>
          <w:szCs w:val="15"/>
          <w:color w:val="231F20"/>
          <w:spacing w:val="9"/>
        </w:rPr>
        <w:t>中华医学会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中华医学会杂志社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sz w:val="15"/>
          <w:szCs w:val="15"/>
          <w:color w:val="231F20"/>
          <w:spacing w:val="9"/>
        </w:rPr>
        <w:t>中华医学会全科医学分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6"/>
        </w:rPr>
        <w:t>会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</w:t>
      </w:r>
      <w:r>
        <w:rPr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心房颤动基层诊疗指南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(2019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6"/>
        </w:rPr>
        <w:t>年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)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中华全科医师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杂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3"/>
        </w:rPr>
        <w:t>志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2020,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19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(6):   465‑473.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114798‑20191118‑00838.</w:t>
      </w:r>
    </w:p>
    <w:p>
      <w:pPr>
        <w:ind w:left="1480" w:right="525" w:firstLine="1"/>
        <w:spacing w:before="40" w:line="288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Association,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Journals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Publishing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House,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General   Practice,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 al.   Guideline   for   primary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atrial   fibrill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ation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(2019) [J].  </w:t>
      </w:r>
      <w:r>
        <w:rPr>
          <w:rFonts w:ascii="Cambria" w:hAnsi="Cambria" w:eastAsia="Cambria" w:cs="Cambria"/>
          <w:sz w:val="15"/>
          <w:szCs w:val="15"/>
          <w:color w:val="231F20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Gen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Pract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2020,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19  (6):  465‑473.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114798‑20191118‑0083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8.</w:t>
      </w:r>
    </w:p>
    <w:p>
      <w:pPr>
        <w:pStyle w:val="BodyText"/>
        <w:ind w:left="1062"/>
        <w:spacing w:before="19" w:line="206" w:lineRule="auto"/>
        <w:rPr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[2]      </w:t>
      </w:r>
      <w:r>
        <w:rPr>
          <w:sz w:val="15"/>
          <w:szCs w:val="15"/>
          <w:color w:val="231F20"/>
          <w:spacing w:val="9"/>
        </w:rPr>
        <w:t>黄从新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张澍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黄德嘉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心房颤动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sz w:val="15"/>
          <w:szCs w:val="15"/>
          <w:color w:val="231F20"/>
          <w:spacing w:val="8"/>
        </w:rPr>
        <w:t>目前的认识和治疗的</w:t>
      </w:r>
    </w:p>
    <w:p>
      <w:pPr>
        <w:pStyle w:val="BodyText"/>
        <w:ind w:left="1475"/>
        <w:spacing w:before="2" w:line="206" w:lineRule="auto"/>
        <w:rPr>
          <w:rFonts w:ascii="Cambria" w:hAnsi="Cambria" w:eastAsia="Cambria" w:cs="Cambria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建议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‑2018[J].</w:t>
      </w:r>
      <w:r>
        <w:rPr>
          <w:sz w:val="15"/>
          <w:szCs w:val="15"/>
          <w:color w:val="231F20"/>
          <w:spacing w:val="7"/>
        </w:rPr>
        <w:t>中国心脏起搏与心电生理杂志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32(4):</w:t>
      </w:r>
    </w:p>
    <w:p>
      <w:pPr>
        <w:ind w:left="1483"/>
        <w:spacing w:before="2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315‑368.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:10.</w:t>
      </w:r>
      <w:r>
        <w:rPr>
          <w:rFonts w:ascii="Cambria" w:hAnsi="Cambria" w:eastAsia="Cambria" w:cs="Cambria"/>
          <w:sz w:val="15"/>
          <w:szCs w:val="15"/>
          <w:color w:val="231F20"/>
          <w:spacing w:val="-8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13333/j.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cnki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cjcpe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  <w:position w:val="2"/>
        </w:rPr>
        <w:t>.2018.04.001.</w:t>
      </w:r>
    </w:p>
    <w:p>
      <w:pPr>
        <w:ind w:left="1479" w:right="532" w:firstLine="1"/>
        <w:spacing w:before="40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Huang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CX,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Huang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DJ,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 al.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Atrial   fibrillation: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current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knowledge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recommendations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‑2018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Chinese       Journal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of       Cardiac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Pacing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Electrophysiology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32(4): 315‑368.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1333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cnki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>cjcpe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.2018.04.001.</w:t>
      </w:r>
    </w:p>
    <w:p>
      <w:pPr>
        <w:ind w:left="1062"/>
        <w:spacing w:before="30" w:line="183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[3]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January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Wann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LS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Calkins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2019</w:t>
      </w:r>
      <w:r>
        <w:rPr>
          <w:rFonts w:ascii="Cambria" w:hAnsi="Cambria" w:eastAsia="Cambria" w:cs="Cambria"/>
          <w:sz w:val="15"/>
          <w:szCs w:val="15"/>
          <w:color w:val="231F20"/>
          <w:spacing w:val="4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  <w:position w:val="2"/>
        </w:rPr>
        <w:t>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8" w:right="903"/>
        <w:spacing w:before="37" w:line="304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HRS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Focused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2014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AHA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ACC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HRS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Patients   With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[J].      </w:t>
      </w:r>
      <w:r>
        <w:rPr>
          <w:rFonts w:ascii="Cambria" w:hAnsi="Cambria" w:eastAsia="Cambria" w:cs="Cambria"/>
          <w:sz w:val="15"/>
          <w:szCs w:val="15"/>
          <w:color w:val="231F20"/>
        </w:rPr>
        <w:t>Circulation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2019.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1161/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CIR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.0000000000000665.</w:t>
      </w:r>
    </w:p>
    <w:p>
      <w:pPr>
        <w:ind w:left="506" w:right="903" w:hanging="417"/>
        <w:spacing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[4]       </w:t>
      </w:r>
      <w:r>
        <w:rPr>
          <w:rFonts w:ascii="Cambria" w:hAnsi="Cambria" w:eastAsia="Cambria" w:cs="Cambria"/>
          <w:sz w:val="15"/>
          <w:szCs w:val="15"/>
          <w:color w:val="231F20"/>
        </w:rPr>
        <w:t>Kirchhof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Benussi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Kotecha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2016    </w:t>
      </w:r>
      <w:r>
        <w:rPr>
          <w:rFonts w:ascii="Cambria" w:hAnsi="Cambria" w:eastAsia="Cambria" w:cs="Cambria"/>
          <w:sz w:val="15"/>
          <w:szCs w:val="15"/>
          <w:color w:val="231F20"/>
        </w:rPr>
        <w:t>ESC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Guidelines   for    the   management    of   atrial    fibrillation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developed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collaboration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EACTS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[J]. 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Heart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37(38):2893.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eurheartj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ehw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370.</w:t>
      </w:r>
    </w:p>
    <w:p>
      <w:pPr>
        <w:ind w:left="505" w:right="903" w:hanging="416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[5]       </w:t>
      </w:r>
      <w:r>
        <w:rPr>
          <w:rFonts w:ascii="Cambria" w:hAnsi="Cambria" w:eastAsia="Cambria" w:cs="Cambria"/>
          <w:sz w:val="15"/>
          <w:szCs w:val="15"/>
          <w:color w:val="231F20"/>
        </w:rPr>
        <w:t>Camm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Kirchhof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Lip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fibrillation: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Task  Fo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rce  for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Atrial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Fibrill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ation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European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Cardiology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(</w:t>
      </w:r>
      <w:r>
        <w:rPr>
          <w:rFonts w:ascii="Cambria" w:hAnsi="Cambria" w:eastAsia="Cambria" w:cs="Cambria"/>
          <w:sz w:val="15"/>
          <w:szCs w:val="15"/>
          <w:color w:val="231F20"/>
        </w:rPr>
        <w:t>ESC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     [J].     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2010,     12(10):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1360-1420.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europace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euq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350.</w:t>
      </w:r>
    </w:p>
    <w:p>
      <w:pPr>
        <w:ind w:left="505" w:right="903" w:hanging="416"/>
        <w:spacing w:before="37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[6]      </w:t>
      </w:r>
      <w:r>
        <w:rPr>
          <w:rFonts w:ascii="Cambria" w:hAnsi="Cambria" w:eastAsia="Cambria" w:cs="Cambria"/>
          <w:sz w:val="15"/>
          <w:szCs w:val="15"/>
          <w:color w:val="231F20"/>
        </w:rPr>
        <w:t>Worthington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Gattellari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Dabigatran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warfarin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361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(27):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2672-2673.</w:t>
      </w:r>
    </w:p>
    <w:p>
      <w:pPr>
        <w:ind w:left="501" w:right="903" w:hanging="412"/>
        <w:spacing w:before="38" w:line="28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[7]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Patel  MR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Mahaffey  KW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Garg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Rivaroxaban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warfarin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nonvalvular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atr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Engl J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Med,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2011,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365(10):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883-891.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1056/</w:t>
      </w:r>
      <w:r>
        <w:rPr>
          <w:rFonts w:ascii="Cambria" w:hAnsi="Cambria" w:eastAsia="Cambria" w:cs="Cambria"/>
          <w:sz w:val="15"/>
          <w:szCs w:val="15"/>
          <w:color w:val="231F20"/>
        </w:rPr>
        <w:t>NEJMoa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100963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8.</w:t>
      </w:r>
    </w:p>
    <w:p>
      <w:pPr>
        <w:pStyle w:val="BodyText"/>
        <w:ind w:left="499" w:right="894" w:hanging="411"/>
        <w:spacing w:before="41" w:line="26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[8]       </w:t>
      </w:r>
      <w:r>
        <w:rPr>
          <w:sz w:val="15"/>
          <w:szCs w:val="15"/>
          <w:color w:val="231F20"/>
          <w:spacing w:val="8"/>
        </w:rPr>
        <w:t>中华医学会心血管病学分</w:t>
      </w:r>
      <w:r>
        <w:rPr>
          <w:sz w:val="15"/>
          <w:szCs w:val="15"/>
          <w:color w:val="231F20"/>
          <w:spacing w:val="7"/>
        </w:rPr>
        <w:t>会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中国老年学学会心脑血管病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专业委员会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中国生物医学工程学心律分会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心房颤动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抗凝治疗中国专家共识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中华内科杂志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51(11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916‑921.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:10.3760/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.j.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>.0578‑1426.20</w:t>
      </w:r>
      <w:r>
        <w:rPr>
          <w:rFonts w:ascii="Cambria" w:hAnsi="Cambria" w:eastAsia="Cambria" w:cs="Cambria"/>
          <w:sz w:val="15"/>
          <w:szCs w:val="15"/>
          <w:color w:val="231F20"/>
        </w:rPr>
        <w:t>12. 11. 026.     </w:t>
      </w:r>
      <w:r>
        <w:rPr>
          <w:rFonts w:ascii="Cambria" w:hAnsi="Cambria" w:eastAsia="Cambria" w:cs="Cambria"/>
          <w:sz w:val="15"/>
          <w:szCs w:val="15"/>
          <w:color w:val="231F20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Cardiology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Cardiovascular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Cerebrovascular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Disease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ittee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Gerontological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Cardiology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Chinese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Society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Biomedical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Engineering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Expert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consensus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anticoagulation   therapy   of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atrial   fibrillation[J].  Chin   J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5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51(11):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916‑921.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.0578‑1426.2012.11.026.</w:t>
      </w:r>
    </w:p>
    <w:p>
      <w:pPr>
        <w:ind w:left="500" w:right="904" w:hanging="411"/>
        <w:spacing w:before="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[9]      </w:t>
      </w:r>
      <w:r>
        <w:rPr>
          <w:rFonts w:ascii="Cambria" w:hAnsi="Cambria" w:eastAsia="Cambria" w:cs="Cambria"/>
          <w:sz w:val="15"/>
          <w:szCs w:val="15"/>
          <w:color w:val="231F20"/>
        </w:rPr>
        <w:t>Atzema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Austin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betablockers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calcium    channel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blockers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emergency </w:t>
      </w:r>
      <w:r>
        <w:rPr>
          <w:rFonts w:ascii="Cambria" w:hAnsi="Cambria" w:eastAsia="Cambria" w:cs="Cambria"/>
          <w:sz w:val="15"/>
          <w:szCs w:val="15"/>
          <w:color w:val="231F20"/>
        </w:rPr>
        <w:t>setting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predictors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medication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class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choice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associated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hospitalization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Acad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Emerg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 2017,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24(11):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1334-1348.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</w:t>
      </w:r>
      <w:r>
        <w:rPr>
          <w:rFonts w:ascii="Cambria" w:hAnsi="Cambria" w:eastAsia="Cambria" w:cs="Cambria"/>
          <w:sz w:val="15"/>
          <w:szCs w:val="15"/>
          <w:color w:val="231F20"/>
        </w:rPr>
        <w:t>acem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.13303.</w:t>
      </w:r>
    </w:p>
    <w:p>
      <w:pPr>
        <w:ind w:left="500" w:right="905" w:hanging="500"/>
        <w:spacing w:before="39" w:line="302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[10]      </w:t>
      </w:r>
      <w:r>
        <w:rPr>
          <w:rFonts w:ascii="Cambria" w:hAnsi="Cambria" w:eastAsia="Cambria" w:cs="Cambria"/>
          <w:sz w:val="15"/>
          <w:szCs w:val="15"/>
          <w:color w:val="231F20"/>
        </w:rPr>
        <w:t>Simonian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Lotfipour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Wall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Challenging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 </w:t>
      </w:r>
      <w:r>
        <w:rPr>
          <w:rFonts w:ascii="Cambria" w:hAnsi="Cambria" w:eastAsia="Cambria" w:cs="Cambria"/>
          <w:sz w:val="15"/>
          <w:szCs w:val="15"/>
          <w:color w:val="231F20"/>
        </w:rPr>
        <w:t>superiority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amiodarone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rate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control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Wolff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-</w:t>
      </w:r>
      <w:r>
        <w:rPr>
          <w:rFonts w:ascii="Cambria" w:hAnsi="Cambria" w:eastAsia="Cambria" w:cs="Cambria"/>
          <w:sz w:val="15"/>
          <w:szCs w:val="15"/>
          <w:color w:val="231F20"/>
        </w:rPr>
        <w:t>Parkinson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-</w:t>
      </w:r>
      <w:r>
        <w:rPr>
          <w:rFonts w:ascii="Cambria" w:hAnsi="Cambria" w:eastAsia="Cambria" w:cs="Cambria"/>
          <w:sz w:val="15"/>
          <w:szCs w:val="15"/>
          <w:color w:val="231F20"/>
        </w:rPr>
        <w:t>White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fibrillation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Intern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Emerg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5(5):   421-426.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s11739-010-0385-6.</w:t>
      </w:r>
    </w:p>
    <w:p>
      <w:pPr>
        <w:pStyle w:val="BodyText"/>
        <w:ind w:left="502" w:right="906" w:hanging="502"/>
        <w:spacing w:before="6" w:line="21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[11]      </w:t>
      </w:r>
      <w:r>
        <w:rPr>
          <w:sz w:val="15"/>
          <w:szCs w:val="15"/>
          <w:color w:val="231F20"/>
          <w:spacing w:val="10"/>
        </w:rPr>
        <w:t>国家药典委员会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  </w:t>
      </w:r>
      <w:r>
        <w:rPr>
          <w:sz w:val="15"/>
          <w:szCs w:val="15"/>
          <w:color w:val="231F20"/>
          <w:spacing w:val="10"/>
        </w:rPr>
        <w:t>中华人民共和国药典临床用药须知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9"/>
        </w:rPr>
        <w:t>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学药和生物制品卷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(2015 </w:t>
      </w:r>
      <w:r>
        <w:rPr>
          <w:sz w:val="15"/>
          <w:szCs w:val="15"/>
          <w:color w:val="231F20"/>
          <w:spacing w:val="9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)[M]. </w:t>
      </w:r>
      <w:r>
        <w:rPr>
          <w:sz w:val="15"/>
          <w:szCs w:val="15"/>
          <w:color w:val="231F20"/>
          <w:spacing w:val="9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9"/>
        </w:rPr>
        <w:t>中国医药科技出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版社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2015.</w:t>
      </w:r>
    </w:p>
    <w:p>
      <w:pPr>
        <w:ind w:left="507" w:right="903"/>
        <w:spacing w:before="29" w:line="291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Chinese  Pharmacopoeia  Commission. Guidanc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  Notes  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Medications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Pharmacopoeia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the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People′s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Republic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  </w:t>
      </w:r>
      <w:r>
        <w:rPr>
          <w:rFonts w:ascii="Cambria" w:hAnsi="Cambria" w:eastAsia="Cambria" w:cs="Cambria"/>
          <w:sz w:val="15"/>
          <w:szCs w:val="15"/>
          <w:color w:val="231F20"/>
        </w:rPr>
        <w:t>Volume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Chemical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</w:rPr>
        <w:t>Biological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Products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(2015)  [M].  </w:t>
      </w:r>
      <w:r>
        <w:rPr>
          <w:rFonts w:ascii="Cambria" w:hAnsi="Cambria" w:eastAsia="Cambria" w:cs="Cambria"/>
          <w:sz w:val="15"/>
          <w:szCs w:val="15"/>
          <w:color w:val="231F20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</w:t>
      </w:r>
      <w:r>
        <w:rPr>
          <w:rFonts w:ascii="Cambria" w:hAnsi="Cambria" w:eastAsia="Cambria" w:cs="Cambria"/>
          <w:sz w:val="15"/>
          <w:szCs w:val="15"/>
          <w:color w:val="231F20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Science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Press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2015.</w:t>
      </w:r>
    </w:p>
    <w:p>
      <w:pPr>
        <w:pStyle w:val="BodyText"/>
        <w:ind w:left="502" w:right="905" w:hanging="501"/>
        <w:spacing w:before="10" w:line="21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[12]       </w:t>
      </w:r>
      <w:r>
        <w:rPr>
          <w:sz w:val="15"/>
          <w:szCs w:val="15"/>
          <w:color w:val="231F20"/>
          <w:spacing w:val="7"/>
        </w:rPr>
        <w:t>国家基本药物临床应用指南</w:t>
      </w:r>
      <w:r>
        <w:rPr>
          <w:sz w:val="15"/>
          <w:szCs w:val="15"/>
          <w:color w:val="231F20"/>
          <w:spacing w:val="6"/>
        </w:rPr>
        <w:t>和处方集编委会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6"/>
        </w:rPr>
        <w:t>国家基本药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物处方集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</w:t>
      </w:r>
      <w:r>
        <w:rPr>
          <w:sz w:val="15"/>
          <w:szCs w:val="15"/>
          <w:color w:val="231F20"/>
          <w:spacing w:val="7"/>
        </w:rPr>
        <w:t>化学药品和生物制品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(2012</w:t>
      </w:r>
      <w:r>
        <w:rPr>
          <w:rFonts w:ascii="Cambria" w:hAnsi="Cambria" w:eastAsia="Cambria" w:cs="Cambria"/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7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)[M]. </w:t>
      </w:r>
      <w:r>
        <w:rPr>
          <w:sz w:val="15"/>
          <w:szCs w:val="15"/>
          <w:color w:val="231F20"/>
          <w:spacing w:val="7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sz w:val="15"/>
          <w:szCs w:val="15"/>
          <w:color w:val="231F20"/>
          <w:spacing w:val="7"/>
        </w:rPr>
        <w:t>人民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卫生出版社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2012.</w:t>
      </w:r>
    </w:p>
    <w:p>
      <w:pPr>
        <w:ind w:left="505" w:right="903" w:firstLine="3"/>
        <w:spacing w:before="22" w:line="288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Editorial   Committee   of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Application   Guidelines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Formulary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Essential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Drugs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Formulary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     Essential     Medicine: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Chemicals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Biological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Products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(2012)  [M]. </w:t>
      </w:r>
      <w:r>
        <w:rPr>
          <w:rFonts w:ascii="Cambria" w:hAnsi="Cambria" w:eastAsia="Cambria" w:cs="Cambria"/>
          <w:sz w:val="15"/>
          <w:szCs w:val="15"/>
          <w:color w:val="231F20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  </w:t>
      </w:r>
      <w:r>
        <w:rPr>
          <w:rFonts w:ascii="Cambria" w:hAnsi="Cambria" w:eastAsia="Cambria" w:cs="Cambria"/>
          <w:sz w:val="15"/>
          <w:szCs w:val="15"/>
          <w:color w:val="231F20"/>
        </w:rPr>
        <w:t>People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Medical </w:t>
      </w:r>
      <w:r>
        <w:rPr>
          <w:rFonts w:ascii="Cambria" w:hAnsi="Cambria" w:eastAsia="Cambria" w:cs="Cambria"/>
          <w:sz w:val="15"/>
          <w:szCs w:val="15"/>
          <w:color w:val="231F20"/>
        </w:rPr>
        <w:t>Publishing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House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2012.</w:t>
      </w:r>
    </w:p>
    <w:p>
      <w:pPr>
        <w:pStyle w:val="BodyText"/>
        <w:ind w:left="503" w:right="905" w:hanging="503"/>
        <w:spacing w:before="20" w:line="2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[13]      </w:t>
      </w:r>
      <w:r>
        <w:rPr>
          <w:sz w:val="15"/>
          <w:szCs w:val="15"/>
          <w:color w:val="231F20"/>
          <w:spacing w:val="8"/>
        </w:rPr>
        <w:t>中国国家处方集编委会</w:t>
      </w:r>
      <w:r>
        <w:rPr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  </w:t>
      </w:r>
      <w:r>
        <w:rPr>
          <w:sz w:val="15"/>
          <w:szCs w:val="15"/>
          <w:color w:val="231F20"/>
          <w:spacing w:val="8"/>
        </w:rPr>
        <w:t>中国国家处方集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8"/>
        </w:rPr>
        <w:t>化学药品和生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物制品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(2010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年版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)[M]. </w:t>
      </w:r>
      <w:r>
        <w:rPr>
          <w:sz w:val="15"/>
          <w:szCs w:val="15"/>
          <w:color w:val="231F20"/>
          <w:spacing w:val="6"/>
        </w:rPr>
        <w:t>北京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sz w:val="15"/>
          <w:szCs w:val="15"/>
          <w:color w:val="231F20"/>
          <w:spacing w:val="6"/>
        </w:rPr>
        <w:t>人民军医出版社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2010.</w:t>
      </w:r>
    </w:p>
    <w:p>
      <w:pPr>
        <w:ind w:left="508" w:right="904"/>
        <w:spacing w:before="42" w:line="25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China   National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Formulary   Editorial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Committee.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China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Formulary: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Chemical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Biological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Products</w:t>
      </w:r>
    </w:p>
    <w:p>
      <w:pPr>
        <w:ind w:left="513"/>
        <w:spacing w:before="38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  <w:position w:val="1"/>
        </w:rPr>
        <w:t>(2010)[M].</w:t>
      </w: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Beijing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position w:val="1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People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position w:val="1"/>
        </w:rPr>
        <w:t>′</w:t>
      </w: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Military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1"/>
        </w:rPr>
        <w:t>Press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position w:val="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  <w:position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position w:val="1"/>
        </w:rPr>
        <w:t>2010.</w:t>
      </w:r>
    </w:p>
    <w:sectPr>
      <w:type w:val="continuous"/>
      <w:pgSz w:w="12246" w:h="16498"/>
      <w:pgMar w:top="1221" w:right="400" w:bottom="566" w:left="400" w:header="971" w:footer="300" w:gutter="0"/>
      <w:cols w:equalWidth="0" w:num="2">
        <w:col w:w="5976" w:space="100"/>
        <w:col w:w="53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803050406030204"/>
    <w:charset w:val="00"/>
    <w:family w:val="auto"/>
    <w:pitch w:val="variable"/>
    <w:sig w:usb0="E00006FF" w:usb1="4000045F" w:usb2="00000000" w:usb3="00000000" w:csb0="200001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after="34" w:line="192" w:lineRule="auto"/>
      <w:jc w:val="right"/>
      <w:rPr>
        <w:rFonts w:ascii="Times New Roman" w:hAnsi="Times New Roman" w:eastAsia="Times New Roman" w:cs="Times New Roman"/>
        <w:sz w:val="24"/>
        <w:szCs w:val="24"/>
      </w:rPr>
    </w:pPr>
    <w:r>
      <w:drawing>
        <wp:anchor distT="0" distB="0" distL="0" distR="0" simplePos="0" relativeHeight="251660288" behindDoc="1" locked="0" layoutInCell="0" allowOverlap="1">
          <wp:simplePos x="0" y="0"/>
          <wp:positionH relativeFrom="page">
            <wp:posOffset>254000</wp:posOffset>
          </wp:positionH>
          <wp:positionV relativeFrom="page">
            <wp:posOffset>10142246</wp:posOffset>
          </wp:positionV>
          <wp:extent cx="1219200" cy="143255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" cy="143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4"/>
        <w:szCs w:val="24"/>
        <w:b/>
        <w:bCs/>
        <w14:textFill>
          <w14:noFill/>
        </w14:textFill>
        <w14:textOutline w14:w="12700" w14:cap="flat" w14:cmpd="sng">
          <w14:solidFill>
            <w14:srgbClr w14:val="BF4000">
              <w14:alpha w14:val="89803"/>
            </w14:srgbClr>
          </w14:solidFill>
          <w14:prstDash w14:val="solid"/>
          <w14:miter w14:lim="10"/>
        </w14:textOutline>
        <w:spacing w:val="-10"/>
      </w:rPr>
      <w:t>Q2xvdWRWZXJzaW9uLQo?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51.6944pt;margin-top:271.446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0" style="position:absolute;margin-left:51.6944pt;margin-top:271.446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pict>
        <v:shape id="_x0000_s12" style="position:absolute;margin-left:496.106pt;margin-top:1.84279pt;mso-position-vertical-relative:text;mso-position-horizontal-relative:text;width:33.95pt;height:13.2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167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3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6" style="position:absolute;margin-left:51.6944pt;margin-top:271.446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_x0000_s18" style="position:absolute;margin-left:45.555pt;margin-top:1.84279pt;mso-position-vertical-relative:text;mso-position-horizontal-relative:text;width:33.95pt;height:13.2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9"/>
                    <w:w w:val="103"/>
                  </w:rPr>
                  <w:t>168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2" style="position:absolute;margin-left:51.6944pt;margin-top:271.446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pict>
        <v:shape id="_x0000_s24" style="position:absolute;margin-left:496.106pt;margin-top:1.84279pt;mso-position-vertical-relative:text;mso-position-horizontal-relative:text;width:33.95pt;height:13.2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169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3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8" style="position:absolute;margin-left:51.6944pt;margin-top:271.446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pict>
        <v:shape id="_x0000_s30" style="position:absolute;margin-left:45.555pt;margin-top:1.84279pt;mso-position-vertical-relative:text;mso-position-horizontal-relative:text;width:33.95pt;height:13.2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170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34" style="position:absolute;margin-left:51.6944pt;margin-top:271.446pt;mso-position-vertical-relative:page;mso-position-horizontal-relative:page;width:514.25pt;height:279.85pt;z-index:-251644928;" o:allowincell="f" filled="false" stroked="false" type="#_x0000_t75">
          <v:imagedata o:title="" r:id="rId1"/>
        </v:shape>
      </w:pict>
    </w:r>
    <w:r>
      <w:pict>
        <v:shape id="_x0000_s36" style="position:absolute;margin-left:496.106pt;margin-top:1.84279pt;mso-position-vertical-relative:text;mso-position-horizontal-relative:text;width:33.95pt;height:13.2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21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21"/>
                  </w:rPr>
                  <w:t>171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21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3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40" style="position:absolute;margin-left:51.6944pt;margin-top:271.446pt;mso-position-vertical-relative:page;mso-position-horizontal-relative:page;width:514.25pt;height:279.85pt;z-index:-251641856;" o:allowincell="f" filled="false" stroked="false" type="#_x0000_t75">
          <v:imagedata o:title="" r:id="rId1"/>
        </v:shape>
      </w:pict>
    </w:r>
    <w:r>
      <w:pict>
        <v:shape id="_x0000_s42" style="position:absolute;margin-left:45.555pt;margin-top:1.84279pt;mso-position-vertical-relative:text;mso-position-horizontal-relative:text;width:33.95pt;height:13.2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7"/>
                    <w:w w:val="107"/>
                  </w:rPr>
                  <w:t>172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46" style="position:absolute;margin-left:51.6944pt;margin-top:271.446pt;mso-position-vertical-relative:page;mso-position-horizontal-relative:page;width:514.25pt;height:279.85pt;z-index:-251638784;" o:allowincell="f" filled="false" stroked="false" type="#_x0000_t75">
          <v:imagedata o:title="" r:id="rId1"/>
        </v:shape>
      </w:pict>
    </w:r>
    <w:r>
      <w:pict>
        <v:shape id="_x0000_s48" style="position:absolute;margin-left:496.106pt;margin-top:1.84279pt;mso-position-vertical-relative:text;mso-position-horizontal-relative:text;width:33.95pt;height:13.2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8"/>
                    <w:w w:val="105"/>
                  </w:rPr>
                  <w:t>173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2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8"/>
                    <w:w w:val="10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83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52" style="position:absolute;margin-left:51.6944pt;margin-top:271.446pt;mso-position-vertical-relative:page;mso-position-horizontal-relative:page;width:514.25pt;height:279.85pt;z-index:-251635712;" o:allowincell="f" filled="false" stroked="false" type="#_x0000_t75">
          <v:imagedata o:title="" r:id="rId1"/>
        </v:shape>
      </w:pict>
    </w:r>
    <w:r>
      <w:pict>
        <v:shape id="_x0000_s54" style="position:absolute;margin-left:45.555pt;margin-top:1.84279pt;mso-position-vertical-relative:text;mso-position-horizontal-relative:text;width:33.95pt;height:13.2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8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7"/>
                    <w:w w:val="107"/>
                  </w:rPr>
                  <w:t>174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7"/>
                    <w:w w:val="107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中华全科医师杂志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 </w:t>
    </w:r>
    <w:r>
      <w:rPr>
        <w:shd w:val="clear" w:fill="FFFFFE"/>
        <w:sz w:val="15"/>
        <w:szCs w:val="15"/>
        <w:color w:val="231F20"/>
        <w:spacing w:val="4"/>
      </w:rPr>
      <w:t>卷第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 </w:t>
    </w:r>
    <w:r>
      <w:rPr>
        <w:shd w:val="clear" w:fill="FFFFFE"/>
        <w:sz w:val="15"/>
        <w:szCs w:val="15"/>
        <w:color w:val="231F20"/>
        <w:spacing w:val="4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Gen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Pract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February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2021,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2025-10-29T09:40:37</vt:filetime>
  </property>
</Properties>
</file>