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09" w:lineRule="exact"/>
        <w:rPr/>
      </w:pPr>
      <w:r/>
    </w:p>
    <w:p>
      <w:pPr>
        <w:spacing w:line="109" w:lineRule="exact"/>
        <w:sectPr>
          <w:headerReference w:type="default" r:id="rId1"/>
          <w:pgSz w:w="11906" w:h="15875"/>
          <w:pgMar w:top="400" w:right="277" w:bottom="0" w:left="850" w:header="0" w:footer="0" w:gutter="0"/>
          <w:cols w:equalWidth="0" w:num="1">
            <w:col w:w="10779" w:space="0"/>
          </w:cols>
        </w:sectPr>
        <w:rPr/>
      </w:pPr>
    </w:p>
    <w:p>
      <w:pPr>
        <w:pStyle w:val="BodyText"/>
        <w:spacing w:before="143"/>
        <w:rPr>
          <w:sz w:val="28"/>
          <w:szCs w:val="28"/>
        </w:rPr>
      </w:pPr>
      <w:r>
        <w:rPr>
          <w:sz w:val="28"/>
          <w:szCs w:val="28"/>
          <w:color w:val="231F20"/>
          <w:position w:val="-10"/>
        </w:rPr>
        <w:drawing>
          <wp:inline distT="0" distB="0" distL="0" distR="0">
            <wp:extent cx="292912" cy="2835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912" cy="2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31F20"/>
          <w:spacing w:val="20"/>
        </w:rPr>
        <w:t xml:space="preserve"> </w:t>
      </w:r>
      <w:r>
        <w:rPr>
          <w:sz w:val="28"/>
          <w:szCs w:val="28"/>
          <w:color w:val="231F20"/>
          <w:spacing w:val="32"/>
        </w:rPr>
        <w:t>ESC</w:t>
      </w:r>
    </w:p>
    <w:p>
      <w:pPr>
        <w:pStyle w:val="BodyText"/>
        <w:ind w:left="559" w:right="17"/>
        <w:spacing w:before="25" w:line="22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European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society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3"/>
        </w:rPr>
        <w:t>cardiology</w:t>
      </w:r>
    </w:p>
    <w:p>
      <w:pPr>
        <w:spacing w:line="3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right="4629" w:firstLine="1"/>
        <w:spacing w:before="46" w:line="278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European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Heart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5"/>
        </w:rPr>
        <w:t>Journal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(2023) </w:t>
      </w:r>
      <w:r>
        <w:rPr>
          <w:sz w:val="16"/>
          <w:szCs w:val="16"/>
          <w:b/>
          <w:bCs/>
          <w:spacing w:val="-5"/>
        </w:rPr>
        <w:t>44</w:t>
      </w:r>
      <w:r>
        <w:rPr>
          <w:sz w:val="16"/>
          <w:szCs w:val="16"/>
          <w:spacing w:val="-5"/>
        </w:rPr>
        <w:t>, 709–710</w:t>
      </w:r>
      <w:r>
        <w:rPr>
          <w:sz w:val="16"/>
          <w:szCs w:val="16"/>
        </w:rPr>
        <w:t xml:space="preserve"> </w:t>
      </w:r>
      <w:hyperlink w:history="true" r:id="rId3">
        <w:r>
          <w:rPr>
            <w:sz w:val="16"/>
            <w:szCs w:val="16"/>
            <w:spacing w:val="-3"/>
          </w:rPr>
          <w:t>https://doi.org/10.1093/eur</w:t>
        </w:r>
        <w:r>
          <w:rPr>
            <w:sz w:val="16"/>
            <w:szCs w:val="16"/>
            <w:spacing w:val="-4"/>
          </w:rPr>
          <w:t>heartj/ehac625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7" w:line="86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-2545093</wp:posOffset>
                </wp:positionH>
                <wp:positionV relativeFrom="paragraph">
                  <wp:posOffset>4637595</wp:posOffset>
                </wp:positionV>
                <wp:extent cx="6401434" cy="16446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-2545093" y="4637595"/>
                          <a:ext cx="640143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urheartj/article/44/9/709/6865194 by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of the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Philippines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Baguio user on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7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14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200.401pt;margin-top:365.165pt;mso-position-vertical-relative:text;mso-position-horizontal-relative:text;width:504.05pt;height:12.95pt;z-index:251658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urheartj/article/44/9/709/6865194 by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of the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Philippines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Baguio user on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14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7"/>
        </w:rPr>
        <w:drawing>
          <wp:inline distT="0" distB="0" distL="0" distR="0">
            <wp:extent cx="432714" cy="54647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14" cy="54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61" w:lineRule="exact"/>
        <w:sectPr>
          <w:type w:val="continuous"/>
          <w:pgSz w:w="11906" w:h="15875"/>
          <w:pgMar w:top="400" w:right="277" w:bottom="0" w:left="850" w:header="0" w:footer="0" w:gutter="0"/>
          <w:cols w:equalWidth="0" w:num="3">
            <w:col w:w="1832" w:space="100"/>
            <w:col w:w="7606" w:space="100"/>
            <w:col w:w="1142" w:space="0"/>
          </w:cols>
        </w:sectPr>
        <w:rPr/>
      </w:pPr>
    </w:p>
    <w:p>
      <w:pPr>
        <w:spacing w:line="142" w:lineRule="exact"/>
        <w:rPr/>
      </w:pPr>
      <w:r/>
    </w:p>
    <w:tbl>
      <w:tblPr>
        <w:tblStyle w:val="TableNormal"/>
        <w:tblW w:w="1032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62"/>
        <w:gridCol w:w="5163"/>
      </w:tblGrid>
      <w:tr>
        <w:trPr>
          <w:trHeight w:val="1316" w:hRule="atLeast"/>
        </w:trPr>
        <w:tc>
          <w:tcPr>
            <w:tcW w:w="10325" w:type="dxa"/>
            <w:vAlign w:val="top"/>
            <w:gridSpan w:val="2"/>
            <w:tcBorders>
              <w:bottom w:val="single" w:color="D6143D" w:sz="16" w:space="0"/>
              <w:top w:val="single" w:color="D6143D" w:sz="4" w:space="0"/>
            </w:tcBorders>
          </w:tcPr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17"/>
              <w:spacing w:before="103" w:line="195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b/>
                <w:bCs/>
                <w:i/>
                <w:iCs/>
                <w:spacing w:val="-15"/>
                <w:w w:val="99"/>
              </w:rPr>
              <w:t>Global Spotlights</w:t>
            </w:r>
          </w:p>
        </w:tc>
      </w:tr>
      <w:tr>
        <w:trPr>
          <w:trHeight w:val="1839" w:hRule="atLeast"/>
        </w:trPr>
        <w:tc>
          <w:tcPr>
            <w:tcW w:w="10325" w:type="dxa"/>
            <w:vAlign w:val="top"/>
            <w:gridSpan w:val="2"/>
            <w:tcBorders>
              <w:bottom w:val="single" w:color="D6143D" w:sz="16" w:space="0"/>
              <w:top w:val="single" w:color="D6143D" w:sz="16" w:space="0"/>
            </w:tcBorders>
          </w:tcPr>
          <w:p>
            <w:pPr>
              <w:pStyle w:val="TableText"/>
              <w:ind w:left="25" w:right="369" w:hanging="6"/>
              <w:spacing w:before="80" w:line="255" w:lineRule="auto"/>
              <w:outlineLvl w:val="0"/>
              <w:rPr>
                <w:sz w:val="46"/>
                <w:szCs w:val="46"/>
              </w:rPr>
            </w:pPr>
            <w:r>
              <w:rPr>
                <w:sz w:val="46"/>
                <w:szCs w:val="46"/>
                <w:b/>
                <w:bCs/>
                <w:spacing w:val="-5"/>
              </w:rPr>
              <w:t>Chinese guidelines for p</w:t>
            </w:r>
            <w:r>
              <w:rPr>
                <w:sz w:val="46"/>
                <w:szCs w:val="46"/>
                <w:b/>
                <w:bCs/>
                <w:spacing w:val="-6"/>
              </w:rPr>
              <w:t>ercutaneous coronary</w:t>
            </w:r>
            <w:r>
              <w:rPr>
                <w:sz w:val="46"/>
                <w:szCs w:val="46"/>
                <w:b/>
                <w:bCs/>
              </w:rPr>
              <w:t xml:space="preserve"> </w:t>
            </w:r>
            <w:r>
              <w:rPr>
                <w:sz w:val="46"/>
                <w:szCs w:val="46"/>
                <w:b/>
                <w:bCs/>
              </w:rPr>
              <w:t>intervention</w:t>
            </w:r>
            <w:r>
              <w:rPr>
                <w:sz w:val="46"/>
                <w:szCs w:val="46"/>
                <w:b/>
                <w:bCs/>
                <w:spacing w:val="17"/>
              </w:rPr>
              <w:t xml:space="preserve"> </w:t>
            </w:r>
            <w:r>
              <w:rPr>
                <w:sz w:val="46"/>
                <w:szCs w:val="46"/>
                <w:b/>
                <w:bCs/>
              </w:rPr>
              <w:t>in</w:t>
            </w:r>
            <w:r>
              <w:rPr>
                <w:sz w:val="46"/>
                <w:szCs w:val="46"/>
                <w:b/>
                <w:bCs/>
                <w:spacing w:val="17"/>
              </w:rPr>
              <w:t xml:space="preserve"> </w:t>
            </w:r>
            <w:r>
              <w:rPr>
                <w:sz w:val="46"/>
                <w:szCs w:val="46"/>
                <w:b/>
                <w:bCs/>
              </w:rPr>
              <w:t>patients</w:t>
            </w:r>
            <w:r>
              <w:rPr>
                <w:sz w:val="46"/>
                <w:szCs w:val="46"/>
                <w:b/>
                <w:bCs/>
                <w:spacing w:val="17"/>
              </w:rPr>
              <w:t xml:space="preserve"> </w:t>
            </w:r>
            <w:r>
              <w:rPr>
                <w:sz w:val="46"/>
                <w:szCs w:val="46"/>
                <w:b/>
                <w:bCs/>
              </w:rPr>
              <w:t>with</w:t>
            </w:r>
            <w:r>
              <w:rPr>
                <w:sz w:val="46"/>
                <w:szCs w:val="46"/>
                <w:b/>
                <w:bCs/>
                <w:spacing w:val="17"/>
              </w:rPr>
              <w:t xml:space="preserve"> </w:t>
            </w:r>
            <w:r>
              <w:rPr>
                <w:sz w:val="46"/>
                <w:szCs w:val="46"/>
                <w:b/>
                <w:bCs/>
              </w:rPr>
              <w:t>left</w:t>
            </w:r>
            <w:r>
              <w:rPr>
                <w:sz w:val="46"/>
                <w:szCs w:val="46"/>
                <w:b/>
                <w:bCs/>
                <w:spacing w:val="17"/>
              </w:rPr>
              <w:t xml:space="preserve"> </w:t>
            </w:r>
            <w:r>
              <w:rPr>
                <w:sz w:val="46"/>
                <w:szCs w:val="46"/>
                <w:b/>
                <w:bCs/>
              </w:rPr>
              <w:t>main</w:t>
            </w:r>
          </w:p>
          <w:p>
            <w:pPr>
              <w:pStyle w:val="TableText"/>
              <w:ind w:left="26"/>
              <w:spacing w:line="564" w:lineRule="exact"/>
              <w:outlineLvl w:val="0"/>
              <w:rPr>
                <w:sz w:val="46"/>
                <w:szCs w:val="46"/>
              </w:rPr>
            </w:pPr>
            <w:bookmarkStart w:name="bookmark1" w:id="1"/>
            <w:bookmarkEnd w:id="1"/>
            <w:r>
              <w:rPr>
                <w:sz w:val="46"/>
                <w:szCs w:val="46"/>
                <w:b/>
                <w:bCs/>
                <w:spacing w:val="-7"/>
              </w:rPr>
              <w:t>bifurcation disease</w:t>
            </w:r>
          </w:p>
        </w:tc>
      </w:tr>
      <w:tr>
        <w:trPr>
          <w:trHeight w:val="1066" w:hRule="atLeast"/>
        </w:trPr>
        <w:tc>
          <w:tcPr>
            <w:tcW w:w="10325" w:type="dxa"/>
            <w:vAlign w:val="top"/>
            <w:gridSpan w:val="2"/>
            <w:tcBorders>
              <w:top w:val="single" w:color="D6143D" w:sz="16" w:space="0"/>
            </w:tcBorders>
          </w:tcPr>
          <w:p>
            <w:pPr>
              <w:pStyle w:val="TableText"/>
              <w:spacing w:before="179" w:line="344" w:lineRule="exact"/>
              <w:rPr>
                <w:sz w:val="17"/>
                <w:szCs w:val="17"/>
              </w:rPr>
            </w:pPr>
            <w:r>
              <w:rPr>
                <w:sz w:val="25"/>
                <w:szCs w:val="25"/>
                <w:b/>
                <w:bCs/>
                <w:position w:val="2"/>
              </w:rPr>
              <w:t>Yaling</w:t>
            </w:r>
            <w:r>
              <w:rPr>
                <w:sz w:val="25"/>
                <w:szCs w:val="25"/>
                <w:b/>
                <w:bCs/>
                <w:spacing w:val="23"/>
                <w:w w:val="101"/>
                <w:position w:val="2"/>
              </w:rPr>
              <w:t xml:space="preserve"> </w:t>
            </w:r>
            <w:r>
              <w:rPr>
                <w:sz w:val="25"/>
                <w:szCs w:val="25"/>
                <w:b/>
                <w:bCs/>
                <w:position w:val="2"/>
              </w:rPr>
              <w:t>Han</w:t>
            </w:r>
            <w:hyperlink w:history="true" r:id="rId6">
              <w:r>
                <w:rPr>
                  <w:sz w:val="25"/>
                  <w:szCs w:val="25"/>
                  <w:b/>
                  <w:bCs/>
                  <w:spacing w:val="15"/>
                  <w:position w:val="2"/>
                </w:rPr>
                <w:t xml:space="preserve"> </w:t>
              </w:r>
              <w:r>
                <w:rPr>
                  <w:sz w:val="25"/>
                  <w:szCs w:val="25"/>
                </w:rPr>
                <w:drawing>
                  <wp:inline distT="0" distB="0" distL="0" distR="0">
                    <wp:extent cx="126720" cy="126720"/>
                    <wp:effectExtent l="0" t="0" r="0" b="0"/>
                    <wp:docPr id="8" name="IM 8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8" name="IM 8"/>
                            <pic:cNvPicPr/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26720" cy="12672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sz w:val="25"/>
                  <w:szCs w:val="25"/>
                  <w:b/>
                  <w:bCs/>
                  <w:spacing w:val="-15"/>
                  <w:position w:val="2"/>
                </w:rPr>
                <w:t xml:space="preserve"> </w:t>
              </w:r>
            </w:hyperlink>
            <w:r>
              <w:rPr>
                <w:sz w:val="25"/>
                <w:szCs w:val="25"/>
                <w:b/>
                <w:bCs/>
                <w:spacing w:val="15"/>
                <w:position w:val="2"/>
              </w:rPr>
              <w:t>*</w:t>
            </w:r>
            <w:r>
              <w:rPr>
                <w:sz w:val="17"/>
                <w:szCs w:val="17"/>
                <w:b/>
                <w:bCs/>
                <w:spacing w:val="15"/>
                <w:position w:val="12"/>
              </w:rPr>
              <w:t>,†</w:t>
            </w:r>
          </w:p>
          <w:p>
            <w:pPr>
              <w:pStyle w:val="TableText"/>
              <w:ind w:left="10"/>
              <w:spacing w:before="186" w:line="16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position w:val="2"/>
              </w:rPr>
              <w:t>Department</w:t>
            </w:r>
            <w:r>
              <w:rPr>
                <w:sz w:val="13"/>
                <w:szCs w:val="13"/>
                <w:spacing w:val="10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of Cardiology,</w:t>
            </w:r>
            <w:r>
              <w:rPr>
                <w:sz w:val="13"/>
                <w:szCs w:val="13"/>
                <w:spacing w:val="9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General</w:t>
            </w:r>
            <w:r>
              <w:rPr>
                <w:sz w:val="13"/>
                <w:szCs w:val="13"/>
                <w:spacing w:val="14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Hospital</w:t>
            </w:r>
            <w:r>
              <w:rPr>
                <w:sz w:val="13"/>
                <w:szCs w:val="13"/>
                <w:spacing w:val="8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of</w:t>
            </w:r>
            <w:r>
              <w:rPr>
                <w:sz w:val="13"/>
                <w:szCs w:val="13"/>
                <w:spacing w:val="9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Northern Theater</w:t>
            </w:r>
            <w:r>
              <w:rPr>
                <w:sz w:val="13"/>
                <w:szCs w:val="13"/>
                <w:spacing w:val="9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Command,</w:t>
            </w:r>
            <w:r>
              <w:rPr>
                <w:sz w:val="13"/>
                <w:szCs w:val="13"/>
                <w:spacing w:val="14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No.83 Wenhua</w:t>
            </w:r>
            <w:r>
              <w:rPr>
                <w:sz w:val="13"/>
                <w:szCs w:val="13"/>
                <w:spacing w:val="14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Road,</w:t>
            </w:r>
            <w:r>
              <w:rPr>
                <w:sz w:val="13"/>
                <w:szCs w:val="13"/>
                <w:spacing w:val="9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Shenyang,</w:t>
            </w:r>
            <w:r>
              <w:rPr>
                <w:sz w:val="13"/>
                <w:szCs w:val="13"/>
                <w:spacing w:val="13"/>
                <w:w w:val="102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Liaoning</w:t>
            </w:r>
            <w:r>
              <w:rPr>
                <w:sz w:val="13"/>
                <w:szCs w:val="13"/>
                <w:spacing w:val="14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Province,</w:t>
            </w:r>
            <w:r>
              <w:rPr>
                <w:sz w:val="13"/>
                <w:szCs w:val="13"/>
                <w:spacing w:val="9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2"/>
              </w:rPr>
              <w:t>China</w:t>
            </w:r>
          </w:p>
        </w:tc>
      </w:tr>
      <w:tr>
        <w:trPr>
          <w:trHeight w:val="8313" w:hRule="atLeast"/>
        </w:trPr>
        <w:tc>
          <w:tcPr>
            <w:tcW w:w="516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right="182" w:firstLine="2"/>
              <w:spacing w:before="195" w:line="265" w:lineRule="auto"/>
              <w:jc w:val="both"/>
              <w:rPr>
                <w:sz w:val="11"/>
                <w:szCs w:val="11"/>
              </w:rPr>
            </w:pPr>
            <w:r>
              <w:rPr>
                <w:spacing w:val="-9"/>
              </w:rPr>
              <w:t>The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optimal</w:t>
            </w:r>
            <w:r>
              <w:rPr>
                <w:spacing w:val="31"/>
              </w:rPr>
              <w:t xml:space="preserve"> </w:t>
            </w:r>
            <w:r>
              <w:rPr>
                <w:spacing w:val="-9"/>
              </w:rPr>
              <w:t>strategy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9"/>
              </w:rPr>
              <w:t>r</w:t>
            </w:r>
            <w:r>
              <w:rPr>
                <w:spacing w:val="-10"/>
              </w:rPr>
              <w:t>evascularization</w:t>
            </w:r>
            <w:r>
              <w:rPr>
                <w:spacing w:val="27"/>
              </w:rPr>
              <w:t xml:space="preserve"> </w:t>
            </w:r>
            <w:r>
              <w:rPr>
                <w:spacing w:val="-10"/>
              </w:rPr>
              <w:t>for</w:t>
            </w:r>
            <w:r>
              <w:rPr>
                <w:spacing w:val="31"/>
              </w:rPr>
              <w:t xml:space="preserve"> </w:t>
            </w:r>
            <w:r>
              <w:rPr>
                <w:spacing w:val="-10"/>
              </w:rPr>
              <w:t>diseased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coronary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0"/>
              </w:rPr>
              <w:t>left</w:t>
            </w:r>
            <w:r>
              <w:rPr/>
              <w:t xml:space="preserve"> </w:t>
            </w:r>
            <w:r>
              <w:rPr>
                <w:spacing w:val="-11"/>
              </w:rPr>
              <w:t>main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11"/>
              </w:rPr>
              <w:t>(LM)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1"/>
              </w:rPr>
              <w:t>artery</w:t>
            </w:r>
            <w:r>
              <w:rPr>
                <w:spacing w:val="27"/>
              </w:rPr>
              <w:t xml:space="preserve"> </w:t>
            </w:r>
            <w:r>
              <w:rPr>
                <w:spacing w:val="-11"/>
              </w:rPr>
              <w:t>has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1"/>
              </w:rPr>
              <w:t>been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topic</w:t>
            </w:r>
            <w:r>
              <w:rPr>
                <w:spacing w:val="22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20"/>
              </w:rPr>
              <w:t xml:space="preserve"> </w:t>
            </w:r>
            <w:r>
              <w:rPr>
                <w:spacing w:val="-11"/>
              </w:rPr>
              <w:t>interest</w:t>
            </w:r>
            <w:r>
              <w:rPr>
                <w:spacing w:val="26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1"/>
              </w:rPr>
              <w:t>research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28"/>
              </w:rPr>
              <w:t xml:space="preserve"> </w:t>
            </w:r>
            <w:r>
              <w:rPr>
                <w:spacing w:val="-11"/>
              </w:rPr>
              <w:t>long</w:t>
            </w:r>
            <w:r>
              <w:rPr/>
              <w:t xml:space="preserve"> </w:t>
            </w:r>
            <w:r>
              <w:rPr>
                <w:spacing w:val="-8"/>
              </w:rPr>
              <w:t>time.</w:t>
            </w:r>
            <w:hyperlink w:history="true" w:anchor="bookmark2">
              <w:r>
                <w:rPr>
                  <w:sz w:val="11"/>
                  <w:szCs w:val="11"/>
                  <w:color w:val="0000FF"/>
                  <w:spacing w:val="8"/>
                  <w:position w:val="7"/>
                </w:rPr>
                <w:t>1</w:t>
              </w:r>
            </w:hyperlink>
            <w:r>
              <w:rPr>
                <w:sz w:val="11"/>
                <w:szCs w:val="11"/>
                <w:color w:val="0000FF"/>
                <w:spacing w:val="19"/>
                <w:w w:val="101"/>
                <w:position w:val="7"/>
              </w:rPr>
              <w:t xml:space="preserve"> </w:t>
            </w:r>
            <w:r>
              <w:rPr>
                <w:spacing w:val="-11"/>
              </w:rPr>
              <w:t>Based on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11"/>
              </w:rPr>
              <w:t>exciting</w:t>
            </w:r>
            <w:r>
              <w:rPr>
                <w:spacing w:val="-9"/>
              </w:rPr>
              <w:t xml:space="preserve"> </w:t>
            </w:r>
            <w:r>
              <w:rPr>
                <w:spacing w:val="-11"/>
              </w:rPr>
              <w:t>developments in</w:t>
            </w:r>
            <w:r>
              <w:rPr>
                <w:spacing w:val="-12"/>
              </w:rPr>
              <w:t xml:space="preserve"> engineering, materials, im-</w:t>
            </w:r>
            <w:r>
              <w:rPr/>
              <w:t xml:space="preserve"> </w:t>
            </w:r>
            <w:bookmarkStart w:name="bookmark3" w:id="2"/>
            <w:bookmarkEnd w:id="2"/>
            <w:r>
              <w:rPr>
                <w:spacing w:val="-10"/>
              </w:rPr>
              <w:t>aging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modalities,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new generat</w:t>
            </w:r>
            <w:r>
              <w:rPr>
                <w:spacing w:val="-11"/>
              </w:rPr>
              <w:t>ion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medication,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</w:rPr>
              <w:t>stenting techni-</w:t>
            </w:r>
            <w:r>
              <w:rPr/>
              <w:t xml:space="preserve"> </w:t>
            </w:r>
            <w:r>
              <w:rPr>
                <w:spacing w:val="-15"/>
              </w:rPr>
              <w:t>ques,</w:t>
            </w:r>
            <w:hyperlink w:history="true" w:anchor="bookmark4">
              <w:r>
                <w:rPr>
                  <w:sz w:val="11"/>
                  <w:szCs w:val="11"/>
                  <w:color w:val="0000FF"/>
                  <w:spacing w:val="-3"/>
                  <w:position w:val="7"/>
                </w:rPr>
                <w:t>2</w:t>
              </w:r>
            </w:hyperlink>
            <w:r>
              <w:rPr>
                <w:sz w:val="11"/>
                <w:szCs w:val="11"/>
                <w:color w:val="0000FF"/>
                <w:spacing w:val="7"/>
                <w:w w:val="102"/>
                <w:position w:val="7"/>
              </w:rPr>
              <w:t xml:space="preserve">  </w:t>
            </w:r>
            <w:r>
              <w:rPr>
                <w:spacing w:val="-3"/>
              </w:rPr>
              <w:t>the</w:t>
            </w:r>
            <w:r>
              <w:rPr>
                <w:spacing w:val="34"/>
              </w:rPr>
              <w:t xml:space="preserve"> </w:t>
            </w:r>
            <w:r>
              <w:rPr>
                <w:spacing w:val="-11"/>
              </w:rPr>
              <w:t>Chinese</w:t>
            </w:r>
            <w:r>
              <w:rPr>
                <w:spacing w:val="33"/>
              </w:rPr>
              <w:t xml:space="preserve"> </w:t>
            </w:r>
            <w:r>
              <w:rPr>
                <w:spacing w:val="-11"/>
              </w:rPr>
              <w:t>Society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27"/>
              </w:rPr>
              <w:t xml:space="preserve"> </w:t>
            </w:r>
            <w:r>
              <w:rPr>
                <w:spacing w:val="-11"/>
              </w:rPr>
              <w:t>Cardiology  (CSC)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1"/>
              </w:rPr>
              <w:t>designed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26"/>
              </w:rPr>
              <w:t xml:space="preserve"> </w:t>
            </w:r>
            <w:r>
              <w:rPr>
                <w:spacing w:val="-11"/>
              </w:rPr>
              <w:t>writi</w:t>
            </w:r>
            <w:r>
              <w:rPr>
                <w:spacing w:val="-12"/>
              </w:rPr>
              <w:t>ng</w:t>
            </w:r>
            <w:r>
              <w:rPr/>
              <w:t xml:space="preserve"> </w:t>
            </w:r>
            <w:r>
              <w:rPr>
                <w:spacing w:val="-8"/>
              </w:rPr>
              <w:t>committee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with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8"/>
              </w:rPr>
              <w:t>members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from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three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working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group</w:t>
            </w:r>
            <w:r>
              <w:rPr>
                <w:spacing w:val="-9"/>
              </w:rPr>
              <w:t>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9"/>
              </w:rPr>
              <w:t>(i.e.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clinical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re-</w:t>
            </w:r>
            <w:r>
              <w:rPr/>
              <w:t xml:space="preserve"> </w:t>
            </w:r>
            <w:r>
              <w:rPr>
                <w:spacing w:val="-10"/>
              </w:rPr>
              <w:t>search, intravascular imaging, physiol</w:t>
            </w:r>
            <w:r>
              <w:rPr>
                <w:spacing w:val="-11"/>
              </w:rPr>
              <w:t>ogy, and interventional cardiology)</w:t>
            </w:r>
            <w:r>
              <w:rPr/>
              <w:t xml:space="preserve"> </w:t>
            </w:r>
            <w:bookmarkStart w:name="bookmark5" w:id="3"/>
            <w:bookmarkEnd w:id="3"/>
            <w:r>
              <w:rPr>
                <w:spacing w:val="-8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initialized the first guideline on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percutaneou</w:t>
            </w:r>
            <w:r>
              <w:rPr>
                <w:spacing w:val="-9"/>
              </w:rPr>
              <w:t>s treatment for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LM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bi-</w:t>
            </w:r>
            <w:r>
              <w:rPr/>
              <w:t xml:space="preserve"> </w:t>
            </w:r>
            <w:r>
              <w:rPr>
                <w:spacing w:val="-11"/>
              </w:rPr>
              <w:t>furcation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lesions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China.</w:t>
            </w:r>
            <w:hyperlink w:history="true" w:anchor="bookmark6">
              <w:r>
                <w:rPr>
                  <w:sz w:val="11"/>
                  <w:szCs w:val="11"/>
                  <w:color w:val="0000FF"/>
                  <w:spacing w:val="10"/>
                  <w:position w:val="7"/>
                </w:rPr>
                <w:t>3</w:t>
              </w:r>
            </w:hyperlink>
          </w:p>
          <w:p>
            <w:pPr>
              <w:pStyle w:val="TableText"/>
              <w:ind w:right="175" w:firstLine="203"/>
              <w:spacing w:before="1" w:line="266" w:lineRule="auto"/>
              <w:tabs>
                <w:tab w:val="left" w:pos="197"/>
              </w:tabs>
              <w:jc w:val="right"/>
              <w:rPr/>
            </w:pPr>
            <w:r>
              <w:rPr>
                <w:spacing w:val="-12"/>
              </w:rPr>
              <w:t>Both anatomic characteristics of LM and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clinical</w:t>
            </w:r>
            <w:r>
              <w:rPr>
                <w:spacing w:val="-5"/>
              </w:rPr>
              <w:t xml:space="preserve"> </w:t>
            </w:r>
            <w:r>
              <w:rPr>
                <w:spacing w:val="-12"/>
              </w:rPr>
              <w:t>variables</w:t>
            </w:r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are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determi-</w:t>
            </w:r>
            <w:r>
              <w:rPr/>
              <w:t xml:space="preserve"> </w:t>
            </w:r>
            <w:r>
              <w:rPr>
                <w:spacing w:val="-12"/>
              </w:rPr>
              <w:t>nants of clinical outcomes after stenting of</w:t>
            </w:r>
            <w:r>
              <w:rPr>
                <w:spacing w:val="-11"/>
              </w:rPr>
              <w:t xml:space="preserve"> </w:t>
            </w:r>
            <w:r>
              <w:rPr>
                <w:spacing w:val="-12"/>
              </w:rPr>
              <w:t>the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LM. The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Medina classifica-</w:t>
            </w:r>
            <w:r>
              <w:rPr/>
              <w:t xml:space="preserve"> </w:t>
            </w:r>
            <w:r>
              <w:rPr>
                <w:spacing w:val="-14"/>
              </w:rPr>
              <w:t>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4"/>
              </w:rPr>
              <w:t>is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simple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easy-to-understand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-14"/>
              </w:rPr>
              <w:t>use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classification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system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to</w:t>
            </w:r>
            <w:r>
              <w:rPr/>
              <w:t xml:space="preserve"> </w:t>
            </w:r>
            <w:r>
              <w:rPr>
                <w:spacing w:val="-9"/>
              </w:rPr>
              <w:t>report  the</w:t>
            </w:r>
            <w:r>
              <w:rPr>
                <w:spacing w:val="6"/>
              </w:rPr>
              <w:t xml:space="preserve">  </w:t>
            </w:r>
            <w:r>
              <w:rPr>
                <w:spacing w:val="-9"/>
              </w:rPr>
              <w:t>percentage  of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9"/>
              </w:rPr>
              <w:t>tru</w:t>
            </w:r>
            <w:r>
              <w:rPr>
                <w:spacing w:val="-10"/>
              </w:rPr>
              <w:t>e   or  false   bifurcations.   Definitionsand</w:t>
            </w:r>
            <w:r>
              <w:rPr/>
              <w:t xml:space="preserve"> </w:t>
            </w:r>
            <w:r>
              <w:rPr>
                <w:spacing w:val="-10"/>
              </w:rPr>
              <w:t>Impact  of  Complex  Bifurcation  Lesions  on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10"/>
              </w:rPr>
              <w:t>Clinical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10"/>
              </w:rPr>
              <w:t>Outcomes  After</w:t>
            </w:r>
            <w:r>
              <w:rPr/>
              <w:t xml:space="preserve"> </w:t>
            </w:r>
            <w:r>
              <w:rPr>
                <w:spacing w:val="-11"/>
              </w:rPr>
              <w:t>Percutaneous</w:t>
            </w:r>
            <w:r>
              <w:rPr>
                <w:spacing w:val="-12"/>
              </w:rPr>
              <w:t xml:space="preserve"> </w:t>
            </w:r>
            <w:r>
              <w:rPr>
                <w:spacing w:val="-11"/>
              </w:rPr>
              <w:t>Coronary Interventio</w:t>
            </w:r>
            <w:r>
              <w:rPr>
                <w:spacing w:val="-12"/>
              </w:rPr>
              <w:t>n Using Drug-Eluting</w:t>
            </w:r>
            <w:r>
              <w:rPr>
                <w:spacing w:val="-13"/>
              </w:rPr>
              <w:t xml:space="preserve"> </w:t>
            </w:r>
            <w:r>
              <w:rPr>
                <w:spacing w:val="-12"/>
              </w:rPr>
              <w:t>Stents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differenti-</w:t>
            </w:r>
            <w:r>
              <w:rPr/>
              <w:t xml:space="preserve"> </w:t>
            </w:r>
            <w:r>
              <w:rPr>
                <w:spacing w:val="-12"/>
              </w:rPr>
              <w:t>ate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simple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from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complex</w:t>
            </w:r>
            <w:r>
              <w:rPr>
                <w:spacing w:val="22"/>
              </w:rPr>
              <w:t xml:space="preserve"> </w:t>
            </w:r>
            <w:r>
              <w:rPr>
                <w:spacing w:val="-12"/>
              </w:rPr>
              <w:t>bifurcation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2"/>
              </w:rPr>
              <w:t>lesions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guide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the</w:t>
            </w:r>
            <w:r>
              <w:rPr>
                <w:spacing w:val="18"/>
              </w:rPr>
              <w:t xml:space="preserve"> </w:t>
            </w:r>
            <w:r>
              <w:rPr>
                <w:spacing w:val="-12"/>
              </w:rPr>
              <w:t>selection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of</w:t>
            </w:r>
            <w:r>
              <w:rPr/>
              <w:t xml:space="preserve"> </w:t>
            </w:r>
            <w:r>
              <w:rPr>
                <w:spacing w:val="-13"/>
              </w:rPr>
              <w:t>stenting techniques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(I,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B).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Using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combination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of anat</w:t>
            </w:r>
            <w:r>
              <w:rPr>
                <w:spacing w:val="-14"/>
              </w:rPr>
              <w:t>omical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clinical</w:t>
            </w:r>
            <w:r>
              <w:rPr/>
              <w:t xml:space="preserve"> </w:t>
            </w:r>
            <w:r>
              <w:rPr>
                <w:spacing w:val="-12"/>
              </w:rPr>
              <w:t>variables  (i.e.  New  Risk</w:t>
            </w:r>
            <w:r>
              <w:rPr>
                <w:spacing w:val="28"/>
              </w:rPr>
              <w:t xml:space="preserve"> </w:t>
            </w:r>
            <w:r>
              <w:rPr>
                <w:spacing w:val="-12"/>
              </w:rPr>
              <w:t>Stratification  II  or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2"/>
              </w:rPr>
              <w:t>Synergy  between </w:t>
            </w:r>
            <w:r>
              <w:rPr>
                <w:spacing w:val="-13"/>
              </w:rPr>
              <w:t xml:space="preserve"> PCI</w:t>
            </w:r>
            <w:r>
              <w:rPr>
                <w:spacing w:val="23"/>
              </w:rPr>
              <w:t xml:space="preserve"> </w:t>
            </w:r>
            <w:r>
              <w:rPr>
                <w:spacing w:val="-13"/>
              </w:rPr>
              <w:t>with</w:t>
            </w:r>
            <w:r>
              <w:rPr/>
              <w:t xml:space="preserve"> </w:t>
            </w:r>
            <w:r>
              <w:rPr>
                <w:spacing w:val="-12"/>
              </w:rPr>
              <w:t>Taxus and Cardiac Surgery II) to stratify patients, guide the ste</w:t>
            </w:r>
            <w:r>
              <w:rPr>
                <w:spacing w:val="-13"/>
              </w:rPr>
              <w:t>nting selec-</w:t>
            </w:r>
            <w:r>
              <w:rPr/>
              <w:t xml:space="preserve"> </w:t>
            </w:r>
            <w:r>
              <w:rPr>
                <w:spacing w:val="-10"/>
              </w:rPr>
              <w:t>tion, and predict clinical outcomes after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LM stenting tr</w:t>
            </w:r>
            <w:r>
              <w:rPr>
                <w:spacing w:val="-11"/>
              </w:rPr>
              <w:t>eatment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is recom-</w:t>
            </w:r>
            <w:r>
              <w:rPr/>
              <w:t xml:space="preserve"> </w:t>
            </w:r>
            <w:r>
              <w:rPr>
                <w:spacing w:val="-10"/>
              </w:rPr>
              <w:t>mended  (I,  A).  Moreover,  the</w:t>
            </w:r>
            <w:r>
              <w:rPr>
                <w:spacing w:val="63"/>
              </w:rPr>
              <w:t xml:space="preserve"> </w:t>
            </w:r>
            <w:r>
              <w:rPr>
                <w:spacing w:val="-10"/>
              </w:rPr>
              <w:t>recommendation</w:t>
            </w:r>
            <w:r>
              <w:rPr/>
              <w:t xml:space="preserve">  </w:t>
            </w:r>
            <w:r>
              <w:rPr>
                <w:spacing w:val="-10"/>
              </w:rPr>
              <w:t>is  that  the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primary</w:t>
            </w:r>
            <w:r>
              <w:rPr/>
              <w:t xml:space="preserve"> </w:t>
            </w:r>
            <w:r>
              <w:rPr>
                <w:spacing w:val="-13"/>
              </w:rPr>
              <w:t>operator</w:t>
            </w:r>
            <w:r>
              <w:rPr>
                <w:spacing w:val="18"/>
              </w:rPr>
              <w:t xml:space="preserve"> </w:t>
            </w:r>
            <w:r>
              <w:rPr>
                <w:spacing w:val="-13"/>
              </w:rPr>
              <w:t>is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required to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have at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least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25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cases/per year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(IIa,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C), as well as</w:t>
            </w:r>
            <w:r>
              <w:rPr/>
              <w:t xml:space="preserve"> </w:t>
            </w:r>
            <w:r>
              <w:rPr>
                <w:spacing w:val="-1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multidisciplinary</w:t>
            </w:r>
            <w:r>
              <w:rPr>
                <w:spacing w:val="-15"/>
              </w:rPr>
              <w:t xml:space="preserve"> </w:t>
            </w:r>
            <w:r>
              <w:rPr>
                <w:spacing w:val="-13"/>
              </w:rPr>
              <w:t>cooperation</w:t>
            </w:r>
            <w:r>
              <w:rPr>
                <w:spacing w:val="-16"/>
              </w:rPr>
              <w:t xml:space="preserve"> </w:t>
            </w:r>
            <w:r>
              <w:rPr>
                <w:spacing w:val="-13"/>
              </w:rPr>
              <w:t>consisting</w:t>
            </w:r>
            <w:r>
              <w:rPr>
                <w:spacing w:val="-15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-24"/>
              </w:rPr>
              <w:t xml:space="preserve"> </w:t>
            </w:r>
            <w:r>
              <w:rPr>
                <w:spacing w:val="-13"/>
              </w:rPr>
              <w:t>cardiac</w:t>
            </w:r>
            <w:r>
              <w:rPr>
                <w:spacing w:val="-15"/>
              </w:rPr>
              <w:t xml:space="preserve"> </w:t>
            </w:r>
            <w:r>
              <w:rPr>
                <w:spacing w:val="-13"/>
              </w:rPr>
              <w:t>surgeons,</w:t>
            </w:r>
            <w:r>
              <w:rPr>
                <w:spacing w:val="-17"/>
              </w:rPr>
              <w:t xml:space="preserve"> </w:t>
            </w:r>
            <w:r>
              <w:rPr>
                <w:spacing w:val="-13"/>
              </w:rPr>
              <w:t>anesthetists,</w:t>
            </w:r>
            <w:r>
              <w:rPr/>
              <w:t xml:space="preserve"> </w:t>
            </w:r>
            <w:r>
              <w:rPr>
                <w:spacing w:val="-13"/>
              </w:rPr>
              <w:t>imaging experts, and vascular surgeo</w:t>
            </w:r>
            <w:r>
              <w:rPr>
                <w:spacing w:val="-14"/>
              </w:rPr>
              <w:t>ns to assess the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indications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pro-</w:t>
            </w:r>
            <w:r>
              <w:rPr/>
              <w:t xml:space="preserve"> </w:t>
            </w:r>
            <w:r>
              <w:rPr>
                <w:spacing w:val="-10"/>
              </w:rPr>
              <w:t>tocols of mechanical circulatory support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for </w:t>
            </w:r>
            <w:r>
              <w:rPr>
                <w:spacing w:val="-11"/>
              </w:rPr>
              <w:t>LM bifurcation stenting (I, C).</w:t>
            </w:r>
            <w:r>
              <w:rPr/>
              <w:t xml:space="preserve"> </w:t>
            </w:r>
            <w:r>
              <w:rPr/>
              <w:tab/>
            </w:r>
            <w:r>
              <w:rPr>
                <w:spacing w:val="-9"/>
              </w:rPr>
              <w:t>Classification  of</w:t>
            </w:r>
            <w:r>
              <w:rPr>
                <w:spacing w:val="37"/>
              </w:rPr>
              <w:t xml:space="preserve"> </w:t>
            </w:r>
            <w:r>
              <w:rPr>
                <w:spacing w:val="-9"/>
              </w:rPr>
              <w:t>lesion  complexity  is  recommende</w:t>
            </w:r>
            <w:r>
              <w:rPr>
                <w:spacing w:val="-10"/>
              </w:rPr>
              <w:t>d  for  selecting</w:t>
            </w:r>
            <w:r>
              <w:rPr/>
              <w:t xml:space="preserve"> </w:t>
            </w:r>
            <w:r>
              <w:rPr>
                <w:spacing w:val="-10"/>
              </w:rPr>
              <w:t>stenting techniques.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Provisional </w:t>
            </w:r>
            <w:r>
              <w:rPr>
                <w:spacing w:val="-11"/>
              </w:rPr>
              <w:t>stenting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(PS) is recommended for false</w:t>
            </w:r>
            <w:r>
              <w:rPr/>
              <w:t xml:space="preserve"> </w:t>
            </w:r>
            <w:r>
              <w:rPr>
                <w:spacing w:val="-11"/>
              </w:rPr>
              <w:t>bifurcation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lesions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(I, A).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PS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is</w:t>
            </w:r>
            <w:r>
              <w:rPr>
                <w:spacing w:val="-12"/>
              </w:rPr>
              <w:t xml:space="preserve"> also the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recommended approach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(IIa,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B)</w:t>
            </w:r>
            <w:r>
              <w:rPr/>
              <w:t xml:space="preserve"> </w:t>
            </w:r>
            <w:r>
              <w:rPr>
                <w:spacing w:val="-9"/>
              </w:rPr>
              <w:t>for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9"/>
              </w:rPr>
              <w:t>DEFINITION</w:t>
            </w:r>
            <w:r>
              <w:rPr>
                <w:spacing w:val="27"/>
              </w:rPr>
              <w:t xml:space="preserve"> </w:t>
            </w:r>
            <w:r>
              <w:rPr>
                <w:spacing w:val="-9"/>
              </w:rPr>
              <w:t>criteria-defined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9"/>
              </w:rPr>
              <w:t>simple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9"/>
              </w:rPr>
              <w:t>LM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bifurcation</w:t>
            </w:r>
            <w:r>
              <w:rPr>
                <w:spacing w:val="33"/>
              </w:rPr>
              <w:t xml:space="preserve"> </w:t>
            </w:r>
            <w:r>
              <w:rPr>
                <w:spacing w:val="-9"/>
              </w:rPr>
              <w:t>lesions.</w:t>
            </w:r>
            <w:r>
              <w:rPr>
                <w:spacing w:val="24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/>
              <w:t xml:space="preserve"> </w:t>
            </w:r>
            <w:r>
              <w:rPr>
                <w:spacing w:val="-8"/>
              </w:rPr>
              <w:t>‘double-kissing’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(DK)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crush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stenting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for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8"/>
              </w:rPr>
              <w:t>DEFINITION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cr</w:t>
            </w:r>
            <w:r>
              <w:rPr>
                <w:spacing w:val="-9"/>
              </w:rPr>
              <w:t>iteria-defined</w:t>
            </w:r>
            <w:r>
              <w:rPr/>
              <w:t xml:space="preserve"> </w:t>
            </w:r>
            <w:r>
              <w:rPr>
                <w:spacing w:val="-10"/>
              </w:rPr>
              <w:t>complex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0"/>
              </w:rPr>
              <w:t>bifurcation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0"/>
              </w:rPr>
              <w:t>lesions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21"/>
              </w:rPr>
              <w:t xml:space="preserve"> </w:t>
            </w:r>
            <w:r>
              <w:rPr>
                <w:spacing w:val="-10"/>
              </w:rPr>
              <w:t>recommend</w:t>
            </w:r>
            <w:r>
              <w:rPr>
                <w:spacing w:val="-11"/>
              </w:rPr>
              <w:t>ed</w:t>
            </w:r>
            <w:r>
              <w:rPr>
                <w:spacing w:val="23"/>
              </w:rPr>
              <w:t xml:space="preserve"> </w:t>
            </w:r>
            <w:r>
              <w:rPr>
                <w:spacing w:val="-11"/>
              </w:rPr>
              <w:t>(I,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</w:rPr>
              <w:t>A).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1"/>
              </w:rPr>
              <w:t>Patients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</w:rPr>
              <w:t>with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LM</w:t>
            </w:r>
            <w:r>
              <w:rPr/>
              <w:t xml:space="preserve"> </w:t>
            </w:r>
            <w:r>
              <w:rPr>
                <w:spacing w:val="-9"/>
              </w:rPr>
              <w:t>disease  are  at  high  risk  of  circulatory</w:t>
            </w:r>
            <w:r>
              <w:rPr>
                <w:spacing w:val="44"/>
              </w:rPr>
              <w:t xml:space="preserve"> </w:t>
            </w:r>
            <w:r>
              <w:rPr>
                <w:spacing w:val="-9"/>
              </w:rPr>
              <w:t>collaps</w:t>
            </w:r>
            <w:r>
              <w:rPr>
                <w:spacing w:val="-10"/>
              </w:rPr>
              <w:t>e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0"/>
              </w:rPr>
              <w:t>during  the</w:t>
            </w:r>
            <w:r>
              <w:rPr>
                <w:spacing w:val="45"/>
              </w:rPr>
              <w:t xml:space="preserve"> </w:t>
            </w:r>
            <w:r>
              <w:rPr>
                <w:spacing w:val="-10"/>
              </w:rPr>
              <w:t>stenting</w:t>
            </w:r>
            <w:r>
              <w:rPr/>
              <w:t xml:space="preserve"> </w:t>
            </w:r>
            <w:r>
              <w:rPr>
                <w:spacing w:val="-8"/>
              </w:rPr>
              <w:t>procedure.  Intra-aortic  balloon</w:t>
            </w:r>
            <w:r>
              <w:rPr>
                <w:spacing w:val="3"/>
              </w:rPr>
              <w:t xml:space="preserve">  </w:t>
            </w:r>
            <w:r>
              <w:rPr>
                <w:spacing w:val="-8"/>
              </w:rPr>
              <w:t>pump,</w:t>
            </w:r>
            <w:r>
              <w:rPr>
                <w:spacing w:val="4"/>
              </w:rPr>
              <w:t xml:space="preserve">  </w:t>
            </w:r>
            <w:r>
              <w:rPr>
                <w:spacing w:val="-8"/>
              </w:rPr>
              <w:t>Impella,</w:t>
            </w:r>
            <w:r>
              <w:rPr/>
              <w:t xml:space="preserve">  </w:t>
            </w:r>
            <w:r>
              <w:rPr>
                <w:spacing w:val="-9"/>
              </w:rPr>
              <w:t>and</w:t>
            </w:r>
            <w:r>
              <w:rPr>
                <w:spacing w:val="1"/>
              </w:rPr>
              <w:t xml:space="preserve">  </w:t>
            </w:r>
            <w:r>
              <w:rPr>
                <w:spacing w:val="-9"/>
              </w:rPr>
              <w:t>extracorporeal</w:t>
            </w:r>
            <w:r>
              <w:rPr/>
              <w:t xml:space="preserve"> </w:t>
            </w:r>
            <w:r>
              <w:rPr>
                <w:spacing w:val="-9"/>
              </w:rPr>
              <w:t>membrane</w:t>
            </w:r>
            <w:r>
              <w:rPr>
                <w:spacing w:val="7"/>
              </w:rPr>
              <w:t xml:space="preserve">  </w:t>
            </w:r>
            <w:r>
              <w:rPr>
                <w:spacing w:val="-9"/>
              </w:rPr>
              <w:t>oxygenation</w:t>
            </w:r>
            <w:r>
              <w:rPr>
                <w:spacing w:val="7"/>
              </w:rPr>
              <w:t xml:space="preserve">  </w:t>
            </w:r>
            <w:r>
              <w:rPr>
                <w:spacing w:val="-9"/>
              </w:rPr>
              <w:t>are</w:t>
            </w:r>
            <w:r>
              <w:rPr>
                <w:spacing w:val="10"/>
              </w:rPr>
              <w:t xml:space="preserve">  </w:t>
            </w:r>
            <w:r>
              <w:rPr>
                <w:spacing w:val="-9"/>
              </w:rPr>
              <w:t>recommended  for   patients  with</w:t>
            </w:r>
            <w:r>
              <w:rPr>
                <w:spacing w:val="-10"/>
              </w:rPr>
              <w:t xml:space="preserve">   LM</w:t>
            </w:r>
          </w:p>
        </w:tc>
        <w:tc>
          <w:tcPr>
            <w:tcW w:w="516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9" w:right="6"/>
              <w:spacing w:before="196" w:line="258" w:lineRule="auto"/>
              <w:rPr/>
            </w:pPr>
            <w:r>
              <w:rPr>
                <w:spacing w:val="-12"/>
              </w:rPr>
              <w:t>bifurcation</w:t>
            </w:r>
            <w:r>
              <w:rPr>
                <w:spacing w:val="21"/>
              </w:rPr>
              <w:t xml:space="preserve"> </w:t>
            </w:r>
            <w:r>
              <w:rPr>
                <w:spacing w:val="-12"/>
              </w:rPr>
              <w:t>lesions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unstable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haemodynamics,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performed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by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an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ex-</w:t>
            </w:r>
            <w:r>
              <w:rPr/>
              <w:t xml:space="preserve"> </w:t>
            </w:r>
            <w:r>
              <w:rPr>
                <w:spacing w:val="-9"/>
              </w:rPr>
              <w:t>perienced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multidiscip</w:t>
            </w:r>
            <w:r>
              <w:rPr>
                <w:spacing w:val="-10"/>
              </w:rPr>
              <w:t>linary team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(IIa,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C).</w:t>
            </w:r>
          </w:p>
          <w:p>
            <w:pPr>
              <w:pStyle w:val="TableText"/>
              <w:ind w:left="177" w:right="3" w:firstLine="194"/>
              <w:spacing w:before="11" w:line="265" w:lineRule="auto"/>
              <w:jc w:val="both"/>
              <w:rPr/>
            </w:pPr>
            <w:bookmarkStart w:name="bookmark7" w:id="4"/>
            <w:bookmarkEnd w:id="4"/>
            <w:r>
              <w:rPr>
                <w:spacing w:val="-12"/>
              </w:rPr>
              <w:t>Intravascular imaging and physiologic assessment play a critical role in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stenting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2"/>
              </w:rPr>
              <w:t>bifurcation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2"/>
              </w:rP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spacing w:val="-12"/>
              </w:rPr>
              <w:t>LM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2"/>
              </w:rPr>
              <w:t>disease.</w:t>
            </w:r>
            <w:hyperlink w:history="true" w:anchor="bookmark8">
              <w:r>
                <w:rPr>
                  <w:sz w:val="11"/>
                  <w:szCs w:val="11"/>
                  <w:color w:val="0000FF"/>
                  <w:spacing w:val="10"/>
                  <w:position w:val="7"/>
                </w:rPr>
                <w:t>4</w:t>
              </w:r>
            </w:hyperlink>
            <w:r>
              <w:rPr>
                <w:sz w:val="11"/>
                <w:szCs w:val="11"/>
                <w:color w:val="0000FF"/>
                <w:spacing w:val="8"/>
                <w:w w:val="101"/>
                <w:position w:val="7"/>
              </w:rPr>
              <w:t xml:space="preserve">  </w:t>
            </w:r>
            <w:r>
              <w:rPr>
                <w:spacing w:val="-11"/>
              </w:rPr>
              <w:t>Intravascular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ultrasound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1"/>
              </w:rPr>
              <w:t>(</w:t>
            </w:r>
            <w:r>
              <w:rPr>
                <w:spacing w:val="-12"/>
              </w:rPr>
              <w:t>IVUS)</w:t>
            </w:r>
            <w:r>
              <w:rPr/>
              <w:t xml:space="preserve"> </w:t>
            </w:r>
            <w:r>
              <w:rPr>
                <w:spacing w:val="-11"/>
              </w:rPr>
              <w:t>assessment is recommended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from </w:t>
            </w:r>
            <w:r>
              <w:rPr>
                <w:spacing w:val="-12"/>
              </w:rPr>
              <w:t>lesion preparation,</w:t>
            </w:r>
            <w:r>
              <w:rPr>
                <w:spacing w:val="-17"/>
              </w:rPr>
              <w:t xml:space="preserve"> </w:t>
            </w:r>
            <w:r>
              <w:rPr>
                <w:spacing w:val="-12"/>
              </w:rPr>
              <w:t>guiding device se-</w:t>
            </w:r>
            <w:r>
              <w:rPr/>
              <w:t xml:space="preserve"> </w:t>
            </w:r>
            <w:r>
              <w:rPr>
                <w:spacing w:val="-12"/>
              </w:rPr>
              <w:t>lection,  and  assessing   stent   expansion</w:t>
            </w:r>
            <w:r>
              <w:rPr>
                <w:spacing w:val="6"/>
              </w:rPr>
              <w:t xml:space="preserve">  </w:t>
            </w:r>
            <w:r>
              <w:rPr>
                <w:spacing w:val="-12"/>
              </w:rPr>
              <w:t>(I,</w:t>
            </w:r>
            <w:r>
              <w:rPr>
                <w:spacing w:val="7"/>
              </w:rPr>
              <w:t xml:space="preserve">  </w:t>
            </w:r>
            <w:r>
              <w:rPr>
                <w:spacing w:val="-12"/>
              </w:rPr>
              <w:t>B).</w:t>
            </w:r>
            <w:r>
              <w:rPr>
                <w:spacing w:val="6"/>
              </w:rPr>
              <w:t xml:space="preserve">  </w:t>
            </w:r>
            <w:r>
              <w:rPr>
                <w:spacing w:val="-12"/>
              </w:rPr>
              <w:t>Minimal</w:t>
            </w:r>
            <w:r>
              <w:rPr>
                <w:spacing w:val="6"/>
              </w:rPr>
              <w:t xml:space="preserve">  </w:t>
            </w:r>
            <w:r>
              <w:rPr>
                <w:spacing w:val="-12"/>
              </w:rPr>
              <w:t>lumen  area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&gt;6.0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mm</w:t>
            </w:r>
            <w:r>
              <w:rPr>
                <w:sz w:val="11"/>
                <w:szCs w:val="11"/>
                <w:spacing w:val="9"/>
                <w:position w:val="7"/>
              </w:rPr>
              <w:t>2</w:t>
            </w:r>
            <w:r>
              <w:rPr>
                <w:sz w:val="11"/>
                <w:szCs w:val="11"/>
                <w:spacing w:val="2"/>
                <w:position w:val="7"/>
              </w:rPr>
              <w:t xml:space="preserve">  </w:t>
            </w:r>
            <w:r>
              <w:rPr>
                <w:spacing w:val="-11"/>
              </w:rPr>
              <w:t>measured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by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IVUS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is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indication for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deferring</w:t>
            </w:r>
            <w:r>
              <w:rPr>
                <w:spacing w:val="17"/>
              </w:rPr>
              <w:t xml:space="preserve"> </w:t>
            </w:r>
            <w:r>
              <w:rPr>
                <w:spacing w:val="-11"/>
              </w:rPr>
              <w:t>LM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percutan-</w:t>
            </w:r>
            <w:r>
              <w:rPr/>
              <w:t xml:space="preserve"> </w:t>
            </w:r>
            <w:r>
              <w:rPr>
                <w:spacing w:val="-10"/>
              </w:rPr>
              <w:t>eous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0"/>
              </w:rPr>
              <w:t>coronary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0"/>
              </w:rPr>
              <w:t>intervention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0"/>
              </w:rPr>
              <w:t>(IIa,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0"/>
              </w:rPr>
              <w:t>B).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Compared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with</w:t>
            </w:r>
            <w:r>
              <w:rPr>
                <w:spacing w:val="21"/>
              </w:rPr>
              <w:t xml:space="preserve"> </w:t>
            </w:r>
            <w:r>
              <w:rPr>
                <w:spacing w:val="-10"/>
              </w:rPr>
              <w:t>IVUS,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optical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co-</w:t>
            </w:r>
            <w:r>
              <w:rPr/>
              <w:t xml:space="preserve"> </w:t>
            </w:r>
            <w:r>
              <w:rPr>
                <w:spacing w:val="-10"/>
              </w:rPr>
              <w:t>heren</w:t>
            </w:r>
            <w:r>
              <w:rPr>
                <w:spacing w:val="-9"/>
              </w:rPr>
              <w:t>ce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tomography  (OCT)  has  an  increased  </w:t>
            </w:r>
            <w:r>
              <w:rPr>
                <w:spacing w:val="-10"/>
              </w:rPr>
              <w:t>resolution  but  wea</w:t>
            </w:r>
            <w:r>
              <w:rPr>
                <w:spacing w:val="-5"/>
              </w:rPr>
              <w:t>k</w:t>
            </w:r>
            <w:r>
              <w:rPr/>
              <w:t xml:space="preserve"> </w:t>
            </w:r>
            <w:r>
              <w:rPr>
                <w:spacing w:val="-9"/>
              </w:rPr>
              <w:t>penetration.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For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LM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bifurcation stenting, OCT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is used clinically and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re-</w:t>
            </w:r>
            <w:r>
              <w:rPr/>
              <w:t xml:space="preserve"> </w:t>
            </w:r>
            <w:r>
              <w:rPr>
                <w:spacing w:val="-12"/>
              </w:rPr>
              <w:t>commended (IIa, B), because of</w:t>
            </w:r>
            <w:r>
              <w:rPr>
                <w:spacing w:val="-15"/>
              </w:rPr>
              <w:t xml:space="preserve"> </w:t>
            </w:r>
            <w:r>
              <w:rPr>
                <w:spacing w:val="-12"/>
              </w:rPr>
              <w:t>quick scanning for acquisition of</w:t>
            </w:r>
            <w:r>
              <w:rPr>
                <w:spacing w:val="-10"/>
              </w:rPr>
              <w:t xml:space="preserve"> </w:t>
            </w:r>
            <w:r>
              <w:rPr>
                <w:spacing w:val="-12"/>
              </w:rPr>
              <w:t>images,</w:t>
            </w:r>
            <w:r>
              <w:rPr/>
              <w:t xml:space="preserve"> </w:t>
            </w:r>
            <w:r>
              <w:rPr>
                <w:spacing w:val="-12"/>
              </w:rPr>
              <w:t>more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2"/>
              </w:rPr>
              <w:t>accurate</w:t>
            </w:r>
            <w:r>
              <w:rPr>
                <w:spacing w:val="24"/>
              </w:rPr>
              <w:t xml:space="preserve"> </w:t>
            </w:r>
            <w:r>
              <w:rPr>
                <w:spacing w:val="-12"/>
              </w:rPr>
              <w:t>analysis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2"/>
              </w:rPr>
              <w:t>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2"/>
              </w:rPr>
              <w:t>plaque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2"/>
              </w:rPr>
              <w:t>specificit</w:t>
            </w:r>
            <w:r>
              <w:rPr>
                <w:spacing w:val="-13"/>
              </w:rPr>
              <w:t>ies,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3"/>
              </w:rPr>
              <w:t>more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3"/>
              </w:rPr>
              <w:t>accurate</w:t>
            </w:r>
            <w:r>
              <w:rPr>
                <w:spacing w:val="24"/>
              </w:rPr>
              <w:t xml:space="preserve"> </w:t>
            </w:r>
            <w:r>
              <w:rPr>
                <w:spacing w:val="-13"/>
              </w:rPr>
              <w:t>assess-</w:t>
            </w:r>
            <w:r>
              <w:rPr/>
              <w:t xml:space="preserve"> </w:t>
            </w:r>
            <w:r>
              <w:rPr>
                <w:spacing w:val="-10"/>
              </w:rPr>
              <w:t>ment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of stent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expansion, vascular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injury,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compl</w:t>
            </w:r>
            <w:r>
              <w:rPr>
                <w:spacing w:val="-11"/>
              </w:rPr>
              <w:t>ications.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Fractional</w:t>
            </w:r>
            <w:r>
              <w:rPr/>
              <w:t xml:space="preserve"> </w:t>
            </w:r>
            <w:r>
              <w:rPr>
                <w:spacing w:val="-11"/>
              </w:rPr>
              <w:t>flow</w:t>
            </w:r>
            <w:r>
              <w:rPr>
                <w:spacing w:val="23"/>
              </w:rPr>
              <w:t xml:space="preserve"> </w:t>
            </w:r>
            <w:r>
              <w:rPr>
                <w:spacing w:val="-11"/>
              </w:rPr>
              <w:t>reserve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is the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gold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standard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physiological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</w:rPr>
              <w:t>assessment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myo-</w:t>
            </w:r>
            <w:r>
              <w:rPr/>
              <w:t xml:space="preserve"> </w:t>
            </w:r>
            <w:r>
              <w:rPr>
                <w:spacing w:val="-10"/>
              </w:rPr>
              <w:t>cardial ischaemia and is recommended to guide LM bifur</w:t>
            </w:r>
            <w:r>
              <w:rPr>
                <w:spacing w:val="-11"/>
              </w:rPr>
              <w:t>cation</w:t>
            </w:r>
            <w:r>
              <w:rPr>
                <w:spacing w:val="-1"/>
              </w:rPr>
              <w:t xml:space="preserve"> </w:t>
            </w:r>
            <w:r>
              <w:rPr>
                <w:spacing w:val="-11"/>
              </w:rPr>
              <w:t>stenting</w:t>
            </w:r>
            <w:r>
              <w:rPr/>
              <w:t xml:space="preserve"> </w:t>
            </w:r>
            <w:r>
              <w:rPr>
                <w:spacing w:val="-7"/>
              </w:rPr>
              <w:t>to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determine the treatment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opti</w:t>
            </w:r>
            <w:r>
              <w:rPr>
                <w:spacing w:val="-8"/>
              </w:rPr>
              <w:t>on for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side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branch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(IIa,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B).</w:t>
            </w:r>
          </w:p>
          <w:p>
            <w:pPr>
              <w:pStyle w:val="TableText"/>
              <w:ind w:left="177" w:firstLine="194"/>
              <w:spacing w:before="12" w:line="265" w:lineRule="auto"/>
              <w:jc w:val="both"/>
              <w:rPr/>
            </w:pPr>
            <w:bookmarkStart w:name="bookmark9" w:id="5"/>
            <w:bookmarkEnd w:id="5"/>
            <w:r>
              <w:rPr>
                <w:spacing w:val="-13"/>
              </w:rPr>
              <w:t>Dual antiplatelet </w:t>
            </w:r>
            <w:r>
              <w:rPr>
                <w:spacing w:val="-12"/>
              </w:rPr>
              <w:t>therapy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(DAPT)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strategy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aims to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balance the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risks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o</w:t>
            </w:r>
            <w:r>
              <w:rPr>
                <w:spacing w:val="6"/>
              </w:rPr>
              <w:t>f</w:t>
            </w:r>
            <w:r>
              <w:rPr/>
              <w:t xml:space="preserve"> </w:t>
            </w:r>
            <w:r>
              <w:rPr>
                <w:spacing w:val="-16"/>
              </w:rPr>
              <w:t>bleeding  and  ischaemia.</w:t>
            </w:r>
            <w:hyperlink w:history="true" w:anchor="bookmark10">
              <w:r>
                <w:rPr>
                  <w:sz w:val="11"/>
                  <w:szCs w:val="11"/>
                  <w:color w:val="0000FF"/>
                  <w:spacing w:val="9"/>
                  <w:position w:val="7"/>
                </w:rPr>
                <w:t>5</w:t>
              </w:r>
            </w:hyperlink>
            <w:r>
              <w:rPr>
                <w:sz w:val="11"/>
                <w:szCs w:val="11"/>
                <w:color w:val="0000FF"/>
                <w:spacing w:val="4"/>
                <w:position w:val="7"/>
              </w:rPr>
              <w:t xml:space="preserve">   </w:t>
            </w:r>
            <w:r>
              <w:rPr>
                <w:spacing w:val="-12"/>
              </w:rPr>
              <w:t>For</w:t>
            </w:r>
            <w:r>
              <w:rPr>
                <w:spacing w:val="33"/>
              </w:rPr>
              <w:t xml:space="preserve"> </w:t>
            </w:r>
            <w:r>
              <w:rPr>
                <w:spacing w:val="-12"/>
              </w:rPr>
              <w:t>any  patients</w:t>
            </w:r>
            <w:r>
              <w:rPr>
                <w:spacing w:val="28"/>
              </w:rPr>
              <w:t xml:space="preserve"> </w:t>
            </w:r>
            <w:r>
              <w:rPr>
                <w:spacing w:val="-12"/>
              </w:rPr>
              <w:t>with  LM  bifurcation  lesions</w:t>
            </w:r>
            <w:r>
              <w:rPr/>
              <w:t xml:space="preserve"> </w:t>
            </w:r>
            <w:r>
              <w:rPr>
                <w:spacing w:val="-14"/>
              </w:rPr>
              <w:t>unde</w:t>
            </w:r>
            <w:r>
              <w:rPr>
                <w:spacing w:val="-13"/>
              </w:rPr>
              <w:t>rgoing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3"/>
              </w:rPr>
              <w:t>DES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3"/>
              </w:rPr>
              <w:t>implantation,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3"/>
              </w:rPr>
              <w:t>recom</w:t>
            </w:r>
            <w:r>
              <w:rPr>
                <w:spacing w:val="-14"/>
              </w:rPr>
              <w:t>mendation</w:t>
            </w:r>
            <w:r>
              <w:rPr>
                <w:spacing w:val="32"/>
              </w:rPr>
              <w:t xml:space="preserve"> </w:t>
            </w:r>
            <w:r>
              <w:rPr>
                <w:spacing w:val="-14"/>
              </w:rPr>
              <w:t>is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4"/>
              </w:rPr>
              <w:t>aspirin</w:t>
            </w:r>
            <w:r>
              <w:rPr>
                <w:spacing w:val="19"/>
              </w:rPr>
              <w:t xml:space="preserve"> </w:t>
            </w:r>
            <w:r>
              <w:rPr>
                <w:spacing w:val="-14"/>
              </w:rPr>
              <w:t>with</w:t>
            </w:r>
            <w:r>
              <w:rPr>
                <w:spacing w:val="25"/>
              </w:rPr>
              <w:t xml:space="preserve"> </w:t>
            </w:r>
            <w:r>
              <w:rPr>
                <w:spacing w:val="-14"/>
              </w:rPr>
              <w:t>an</w:t>
            </w:r>
            <w:r>
              <w:rPr>
                <w:spacing w:val="-10"/>
              </w:rPr>
              <w:t>y</w:t>
            </w:r>
            <w:r>
              <w:rPr/>
              <w:t xml:space="preserve"> </w:t>
            </w:r>
            <w:r>
              <w:rPr>
                <w:spacing w:val="-12"/>
              </w:rPr>
              <w:t>one of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the P2Y</w:t>
            </w:r>
            <w:r>
              <w:rPr>
                <w:sz w:val="11"/>
                <w:szCs w:val="11"/>
                <w:spacing w:val="8"/>
                <w:position w:val="-2"/>
              </w:rPr>
              <w:t>12</w:t>
            </w:r>
            <w:r>
              <w:rPr>
                <w:sz w:val="11"/>
                <w:szCs w:val="11"/>
                <w:spacing w:val="18"/>
                <w:position w:val="-2"/>
              </w:rPr>
              <w:t xml:space="preserve"> </w:t>
            </w:r>
            <w:r>
              <w:rPr>
                <w:spacing w:val="-12"/>
              </w:rPr>
              <w:t>rec</w:t>
            </w:r>
            <w:r>
              <w:rPr>
                <w:spacing w:val="-11"/>
              </w:rPr>
              <w:t>eptor inhibitors, so long as no contraindica</w:t>
            </w:r>
            <w:r>
              <w:rPr>
                <w:spacing w:val="-12"/>
              </w:rPr>
              <w:t>tions exis</w:t>
            </w:r>
            <w:r>
              <w:rPr>
                <w:spacing w:val="-9"/>
              </w:rPr>
              <w:t>t</w:t>
            </w:r>
            <w:r>
              <w:rPr/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26"/>
              </w:rPr>
              <w:t xml:space="preserve"> </w:t>
            </w:r>
            <w:r>
              <w:rPr>
                <w:spacing w:val="-11"/>
              </w:rPr>
              <w:t>DAPT: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1"/>
              </w:rPr>
              <w:t>aspirin</w:t>
            </w:r>
            <w:r>
              <w:rPr>
                <w:spacing w:val="25"/>
              </w:rPr>
              <w:t xml:space="preserve"> </w:t>
            </w:r>
            <w:r>
              <w:rPr>
                <w:spacing w:val="-11"/>
              </w:rPr>
              <w:t>plus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ticagrelor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25"/>
              </w:rPr>
              <w:t xml:space="preserve"> </w:t>
            </w:r>
            <w:r>
              <w:rPr>
                <w:spacing w:val="-11"/>
              </w:rPr>
              <w:t>pa</w:t>
            </w:r>
            <w:r>
              <w:rPr>
                <w:spacing w:val="-12"/>
              </w:rPr>
              <w:t>tients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with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2"/>
              </w:rPr>
              <w:t>acute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2"/>
              </w:rPr>
              <w:t>coronary</w:t>
            </w:r>
            <w:r>
              <w:rPr>
                <w:spacing w:val="21"/>
              </w:rPr>
              <w:t xml:space="preserve"> </w:t>
            </w:r>
            <w:r>
              <w:rPr>
                <w:spacing w:val="-12"/>
              </w:rPr>
              <w:t>syn-</w:t>
            </w:r>
            <w:r>
              <w:rPr/>
              <w:t xml:space="preserve"> </w:t>
            </w:r>
            <w:r>
              <w:rPr>
                <w:spacing w:val="-11"/>
              </w:rPr>
              <w:t>drome  (ACS)  (I,</w:t>
            </w:r>
            <w:r>
              <w:rPr>
                <w:spacing w:val="43"/>
              </w:rPr>
              <w:t xml:space="preserve"> </w:t>
            </w:r>
            <w:r>
              <w:rPr>
                <w:spacing w:val="-11"/>
              </w:rPr>
              <w:t>A);</w:t>
            </w:r>
            <w:r>
              <w:rPr>
                <w:spacing w:val="25"/>
              </w:rPr>
              <w:t xml:space="preserve"> </w:t>
            </w:r>
            <w:r>
              <w:rPr>
                <w:spacing w:val="-11"/>
              </w:rPr>
              <w:t>ticagrelor  is</w:t>
            </w:r>
            <w:r>
              <w:rPr>
                <w:spacing w:val="33"/>
              </w:rPr>
              <w:t xml:space="preserve"> </w:t>
            </w:r>
            <w:r>
              <w:rPr>
                <w:spacing w:val="-11"/>
              </w:rPr>
              <w:t>still  recommended</w:t>
            </w:r>
            <w:r>
              <w:rPr>
                <w:spacing w:val="28"/>
              </w:rPr>
              <w:t xml:space="preserve"> </w:t>
            </w:r>
            <w:r>
              <w:rPr>
                <w:spacing w:val="-11"/>
              </w:rPr>
              <w:t>for  patients</w:t>
            </w:r>
            <w:r>
              <w:rPr>
                <w:spacing w:val="25"/>
              </w:rPr>
              <w:t xml:space="preserve"> </w:t>
            </w:r>
            <w:r>
              <w:rPr>
                <w:spacing w:val="-11"/>
              </w:rPr>
              <w:t>with</w:t>
            </w:r>
            <w:r>
              <w:rPr/>
              <w:t xml:space="preserve"> </w:t>
            </w:r>
            <w:r>
              <w:rPr>
                <w:spacing w:val="-13"/>
              </w:rPr>
              <w:t>chronic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</w:rPr>
              <w:t>stable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</w:rPr>
              <w:t>coronary heart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</w:rPr>
              <w:t>disease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at high risk</w:t>
            </w:r>
            <w:r>
              <w:rPr>
                <w:spacing w:val="-17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is</w:t>
            </w:r>
            <w:r>
              <w:rPr>
                <w:spacing w:val="-14"/>
              </w:rPr>
              <w:t>chaemia</w:t>
            </w:r>
            <w:r>
              <w:rPr>
                <w:spacing w:val="-12"/>
              </w:rPr>
              <w:t xml:space="preserve"> </w:t>
            </w:r>
            <w:r>
              <w:rPr>
                <w:spacing w:val="-14"/>
              </w:rPr>
              <w:t>or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functional</w:t>
            </w:r>
            <w:r>
              <w:rPr/>
              <w:t xml:space="preserve"> </w:t>
            </w:r>
            <w:r>
              <w:rPr>
                <w:spacing w:val="-14"/>
              </w:rPr>
              <w:t>tes</w:t>
            </w:r>
            <w:r>
              <w:rPr>
                <w:spacing w:val="-13"/>
              </w:rPr>
              <w:t>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platelet/CYP2C19 genome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analysis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confirming the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high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possibilit</w:t>
            </w:r>
            <w:r>
              <w:rPr>
                <w:spacing w:val="-10"/>
              </w:rPr>
              <w:t>y</w:t>
            </w:r>
            <w:r>
              <w:rPr/>
              <w:t xml:space="preserve"> </w:t>
            </w:r>
            <w:r>
              <w:rPr>
                <w:spacing w:val="-12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12"/>
              </w:rPr>
              <w:t>resistance</w:t>
            </w:r>
            <w:r>
              <w:rPr>
                <w:spacing w:val="-17"/>
              </w:rPr>
              <w:t xml:space="preserve"> </w:t>
            </w:r>
            <w:r>
              <w:rPr>
                <w:spacing w:val="-12"/>
              </w:rPr>
              <w:t>to</w:t>
            </w:r>
            <w:r>
              <w:rPr>
                <w:spacing w:val="-11"/>
              </w:rPr>
              <w:t xml:space="preserve"> </w:t>
            </w:r>
            <w:r>
              <w:rPr>
                <w:spacing w:val="-12"/>
              </w:rPr>
              <w:t>clopidogrel (IIa, B).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The recommendation of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>a DAPT strat-</w:t>
            </w:r>
            <w:r>
              <w:rPr/>
              <w:t xml:space="preserve"> </w:t>
            </w:r>
            <w:r>
              <w:rPr>
                <w:spacing w:val="-14"/>
              </w:rPr>
              <w:t>egy</w:t>
            </w:r>
            <w:r>
              <w:rPr>
                <w:spacing w:val="-18"/>
              </w:rPr>
              <w:t xml:space="preserve"> </w:t>
            </w:r>
            <w:r>
              <w:rPr>
                <w:spacing w:val="-14"/>
              </w:rPr>
              <w:t>f</w:t>
            </w:r>
            <w:r>
              <w:rPr>
                <w:spacing w:val="-13"/>
              </w:rPr>
              <w:t>or LM bifurcation</w:t>
            </w:r>
            <w:r>
              <w:rPr>
                <w:spacing w:val="-13"/>
              </w:rPr>
              <w:t xml:space="preserve"> </w:t>
            </w:r>
            <w:r>
              <w:rPr>
                <w:spacing w:val="-13"/>
              </w:rPr>
              <w:t>stenting is</w:t>
            </w:r>
            <w:r>
              <w:rPr>
                <w:spacing w:val="-16"/>
              </w:rPr>
              <w:t xml:space="preserve"> </w:t>
            </w:r>
            <w:r>
              <w:rPr>
                <w:spacing w:val="-13"/>
              </w:rPr>
              <w:t>at least 12 months </w:t>
            </w:r>
            <w:r>
              <w:rPr>
                <w:spacing w:val="-14"/>
              </w:rPr>
              <w:t>(IIa, B); if</w:t>
            </w:r>
            <w:r>
              <w:rPr>
                <w:spacing w:val="-15"/>
              </w:rPr>
              <w:t xml:space="preserve"> </w:t>
            </w:r>
            <w:r>
              <w:rPr>
                <w:spacing w:val="-14"/>
              </w:rPr>
              <w:t>patients</w:t>
            </w:r>
            <w:r>
              <w:rPr>
                <w:spacing w:val="-15"/>
              </w:rPr>
              <w:t xml:space="preserve"> </w:t>
            </w:r>
            <w:r>
              <w:rPr>
                <w:spacing w:val="-14"/>
              </w:rPr>
              <w:t>are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a</w:t>
            </w:r>
            <w:r>
              <w:rPr>
                <w:spacing w:val="-10"/>
              </w:rPr>
              <w:t>t</w:t>
            </w:r>
            <w:r>
              <w:rPr/>
              <w:t xml:space="preserve"> </w:t>
            </w:r>
            <w:r>
              <w:rPr>
                <w:spacing w:val="-13"/>
              </w:rPr>
              <w:t>high risk</w:t>
            </w:r>
            <w:r>
              <w:rPr>
                <w:spacing w:val="-16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ischaemia (ACS,</w:t>
            </w:r>
            <w:r>
              <w:rPr>
                <w:spacing w:val="-19"/>
              </w:rPr>
              <w:t xml:space="preserve"> </w:t>
            </w:r>
            <w:r>
              <w:rPr>
                <w:spacing w:val="-13"/>
              </w:rPr>
              <w:t>two-stent,</w:t>
            </w:r>
            <w:r>
              <w:rPr>
                <w:spacing w:val="-13"/>
              </w:rPr>
              <w:t xml:space="preserve"> </w:t>
            </w:r>
            <w:r>
              <w:rPr>
                <w:spacing w:val="-13"/>
              </w:rPr>
              <w:t>and</w:t>
            </w:r>
            <w:r>
              <w:rPr>
                <w:spacing w:val="-19"/>
              </w:rPr>
              <w:t xml:space="preserve"> </w:t>
            </w:r>
            <w:r>
              <w:rPr>
                <w:spacing w:val="-13"/>
              </w:rPr>
              <w:t>throm</w:t>
            </w:r>
            <w:r>
              <w:rPr>
                <w:spacing w:val="-14"/>
              </w:rPr>
              <w:t>bus-containing lesions),</w:t>
            </w:r>
            <w:r>
              <w:rPr>
                <w:spacing w:val="-13"/>
              </w:rPr>
              <w:t xml:space="preserve"> </w:t>
            </w:r>
            <w:r>
              <w:rPr>
                <w:spacing w:val="-14"/>
              </w:rPr>
              <w:t>a</w:t>
            </w:r>
            <w:r>
              <w:rPr/>
              <w:t xml:space="preserve"> </w:t>
            </w:r>
            <w:r>
              <w:rPr>
                <w:spacing w:val="-12"/>
              </w:rPr>
              <w:t>DAPT</w:t>
            </w:r>
            <w:r>
              <w:rPr>
                <w:spacing w:val="-10"/>
              </w:rPr>
              <w:t xml:space="preserve"> </w:t>
            </w:r>
            <w:r>
              <w:rPr>
                <w:spacing w:val="-12"/>
              </w:rPr>
              <w:t>duration</w:t>
            </w:r>
            <w:r>
              <w:rPr>
                <w:spacing w:val="-10"/>
              </w:rPr>
              <w:t xml:space="preserve"> </w:t>
            </w:r>
            <w:r>
              <w:rPr>
                <w:spacing w:val="-12"/>
              </w:rPr>
              <w:t>of longer</w:t>
            </w:r>
            <w:r>
              <w:rPr>
                <w:spacing w:val="-17"/>
              </w:rPr>
              <w:t xml:space="preserve"> </w:t>
            </w:r>
            <w:r>
              <w:rPr>
                <w:spacing w:val="-12"/>
              </w:rPr>
              <w:t>tha</w:t>
            </w:r>
            <w:r>
              <w:rPr>
                <w:spacing w:val="-13"/>
              </w:rPr>
              <w:t>n 12 months is recommended (IIa, B). For pa-</w:t>
            </w:r>
            <w:r>
              <w:rPr/>
              <w:t xml:space="preserve"> </w:t>
            </w:r>
            <w:r>
              <w:rPr>
                <w:spacing w:val="-13"/>
              </w:rPr>
              <w:t>tients at high risk of bleeding and low-risk of ischaemia, de-esc</w:t>
            </w:r>
            <w:r>
              <w:rPr>
                <w:spacing w:val="-14"/>
              </w:rPr>
              <w:t>alation using</w:t>
            </w:r>
            <w:r>
              <w:rPr/>
              <w:t xml:space="preserve"> </w:t>
            </w:r>
            <w:r>
              <w:rPr>
                <w:spacing w:val="-10"/>
              </w:rPr>
              <w:t>6-month DAPT or 3-month DAPT and then shi</w:t>
            </w:r>
            <w:r>
              <w:rPr>
                <w:spacing w:val="-11"/>
              </w:rPr>
              <w:t>fting to monotherapy (IIa,</w:t>
            </w:r>
            <w:r>
              <w:rPr/>
              <w:t xml:space="preserve"> </w:t>
            </w:r>
            <w:r>
              <w:rPr>
                <w:spacing w:val="-15"/>
              </w:rPr>
              <w:t>B)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5"/>
              </w:rPr>
              <w:t>is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recommended.</w:t>
            </w:r>
          </w:p>
          <w:p>
            <w:pPr>
              <w:pStyle w:val="TableText"/>
              <w:ind w:left="179" w:right="6" w:firstLine="180"/>
              <w:spacing w:before="14" w:line="259" w:lineRule="auto"/>
              <w:jc w:val="both"/>
              <w:rPr/>
            </w:pPr>
            <w:r>
              <w:rPr>
                <w:spacing w:val="-9"/>
              </w:rPr>
              <w:t>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rate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in-stent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9"/>
              </w:rPr>
              <w:t>restenosis</w:t>
            </w:r>
            <w:r>
              <w:rPr>
                <w:spacing w:val="17"/>
              </w:rPr>
              <w:t xml:space="preserve"> </w:t>
            </w:r>
            <w:r>
              <w:rPr>
                <w:spacing w:val="-9"/>
              </w:rPr>
              <w:t>af</w:t>
            </w:r>
            <w:r>
              <w:rPr>
                <w:spacing w:val="-10"/>
              </w:rPr>
              <w:t>ter</w:t>
            </w:r>
            <w:r>
              <w:rPr>
                <w:spacing w:val="25"/>
              </w:rPr>
              <w:t xml:space="preserve"> </w:t>
            </w:r>
            <w:r>
              <w:rPr>
                <w:spacing w:val="-10"/>
              </w:rPr>
              <w:t>LM</w:t>
            </w:r>
            <w:r>
              <w:rPr>
                <w:spacing w:val="23"/>
              </w:rPr>
              <w:t xml:space="preserve"> </w:t>
            </w:r>
            <w:r>
              <w:rPr>
                <w:spacing w:val="-10"/>
              </w:rPr>
              <w:t>bifurcation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stenting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varies</w:t>
            </w:r>
            <w:r>
              <w:rPr/>
              <w:t xml:space="preserve"> </w:t>
            </w:r>
            <w:bookmarkStart w:name="bookmark11" w:id="6"/>
            <w:bookmarkEnd w:id="6"/>
            <w:r>
              <w:rPr>
                <w:spacing w:val="-8"/>
              </w:rPr>
              <w:t>from 7 to 18% at 1-year</w:t>
            </w:r>
            <w:r>
              <w:rPr>
                <w:spacing w:val="-9"/>
              </w:rPr>
              <w:t xml:space="preserve"> follow-up, depending on the lesion’s complex-</w:t>
            </w:r>
            <w:r>
              <w:rPr/>
              <w:t xml:space="preserve"> </w:t>
            </w:r>
            <w:r>
              <w:rPr>
                <w:spacing w:val="-9"/>
              </w:rPr>
              <w:t>ity, co-morbidities, stenting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techniques, and stent platform.</w:t>
            </w:r>
            <w:hyperlink w:history="true" w:anchor="bookmark12">
              <w:r>
                <w:rPr>
                  <w:sz w:val="11"/>
                  <w:szCs w:val="11"/>
                  <w:color w:val="0000FF"/>
                  <w:spacing w:val="8"/>
                  <w:w w:val="121"/>
                  <w:position w:val="7"/>
                </w:rPr>
                <w:t>6</w:t>
              </w:r>
            </w:hyperlink>
            <w:r>
              <w:rPr>
                <w:sz w:val="11"/>
                <w:szCs w:val="11"/>
                <w:color w:val="0000FF"/>
                <w:spacing w:val="6"/>
                <w:position w:val="7"/>
              </w:rPr>
              <w:t xml:space="preserve"> </w:t>
            </w:r>
            <w:r>
              <w:rPr>
                <w:spacing w:val="-11"/>
              </w:rPr>
              <w:t>As a result,</w:t>
            </w:r>
          </w:p>
        </w:tc>
      </w:tr>
    </w:tbl>
    <w:p>
      <w:pPr>
        <w:pStyle w:val="BodyText"/>
        <w:ind w:left="2"/>
        <w:spacing w:before="126" w:line="165" w:lineRule="exact"/>
        <w:rPr/>
      </w:pPr>
      <w:r>
        <w:rPr>
          <w:spacing w:val="-3"/>
          <w:position w:val="2"/>
        </w:rPr>
        <w:t>*</w:t>
      </w:r>
      <w:r>
        <w:rPr>
          <w:spacing w:val="10"/>
          <w:w w:val="102"/>
          <w:position w:val="2"/>
        </w:rPr>
        <w:t xml:space="preserve"> </w:t>
      </w:r>
      <w:r>
        <w:rPr>
          <w:spacing w:val="-3"/>
          <w:position w:val="2"/>
        </w:rPr>
        <w:t>Corresponding</w:t>
      </w:r>
      <w:r>
        <w:rPr>
          <w:spacing w:val="7"/>
          <w:position w:val="2"/>
        </w:rPr>
        <w:t xml:space="preserve"> </w:t>
      </w:r>
      <w:r>
        <w:rPr>
          <w:spacing w:val="-3"/>
          <w:position w:val="2"/>
        </w:rPr>
        <w:t>author, Tel:</w:t>
      </w:r>
      <w:r>
        <w:rPr>
          <w:spacing w:val="10"/>
          <w:position w:val="2"/>
        </w:rPr>
        <w:t xml:space="preserve"> </w:t>
      </w:r>
      <w:r>
        <w:rPr>
          <w:spacing w:val="-3"/>
          <w:position w:val="2"/>
        </w:rPr>
        <w:t>+86-24-28856123,</w:t>
      </w:r>
      <w:r>
        <w:rPr>
          <w:spacing w:val="13"/>
          <w:w w:val="101"/>
          <w:position w:val="2"/>
        </w:rPr>
        <w:t xml:space="preserve"> </w:t>
      </w:r>
      <w:r>
        <w:rPr>
          <w:spacing w:val="-3"/>
          <w:position w:val="2"/>
        </w:rPr>
        <w:t>Fax:</w:t>
      </w:r>
      <w:r>
        <w:rPr>
          <w:spacing w:val="9"/>
          <w:position w:val="2"/>
        </w:rPr>
        <w:t xml:space="preserve"> </w:t>
      </w:r>
      <w:r>
        <w:rPr>
          <w:spacing w:val="-3"/>
          <w:position w:val="2"/>
        </w:rPr>
        <w:t>+86-24-28</w:t>
      </w:r>
      <w:r>
        <w:rPr>
          <w:spacing w:val="-4"/>
          <w:position w:val="2"/>
        </w:rPr>
        <w:t>897310.</w:t>
      </w:r>
      <w:r>
        <w:rPr>
          <w:spacing w:val="13"/>
          <w:w w:val="102"/>
          <w:position w:val="2"/>
        </w:rPr>
        <w:t xml:space="preserve"> </w:t>
      </w:r>
      <w:r>
        <w:rPr>
          <w:spacing w:val="-4"/>
          <w:position w:val="2"/>
        </w:rPr>
        <w:t>Email: </w:t>
      </w:r>
      <w:hyperlink w:history="true" r:id="rId8">
        <w:r>
          <w:rPr>
            <w:color w:val="0000FF"/>
            <w:spacing w:val="-4"/>
            <w:position w:val="2"/>
          </w:rPr>
          <w:t>hanyaling@263.net</w:t>
        </w:r>
      </w:hyperlink>
    </w:p>
    <w:p>
      <w:pPr>
        <w:pStyle w:val="BodyText"/>
        <w:ind w:left="2"/>
        <w:spacing w:line="183" w:lineRule="exact"/>
        <w:rPr/>
      </w:pPr>
      <w:r>
        <w:rPr>
          <w:sz w:val="9"/>
          <w:szCs w:val="9"/>
          <w:spacing w:val="-3"/>
          <w:position w:val="7"/>
        </w:rPr>
        <w:t>†  </w:t>
      </w:r>
      <w:r>
        <w:rPr>
          <w:spacing w:val="-3"/>
          <w:position w:val="1"/>
        </w:rPr>
        <w:t>Editor-in-Chief reviews the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most</w:t>
      </w:r>
      <w:r>
        <w:rPr>
          <w:spacing w:val="12"/>
          <w:w w:val="101"/>
          <w:position w:val="1"/>
        </w:rPr>
        <w:t xml:space="preserve"> </w:t>
      </w:r>
      <w:r>
        <w:rPr>
          <w:spacing w:val="-3"/>
          <w:position w:val="1"/>
        </w:rPr>
        <w:t>remarkable</w:t>
      </w:r>
      <w:r>
        <w:rPr>
          <w:spacing w:val="12"/>
          <w:position w:val="1"/>
        </w:rPr>
        <w:t xml:space="preserve"> </w:t>
      </w:r>
      <w:r>
        <w:rPr>
          <w:spacing w:val="-3"/>
          <w:position w:val="1"/>
        </w:rPr>
        <w:t>papers</w:t>
      </w:r>
      <w:r>
        <w:rPr>
          <w:spacing w:val="11"/>
          <w:w w:val="102"/>
          <w:position w:val="1"/>
        </w:rPr>
        <w:t xml:space="preserve"> </w:t>
      </w:r>
      <w:r>
        <w:rPr>
          <w:spacing w:val="-3"/>
          <w:position w:val="1"/>
        </w:rPr>
        <w:t>published</w:t>
      </w:r>
      <w:r>
        <w:rPr>
          <w:spacing w:val="13"/>
          <w:position w:val="1"/>
        </w:rPr>
        <w:t xml:space="preserve"> </w:t>
      </w:r>
      <w:r>
        <w:rPr>
          <w:spacing w:val="-3"/>
          <w:position w:val="1"/>
        </w:rPr>
        <w:t>in The</w:t>
      </w:r>
      <w:r>
        <w:rPr>
          <w:spacing w:val="10"/>
          <w:w w:val="102"/>
          <w:position w:val="1"/>
        </w:rPr>
        <w:t xml:space="preserve"> </w:t>
      </w:r>
      <w:r>
        <w:rPr>
          <w:spacing w:val="-3"/>
          <w:position w:val="1"/>
        </w:rPr>
        <w:t>Chinese Journal</w:t>
      </w:r>
      <w:r>
        <w:rPr>
          <w:spacing w:val="7"/>
          <w:position w:val="1"/>
        </w:rPr>
        <w:t xml:space="preserve"> </w:t>
      </w:r>
      <w:r>
        <w:rPr>
          <w:spacing w:val="-3"/>
          <w:position w:val="1"/>
        </w:rPr>
        <w:t>of Cardiology</w:t>
      </w:r>
      <w:r>
        <w:rPr>
          <w:spacing w:val="13"/>
          <w:w w:val="102"/>
          <w:position w:val="1"/>
        </w:rPr>
        <w:t xml:space="preserve"> </w:t>
      </w:r>
      <w:r>
        <w:rPr>
          <w:spacing w:val="-3"/>
          <w:position w:val="1"/>
        </w:rPr>
        <w:t>(CJC).</w:t>
      </w:r>
    </w:p>
    <w:p>
      <w:pPr>
        <w:pStyle w:val="BodyText"/>
        <w:ind w:left="6"/>
        <w:spacing w:before="12" w:line="168" w:lineRule="exact"/>
        <w:rPr/>
      </w:pPr>
      <w:r>
        <w:rPr>
          <w:spacing w:val="-3"/>
          <w:position w:val="2"/>
        </w:rPr>
        <w:t>©</w:t>
      </w:r>
      <w:r>
        <w:rPr>
          <w:spacing w:val="-12"/>
          <w:position w:val="2"/>
        </w:rPr>
        <w:t xml:space="preserve"> </w:t>
      </w:r>
      <w:r>
        <w:rPr>
          <w:spacing w:val="-3"/>
          <w:position w:val="2"/>
        </w:rPr>
        <w:t>The</w:t>
      </w:r>
      <w:r>
        <w:rPr>
          <w:spacing w:val="-14"/>
          <w:position w:val="2"/>
        </w:rPr>
        <w:t xml:space="preserve"> </w:t>
      </w:r>
      <w:r>
        <w:rPr>
          <w:spacing w:val="-3"/>
          <w:position w:val="2"/>
        </w:rPr>
        <w:t>Author(s)</w:t>
      </w:r>
      <w:r>
        <w:rPr>
          <w:spacing w:val="-9"/>
          <w:position w:val="2"/>
        </w:rPr>
        <w:t xml:space="preserve"> </w:t>
      </w:r>
      <w:r>
        <w:rPr>
          <w:spacing w:val="-3"/>
          <w:position w:val="2"/>
        </w:rPr>
        <w:t>2022. Published by</w:t>
      </w:r>
      <w:r>
        <w:rPr>
          <w:spacing w:val="-8"/>
          <w:position w:val="2"/>
        </w:rPr>
        <w:t xml:space="preserve"> </w:t>
      </w:r>
      <w:r>
        <w:rPr>
          <w:spacing w:val="-3"/>
          <w:position w:val="2"/>
        </w:rPr>
        <w:t>Oxford University Press</w:t>
      </w:r>
      <w:r>
        <w:rPr>
          <w:spacing w:val="-9"/>
          <w:position w:val="2"/>
        </w:rPr>
        <w:t xml:space="preserve"> </w:t>
      </w:r>
      <w:r>
        <w:rPr>
          <w:spacing w:val="-3"/>
          <w:position w:val="2"/>
        </w:rPr>
        <w:t>on behalf</w:t>
      </w:r>
      <w:r>
        <w:rPr>
          <w:spacing w:val="-15"/>
          <w:position w:val="2"/>
        </w:rPr>
        <w:t xml:space="preserve"> </w:t>
      </w:r>
      <w:r>
        <w:rPr>
          <w:spacing w:val="-3"/>
          <w:position w:val="2"/>
        </w:rPr>
        <w:t>o</w:t>
      </w:r>
      <w:r>
        <w:rPr>
          <w:spacing w:val="-4"/>
          <w:position w:val="2"/>
        </w:rPr>
        <w:t>f</w:t>
      </w:r>
      <w:r>
        <w:rPr>
          <w:spacing w:val="-20"/>
          <w:position w:val="2"/>
        </w:rPr>
        <w:t xml:space="preserve"> </w:t>
      </w:r>
      <w:r>
        <w:rPr>
          <w:spacing w:val="-4"/>
          <w:position w:val="2"/>
        </w:rPr>
        <w:t>the European</w:t>
      </w:r>
      <w:r>
        <w:rPr>
          <w:spacing w:val="-9"/>
          <w:position w:val="2"/>
        </w:rPr>
        <w:t xml:space="preserve"> </w:t>
      </w:r>
      <w:r>
        <w:rPr>
          <w:spacing w:val="-4"/>
          <w:position w:val="2"/>
        </w:rPr>
        <w:t>Society</w:t>
      </w:r>
      <w:r>
        <w:rPr>
          <w:spacing w:val="-9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4"/>
          <w:position w:val="2"/>
        </w:rPr>
        <w:t xml:space="preserve"> </w:t>
      </w:r>
      <w:r>
        <w:rPr>
          <w:spacing w:val="-4"/>
          <w:position w:val="2"/>
        </w:rPr>
        <w:t>Cardiology.</w:t>
      </w:r>
      <w:r>
        <w:rPr>
          <w:spacing w:val="-14"/>
          <w:position w:val="2"/>
        </w:rPr>
        <w:t xml:space="preserve"> </w:t>
      </w:r>
      <w:r>
        <w:rPr>
          <w:spacing w:val="-4"/>
          <w:position w:val="2"/>
        </w:rPr>
        <w:t>All rights reserved. For permissions, please</w:t>
      </w:r>
      <w:r>
        <w:rPr>
          <w:spacing w:val="-9"/>
          <w:position w:val="2"/>
        </w:rPr>
        <w:t xml:space="preserve"> </w:t>
      </w:r>
      <w:r>
        <w:rPr>
          <w:spacing w:val="-4"/>
          <w:position w:val="2"/>
        </w:rPr>
        <w:t>e-mail:</w:t>
      </w:r>
      <w:r>
        <w:rPr>
          <w:spacing w:val="-15"/>
          <w:position w:val="2"/>
        </w:rPr>
        <w:t xml:space="preserve"> </w:t>
      </w:r>
      <w:r>
        <w:rPr>
          <w:spacing w:val="-4"/>
          <w:position w:val="2"/>
        </w:rPr>
        <w:t>journals.permissions@oup.com</w:t>
      </w:r>
    </w:p>
    <w:p>
      <w:pPr>
        <w:spacing w:line="168" w:lineRule="exact"/>
        <w:sectPr>
          <w:type w:val="continuous"/>
          <w:pgSz w:w="11906" w:h="15875"/>
          <w:pgMar w:top="400" w:right="277" w:bottom="0" w:left="850" w:header="0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left="9"/>
        <w:spacing w:before="73" w:line="24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5"/>
        </w:rPr>
        <w:t>710</w:t>
      </w:r>
      <w:r>
        <w:rPr>
          <w:sz w:val="20"/>
          <w:szCs w:val="20"/>
          <w:b/>
          <w:bCs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  <w:spacing w:val="-5"/>
        </w:rPr>
        <w:t>CardioPulse</w:t>
      </w:r>
    </w:p>
    <w:p>
      <w:pPr>
        <w:pStyle w:val="BodyText"/>
        <w:spacing w:line="243" w:lineRule="auto"/>
        <w:rPr>
          <w:sz w:val="21"/>
        </w:rPr>
      </w:pPr>
      <w:r>
        <w:pict>
          <v:shape id="_x0000_s8" style="position:absolute;margin-left:0pt;margin-top:7.01111pt;mso-position-vertical-relative:text;mso-position-horizontal-relative:text;width:515.95pt;height:0.5pt;z-index:251661312;" fillcolor="#D6143D" filled="true" stroked="false" coordsize="10319,10" coordorigin="0,0" path="m10318,10l0,10l0,0l10318,0e"/>
        </w:pict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597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3646194</wp:posOffset>
                </wp:positionH>
                <wp:positionV relativeFrom="paragraph">
                  <wp:posOffset>4193721</wp:posOffset>
                </wp:positionV>
                <wp:extent cx="6401434" cy="164464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3646194" y="4193721"/>
                          <a:ext cx="640143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urheartj/article/44/9/709/6865194 by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of the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Philippines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Baguio user on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7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14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11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287.102pt;margin-top:330.214pt;mso-position-vertical-relative:text;mso-position-horizontal-relative:text;width:504.05pt;height:12.95pt;z-index:251660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urheartj/article/44/9/709/6865194 by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of the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Philippines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Baguio user on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14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1218959</wp:posOffset>
            </wp:positionH>
            <wp:positionV relativeFrom="paragraph">
              <wp:posOffset>190833</wp:posOffset>
            </wp:positionV>
            <wp:extent cx="4114800" cy="296351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00" cy="296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9"/>
        </w:rPr>
        <w:pict>
          <v:group id="_x0000_s12" style="mso-position-vertical-relative:line;mso-position-horizontal-relative:char;width:515.95pt;height:298.65pt;" filled="false" stroked="false" coordsize="10319,5972" coordorigin="0,0">
            <v:shape id="_x0000_s14" style="position:absolute;left:0;top:0;width:10319;height:5972;" fillcolor="#F1F1E3" filled="true" stroked="false" coordsize="10319,5972" coordorigin="0,0" path="m0,5972l0,0l180,180l180,5972em0,0l10318,0l10138,180l180,180em10318,0l10318,5972l10138,5972l10138,180em10138,180l180,180l0,0em10138,5972l180,5972l180,5788l10138,5788em180,5088l10138,5088l10138,5348l180,5348em180,5348l10138,5348l10138,5568l180,5568em180,5568l10138,5568l10138,5788l180,5788e"/>
            <v:shape id="_x0000_s16" style="position:absolute;left:-20;top:-20;width:10359;height:60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2" w:right="199" w:firstLine="10"/>
                      <w:spacing w:before="52" w:line="275" w:lineRule="auto"/>
                      <w:jc w:val="both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bookmarkStart w:name="bookmark13" w:id="7"/>
                    <w:bookmarkEnd w:id="7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D6143D"/>
                        <w:spacing w:val="-3"/>
                      </w:rPr>
                      <w:t>Figure 1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Algorithms 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left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main bifurcation stenting. *Side branch thrombolysis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myocardial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infarction flow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&lt;3,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≥type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dissection,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or fractional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flow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reserve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in the side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branch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&lt;0.8.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DK, double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kissing;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KBI,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kissing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balloon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inflatio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n;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POT,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proximal optimization technique;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PS,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provisional stenting;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TAP, 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protrusion.</w:t>
                    </w:r>
                  </w:p>
                </w:txbxContent>
              </v:textbox>
            </v:shape>
          </v:group>
        </w:pict>
      </w:r>
    </w:p>
    <w:p>
      <w:pPr>
        <w:spacing w:before="87"/>
        <w:rPr/>
      </w:pPr>
      <w:r/>
    </w:p>
    <w:p>
      <w:pPr>
        <w:sectPr>
          <w:headerReference w:type="default" r:id="rId9"/>
          <w:pgSz w:w="11906" w:h="15875"/>
          <w:pgMar w:top="400" w:right="277" w:bottom="0" w:left="736" w:header="0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11" w:right="262" w:hanging="6"/>
        <w:spacing w:before="43" w:line="259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a comprehensive long-term follow-up plan and secondary prevention 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necessary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after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LM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bifurcati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stenting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(I,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C).</w:t>
      </w:r>
    </w:p>
    <w:p>
      <w:pPr>
        <w:pStyle w:val="BodyText"/>
        <w:ind w:right="262" w:firstLine="182"/>
        <w:spacing w:before="15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This guideline summariz</w:t>
      </w:r>
      <w:r>
        <w:rPr>
          <w:sz w:val="18"/>
          <w:szCs w:val="18"/>
          <w:spacing w:val="-10"/>
        </w:rPr>
        <w:t>es risk stratification, strategies of revascular-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ization, antiplatelet strategy, follow-up, </w:t>
      </w:r>
      <w:r>
        <w:rPr>
          <w:sz w:val="18"/>
          <w:szCs w:val="18"/>
          <w:spacing w:val="-9"/>
        </w:rPr>
        <w:t>and long-term management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patients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LM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bifurcation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lesions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makes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recommendations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key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issues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correlating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LM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9"/>
        </w:rPr>
        <w:t>bifurcatio</w:t>
      </w:r>
      <w:r>
        <w:rPr>
          <w:sz w:val="18"/>
          <w:szCs w:val="18"/>
          <w:spacing w:val="-10"/>
        </w:rPr>
        <w:t>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stenting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(</w:t>
      </w:r>
      <w:hyperlink w:history="true" w:anchor="bookmark13">
        <w:r>
          <w:rPr>
            <w:sz w:val="18"/>
            <w:szCs w:val="18"/>
            <w:i/>
            <w:iCs/>
            <w:color w:val="0000FF"/>
            <w:spacing w:val="-10"/>
          </w:rPr>
          <w:t>Figure</w:t>
        </w:r>
      </w:hyperlink>
      <w:r>
        <w:rPr>
          <w:sz w:val="18"/>
          <w:szCs w:val="18"/>
          <w:i/>
          <w:iCs/>
          <w:color w:val="0000FF"/>
          <w:spacing w:val="-10"/>
        </w:rPr>
        <w:t>1</w:t>
      </w:r>
      <w:r>
        <w:rPr>
          <w:sz w:val="18"/>
          <w:szCs w:val="18"/>
          <w:spacing w:val="-10"/>
        </w:rPr>
        <w:t>),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view 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improve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procedural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quality a</w:t>
      </w:r>
      <w:r>
        <w:rPr>
          <w:sz w:val="18"/>
          <w:szCs w:val="18"/>
          <w:spacing w:val="-9"/>
        </w:rPr>
        <w:t>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clinical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outcomes.</w:t>
      </w:r>
    </w:p>
    <w:p>
      <w:pPr>
        <w:pStyle w:val="BodyText"/>
        <w:ind w:left="7"/>
        <w:spacing w:before="152" w:line="223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-4"/>
        </w:rPr>
        <w:t>Conflict of interest:</w:t>
      </w:r>
      <w:r>
        <w:rPr>
          <w:sz w:val="18"/>
          <w:szCs w:val="18"/>
          <w:b/>
          <w:bCs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None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declared.</w:t>
      </w:r>
    </w:p>
    <w:p>
      <w:pPr>
        <w:pStyle w:val="BodyText"/>
        <w:ind w:left="18"/>
        <w:spacing w:before="189" w:line="309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D6143D"/>
          <w:spacing w:val="3"/>
          <w:position w:val="3"/>
        </w:rPr>
        <w:t>Data availability</w:t>
      </w:r>
    </w:p>
    <w:p>
      <w:pPr>
        <w:pStyle w:val="BodyText"/>
        <w:ind w:left="7"/>
        <w:spacing w:before="10" w:line="205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Source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data for figure are</w:t>
      </w:r>
      <w:r>
        <w:rPr>
          <w:sz w:val="16"/>
          <w:szCs w:val="16"/>
          <w:spacing w:val="14"/>
          <w:w w:val="102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provided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w</w:t>
      </w:r>
      <w:r>
        <w:rPr>
          <w:sz w:val="16"/>
          <w:szCs w:val="16"/>
          <w:spacing w:val="-4"/>
          <w:position w:val="2"/>
        </w:rPr>
        <w:t>ith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the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paper.</w:t>
      </w:r>
    </w:p>
    <w:p>
      <w:pPr>
        <w:pStyle w:val="BodyText"/>
        <w:ind w:left="18"/>
        <w:spacing w:before="26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D6143D"/>
        </w:rPr>
        <w:t>References</w:t>
      </w:r>
    </w:p>
    <w:p>
      <w:pPr>
        <w:pStyle w:val="BodyText"/>
        <w:ind w:left="165" w:right="262" w:hanging="155"/>
        <w:spacing w:before="17" w:line="283" w:lineRule="auto"/>
        <w:rPr/>
      </w:pPr>
      <w:bookmarkStart w:name="bookmark2" w:id="8"/>
      <w:bookmarkEnd w:id="8"/>
      <w:hyperlink w:history="true" w:anchor="bookmark1">
        <w:r>
          <w:rPr>
            <w:spacing w:val="-5"/>
          </w:rPr>
          <w:t>1</w:t>
        </w:r>
      </w:hyperlink>
      <w:r>
        <w:rPr>
          <w:spacing w:val="-5"/>
        </w:rPr>
        <w:t>.  Neumann</w:t>
      </w:r>
      <w:r>
        <w:rPr>
          <w:spacing w:val="13"/>
        </w:rPr>
        <w:t xml:space="preserve"> </w:t>
      </w:r>
      <w:r>
        <w:rPr>
          <w:spacing w:val="-5"/>
        </w:rPr>
        <w:t>FJ,</w:t>
      </w:r>
      <w:r>
        <w:rPr>
          <w:spacing w:val="8"/>
        </w:rPr>
        <w:t xml:space="preserve"> </w:t>
      </w:r>
      <w:r>
        <w:rPr>
          <w:spacing w:val="-5"/>
        </w:rPr>
        <w:t>Sousa-Uva</w:t>
      </w:r>
      <w:r>
        <w:rPr>
          <w:spacing w:val="13"/>
        </w:rPr>
        <w:t xml:space="preserve"> </w:t>
      </w:r>
      <w:r>
        <w:rPr>
          <w:spacing w:val="-5"/>
        </w:rPr>
        <w:t>M, Ahls</w:t>
      </w:r>
      <w:r>
        <w:rPr>
          <w:spacing w:val="-6"/>
        </w:rPr>
        <w:t>son A, Alfonso</w:t>
      </w:r>
      <w:r>
        <w:rPr>
          <w:spacing w:val="12"/>
        </w:rPr>
        <w:t xml:space="preserve"> </w:t>
      </w:r>
      <w:r>
        <w:rPr>
          <w:spacing w:val="-6"/>
        </w:rPr>
        <w:t>F,</w:t>
      </w:r>
      <w:r>
        <w:rPr>
          <w:spacing w:val="12"/>
          <w:w w:val="102"/>
        </w:rPr>
        <w:t xml:space="preserve"> </w:t>
      </w:r>
      <w:r>
        <w:rPr>
          <w:spacing w:val="-6"/>
        </w:rPr>
        <w:t>Banning AP,</w:t>
      </w:r>
      <w:r>
        <w:rPr>
          <w:spacing w:val="12"/>
          <w:w w:val="101"/>
        </w:rPr>
        <w:t xml:space="preserve"> </w:t>
      </w:r>
      <w:r>
        <w:rPr>
          <w:spacing w:val="-6"/>
        </w:rPr>
        <w:t>Benedetto</w:t>
      </w:r>
      <w:r>
        <w:rPr>
          <w:spacing w:val="11"/>
          <w:w w:val="102"/>
        </w:rPr>
        <w:t xml:space="preserve"> </w:t>
      </w:r>
      <w:r>
        <w:rPr>
          <w:spacing w:val="-6"/>
        </w:rPr>
        <w:t>U,</w:t>
      </w:r>
      <w:r>
        <w:rPr>
          <w:spacing w:val="6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  <w:spacing w:val="7"/>
        </w:rPr>
        <w:t xml:space="preserve"> </w:t>
      </w:r>
      <w:r>
        <w:rPr>
          <w:spacing w:val="-6"/>
        </w:rPr>
        <w:t>2018</w:t>
      </w:r>
      <w:r>
        <w:rPr/>
        <w:t xml:space="preserve"> </w:t>
      </w:r>
      <w:r>
        <w:rPr>
          <w:spacing w:val="-4"/>
        </w:rPr>
        <w:t>ESC/EACTS</w:t>
      </w:r>
      <w:r>
        <w:rPr>
          <w:spacing w:val="24"/>
        </w:rPr>
        <w:t xml:space="preserve"> </w:t>
      </w:r>
      <w:r>
        <w:rPr>
          <w:spacing w:val="-4"/>
        </w:rPr>
        <w:t>guidelines</w:t>
      </w:r>
      <w:r>
        <w:rPr>
          <w:spacing w:val="28"/>
        </w:rPr>
        <w:t xml:space="preserve"> </w:t>
      </w:r>
      <w:r>
        <w:rPr>
          <w:spacing w:val="-4"/>
        </w:rPr>
        <w:t>on  myocardial  revascular</w:t>
      </w:r>
      <w:r>
        <w:rPr>
          <w:spacing w:val="-5"/>
        </w:rPr>
        <w:t>ization.</w:t>
      </w:r>
      <w:r>
        <w:rPr>
          <w:spacing w:val="27"/>
        </w:rPr>
        <w:t xml:space="preserve"> </w:t>
      </w:r>
      <w:r>
        <w:rPr>
          <w:i/>
          <w:iCs/>
          <w:spacing w:val="-5"/>
        </w:rPr>
        <w:t>Eur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5"/>
        </w:rPr>
        <w:t>Heart J  </w:t>
      </w:r>
      <w:r>
        <w:rPr>
          <w:spacing w:val="-5"/>
        </w:rPr>
        <w:t>2019;</w:t>
      </w:r>
      <w:r>
        <w:rPr>
          <w:b/>
          <w:bCs/>
          <w:spacing w:val="-5"/>
        </w:rPr>
        <w:t>40</w:t>
      </w:r>
      <w:r>
        <w:rPr>
          <w:spacing w:val="-5"/>
        </w:rPr>
        <w:t>:87–165.</w:t>
      </w:r>
      <w:r>
        <w:rPr/>
        <w:t xml:space="preserve"> </w:t>
      </w:r>
      <w:hyperlink w:history="true" r:id="rId11">
        <w:r>
          <w:rPr>
            <w:spacing w:val="-2"/>
          </w:rPr>
          <w:t>https://doi.org/10.1093/eurheartj/ehy3</w:t>
        </w:r>
        <w:r>
          <w:rPr>
            <w:spacing w:val="-3"/>
          </w:rPr>
          <w:t>94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8" w:right="572" w:hanging="155"/>
        <w:spacing w:before="52" w:line="312" w:lineRule="auto"/>
        <w:rPr/>
      </w:pPr>
      <w:bookmarkStart w:name="bookmark4" w:id="9"/>
      <w:bookmarkEnd w:id="9"/>
      <w:hyperlink w:history="true" w:anchor="bookmark3">
        <w:r>
          <w:rPr>
            <w:spacing w:val="-4"/>
          </w:rPr>
          <w:t>2</w:t>
        </w:r>
      </w:hyperlink>
      <w:r>
        <w:rPr>
          <w:spacing w:val="-4"/>
        </w:rPr>
        <w:t>.</w:t>
      </w:r>
      <w:r>
        <w:rPr>
          <w:spacing w:val="31"/>
        </w:rPr>
        <w:t xml:space="preserve"> </w:t>
      </w:r>
      <w:r>
        <w:rPr>
          <w:spacing w:val="-4"/>
        </w:rPr>
        <w:t>Gaudino</w:t>
      </w:r>
      <w:r>
        <w:rPr>
          <w:spacing w:val="22"/>
          <w:w w:val="102"/>
        </w:rPr>
        <w:t xml:space="preserve"> </w:t>
      </w:r>
      <w:r>
        <w:rPr>
          <w:spacing w:val="-4"/>
        </w:rPr>
        <w:t>M,</w:t>
      </w:r>
      <w:r>
        <w:rPr>
          <w:spacing w:val="23"/>
          <w:w w:val="101"/>
        </w:rPr>
        <w:t xml:space="preserve"> </w:t>
      </w:r>
      <w:r>
        <w:rPr>
          <w:spacing w:val="-4"/>
        </w:rPr>
        <w:t>Farkouh</w:t>
      </w:r>
      <w:r>
        <w:rPr>
          <w:spacing w:val="24"/>
        </w:rPr>
        <w:t xml:space="preserve"> </w:t>
      </w:r>
      <w:r>
        <w:rPr>
          <w:spacing w:val="-4"/>
        </w:rPr>
        <w:t>ME,</w:t>
      </w:r>
      <w:r>
        <w:rPr>
          <w:spacing w:val="18"/>
          <w:w w:val="102"/>
        </w:rPr>
        <w:t xml:space="preserve"> </w:t>
      </w:r>
      <w:r>
        <w:rPr>
          <w:spacing w:val="-4"/>
        </w:rPr>
        <w:t>Stone</w:t>
      </w:r>
      <w:r>
        <w:rPr>
          <w:spacing w:val="18"/>
          <w:w w:val="101"/>
        </w:rPr>
        <w:t xml:space="preserve"> </w:t>
      </w:r>
      <w:r>
        <w:rPr>
          <w:spacing w:val="-4"/>
        </w:rPr>
        <w:t>GW.</w:t>
      </w:r>
      <w:r>
        <w:rPr>
          <w:spacing w:val="23"/>
          <w:w w:val="101"/>
        </w:rPr>
        <w:t xml:space="preserve"> </w:t>
      </w:r>
      <w:r>
        <w:rPr>
          <w:spacing w:val="-4"/>
        </w:rPr>
        <w:t>Left</w:t>
      </w:r>
      <w:r>
        <w:rPr>
          <w:spacing w:val="21"/>
          <w:w w:val="102"/>
        </w:rPr>
        <w:t xml:space="preserve"> </w:t>
      </w:r>
      <w:r>
        <w:rPr>
          <w:spacing w:val="-4"/>
        </w:rPr>
        <w:t>main</w:t>
      </w:r>
      <w:r>
        <w:rPr>
          <w:spacing w:val="21"/>
          <w:w w:val="101"/>
        </w:rPr>
        <w:t xml:space="preserve"> </w:t>
      </w:r>
      <w:r>
        <w:rPr>
          <w:spacing w:val="-4"/>
        </w:rPr>
        <w:t>revascularization:</w:t>
      </w:r>
      <w:r>
        <w:rPr>
          <w:spacing w:val="16"/>
        </w:rPr>
        <w:t xml:space="preserve"> </w:t>
      </w:r>
      <w:r>
        <w:rPr>
          <w:spacing w:val="-4"/>
        </w:rPr>
        <w:t>an</w:t>
      </w:r>
      <w:r>
        <w:rPr>
          <w:spacing w:val="18"/>
          <w:w w:val="101"/>
        </w:rPr>
        <w:t xml:space="preserve"> </w:t>
      </w:r>
      <w:r>
        <w:rPr>
          <w:spacing w:val="-4"/>
        </w:rPr>
        <w:t>evidence-</w:t>
      </w:r>
      <w:r>
        <w:rPr>
          <w:spacing w:val="-5"/>
        </w:rPr>
        <w:t>based</w:t>
      </w:r>
      <w:r>
        <w:rPr/>
        <w:t xml:space="preserve"> </w:t>
      </w:r>
      <w:r>
        <w:rPr>
          <w:spacing w:val="-1"/>
        </w:rPr>
        <w:t>reconciliation.</w:t>
      </w:r>
      <w:r>
        <w:rPr>
          <w:spacing w:val="13"/>
        </w:rPr>
        <w:t xml:space="preserve">  </w:t>
      </w:r>
      <w:r>
        <w:rPr>
          <w:i/>
          <w:iCs/>
          <w:spacing w:val="-1"/>
        </w:rPr>
        <w:t>Eur</w:t>
      </w:r>
      <w:r>
        <w:rPr>
          <w:i/>
          <w:iCs/>
          <w:spacing w:val="10"/>
        </w:rPr>
        <w:t xml:space="preserve">  </w:t>
      </w:r>
      <w:r>
        <w:rPr>
          <w:i/>
          <w:iCs/>
          <w:spacing w:val="-1"/>
        </w:rPr>
        <w:t>Heart  J</w:t>
      </w:r>
      <w:r>
        <w:rPr>
          <w:i/>
          <w:iCs/>
          <w:spacing w:val="13"/>
          <w:w w:val="101"/>
        </w:rPr>
        <w:t xml:space="preserve">  </w:t>
      </w:r>
      <w:r>
        <w:rPr>
          <w:spacing w:val="-1"/>
        </w:rPr>
        <w:t>2022;</w:t>
      </w:r>
      <w:r>
        <w:rPr>
          <w:b/>
          <w:bCs/>
          <w:spacing w:val="-1"/>
        </w:rPr>
        <w:t>43</w:t>
      </w:r>
      <w:r>
        <w:rPr>
          <w:spacing w:val="-1"/>
        </w:rPr>
        <w:t>:2421–2424.</w:t>
      </w:r>
      <w:r>
        <w:rPr>
          <w:spacing w:val="10"/>
          <w:w w:val="101"/>
        </w:rPr>
        <w:t xml:space="preserve">  </w:t>
      </w:r>
      <w:hyperlink w:history="true" r:id="rId12">
        <w:r>
          <w:rPr>
            <w:spacing w:val="-1"/>
          </w:rPr>
          <w:t>https://doi.org/10.10</w:t>
        </w:r>
        <w:r>
          <w:rPr>
            <w:spacing w:val="-2"/>
          </w:rPr>
          <w:t>93/eurheartj/</w:t>
        </w:r>
      </w:hyperlink>
      <w:r>
        <w:rPr/>
        <w:t xml:space="preserve"> </w:t>
      </w:r>
      <w:hyperlink w:history="true" r:id="rId12">
        <w:r>
          <w:rPr>
            <w:spacing w:val="-4"/>
          </w:rPr>
          <w:t>ehac216</w:t>
        </w:r>
      </w:hyperlink>
    </w:p>
    <w:p>
      <w:pPr>
        <w:pStyle w:val="BodyText"/>
        <w:ind w:left="154" w:right="567" w:hanging="147"/>
        <w:spacing w:before="1" w:line="316" w:lineRule="auto"/>
        <w:rPr/>
      </w:pPr>
      <w:bookmarkStart w:name="bookmark6" w:id="10"/>
      <w:bookmarkEnd w:id="10"/>
      <w:hyperlink w:history="true" w:anchor="bookmark5">
        <w:r>
          <w:rPr>
            <w:spacing w:val="-1"/>
          </w:rPr>
          <w:t>3</w:t>
        </w:r>
      </w:hyperlink>
      <w:r>
        <w:rPr>
          <w:spacing w:val="-1"/>
        </w:rPr>
        <w:t>.</w:t>
      </w:r>
      <w:r>
        <w:rPr>
          <w:spacing w:val="38"/>
        </w:rPr>
        <w:t xml:space="preserve"> </w:t>
      </w:r>
      <w:r>
        <w:rPr>
          <w:spacing w:val="-1"/>
        </w:rPr>
        <w:t>Chinese  Society  of  Cardiology,  Chinese  Medical  Association;  Editorial</w:t>
      </w:r>
      <w:r>
        <w:rPr>
          <w:spacing w:val="4"/>
        </w:rPr>
        <w:t xml:space="preserve">  </w:t>
      </w:r>
      <w:r>
        <w:rPr>
          <w:spacing w:val="-1"/>
        </w:rPr>
        <w:t>Board  of</w:t>
      </w:r>
      <w:r>
        <w:rPr/>
        <w:t xml:space="preserve"> </w:t>
      </w:r>
      <w:r>
        <w:rPr/>
        <w:t>Chinese</w:t>
      </w:r>
      <w:r>
        <w:rPr>
          <w:spacing w:val="1"/>
        </w:rPr>
        <w:t xml:space="preserve"> </w:t>
      </w:r>
      <w:r>
        <w:rPr/>
        <w:t>Journal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Cardiology</w:t>
      </w:r>
      <w:r>
        <w:rPr>
          <w:spacing w:val="1"/>
        </w:rPr>
        <w:t>.</w:t>
      </w:r>
      <w:r>
        <w:rPr>
          <w:spacing w:val="17"/>
        </w:rPr>
        <w:t xml:space="preserve"> </w:t>
      </w:r>
      <w:r>
        <w:rPr>
          <w:spacing w:val="1"/>
        </w:rPr>
        <w:t>[</w:t>
      </w:r>
      <w:r>
        <w:rPr/>
        <w:t>Chinese</w:t>
      </w:r>
      <w:r>
        <w:rPr>
          <w:spacing w:val="1"/>
        </w:rPr>
        <w:t xml:space="preserve"> </w:t>
      </w:r>
      <w:r>
        <w:rPr/>
        <w:t>guideline</w:t>
      </w:r>
      <w:r>
        <w:rPr>
          <w:spacing w:val="1"/>
        </w:rPr>
        <w:t xml:space="preserve"> </w:t>
      </w:r>
      <w:r>
        <w:rPr/>
        <w:t>for</w:t>
      </w:r>
      <w:r>
        <w:rPr>
          <w:spacing w:val="12"/>
          <w:w w:val="101"/>
        </w:rPr>
        <w:t xml:space="preserve"> </w:t>
      </w:r>
      <w:r>
        <w:rPr/>
        <w:t>percutaneous</w:t>
      </w:r>
      <w:r>
        <w:rPr>
          <w:spacing w:val="1"/>
        </w:rPr>
        <w:t xml:space="preserve"> </w:t>
      </w:r>
      <w:r>
        <w:rPr/>
        <w:t>coronary</w:t>
      </w:r>
      <w:r>
        <w:rPr>
          <w:spacing w:val="12"/>
          <w:w w:val="102"/>
        </w:rPr>
        <w:t xml:space="preserve"> </w:t>
      </w:r>
      <w:r>
        <w:rPr/>
        <w:t>inter</w:t>
      </w:r>
      <w:r>
        <w:rPr>
          <w:spacing w:val="1"/>
        </w:rPr>
        <w:t>-</w:t>
      </w:r>
      <w:r>
        <w:rPr/>
        <w:t xml:space="preserve"> </w:t>
      </w:r>
      <w:r>
        <w:rPr>
          <w:spacing w:val="-1"/>
        </w:rPr>
        <w:t>vention  in  patients  with  left  main</w:t>
      </w:r>
      <w:r>
        <w:rPr>
          <w:spacing w:val="4"/>
        </w:rPr>
        <w:t xml:space="preserve">  </w:t>
      </w:r>
      <w:r>
        <w:rPr>
          <w:spacing w:val="-1"/>
        </w:rPr>
        <w:t>bifurcation  disease].  </w:t>
      </w:r>
      <w:r>
        <w:rPr>
          <w:i/>
          <w:iCs/>
          <w:spacing w:val="-1"/>
        </w:rPr>
        <w:t>Zhonghua  Xin  Xue  Guan</w:t>
      </w:r>
      <w:r>
        <w:rPr>
          <w:i/>
          <w:iCs/>
        </w:rPr>
        <w:t xml:space="preserve"> </w:t>
      </w:r>
      <w:r>
        <w:rPr>
          <w:i/>
          <w:iCs/>
        </w:rPr>
        <w:t>Bing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Za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Zhi  </w:t>
      </w:r>
      <w:r>
        <w:rPr/>
        <w:t>2022;</w:t>
      </w:r>
      <w:r>
        <w:rPr>
          <w:b/>
          <w:bCs/>
        </w:rPr>
        <w:t>50</w:t>
      </w:r>
      <w:r>
        <w:rPr/>
        <w:t>:349–360.</w:t>
      </w:r>
      <w:r>
        <w:rPr>
          <w:spacing w:val="30"/>
        </w:rPr>
        <w:t xml:space="preserve"> </w:t>
      </w:r>
      <w:hyperlink w:history="true" r:id="rId13">
        <w:r>
          <w:rPr/>
          <w:t>https://doi.org/10.3760/cma.j.cn112148-20211010-</w:t>
        </w:r>
      </w:hyperlink>
      <w:r>
        <w:rPr/>
        <w:t xml:space="preserve"> </w:t>
      </w:r>
      <w:hyperlink w:history="true" r:id="rId13">
        <w:r>
          <w:rPr/>
          <w:t>00870</w:t>
        </w:r>
      </w:hyperlink>
    </w:p>
    <w:p>
      <w:pPr>
        <w:pStyle w:val="BodyText"/>
        <w:ind w:left="163" w:right="573" w:hanging="164"/>
        <w:spacing w:line="306" w:lineRule="auto"/>
        <w:rPr/>
      </w:pPr>
      <w:bookmarkStart w:name="bookmark8" w:id="11"/>
      <w:bookmarkEnd w:id="11"/>
      <w:hyperlink w:history="true" w:anchor="bookmark7">
        <w:r>
          <w:rPr>
            <w:spacing w:val="-4"/>
          </w:rPr>
          <w:t>4</w:t>
        </w:r>
      </w:hyperlink>
      <w:r>
        <w:rPr>
          <w:spacing w:val="-4"/>
        </w:rPr>
        <w:t>.  Lassen</w:t>
      </w:r>
      <w:r>
        <w:rPr>
          <w:spacing w:val="24"/>
          <w:w w:val="101"/>
        </w:rPr>
        <w:t xml:space="preserve"> </w:t>
      </w:r>
      <w:r>
        <w:rPr>
          <w:spacing w:val="-4"/>
        </w:rPr>
        <w:t>J,  Burzotta  F,</w:t>
      </w:r>
      <w:r>
        <w:rPr>
          <w:spacing w:val="3"/>
        </w:rPr>
        <w:t xml:space="preserve">  </w:t>
      </w:r>
      <w:r>
        <w:rPr>
          <w:spacing w:val="-4"/>
        </w:rPr>
        <w:t>Banning</w:t>
      </w:r>
      <w:r>
        <w:rPr>
          <w:spacing w:val="34"/>
          <w:w w:val="101"/>
        </w:rPr>
        <w:t xml:space="preserve"> </w:t>
      </w:r>
      <w:r>
        <w:rPr>
          <w:spacing w:val="-4"/>
        </w:rPr>
        <w:t>A,</w:t>
      </w:r>
      <w:r>
        <w:rPr>
          <w:spacing w:val="4"/>
        </w:rPr>
        <w:t xml:space="preserve">  </w:t>
      </w:r>
      <w:r>
        <w:rPr>
          <w:spacing w:val="-4"/>
        </w:rPr>
        <w:t>Lefèvre</w:t>
      </w:r>
      <w:r>
        <w:rPr>
          <w:spacing w:val="35"/>
          <w:w w:val="102"/>
        </w:rPr>
        <w:t xml:space="preserve"> </w:t>
      </w:r>
      <w:r>
        <w:rPr>
          <w:spacing w:val="-4"/>
        </w:rPr>
        <w:t>T,</w:t>
      </w:r>
      <w:r>
        <w:rPr>
          <w:spacing w:val="3"/>
        </w:rPr>
        <w:t xml:space="preserve">  </w:t>
      </w:r>
      <w:r>
        <w:rPr>
          <w:spacing w:val="-4"/>
        </w:rPr>
        <w:t>Darr</w:t>
      </w:r>
      <w:r>
        <w:rPr>
          <w:spacing w:val="-5"/>
        </w:rPr>
        <w:t>emont</w:t>
      </w:r>
      <w:r>
        <w:rPr>
          <w:spacing w:val="2"/>
        </w:rPr>
        <w:t xml:space="preserve">  </w:t>
      </w:r>
      <w:r>
        <w:rPr>
          <w:spacing w:val="-5"/>
        </w:rPr>
        <w:t>O,</w:t>
      </w:r>
      <w:r>
        <w:rPr>
          <w:spacing w:val="4"/>
        </w:rPr>
        <w:t xml:space="preserve">  </w:t>
      </w:r>
      <w:r>
        <w:rPr>
          <w:spacing w:val="-5"/>
        </w:rPr>
        <w:t>Hildick-Smith</w:t>
      </w:r>
      <w:r>
        <w:rPr>
          <w:spacing w:val="3"/>
        </w:rPr>
        <w:t xml:space="preserve">  </w:t>
      </w:r>
      <w:r>
        <w:rPr>
          <w:spacing w:val="-5"/>
        </w:rPr>
        <w:t>D,</w:t>
      </w:r>
      <w:r>
        <w:rPr>
          <w:spacing w:val="1"/>
        </w:rPr>
        <w:t xml:space="preserve">  </w:t>
      </w:r>
      <w:r>
        <w:rPr>
          <w:i/>
          <w:iCs/>
          <w:spacing w:val="-5"/>
        </w:rPr>
        <w:t>et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</w:rPr>
        <w:t xml:space="preserve"> </w:t>
      </w:r>
      <w:r>
        <w:rPr>
          <w:spacing w:val="-2"/>
        </w:rPr>
        <w:t>Percutaneous coronary intervention for the left main stem and other bifurc</w:t>
      </w:r>
      <w:r>
        <w:rPr>
          <w:spacing w:val="-3"/>
        </w:rPr>
        <w:t>ation lesions:</w:t>
      </w:r>
      <w:r>
        <w:rPr/>
        <w:t xml:space="preserve"> </w:t>
      </w:r>
      <w:r>
        <w:rPr>
          <w:spacing w:val="-4"/>
        </w:rPr>
        <w:t>12th</w:t>
      </w:r>
      <w:r>
        <w:rPr>
          <w:spacing w:val="15"/>
          <w:w w:val="101"/>
        </w:rPr>
        <w:t xml:space="preserve"> </w:t>
      </w:r>
      <w:r>
        <w:rPr>
          <w:spacing w:val="-4"/>
        </w:rPr>
        <w:t>consensus</w:t>
      </w:r>
      <w:r>
        <w:rPr>
          <w:spacing w:val="13"/>
          <w:w w:val="102"/>
        </w:rPr>
        <w:t xml:space="preserve"> </w:t>
      </w:r>
      <w:r>
        <w:rPr>
          <w:spacing w:val="-4"/>
        </w:rPr>
        <w:t>document</w:t>
      </w:r>
      <w:r>
        <w:rPr>
          <w:spacing w:val="11"/>
        </w:rPr>
        <w:t xml:space="preserve"> </w:t>
      </w:r>
      <w:r>
        <w:rPr>
          <w:spacing w:val="-4"/>
        </w:rPr>
        <w:t>from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19"/>
        </w:rPr>
        <w:t xml:space="preserve"> </w:t>
      </w:r>
      <w:r>
        <w:rPr>
          <w:spacing w:val="-4"/>
        </w:rPr>
        <w:t>European</w:t>
      </w:r>
      <w:r>
        <w:rPr>
          <w:spacing w:val="20"/>
          <w:w w:val="101"/>
        </w:rPr>
        <w:t xml:space="preserve"> </w:t>
      </w:r>
      <w:r>
        <w:rPr>
          <w:spacing w:val="-4"/>
        </w:rPr>
        <w:t>Bifurcation</w:t>
      </w:r>
      <w:r>
        <w:rPr>
          <w:spacing w:val="15"/>
          <w:w w:val="101"/>
        </w:rPr>
        <w:t xml:space="preserve"> </w:t>
      </w:r>
      <w:r>
        <w:rPr>
          <w:spacing w:val="-4"/>
        </w:rPr>
        <w:t>Club.</w:t>
      </w:r>
      <w:r>
        <w:rPr>
          <w:spacing w:val="16"/>
        </w:rPr>
        <w:t xml:space="preserve"> </w:t>
      </w:r>
      <w:r>
        <w:rPr>
          <w:i/>
          <w:iCs/>
          <w:spacing w:val="-4"/>
        </w:rPr>
        <w:t>EuroIntervention</w:t>
      </w:r>
      <w:r>
        <w:rPr>
          <w:i/>
          <w:iCs/>
          <w:spacing w:val="14"/>
          <w:w w:val="102"/>
        </w:rPr>
        <w:t xml:space="preserve"> </w:t>
      </w:r>
      <w:r>
        <w:rPr>
          <w:spacing w:val="-4"/>
        </w:rPr>
        <w:t>2</w:t>
      </w:r>
      <w:r>
        <w:rPr>
          <w:spacing w:val="-5"/>
        </w:rPr>
        <w:t>018;</w:t>
      </w:r>
    </w:p>
    <w:p>
      <w:pPr>
        <w:pStyle w:val="BodyText"/>
        <w:ind w:left="163"/>
        <w:spacing w:before="29" w:line="173" w:lineRule="exact"/>
        <w:rPr/>
      </w:pPr>
      <w:r>
        <w:rPr>
          <w:b/>
          <w:bCs/>
          <w:spacing w:val="-2"/>
          <w:position w:val="2"/>
        </w:rPr>
        <w:t>13</w:t>
      </w:r>
      <w:r>
        <w:rPr>
          <w:spacing w:val="-2"/>
          <w:position w:val="2"/>
        </w:rPr>
        <w:t>:1540–1553. </w:t>
      </w:r>
      <w:hyperlink w:history="true" r:id="rId14">
        <w:r>
          <w:rPr>
            <w:spacing w:val="-2"/>
            <w:position w:val="2"/>
          </w:rPr>
          <w:t>https://doi.org/10.4244/eij-d-17-00622</w:t>
        </w:r>
      </w:hyperlink>
    </w:p>
    <w:p>
      <w:pPr>
        <w:pStyle w:val="BodyText"/>
        <w:ind w:left="155" w:right="573" w:hanging="151"/>
        <w:spacing w:before="10" w:line="307" w:lineRule="auto"/>
        <w:rPr/>
      </w:pPr>
      <w:bookmarkStart w:name="bookmark10" w:id="12"/>
      <w:bookmarkEnd w:id="12"/>
      <w:hyperlink w:history="true" w:anchor="bookmark9">
        <w:r>
          <w:rPr>
            <w:spacing w:val="-4"/>
          </w:rPr>
          <w:t>5</w:t>
        </w:r>
      </w:hyperlink>
      <w:r>
        <w:rPr>
          <w:spacing w:val="-4"/>
        </w:rPr>
        <w:t>.  Han</w:t>
      </w:r>
      <w:r>
        <w:rPr>
          <w:spacing w:val="-9"/>
        </w:rPr>
        <w:t xml:space="preserve"> </w:t>
      </w:r>
      <w:r>
        <w:rPr>
          <w:spacing w:val="-4"/>
        </w:rPr>
        <w:t>Y, Liao Z, L</w:t>
      </w:r>
      <w:r>
        <w:rPr>
          <w:spacing w:val="-5"/>
        </w:rPr>
        <w:t>i</w:t>
      </w:r>
      <w:r>
        <w:rPr>
          <w:spacing w:val="-9"/>
        </w:rPr>
        <w:t xml:space="preserve"> </w:t>
      </w:r>
      <w:r>
        <w:rPr>
          <w:spacing w:val="-5"/>
        </w:rPr>
        <w:t>Y, Zhao</w:t>
      </w:r>
      <w:r>
        <w:rPr>
          <w:spacing w:val="-10"/>
        </w:rPr>
        <w:t xml:space="preserve"> </w:t>
      </w:r>
      <w:r>
        <w:rPr>
          <w:spacing w:val="-5"/>
        </w:rPr>
        <w:t>X, Ma S, Bao D, </w:t>
      </w:r>
      <w:r>
        <w:rPr>
          <w:i/>
          <w:iCs/>
          <w:spacing w:val="-5"/>
        </w:rPr>
        <w:t>et al. </w:t>
      </w:r>
      <w:r>
        <w:rPr>
          <w:spacing w:val="-5"/>
        </w:rPr>
        <w:t>Magnetically controlled capsule endoscopy</w:t>
      </w:r>
      <w:r>
        <w:rPr/>
        <w:t xml:space="preserve"> </w:t>
      </w:r>
      <w:r>
        <w:rPr>
          <w:spacing w:val="-4"/>
        </w:rPr>
        <w:t>for</w:t>
      </w:r>
      <w:r>
        <w:rPr>
          <w:spacing w:val="25"/>
          <w:w w:val="101"/>
        </w:rPr>
        <w:t xml:space="preserve"> </w:t>
      </w:r>
      <w:r>
        <w:rPr>
          <w:spacing w:val="-4"/>
        </w:rPr>
        <w:t>assessment</w:t>
      </w:r>
      <w:r>
        <w:rPr>
          <w:spacing w:val="17"/>
          <w:w w:val="102"/>
        </w:rPr>
        <w:t xml:space="preserve"> </w:t>
      </w:r>
      <w:r>
        <w:rPr>
          <w:spacing w:val="-4"/>
        </w:rPr>
        <w:t>of</w:t>
      </w:r>
      <w:r>
        <w:rPr>
          <w:spacing w:val="10"/>
        </w:rPr>
        <w:t xml:space="preserve"> </w:t>
      </w:r>
      <w:r>
        <w:rPr>
          <w:spacing w:val="-4"/>
        </w:rPr>
        <w:t>antiplatelet</w:t>
      </w:r>
      <w:r>
        <w:rPr>
          <w:spacing w:val="13"/>
          <w:w w:val="101"/>
        </w:rPr>
        <w:t xml:space="preserve"> </w:t>
      </w:r>
      <w:r>
        <w:rPr>
          <w:spacing w:val="-4"/>
        </w:rPr>
        <w:t>therapy-induced</w:t>
      </w:r>
      <w:r>
        <w:rPr>
          <w:spacing w:val="13"/>
        </w:rPr>
        <w:t xml:space="preserve"> </w:t>
      </w:r>
      <w:r>
        <w:rPr>
          <w:spacing w:val="-4"/>
        </w:rPr>
        <w:t>gastrointestinal</w:t>
      </w:r>
      <w:r>
        <w:rPr>
          <w:spacing w:val="21"/>
          <w:w w:val="102"/>
        </w:rPr>
        <w:t xml:space="preserve"> </w:t>
      </w:r>
      <w:r>
        <w:rPr>
          <w:spacing w:val="-4"/>
        </w:rPr>
        <w:t>injury. </w:t>
      </w:r>
      <w:r>
        <w:rPr>
          <w:i/>
          <w:iCs/>
          <w:spacing w:val="-4"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4"/>
        </w:rPr>
        <w:t>Am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4"/>
        </w:rPr>
        <w:t>Coll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4"/>
        </w:rPr>
        <w:t>Cardiol</w:t>
      </w:r>
      <w:r>
        <w:rPr>
          <w:i/>
          <w:iCs/>
        </w:rPr>
        <w:t xml:space="preserve"> </w:t>
      </w:r>
      <w:r>
        <w:rPr>
          <w:spacing w:val="-3"/>
        </w:rPr>
        <w:t>2022;</w:t>
      </w:r>
      <w:r>
        <w:rPr>
          <w:b/>
          <w:bCs/>
          <w:spacing w:val="-3"/>
        </w:rPr>
        <w:t>79</w:t>
      </w:r>
      <w:r>
        <w:rPr>
          <w:spacing w:val="-3"/>
        </w:rPr>
        <w:t>:116–128. </w:t>
      </w:r>
      <w:hyperlink w:history="true" r:id="rId15">
        <w:r>
          <w:rPr>
            <w:spacing w:val="-3"/>
          </w:rPr>
          <w:t>https://doi.org/10.1016/j.jacc.2021.10.028</w:t>
        </w:r>
      </w:hyperlink>
    </w:p>
    <w:p>
      <w:pPr>
        <w:pStyle w:val="BodyText"/>
        <w:ind w:left="163" w:right="572" w:hanging="159"/>
        <w:spacing w:before="8" w:line="305" w:lineRule="auto"/>
        <w:rPr/>
      </w:pPr>
      <w:bookmarkStart w:name="bookmark12" w:id="13"/>
      <w:bookmarkEnd w:id="13"/>
      <w:hyperlink w:history="true" w:anchor="bookmark11">
        <w:r>
          <w:rPr>
            <w:spacing w:val="-5"/>
          </w:rPr>
          <w:t>6</w:t>
        </w:r>
      </w:hyperlink>
      <w:r>
        <w:rPr>
          <w:spacing w:val="-5"/>
        </w:rPr>
        <w:t>.  Lee JY,</w:t>
      </w:r>
      <w:r>
        <w:rPr>
          <w:spacing w:val="14"/>
        </w:rPr>
        <w:t xml:space="preserve"> </w:t>
      </w:r>
      <w:r>
        <w:rPr>
          <w:spacing w:val="-5"/>
        </w:rPr>
        <w:t>Park</w:t>
      </w:r>
      <w:r>
        <w:rPr>
          <w:spacing w:val="11"/>
        </w:rPr>
        <w:t xml:space="preserve"> </w:t>
      </w:r>
      <w:r>
        <w:rPr>
          <w:spacing w:val="-5"/>
        </w:rPr>
        <w:t>DW,</w:t>
      </w:r>
      <w:r>
        <w:rPr>
          <w:spacing w:val="13"/>
          <w:w w:val="102"/>
        </w:rPr>
        <w:t xml:space="preserve"> </w:t>
      </w:r>
      <w:r>
        <w:rPr>
          <w:spacing w:val="-5"/>
        </w:rPr>
        <w:t>Kim YH, Yun</w:t>
      </w:r>
      <w:r>
        <w:rPr>
          <w:spacing w:val="8"/>
        </w:rPr>
        <w:t xml:space="preserve"> </w:t>
      </w:r>
      <w:r>
        <w:rPr>
          <w:spacing w:val="-5"/>
        </w:rPr>
        <w:t>SC,</w:t>
      </w:r>
      <w:r>
        <w:rPr>
          <w:spacing w:val="14"/>
          <w:w w:val="102"/>
        </w:rPr>
        <w:t xml:space="preserve"> </w:t>
      </w:r>
      <w:r>
        <w:rPr>
          <w:spacing w:val="-5"/>
        </w:rPr>
        <w:t>Kim WJ,</w:t>
      </w:r>
      <w:r>
        <w:rPr>
          <w:spacing w:val="13"/>
          <w:w w:val="101"/>
        </w:rPr>
        <w:t xml:space="preserve"> </w:t>
      </w:r>
      <w:r>
        <w:rPr>
          <w:spacing w:val="-5"/>
        </w:rPr>
        <w:t>Kang</w:t>
      </w:r>
      <w:r>
        <w:rPr>
          <w:spacing w:val="9"/>
        </w:rPr>
        <w:t xml:space="preserve"> </w:t>
      </w:r>
      <w:r>
        <w:rPr>
          <w:spacing w:val="-5"/>
        </w:rPr>
        <w:t>SJ,</w:t>
      </w:r>
      <w:r>
        <w:rPr>
          <w:spacing w:val="8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14"/>
          <w:w w:val="101"/>
        </w:rPr>
        <w:t xml:space="preserve"> </w:t>
      </w:r>
      <w:r>
        <w:rPr>
          <w:spacing w:val="-5"/>
        </w:rPr>
        <w:t>Incidence,</w:t>
      </w:r>
      <w:r>
        <w:rPr>
          <w:spacing w:val="11"/>
          <w:w w:val="102"/>
        </w:rPr>
        <w:t xml:space="preserve"> </w:t>
      </w:r>
      <w:r>
        <w:rPr>
          <w:spacing w:val="-5"/>
        </w:rPr>
        <w:t>p</w:t>
      </w:r>
      <w:r>
        <w:rPr>
          <w:spacing w:val="-6"/>
        </w:rPr>
        <w:t>redictors, treat-</w:t>
      </w:r>
      <w:r>
        <w:rPr/>
        <w:t xml:space="preserve"> </w:t>
      </w:r>
      <w:r>
        <w:rPr>
          <w:spacing w:val="-2"/>
        </w:rPr>
        <w:t>ment,</w:t>
      </w:r>
      <w:r>
        <w:rPr>
          <w:spacing w:val="14"/>
          <w:w w:val="102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long-term</w:t>
      </w:r>
      <w:r>
        <w:rPr>
          <w:spacing w:val="19"/>
          <w:w w:val="101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ognosis</w:t>
      </w:r>
      <w:r>
        <w:rPr>
          <w:spacing w:val="14"/>
        </w:rPr>
        <w:t xml:space="preserve"> </w:t>
      </w:r>
      <w:r>
        <w:rPr>
          <w:spacing w:val="-3"/>
        </w:rPr>
        <w:t>of</w:t>
      </w:r>
      <w:r>
        <w:rPr>
          <w:spacing w:val="13"/>
        </w:rPr>
        <w:t xml:space="preserve"> </w:t>
      </w:r>
      <w:r>
        <w:rPr>
          <w:spacing w:val="-3"/>
        </w:rPr>
        <w:t>patients</w:t>
      </w:r>
      <w:r>
        <w:rPr>
          <w:spacing w:val="10"/>
          <w:w w:val="101"/>
        </w:rPr>
        <w:t xml:space="preserve"> </w:t>
      </w:r>
      <w:r>
        <w:rPr>
          <w:spacing w:val="-3"/>
        </w:rPr>
        <w:t>with</w:t>
      </w:r>
      <w:r>
        <w:rPr>
          <w:spacing w:val="18"/>
          <w:w w:val="101"/>
        </w:rPr>
        <w:t xml:space="preserve"> </w:t>
      </w:r>
      <w:r>
        <w:rPr>
          <w:spacing w:val="-3"/>
        </w:rPr>
        <w:t>restenosis</w:t>
      </w:r>
      <w:r>
        <w:rPr>
          <w:spacing w:val="12"/>
          <w:w w:val="101"/>
        </w:rPr>
        <w:t xml:space="preserve"> </w:t>
      </w:r>
      <w:r>
        <w:rPr>
          <w:spacing w:val="-3"/>
        </w:rPr>
        <w:t>after</w:t>
      </w:r>
      <w:r>
        <w:rPr>
          <w:spacing w:val="14"/>
          <w:w w:val="102"/>
        </w:rPr>
        <w:t xml:space="preserve"> </w:t>
      </w:r>
      <w:r>
        <w:rPr>
          <w:spacing w:val="-3"/>
        </w:rPr>
        <w:t>drug-eluting</w:t>
      </w:r>
      <w:r>
        <w:rPr>
          <w:spacing w:val="15"/>
        </w:rPr>
        <w:t xml:space="preserve"> </w:t>
      </w:r>
      <w:r>
        <w:rPr>
          <w:spacing w:val="-3"/>
        </w:rPr>
        <w:t>stent</w:t>
      </w:r>
      <w:r>
        <w:rPr>
          <w:spacing w:val="19"/>
        </w:rPr>
        <w:t xml:space="preserve"> </w:t>
      </w:r>
      <w:r>
        <w:rPr>
          <w:spacing w:val="-3"/>
        </w:rPr>
        <w:t>im-</w:t>
      </w:r>
      <w:r>
        <w:rPr/>
        <w:t xml:space="preserve"> </w:t>
      </w:r>
      <w:r>
        <w:rPr>
          <w:spacing w:val="-4"/>
        </w:rPr>
        <w:t>plantation</w:t>
      </w:r>
      <w:r>
        <w:rPr>
          <w:spacing w:val="38"/>
          <w:w w:val="101"/>
        </w:rPr>
        <w:t xml:space="preserve"> </w:t>
      </w:r>
      <w:r>
        <w:rPr>
          <w:spacing w:val="-4"/>
        </w:rPr>
        <w:t>for</w:t>
      </w:r>
      <w:r>
        <w:rPr>
          <w:spacing w:val="25"/>
          <w:w w:val="102"/>
        </w:rPr>
        <w:t xml:space="preserve"> </w:t>
      </w:r>
      <w:r>
        <w:rPr>
          <w:spacing w:val="-4"/>
        </w:rPr>
        <w:t>unprotected</w:t>
      </w:r>
      <w:r>
        <w:rPr>
          <w:spacing w:val="27"/>
          <w:w w:val="101"/>
        </w:rPr>
        <w:t xml:space="preserve"> </w:t>
      </w:r>
      <w:r>
        <w:rPr>
          <w:spacing w:val="-4"/>
        </w:rPr>
        <w:t>left</w:t>
      </w:r>
      <w:r>
        <w:rPr>
          <w:spacing w:val="28"/>
        </w:rPr>
        <w:t xml:space="preserve"> </w:t>
      </w:r>
      <w:r>
        <w:rPr>
          <w:spacing w:val="-4"/>
        </w:rPr>
        <w:t>main</w:t>
      </w:r>
      <w:r>
        <w:rPr>
          <w:spacing w:val="23"/>
          <w:w w:val="101"/>
        </w:rPr>
        <w:t xml:space="preserve"> </w:t>
      </w:r>
      <w:r>
        <w:rPr>
          <w:spacing w:val="-4"/>
        </w:rPr>
        <w:t>coronary</w:t>
      </w:r>
      <w:r>
        <w:rPr>
          <w:spacing w:val="22"/>
          <w:w w:val="101"/>
        </w:rPr>
        <w:t xml:space="preserve"> </w:t>
      </w:r>
      <w:r>
        <w:rPr>
          <w:spacing w:val="-4"/>
        </w:rPr>
        <w:t>artery</w:t>
      </w:r>
      <w:r>
        <w:rPr>
          <w:spacing w:val="22"/>
          <w:w w:val="102"/>
        </w:rPr>
        <w:t xml:space="preserve"> </w:t>
      </w:r>
      <w:r>
        <w:rPr>
          <w:spacing w:val="-4"/>
        </w:rPr>
        <w:t>disease. </w:t>
      </w:r>
      <w:r>
        <w:rPr>
          <w:i/>
          <w:iCs/>
          <w:spacing w:val="-4"/>
        </w:rPr>
        <w:t>J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-4"/>
        </w:rPr>
        <w:t>Am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4"/>
        </w:rPr>
        <w:t>Coll</w:t>
      </w:r>
      <w:r>
        <w:rPr>
          <w:i/>
          <w:iCs/>
          <w:spacing w:val="23"/>
          <w:w w:val="102"/>
        </w:rPr>
        <w:t xml:space="preserve"> </w:t>
      </w:r>
      <w:r>
        <w:rPr>
          <w:i/>
          <w:iCs/>
          <w:spacing w:val="-4"/>
        </w:rPr>
        <w:t>Cardiol</w:t>
      </w:r>
      <w:r>
        <w:rPr>
          <w:i/>
          <w:iCs/>
          <w:spacing w:val="24"/>
          <w:w w:val="101"/>
        </w:rPr>
        <w:t xml:space="preserve"> </w:t>
      </w:r>
      <w:r>
        <w:rPr>
          <w:spacing w:val="-4"/>
        </w:rPr>
        <w:t>2011;</w:t>
      </w:r>
    </w:p>
    <w:p>
      <w:pPr>
        <w:pStyle w:val="BodyText"/>
        <w:ind w:left="161"/>
        <w:spacing w:before="32" w:line="173" w:lineRule="exact"/>
        <w:rPr/>
      </w:pPr>
      <w:r>
        <w:rPr>
          <w:b/>
          <w:bCs/>
          <w:spacing w:val="-3"/>
          <w:position w:val="2"/>
        </w:rPr>
        <w:t>57</w:t>
      </w:r>
      <w:r>
        <w:rPr>
          <w:spacing w:val="-3"/>
          <w:position w:val="2"/>
        </w:rPr>
        <w:t>:1349–1358. </w:t>
      </w:r>
      <w:hyperlink w:history="true" r:id="rId16">
        <w:r>
          <w:rPr>
            <w:spacing w:val="-3"/>
            <w:position w:val="2"/>
          </w:rPr>
          <w:t>https://doi.org/10.1016/j.jacc.2010.10.041</w:t>
        </w:r>
      </w:hyperlink>
    </w:p>
    <w:sectPr>
      <w:type w:val="continuous"/>
      <w:pgSz w:w="11906" w:h="15875"/>
      <w:pgMar w:top="400" w:right="277" w:bottom="0" w:left="736" w:header="0" w:footer="0" w:gutter="0"/>
      <w:cols w:equalWidth="0" w:num="2">
        <w:col w:w="5242" w:space="100"/>
        <w:col w:w="55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hyperlink" Target="mailto:hanyaling@263.net" TargetMode="External"/><Relationship Id="rId7" Type="http://schemas.openxmlformats.org/officeDocument/2006/relationships/image" Target="media/image4.png"/><Relationship Id="rId6" Type="http://schemas.openxmlformats.org/officeDocument/2006/relationships/hyperlink" Target="https://orcid.org/0000-0003-2453-6443" TargetMode="External"/><Relationship Id="rId5" Type="http://schemas.openxmlformats.org/officeDocument/2006/relationships/image" Target="media/image3.jpeg"/><Relationship Id="rId4" Type="http://schemas.openxmlformats.org/officeDocument/2006/relationships/hyperlink" Target="https://academic.oup.com/eurheartj/article/44/9/709/6865194byUniversityofthePhilippinesBaguiouseron14March2023" TargetMode="External"/><Relationship Id="rId3" Type="http://schemas.openxmlformats.org/officeDocument/2006/relationships/hyperlink" Target="https://doi.org/10.1093/eurheartj/ehac625" TargetMode="External"/><Relationship Id="rId2" Type="http://schemas.openxmlformats.org/officeDocument/2006/relationships/image" Target="media/image2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yperlink" Target="https://doi.org/10.1016/j.jacc.2010.10.041" TargetMode="External"/><Relationship Id="rId15" Type="http://schemas.openxmlformats.org/officeDocument/2006/relationships/hyperlink" Target="https://doi.org/10.1016/j.jacc.2021.10.028" TargetMode="External"/><Relationship Id="rId14" Type="http://schemas.openxmlformats.org/officeDocument/2006/relationships/hyperlink" Target="https://doi.org/10.4244/eij-d-17-00622" TargetMode="External"/><Relationship Id="rId13" Type="http://schemas.openxmlformats.org/officeDocument/2006/relationships/hyperlink" Target="https://doi.org/10.3760/cma.j.cn112148-20211010-00870" TargetMode="External"/><Relationship Id="rId12" Type="http://schemas.openxmlformats.org/officeDocument/2006/relationships/hyperlink" Target="https://doi.org/10.1093/eurheartj/ehac216" TargetMode="External"/><Relationship Id="rId11" Type="http://schemas.openxmlformats.org/officeDocument/2006/relationships/hyperlink" Target="https://doi.org/10.1093/eurheartj/ehy394" TargetMode="External"/><Relationship Id="rId10" Type="http://schemas.openxmlformats.org/officeDocument/2006/relationships/image" Target="media/image6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Servigistics Arbortext Advanced Print Publisher 11.1.4546/W-x64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 guidelines for percutaneous coronary intervention in patients with left main bifurcation disease</dc:title>
  <dc:subject>DOI: 10.1093/eurheartj/ehac625; European Heart Journal, 44, 9.</dc:subject>
  <dc:creator>Yaling Han</dc:creator>
  <dcterms:created xsi:type="dcterms:W3CDTF">2024-12-28T20:20:02Z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2025-10-29T09:41:28</vt:filetime>
  </property>
</Properties>
</file>