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75"/>
        <w:rPr/>
      </w:pPr>
      <w:r/>
    </w:p>
    <w:p>
      <w:pPr>
        <w:sectPr>
          <w:headerReference w:type="default" r:id="rId1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3"/>
        <w:spacing w:before="68" w:line="236" w:lineRule="auto"/>
        <w:rPr>
          <w:rFonts w:ascii="SimHei" w:hAnsi="SimHei" w:eastAsia="SimHei" w:cs="SimHei"/>
          <w:sz w:val="16"/>
          <w:szCs w:val="16"/>
        </w:rPr>
      </w:pPr>
      <w:r>
        <w:rPr>
          <w:sz w:val="24"/>
          <w:szCs w:val="24"/>
          <w:color w:val="231F20"/>
          <w:position w:val="-2"/>
        </w:rPr>
        <w:drawing>
          <wp:inline distT="0" distB="0" distL="0" distR="0">
            <wp:extent cx="526017" cy="21667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7" cy="2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31F20"/>
          <w:position w:val="2"/>
        </w:rPr>
        <w:t xml:space="preserve"> </w:t>
      </w:r>
      <w:r>
        <w:rPr>
          <w:sz w:val="24"/>
          <w:szCs w:val="24"/>
          <w:color w:val="231F20"/>
          <w:spacing w:val="-2"/>
          <w:position w:val="2"/>
        </w:rPr>
        <w:t>中国全科医学      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>2024年7月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第27卷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第20期</w:t>
      </w:r>
    </w:p>
    <w:p>
      <w:pPr>
        <w:spacing w:line="1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13" w:line="207" w:lineRule="auto"/>
        <w:rPr/>
      </w:pPr>
      <w:hyperlink w:history="true" r:id="rId3"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https</w:t>
        </w:r>
        <w:r>
          <w:rPr>
            <w:sz w:val="16"/>
            <w:szCs w:val="16"/>
            <w:u w:val="single" w:color="auto"/>
            <w:color w:val="231F20"/>
            <w:spacing w:val="-2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//www.chinagp.net    E-mail</w:t>
        </w:r>
        <w:r>
          <w:rPr>
            <w:sz w:val="16"/>
            <w:szCs w:val="16"/>
            <w:u w:val="single" w:color="auto"/>
            <w:color w:val="231F20"/>
            <w:spacing w:val="-2"/>
          </w:rPr>
          <w:t>:</w:t>
        </w:r>
        <w:r>
          <w:rPr>
            <w:sz w:val="16"/>
            <w:szCs w:val="16"/>
            <w:u w:val="single" w:color="auto"/>
            <w:color w:val="231F20"/>
            <w:spacing w:val="-15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zgqkyx@chinagp.net.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</w:rPr>
          <w:t>cn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    </w:t>
      </w:r>
      <w:r>
        <w:rPr>
          <w:color w:val="231F20"/>
          <w:spacing w:val="-2"/>
          <w:position w:val="-1"/>
        </w:rPr>
        <w:t>·2429·</w:t>
      </w:r>
    </w:p>
    <w:p>
      <w:pPr>
        <w:spacing w:line="207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6173" w:space="100"/>
            <w:col w:w="4497" w:space="0"/>
          </w:cols>
        </w:sectPr>
        <w:rPr/>
      </w:pPr>
    </w:p>
    <w:p>
      <w:pPr>
        <w:ind w:left="8216"/>
        <w:spacing w:before="304" w:line="377" w:lineRule="exac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007A7E"/>
          <w:spacing w:val="22"/>
          <w:position w:val="1"/>
        </w:rPr>
        <w:t>·指南</w:t>
      </w:r>
      <w:r>
        <w:rPr>
          <w:rFonts w:ascii="SimHei" w:hAnsi="SimHei" w:eastAsia="SimHei" w:cs="SimHei"/>
          <w:sz w:val="28"/>
          <w:szCs w:val="28"/>
          <w:color w:val="007A7E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007A7E"/>
          <w:spacing w:val="22"/>
          <w:position w:val="1"/>
        </w:rPr>
        <w:t>·共识</w:t>
      </w:r>
      <w:r>
        <w:rPr>
          <w:rFonts w:ascii="SimHei" w:hAnsi="SimHei" w:eastAsia="SimHei" w:cs="SimHei"/>
          <w:sz w:val="28"/>
          <w:szCs w:val="28"/>
          <w:color w:val="007A7E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007A7E"/>
          <w:spacing w:val="22"/>
          <w:position w:val="1"/>
        </w:rPr>
        <w:t>·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firstLine="525"/>
        <w:spacing w:line="2337" w:lineRule="exact"/>
        <w:rPr/>
      </w:pPr>
      <w:r>
        <w:rPr>
          <w:position w:val="-46"/>
        </w:rPr>
        <w:pict>
          <v:group id="_x0000_s6" style="mso-position-vertical-relative:line;mso-position-horizontal-relative:char;width:503.25pt;height:116.9pt;" filled="false" stroked="false" coordsize="10065,2338" coordorigin="0,0">
            <v:rect id="_x0000_s8" style="position:absolute;left:30;top:0;width:10035;height:2336;" fillcolor="#ECF5F6" filled="true" stroked="false"/>
            <v:shape id="_x0000_s10" style="position:absolute;left:218;top:79;width:5987;height:2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" w:right="20" w:firstLine="6"/>
                      <w:spacing w:before="19" w:line="367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  <w:spacing w:val="-2"/>
                      </w:rPr>
                      <w:t>中国血脂管理指南（基层版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  <w:spacing w:val="-8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color w:val="231F20"/>
                        <w:spacing w:val="-2"/>
                      </w:rPr>
                      <w:t>2024 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  <w:spacing w:val="-2"/>
                      </w:rPr>
                      <w:t>年）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-3"/>
                      </w:rPr>
                      <w:t>中国血脂管理指南修订联合专家委员会</w:t>
                    </w:r>
                  </w:p>
                  <w:p>
                    <w:pPr>
                      <w:ind w:left="23" w:right="1019" w:hanging="2"/>
                      <w:spacing w:before="87" w:line="210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11"/>
                      </w:rPr>
                      <w:t>通信作者：王增武，主任医师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4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1"/>
                      </w:rPr>
                      <w:t>/ 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11"/>
                      </w:rPr>
                      <w:t>教授；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1"/>
                      </w:rPr>
                      <w:t>E-mail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11"/>
                      </w:rPr>
                      <w:t>：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1"/>
                      </w:rPr>
                      <w:t>wangzengwu@foxmail.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2"/>
                      </w:rPr>
                      <w:t>com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8"/>
                      </w:rPr>
                      <w:t>李建军，主任医师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8"/>
                      </w:rPr>
                      <w:t>/ 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8"/>
                      </w:rPr>
                      <w:t>教授；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8"/>
                      </w:rPr>
                      <w:t>E-mail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8"/>
                      </w:rPr>
                      <w:t>：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8"/>
                      </w:rPr>
                      <w:t>lijianjun938@126.com</w:t>
                    </w:r>
                  </w:p>
                  <w:p>
                    <w:pPr>
                      <w:ind w:left="20"/>
                      <w:spacing w:before="1" w:line="19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10"/>
                      </w:rPr>
                      <w:t>赵水平，主任医师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>/ 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10"/>
                      </w:rPr>
                      <w:t>教授；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>E-mail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10"/>
                      </w:rPr>
                      <w:t>：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>zhaosp1009@163.com</w:t>
                    </w:r>
                  </w:p>
                  <w:p>
                    <w:pPr>
                      <w:ind w:left="24"/>
                      <w:spacing w:before="19" w:line="19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9"/>
                      </w:rPr>
                      <w:t>高润霖，中国工程院院士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/ 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9"/>
                      </w:rPr>
                      <w:t>研究员；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E-mail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9"/>
                      </w:rPr>
                      <w:t>：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gaorunlin@citmd.com</w:t>
                    </w:r>
                  </w:p>
                </w:txbxContent>
              </v:textbox>
            </v:shape>
            <v:shape id="_x0000_s12" style="position:absolute;left:8372;top:57;width:890;height:1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850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540003" cy="540007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40003" cy="5400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51"/>
                      <w:spacing w:before="46" w:line="169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扫描二维码</w:t>
                    </w:r>
                  </w:p>
                  <w:p>
                    <w:pPr>
                      <w:ind w:left="127"/>
                      <w:spacing w:line="175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查看原文</w:t>
                    </w:r>
                  </w:p>
                </w:txbxContent>
              </v:textbox>
            </v:shape>
            <v:shape id="_x0000_s14" style="position:absolute;left:-20;top:-19;width:100;height:23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2337" w:lineRule="exact"/>
                      <w:rPr/>
                    </w:pPr>
                    <w:r>
                      <w:rPr>
                        <w:position w:val="-46"/>
                      </w:rPr>
                      <w:drawing>
                        <wp:inline distT="0" distB="0" distL="0" distR="0">
                          <wp:extent cx="38100" cy="1483995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8100" cy="14839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58" w:right="913" w:firstLine="357"/>
        <w:spacing w:before="77" w:line="218" w:lineRule="auto"/>
        <w:jc w:val="both"/>
        <w:rPr/>
      </w:pPr>
      <w:r>
        <w:rPr>
          <w:rFonts w:ascii="SimHei" w:hAnsi="SimHei" w:eastAsia="SimHei" w:cs="SimHei"/>
          <w:color w:val="007A7E"/>
          <w:spacing w:val="-7"/>
        </w:rPr>
        <w:t>【摘要】</w:t>
      </w:r>
      <w:r>
        <w:rPr>
          <w:rFonts w:ascii="SimHei" w:hAnsi="SimHei" w:eastAsia="SimHei" w:cs="SimHei"/>
          <w:color w:val="007A7E"/>
          <w:spacing w:val="34"/>
        </w:rPr>
        <w:t xml:space="preserve"> </w:t>
      </w:r>
      <w:r>
        <w:rPr>
          <w:color w:val="231F20"/>
          <w:spacing w:val="-7"/>
        </w:rPr>
        <w:t>低密度脂蛋白胆固醇（LDL-C）是动脉粥</w:t>
      </w:r>
      <w:r>
        <w:rPr>
          <w:color w:val="231F20"/>
          <w:spacing w:val="-8"/>
        </w:rPr>
        <w:t>样硬化性心血管疾病（ASCVD）的致病性危险因素。近几十年来，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中国人群的血脂异常患病率不断升高，血脂管理刻不容缓，在基层开展血脂规范管理尤为重要。《中国血脂管理指南（基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层版 2024 年）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》简明地推荐 LDL-C 作为血脂干预的首要靶点，以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ASCVD 危险分层确定其目标值；</w:t>
      </w:r>
      <w:r>
        <w:rPr>
          <w:color w:val="231F20"/>
          <w:spacing w:val="-2"/>
        </w:rPr>
        <w:t>推荐在生活方式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干预的基础上，以中等强度他汀类药物作为起始药物治疗，必要时联用胆固醇吸收抑制剂或 / 和前蛋白转化酶枯草溶</w:t>
      </w:r>
      <w:r>
        <w:rPr>
          <w:color w:val="231F20"/>
        </w:rPr>
        <w:t xml:space="preserve">  </w:t>
      </w:r>
      <w:r>
        <w:rPr>
          <w:color w:val="231F20"/>
        </w:rPr>
        <w:t>菌素 9 抑制剂的达标策略；并就常见特殊人群的血脂管理策略进行了推荐。本指南旨在为基层医生开展血脂管理提供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指导，全面提升基层医生的血脂管理水平，推进 ASC</w:t>
      </w:r>
      <w:r>
        <w:rPr>
          <w:color w:val="231F20"/>
          <w:spacing w:val="-3"/>
        </w:rPr>
        <w:t>VD 的一级和二级预防工作。</w:t>
      </w:r>
    </w:p>
    <w:p>
      <w:pPr>
        <w:pStyle w:val="BodyText"/>
        <w:ind w:left="915"/>
        <w:spacing w:line="210" w:lineRule="auto"/>
        <w:rPr/>
      </w:pPr>
      <w:r>
        <w:rPr>
          <w:rFonts w:ascii="SimHei" w:hAnsi="SimHei" w:eastAsia="SimHei" w:cs="SimHei"/>
          <w:color w:val="007A7E"/>
        </w:rPr>
        <w:t>【关键词】</w:t>
      </w:r>
      <w:r>
        <w:rPr>
          <w:rFonts w:ascii="SimHei" w:hAnsi="SimHei" w:eastAsia="SimHei" w:cs="SimHei"/>
          <w:color w:val="007A7E"/>
        </w:rPr>
        <w:t xml:space="preserve">  </w:t>
      </w:r>
      <w:r>
        <w:rPr>
          <w:color w:val="231F20"/>
        </w:rPr>
        <w:t>动脉粥样硬化；心血管疾病；血脂管理；低密度脂蛋白胆固醇；基层</w:t>
      </w:r>
    </w:p>
    <w:p>
      <w:pPr>
        <w:pStyle w:val="BodyText"/>
        <w:ind w:left="915"/>
        <w:spacing w:before="9" w:line="194" w:lineRule="auto"/>
        <w:rPr/>
      </w:pPr>
      <w:r>
        <w:rPr>
          <w:rFonts w:ascii="SimHei" w:hAnsi="SimHei" w:eastAsia="SimHei" w:cs="SimHei"/>
          <w:color w:val="007A7E"/>
          <w:spacing w:val="-8"/>
        </w:rPr>
        <w:t>【中图分类号】</w:t>
      </w:r>
      <w:r>
        <w:rPr>
          <w:rFonts w:ascii="SimHei" w:hAnsi="SimHei" w:eastAsia="SimHei" w:cs="SimHei"/>
          <w:color w:val="007A7E"/>
          <w:spacing w:val="-8"/>
        </w:rPr>
        <w:t xml:space="preserve">  </w:t>
      </w:r>
      <w:r>
        <w:rPr>
          <w:color w:val="231F20"/>
          <w:spacing w:val="-8"/>
        </w:rPr>
        <w:t>R 54    </w:t>
      </w:r>
      <w:r>
        <w:rPr>
          <w:rFonts w:ascii="SimHei" w:hAnsi="SimHei" w:eastAsia="SimHei" w:cs="SimHei"/>
          <w:color w:val="007A7E"/>
          <w:spacing w:val="-8"/>
        </w:rPr>
        <w:t>【文献标识码】</w:t>
      </w:r>
      <w:r>
        <w:rPr>
          <w:rFonts w:ascii="SimHei" w:hAnsi="SimHei" w:eastAsia="SimHei" w:cs="SimHei"/>
          <w:color w:val="007A7E"/>
          <w:spacing w:val="-8"/>
        </w:rPr>
        <w:t xml:space="preserve">  </w:t>
      </w:r>
      <w:r>
        <w:rPr>
          <w:color w:val="231F20"/>
          <w:spacing w:val="-8"/>
        </w:rPr>
        <w:t>C    DOI：10.12114/j.issn.1007-9572.2024.0005</w:t>
      </w:r>
    </w:p>
    <w:p>
      <w:pPr>
        <w:ind w:left="566"/>
        <w:spacing w:before="26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Chinese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Guideline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Lipid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Management</w:t>
      </w:r>
      <w:r>
        <w:rPr>
          <w:rFonts w:ascii="SimHei" w:hAnsi="SimHei" w:eastAsia="SimHei" w:cs="SimHei"/>
          <w:sz w:val="22"/>
          <w:szCs w:val="22"/>
          <w:color w:val="231F20"/>
          <w:spacing w:val="23"/>
        </w:rPr>
        <w:t>（</w:t>
      </w:r>
      <w:r>
        <w:rPr>
          <w:rFonts w:ascii="SimHei" w:hAnsi="SimHei" w:eastAsia="SimHei" w:cs="SimHei"/>
          <w:sz w:val="22"/>
          <w:szCs w:val="22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Primary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Care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Version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3"/>
        </w:rPr>
        <w:t xml:space="preserve"> 2024 </w:t>
      </w:r>
      <w:r>
        <w:rPr>
          <w:rFonts w:ascii="SimHei" w:hAnsi="SimHei" w:eastAsia="SimHei" w:cs="SimHei"/>
          <w:sz w:val="22"/>
          <w:szCs w:val="22"/>
          <w:color w:val="231F20"/>
          <w:spacing w:val="23"/>
        </w:rPr>
        <w:t>）</w:t>
      </w:r>
    </w:p>
    <w:p>
      <w:pPr>
        <w:ind w:left="555"/>
        <w:spacing w:before="129" w:line="19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Joint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Committee on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for 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ipid Management</w:t>
      </w:r>
    </w:p>
    <w:p>
      <w:pPr>
        <w:pStyle w:val="BodyText"/>
        <w:ind w:left="553" w:right="2676" w:firstLine="12"/>
        <w:spacing w:before="85" w:line="22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4"/>
        </w:rPr>
        <w:t>Corresponding authors</w:t>
      </w:r>
      <w:r>
        <w:rPr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color w:val="231F20"/>
          <w:spacing w:val="-4"/>
        </w:rPr>
        <w:t>WANG Zengwu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Chief</w:t>
      </w:r>
      <w:r>
        <w:rPr>
          <w:rFonts w:ascii="Times New Roman" w:hAnsi="Times New Roman" w:eastAsia="Times New Roman" w:cs="Times New Roman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physician/Professor</w:t>
      </w:r>
      <w:r>
        <w:rPr>
          <w:color w:val="231F20"/>
          <w:spacing w:val="-5"/>
        </w:rPr>
        <w:t>；</w:t>
      </w:r>
      <w:r>
        <w:rPr>
          <w:rFonts w:ascii="Times New Roman" w:hAnsi="Times New Roman" w:eastAsia="Times New Roman" w:cs="Times New Roman"/>
          <w:color w:val="231F20"/>
          <w:spacing w:val="-5"/>
        </w:rPr>
        <w:t>E-mail</w:t>
      </w:r>
      <w:r>
        <w:rPr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color w:val="231F20"/>
          <w:spacing w:val="-5"/>
        </w:rPr>
        <w:t>wangzengwu@foxmail.com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LI Jianjun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Chief</w:t>
      </w:r>
      <w:r>
        <w:rPr>
          <w:rFonts w:ascii="Times New Roman" w:hAnsi="Times New Roman" w:eastAsia="Times New Roman" w:cs="Times New Roman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physician/Professor</w:t>
      </w:r>
      <w:r>
        <w:rPr>
          <w:color w:val="231F20"/>
          <w:spacing w:val="-2"/>
        </w:rPr>
        <w:t>；</w:t>
      </w:r>
      <w:r>
        <w:rPr>
          <w:rFonts w:ascii="Times New Roman" w:hAnsi="Times New Roman" w:eastAsia="Times New Roman" w:cs="Times New Roman"/>
          <w:color w:val="231F20"/>
          <w:spacing w:val="-2"/>
        </w:rPr>
        <w:t>E-mail</w:t>
      </w:r>
      <w:r>
        <w:rPr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color w:val="231F20"/>
          <w:spacing w:val="-2"/>
        </w:rPr>
        <w:t>lijianjun938@126.com</w:t>
      </w:r>
    </w:p>
    <w:p>
      <w:pPr>
        <w:pStyle w:val="BodyText"/>
        <w:ind w:left="556"/>
        <w:spacing w:before="19" w:line="16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3"/>
        </w:rPr>
        <w:t>ZHAO Shuiping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Chief</w:t>
      </w:r>
      <w:r>
        <w:rPr>
          <w:rFonts w:ascii="Times New Roman" w:hAnsi="Times New Roman" w:eastAsia="Times New Roman" w:cs="Times New Roman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physician/Professor</w:t>
      </w:r>
      <w:r>
        <w:rPr>
          <w:color w:val="231F20"/>
          <w:spacing w:val="-3"/>
        </w:rPr>
        <w:t>；</w:t>
      </w:r>
      <w:r>
        <w:rPr>
          <w:rFonts w:ascii="Times New Roman" w:hAnsi="Times New Roman" w:eastAsia="Times New Roman" w:cs="Times New Roman"/>
          <w:color w:val="231F20"/>
          <w:spacing w:val="-3"/>
        </w:rPr>
        <w:t>E-m</w:t>
      </w:r>
      <w:r>
        <w:rPr>
          <w:rFonts w:ascii="Times New Roman" w:hAnsi="Times New Roman" w:eastAsia="Times New Roman" w:cs="Times New Roman"/>
          <w:color w:val="231F20"/>
          <w:spacing w:val="-4"/>
        </w:rPr>
        <w:t>ail: zhaosp1009@163.com</w:t>
      </w:r>
    </w:p>
    <w:p>
      <w:pPr>
        <w:pStyle w:val="BodyText"/>
        <w:ind w:left="566"/>
        <w:spacing w:before="69" w:line="16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3"/>
        </w:rPr>
        <w:t>GAO Runlin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Academician of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Chinese Academy of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Eng</w:t>
      </w:r>
      <w:r>
        <w:rPr>
          <w:rFonts w:ascii="Times New Roman" w:hAnsi="Times New Roman" w:eastAsia="Times New Roman" w:cs="Times New Roman"/>
          <w:color w:val="231F20"/>
          <w:spacing w:val="-4"/>
        </w:rPr>
        <w:t>ineering/Researcher</w:t>
      </w:r>
      <w:r>
        <w:rPr>
          <w:color w:val="231F20"/>
          <w:spacing w:val="-4"/>
        </w:rPr>
        <w:t>；</w:t>
      </w:r>
      <w:r>
        <w:rPr>
          <w:rFonts w:ascii="Times New Roman" w:hAnsi="Times New Roman" w:eastAsia="Times New Roman" w:cs="Times New Roman"/>
          <w:color w:val="231F20"/>
          <w:spacing w:val="-4"/>
        </w:rPr>
        <w:t>E-mail: gaorunlin@citmd.com</w:t>
      </w:r>
    </w:p>
    <w:p>
      <w:pPr>
        <w:pStyle w:val="BodyText"/>
        <w:ind w:left="558" w:right="964" w:firstLine="357"/>
        <w:spacing w:before="28" w:line="218" w:lineRule="auto"/>
        <w:jc w:val="both"/>
        <w:rPr/>
      </w:pPr>
      <w:r>
        <w:rPr>
          <w:rFonts w:ascii="SimHei" w:hAnsi="SimHei" w:eastAsia="SimHei" w:cs="SimHei"/>
          <w:color w:val="007A7E"/>
          <w:spacing w:val="-12"/>
        </w:rPr>
        <w:t>【</w:t>
      </w:r>
      <w:r>
        <w:rPr>
          <w:rFonts w:ascii="Times New Roman" w:hAnsi="Times New Roman" w:eastAsia="Times New Roman" w:cs="Times New Roman"/>
          <w:color w:val="007A7E"/>
          <w:spacing w:val="-12"/>
        </w:rPr>
        <w:t>Abstract</w:t>
      </w:r>
      <w:r>
        <w:rPr>
          <w:rFonts w:ascii="SimHei" w:hAnsi="SimHei" w:eastAsia="SimHei" w:cs="SimHei"/>
          <w:color w:val="007A7E"/>
          <w:spacing w:val="-12"/>
        </w:rPr>
        <w:t>】</w:t>
      </w:r>
      <w:r>
        <w:rPr>
          <w:rFonts w:ascii="SimHei" w:hAnsi="SimHei" w:eastAsia="SimHei" w:cs="SimHei"/>
          <w:color w:val="007A7E"/>
          <w:spacing w:val="-12"/>
        </w:rPr>
        <w:t xml:space="preserve">  </w:t>
      </w:r>
      <w:r>
        <w:rPr>
          <w:color w:val="231F20"/>
          <w:spacing w:val="-12"/>
        </w:rPr>
        <w:t>Low-density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lipoprot</w:t>
      </w:r>
      <w:r>
        <w:rPr>
          <w:color w:val="231F20"/>
          <w:spacing w:val="-13"/>
        </w:rPr>
        <w:t>ein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cholesterol（LDL-C）is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pathogenic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risk factor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atherosclerotic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cardiovascular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disease（ASCVD）.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recent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decades，the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prevalence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of dyslipidemia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Chinese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population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increases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continuously，it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urgent to improve blood li</w:t>
      </w:r>
      <w:r>
        <w:rPr>
          <w:color w:val="231F20"/>
          <w:spacing w:val="-19"/>
        </w:rPr>
        <w:t>pid management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9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9"/>
        </w:rPr>
        <w:t>China.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9"/>
        </w:rPr>
        <w:t>It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9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9"/>
        </w:rPr>
        <w:t>particularly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9"/>
        </w:rPr>
        <w:t>important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9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9"/>
        </w:rPr>
        <w:t>carry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9"/>
        </w:rPr>
        <w:t>out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9"/>
        </w:rPr>
        <w:t>standardized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9"/>
        </w:rPr>
        <w:t>blood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9"/>
        </w:rPr>
        <w:t>lipid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9"/>
        </w:rPr>
        <w:t>management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9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primary healthcare institutions. The </w:t>
      </w:r>
      <w:r>
        <w:rPr>
          <w:rFonts w:ascii="Times New Roman" w:hAnsi="Times New Roman" w:eastAsia="Times New Roman" w:cs="Times New Roman"/>
          <w:color w:val="231F20"/>
          <w:spacing w:val="-10"/>
        </w:rPr>
        <w:t>Chinese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Guideline</w:t>
      </w:r>
      <w:r>
        <w:rPr>
          <w:rFonts w:ascii="Times New Roman" w:hAnsi="Times New Roman" w:eastAsia="Times New Roman" w:cs="Times New Roman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for Lipid Management</w:t>
      </w:r>
      <w:r>
        <w:rPr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color w:val="231F20"/>
          <w:spacing w:val="-10"/>
        </w:rPr>
        <w:t>Primary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Care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Version </w:t>
      </w:r>
      <w:r>
        <w:rPr>
          <w:rFonts w:ascii="Times New Roman" w:hAnsi="Times New Roman" w:eastAsia="Times New Roman" w:cs="Times New Roman"/>
          <w:color w:val="231F20"/>
          <w:spacing w:val="-11"/>
        </w:rPr>
        <w:t>2024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11"/>
        </w:rPr>
        <w:t>）concisely recommends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that LDL-C should be the preferred intervention target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7"/>
        </w:rPr>
        <w:t>lipid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management，and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7"/>
        </w:rPr>
        <w:t>target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7"/>
        </w:rPr>
        <w:t>values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18"/>
        </w:rPr>
        <w:t xml:space="preserve"> LDL-C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8"/>
        </w:rPr>
        <w:t>should be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determined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based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6"/>
        </w:rPr>
        <w:t>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ASCVD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risk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6"/>
        </w:rPr>
        <w:t>stratification.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present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6"/>
        </w:rPr>
        <w:t>guideline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recommends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use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6"/>
        </w:rPr>
        <w:t>moderate-intensity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6"/>
        </w:rPr>
        <w:t>statins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6"/>
        </w:rPr>
        <w:t>at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beginning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treatment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basis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of lifestyle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interven</w:t>
      </w:r>
      <w:r>
        <w:rPr>
          <w:color w:val="231F20"/>
          <w:spacing w:val="-15"/>
        </w:rPr>
        <w:t>tion.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5"/>
        </w:rPr>
        <w:t>If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5"/>
        </w:rPr>
        <w:t>LDL-C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target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level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5"/>
        </w:rPr>
        <w:t>can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not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be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reached，other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lipid-lowering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5"/>
        </w:rPr>
        <w:t>drugs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like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cholesterol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absorption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inhibitors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or（and）proprotein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convertase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subtilisin/kexin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type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9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inhibitors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should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7"/>
        </w:rPr>
        <w:t>jointly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used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purpose of reaching the target value. 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8"/>
        </w:rPr>
        <w:t>present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guideline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8"/>
        </w:rPr>
        <w:t>also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provides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blood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lipid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8"/>
        </w:rPr>
        <w:t>management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strategies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8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8"/>
        </w:rPr>
        <w:t>spe</w:t>
      </w:r>
      <w:r>
        <w:rPr>
          <w:color w:val="231F20"/>
          <w:spacing w:val="-19"/>
        </w:rPr>
        <w:t>cial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9"/>
        </w:rPr>
        <w:t>populations.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We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aim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provide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7"/>
        </w:rPr>
        <w:t>guidance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primary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healthcare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p</w:t>
      </w:r>
      <w:r>
        <w:rPr>
          <w:color w:val="231F20"/>
          <w:spacing w:val="-18"/>
        </w:rPr>
        <w:t>rofessionals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8"/>
        </w:rPr>
        <w:t>carry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8"/>
        </w:rPr>
        <w:t>out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8"/>
        </w:rPr>
        <w:t>blood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8"/>
        </w:rPr>
        <w:t>lipid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8"/>
        </w:rPr>
        <w:t>management，and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8"/>
        </w:rPr>
        <w:t>comprehensively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improve their ability on b</w:t>
      </w:r>
      <w:r>
        <w:rPr>
          <w:color w:val="231F20"/>
          <w:spacing w:val="-18"/>
        </w:rPr>
        <w:t>lood lipid management，and thereby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improve 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8"/>
        </w:rPr>
        <w:t>primary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8"/>
        </w:rPr>
        <w:t>secondary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8"/>
        </w:rPr>
        <w:t>prevention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of ASCVD 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China.</w:t>
      </w:r>
    </w:p>
    <w:p>
      <w:pPr>
        <w:pStyle w:val="BodyText"/>
        <w:ind w:left="561" w:right="973" w:firstLine="354"/>
        <w:spacing w:line="221" w:lineRule="auto"/>
        <w:rPr/>
      </w:pPr>
      <w:r>
        <w:rPr>
          <w:rFonts w:ascii="SimHei" w:hAnsi="SimHei" w:eastAsia="SimHei" w:cs="SimHei"/>
          <w:color w:val="007A7E"/>
          <w:spacing w:val="-7"/>
        </w:rPr>
        <w:t>【</w:t>
      </w:r>
      <w:r>
        <w:rPr>
          <w:rFonts w:ascii="SimHei" w:hAnsi="SimHei" w:eastAsia="SimHei" w:cs="SimHei"/>
          <w:color w:val="007A7E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007A7E"/>
          <w:spacing w:val="-7"/>
        </w:rPr>
        <w:t>Key</w:t>
      </w:r>
      <w:r>
        <w:rPr>
          <w:rFonts w:ascii="Times New Roman" w:hAnsi="Times New Roman" w:eastAsia="Times New Roman" w:cs="Times New Roman"/>
          <w:color w:val="007A7E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007A7E"/>
          <w:spacing w:val="-7"/>
        </w:rPr>
        <w:t>words </w:t>
      </w:r>
      <w:r>
        <w:rPr>
          <w:rFonts w:ascii="SimHei" w:hAnsi="SimHei" w:eastAsia="SimHei" w:cs="SimHei"/>
          <w:color w:val="007A7E"/>
          <w:spacing w:val="-7"/>
        </w:rPr>
        <w:t>】</w:t>
      </w:r>
      <w:r>
        <w:rPr>
          <w:rFonts w:ascii="SimHei" w:hAnsi="SimHei" w:eastAsia="SimHei" w:cs="SimHei"/>
          <w:color w:val="007A7E"/>
          <w:spacing w:val="-7"/>
        </w:rPr>
        <w:t xml:space="preserve">  </w:t>
      </w:r>
      <w:r>
        <w:rPr>
          <w:color w:val="231F20"/>
          <w:spacing w:val="-7"/>
        </w:rPr>
        <w:t>Atherosclerosis；Cardiovascular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disease；Blood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lipid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management；Low-density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lipoprotein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cholesterol；Primary healthcare institution</w:t>
      </w:r>
    </w:p>
    <w:p>
      <w:pPr>
        <w:spacing w:before="139"/>
        <w:rPr/>
      </w:pPr>
      <w:r/>
    </w:p>
    <w:p>
      <w:pPr>
        <w:sectPr>
          <w:type w:val="continuous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62" w:right="288" w:firstLine="410"/>
        <w:spacing w:before="51" w:line="22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2"/>
        </w:rPr>
        <w:t>以 动 脉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2"/>
        </w:rPr>
        <w:t>粥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2"/>
        </w:rPr>
        <w:t>样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2"/>
        </w:rPr>
        <w:t>硬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2"/>
        </w:rPr>
        <w:t>化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</w:rPr>
        <w:t>性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2"/>
        </w:rPr>
        <w:t>心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2"/>
        </w:rPr>
        <w:t>血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2"/>
        </w:rPr>
        <w:t>管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</w:rPr>
        <w:t>疾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2"/>
        </w:rPr>
        <w:t>病（atheros</w:t>
      </w:r>
      <w:r>
        <w:rPr>
          <w:sz w:val="20"/>
          <w:szCs w:val="20"/>
          <w:color w:val="231F20"/>
          <w:spacing w:val="-13"/>
        </w:rPr>
        <w:t>clerotic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cardiovascular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2"/>
        </w:rPr>
        <w:t>disease，ASCVD） 为 主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的 心 血 管 疾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12"/>
        </w:rPr>
        <w:t>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178" w:hanging="12"/>
        <w:spacing w:before="45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3"/>
        </w:rPr>
        <w:t>（cardiovascular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3"/>
        </w:rPr>
        <w:t>disease，CVD）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3"/>
        </w:rPr>
        <w:t>是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3"/>
        </w:rPr>
        <w:t>我 国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3"/>
        </w:rPr>
        <w:t>城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3"/>
        </w:rPr>
        <w:t>乡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3"/>
        </w:rPr>
        <w:t>居 民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4"/>
        </w:rPr>
        <w:t>第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4"/>
        </w:rPr>
        <w:t>一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位死亡原因，占死因构成的 40% 以上</w:t>
      </w:r>
      <w:r>
        <w:rPr>
          <w:sz w:val="11"/>
          <w:szCs w:val="11"/>
          <w:color w:val="231F20"/>
          <w:spacing w:val="5"/>
          <w:position w:val="9"/>
        </w:rPr>
        <w:t>［1］ </w:t>
      </w:r>
      <w:r>
        <w:rPr>
          <w:sz w:val="20"/>
          <w:szCs w:val="20"/>
          <w:color w:val="231F20"/>
          <w:spacing w:val="5"/>
        </w:rPr>
        <w:t>。近年来，</w:t>
      </w:r>
    </w:p>
    <w:p>
      <w:pPr>
        <w:spacing w:line="200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5664" w:space="100"/>
            <w:col w:w="5006" w:space="0"/>
          </w:cols>
        </w:sectPr>
        <w:rPr>
          <w:sz w:val="20"/>
          <w:szCs w:val="20"/>
        </w:rPr>
      </w:pPr>
    </w:p>
    <w:p>
      <w:pPr>
        <w:pStyle w:val="BodyText"/>
        <w:ind w:firstLine="555"/>
        <w:spacing w:before="90" w:line="1360" w:lineRule="exact"/>
        <w:rPr/>
      </w:pPr>
      <w:r>
        <w:rPr>
          <w:position w:val="-27"/>
        </w:rPr>
        <w:pict>
          <v:shape id="_x0000_s16" style="mso-position-vertical-relative:line;mso-position-horizontal-relative:char;width:501.75pt;height:68.05pt;" fillcolor="#E3EF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7" w:right="140" w:firstLine="350"/>
                    <w:spacing w:before="107" w:line="21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2"/>
                    </w:rPr>
                    <w:t>引用本文：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"/>
                    </w:rPr>
                    <w:t>中国血脂管理指南修订联合专家委员会 .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"/>
                    </w:rPr>
                    <w:t>中国血脂管理指南（基层版 2024 年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>）［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"/>
                    </w:rPr>
                    <w:t>J］.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"/>
                    </w:rPr>
                    <w:t>中国全科医学，2024，27（20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>）：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1"/>
                    </w:rPr>
                    <w:t>2429-2436. DOI：10.12114/j.issn.1007-9572.2024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.0005.［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 xml:space="preserve"> </w:t>
                  </w:r>
                  <w:hyperlink w:history="true" r:id="rId6"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2"/>
                      </w:rPr>
                      <w:t>www.chinagp.net</w:t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］</w:t>
                  </w:r>
                </w:p>
                <w:p>
                  <w:pPr>
                    <w:ind w:left="454"/>
                    <w:spacing w:line="18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Joint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Committee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on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the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Chinese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Guidelines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for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Lipid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Management.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Chinese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guideline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f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or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lipid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management（primary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care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version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2024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）［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J］.</w:t>
                  </w:r>
                </w:p>
                <w:p>
                  <w:pPr>
                    <w:ind w:left="120"/>
                    <w:spacing w:before="23" w:line="181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1"/>
                    </w:rPr>
                    <w:t>Chinese General Practice，2024，27（20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）：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1"/>
                    </w:rPr>
                    <w:t>2429-2436.</w:t>
                  </w:r>
                </w:p>
                <w:p>
                  <w:pPr>
                    <w:ind w:left="459"/>
                    <w:spacing w:line="218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1"/>
                    </w:rPr>
                    <w:t>。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1"/>
                    </w:rPr>
                    <w:t>Editorial Office of Chinese General Practice. This is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 xml:space="preserve"> an open access article under the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CC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BY-NC-ND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4.0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license.</w:t>
                  </w:r>
                </w:p>
              </w:txbxContent>
            </v:textbox>
          </v:shape>
        </w:pict>
      </w:r>
    </w:p>
    <w:p>
      <w:pPr>
        <w:spacing w:line="1360" w:lineRule="exact"/>
        <w:sectPr>
          <w:type w:val="continuous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spacing w:before="179"/>
        <w:rPr/>
      </w:pPr>
      <w:r/>
    </w:p>
    <w:p>
      <w:pPr>
        <w:sectPr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631"/>
        <w:spacing w:before="189" w:line="1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color w:val="231F20"/>
          <w:spacing w:val="-2"/>
        </w:rPr>
        <w:t>·2430·</w:t>
      </w:r>
      <w:r>
        <w:rPr>
          <w:color w:val="231F20"/>
          <w:spacing w:val="22"/>
          <w:w w:val="101"/>
        </w:rPr>
        <w:t xml:space="preserve"> </w:t>
      </w:r>
      <w:hyperlink w:history="true" r:id="rId3"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https</w:t>
        </w:r>
        <w:r>
          <w:rPr>
            <w:sz w:val="16"/>
            <w:szCs w:val="16"/>
            <w:u w:val="single" w:color="auto"/>
            <w:color w:val="231F20"/>
            <w:spacing w:val="-2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//www.chinagp.net    E-mail</w:t>
        </w:r>
        <w:r>
          <w:rPr>
            <w:sz w:val="16"/>
            <w:szCs w:val="16"/>
            <w:u w:val="single" w:color="auto"/>
            <w:color w:val="231F20"/>
            <w:spacing w:val="-2"/>
          </w:rPr>
          <w:t>:</w:t>
        </w:r>
        <w:r>
          <w:rPr>
            <w:sz w:val="16"/>
            <w:szCs w:val="16"/>
            <w:u w:val="single" w:color="auto"/>
            <w:color w:val="231F20"/>
            <w:spacing w:val="-14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zgqkyx@chinagp.net.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</w:rPr>
          <w:t>cn</w:t>
        </w:r>
      </w:hyperlink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7" w:line="239" w:lineRule="auto"/>
        <w:tabs>
          <w:tab w:val="left" w:pos="131"/>
        </w:tabs>
        <w:rPr/>
      </w:pPr>
      <w:r>
        <w:pict>
          <v:shape id="_x0000_s18" style="position:absolute;margin-left:0.25pt;margin-top:9.5257pt;mso-position-vertical-relative:text;mso-position-horizontal-relative:text;width:94.75pt;height:0.5pt;z-index:-251658240;" filled="false" strokecolor="#811A36" strokeweight="0.50pt" coordsize="1895,10" coordorigin="0,0" path="m0,5l1894,5e">
            <v:stroke joinstyle="miter" miterlimit="4"/>
          </v:shape>
        </w:pict>
      </w:r>
      <w:r>
        <w:rPr>
          <w:sz w:val="16"/>
          <w:szCs w:val="16"/>
          <w:color w:val="231F20"/>
        </w:rPr>
        <w:tab/>
      </w:r>
      <w:r>
        <w:rPr>
          <w:sz w:val="16"/>
          <w:szCs w:val="16"/>
          <w:color w:val="231F20"/>
          <w:spacing w:val="-6"/>
        </w:rPr>
        <w:t>July 2024，Vol.27 No.20   </w:t>
      </w:r>
      <w:r>
        <w:rPr>
          <w:sz w:val="16"/>
          <w:szCs w:val="16"/>
          <w:position w:val="-4"/>
        </w:rPr>
        <w:drawing>
          <wp:inline distT="0" distB="0" distL="0" distR="0">
            <wp:extent cx="148353" cy="14139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53" cy="1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6"/>
          <w:position w:val="1"/>
        </w:rPr>
        <w:t>C</w:t>
      </w:r>
      <w:r>
        <w:rPr>
          <w:rFonts w:ascii="Times New Roman" w:hAnsi="Times New Roman" w:eastAsia="Times New Roman" w:cs="Times New Roman"/>
          <w:color w:val="231F20"/>
          <w:spacing w:val="-7"/>
          <w:position w:val="1"/>
        </w:rPr>
        <w:t>hinese General Practice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  <w:position w:val="1"/>
        </w:rPr>
        <w:t xml:space="preserve"> </w:t>
      </w:r>
      <w:r>
        <w:rPr>
          <w:position w:val="-4"/>
        </w:rPr>
        <w:drawing>
          <wp:inline distT="0" distB="0" distL="0" distR="0">
            <wp:extent cx="526017" cy="21667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7" cy="2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9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5603" w:space="100"/>
            <w:col w:w="5066" w:space="0"/>
          </w:cols>
        </w:sectPr>
        <w:rPr/>
      </w:pPr>
    </w:p>
    <w:p>
      <w:pPr>
        <w:rPr/>
      </w:pPr>
      <w:r/>
    </w:p>
    <w:p>
      <w:pPr>
        <w:sectPr>
          <w:type w:val="continuous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9" w:right="295" w:firstLine="2"/>
        <w:spacing w:before="54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我国 ASCVD 的负担仍持续增加，防控形势严峻。目前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已证实，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7"/>
        </w:rPr>
        <w:t>低密度脂蛋白胆固醇（low-density lipoprotein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cholesterol，LDL-C）是 ASCVD 的致病性危险因素</w:t>
      </w:r>
      <w:r>
        <w:rPr>
          <w:sz w:val="11"/>
          <w:szCs w:val="11"/>
          <w:color w:val="231F20"/>
          <w:spacing w:val="-4"/>
          <w:position w:val="9"/>
        </w:rPr>
        <w:t>［2］</w:t>
      </w:r>
      <w:r>
        <w:rPr>
          <w:sz w:val="11"/>
          <w:szCs w:val="11"/>
          <w:color w:val="231F20"/>
          <w:spacing w:val="-9"/>
          <w:position w:val="9"/>
        </w:rPr>
        <w:t xml:space="preserve"> </w:t>
      </w:r>
      <w:r>
        <w:rPr>
          <w:sz w:val="20"/>
          <w:szCs w:val="20"/>
          <w:color w:val="231F20"/>
          <w:spacing w:val="-4"/>
        </w:rPr>
        <w:t>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然而，资料显示，近年来我国≥ 18 岁人群血脂异常患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4"/>
        </w:rPr>
        <w:t>病率明显升高</w:t>
      </w:r>
      <w:r>
        <w:rPr>
          <w:sz w:val="11"/>
          <w:szCs w:val="11"/>
          <w:color w:val="231F20"/>
          <w:spacing w:val="4"/>
          <w:position w:val="9"/>
        </w:rPr>
        <w:t>［3</w:t>
      </w:r>
      <w:r>
        <w:rPr>
          <w:sz w:val="11"/>
          <w:szCs w:val="11"/>
          <w:color w:val="231F20"/>
          <w:spacing w:val="-3"/>
          <w:position w:val="9"/>
        </w:rPr>
        <w:t>］</w:t>
      </w:r>
      <w:r>
        <w:rPr>
          <w:sz w:val="11"/>
          <w:szCs w:val="11"/>
          <w:color w:val="231F20"/>
          <w:spacing w:val="7"/>
          <w:position w:val="9"/>
        </w:rPr>
        <w:t xml:space="preserve"> </w:t>
      </w:r>
      <w:r>
        <w:rPr>
          <w:sz w:val="20"/>
          <w:szCs w:val="20"/>
          <w:color w:val="231F20"/>
          <w:spacing w:val="-3"/>
        </w:rPr>
        <w:t>，</w:t>
      </w:r>
      <w:r>
        <w:rPr>
          <w:sz w:val="20"/>
          <w:szCs w:val="20"/>
          <w:color w:val="231F20"/>
          <w:spacing w:val="4"/>
        </w:rPr>
        <w:t>但其知晓率、治疗率和控</w:t>
      </w:r>
      <w:r>
        <w:rPr>
          <w:sz w:val="20"/>
          <w:szCs w:val="20"/>
          <w:color w:val="231F20"/>
          <w:spacing w:val="3"/>
        </w:rPr>
        <w:t>制率均处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于较低水平。因此，有必要进一步加强血脂管理，做好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ASCVD 的一级和二级预防。</w:t>
      </w:r>
    </w:p>
    <w:p>
      <w:pPr>
        <w:pStyle w:val="BodyText"/>
        <w:ind w:left="559" w:right="215" w:firstLine="399"/>
        <w:spacing w:line="21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2023-03-24，由国家心血管病专家委员会联合中华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医学会心血管病学分会、内分泌学分会、糖尿</w:t>
      </w:r>
      <w:r>
        <w:rPr>
          <w:sz w:val="20"/>
          <w:szCs w:val="20"/>
          <w:color w:val="231F20"/>
          <w:spacing w:val="-5"/>
        </w:rPr>
        <w:t>病学分会、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检验医学分会及中国卒中学会发布了《中国血脂管理指  </w:t>
      </w:r>
      <w:r>
        <w:rPr>
          <w:sz w:val="20"/>
          <w:szCs w:val="20"/>
          <w:color w:val="231F20"/>
          <w:spacing w:val="-2"/>
        </w:rPr>
        <w:t>南（2023 年）》</w:t>
      </w:r>
      <w:r>
        <w:rPr>
          <w:sz w:val="11"/>
          <w:szCs w:val="11"/>
          <w:color w:val="231F20"/>
          <w:spacing w:val="-2"/>
          <w:position w:val="9"/>
        </w:rPr>
        <w:t>［4］ </w:t>
      </w:r>
      <w:r>
        <w:rPr>
          <w:sz w:val="20"/>
          <w:szCs w:val="20"/>
          <w:color w:val="231F20"/>
          <w:spacing w:val="-2"/>
        </w:rPr>
        <w:t>。为便于基层医生更好地开展血脂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管理，在该指南基础上，制定了《中国血脂管理指南（基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10"/>
        </w:rPr>
        <w:t>层版 2024 年）》。</w:t>
      </w:r>
    </w:p>
    <w:p>
      <w:pPr>
        <w:ind w:left="570"/>
        <w:spacing w:before="115" w:line="242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007A7E"/>
          <w:spacing w:val="-2"/>
        </w:rPr>
        <w:t>1    </w:t>
      </w:r>
      <w:r>
        <w:rPr>
          <w:rFonts w:ascii="SimHei" w:hAnsi="SimHei" w:eastAsia="SimHei" w:cs="SimHei"/>
          <w:sz w:val="22"/>
          <w:szCs w:val="22"/>
          <w:color w:val="007A7E"/>
          <w:spacing w:val="-2"/>
        </w:rPr>
        <w:t>血脂检测项目</w:t>
      </w:r>
    </w:p>
    <w:p>
      <w:pPr>
        <w:pStyle w:val="BodyText"/>
        <w:ind w:left="558" w:right="296" w:firstLine="398"/>
        <w:spacing w:before="163" w:line="21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建议临床血脂检测包括总胆固醇（total chole</w:t>
      </w:r>
      <w:r>
        <w:rPr>
          <w:sz w:val="20"/>
          <w:szCs w:val="20"/>
          <w:color w:val="231F20"/>
          <w:spacing w:val="-11"/>
        </w:rPr>
        <w:t>sterol，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TC）、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7"/>
        </w:rPr>
        <w:t>甘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油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三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7"/>
        </w:rPr>
        <w:t>酯（triglyceride，TG）、LDL-C 和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7"/>
        </w:rPr>
        <w:t>高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密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6"/>
        </w:rPr>
        <w:t>度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16"/>
        </w:rPr>
        <w:t>脂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6"/>
        </w:rPr>
        <w:t>蛋 白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6"/>
        </w:rPr>
        <w:t>胆 固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6"/>
        </w:rPr>
        <w:t>醇（high-density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6"/>
        </w:rPr>
        <w:t>lipoprotein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6"/>
        </w:rPr>
        <w:t>cholesterol，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HDL-C）。TC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5"/>
        </w:rPr>
        <w:t>是指血液中各脂蛋白所含胆固醇之总和。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LDL-C 是 ASCVD 的致病性危险因素，是调脂治疗的首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要干预靶点。通常情况下，HDL-C 水平</w:t>
      </w:r>
      <w:r>
        <w:rPr>
          <w:sz w:val="20"/>
          <w:szCs w:val="20"/>
          <w:color w:val="231F20"/>
          <w:spacing w:val="-3"/>
        </w:rPr>
        <w:t>与 ASCVD 风险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呈负相关。</w:t>
      </w:r>
    </w:p>
    <w:p>
      <w:pPr>
        <w:pStyle w:val="BodyText"/>
        <w:ind w:left="563" w:right="296" w:firstLine="393"/>
        <w:spacing w:before="1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非 HDL-C 为 TC 减去 HDL-C 获得，代表了所有含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载脂蛋白 B（apolipoprotein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B，ApoB）脂蛋白胆</w:t>
      </w:r>
      <w:r>
        <w:rPr>
          <w:sz w:val="20"/>
          <w:szCs w:val="20"/>
          <w:color w:val="231F20"/>
          <w:spacing w:val="-10"/>
        </w:rPr>
        <w:t>固醇的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总量，非 </w:t>
      </w:r>
      <w:r>
        <w:rPr>
          <w:sz w:val="20"/>
          <w:szCs w:val="20"/>
          <w:color w:val="231F20"/>
        </w:rPr>
        <w:t>HDL</w:t>
      </w:r>
      <w:r>
        <w:rPr>
          <w:sz w:val="20"/>
          <w:szCs w:val="20"/>
          <w:color w:val="231F20"/>
          <w:spacing w:val="3"/>
        </w:rPr>
        <w:t>-C 也可作为 </w:t>
      </w: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3"/>
        </w:rPr>
        <w:t xml:space="preserve"> 一级和二级预防的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干预靶点。</w:t>
      </w:r>
    </w:p>
    <w:p>
      <w:pPr>
        <w:pStyle w:val="BodyText"/>
        <w:ind w:left="547" w:right="296" w:firstLine="409"/>
        <w:spacing w:before="3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有条件的医疗机构可以开展 ApoA1、ApoB、脂蛋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白（a</w:t>
      </w:r>
      <w:r>
        <w:rPr>
          <w:sz w:val="20"/>
          <w:szCs w:val="20"/>
          <w:color w:val="231F20"/>
          <w:spacing w:val="-18"/>
        </w:rPr>
        <w:t>）［</w:t>
      </w:r>
      <w:r>
        <w:rPr>
          <w:sz w:val="20"/>
          <w:szCs w:val="20"/>
          <w:color w:val="231F20"/>
          <w:spacing w:val="-5"/>
        </w:rPr>
        <w:t>Lipoprotein（a</w:t>
      </w:r>
      <w:r>
        <w:rPr>
          <w:sz w:val="20"/>
          <w:szCs w:val="20"/>
          <w:color w:val="231F20"/>
          <w:spacing w:val="-18"/>
        </w:rPr>
        <w:t>），</w:t>
      </w:r>
      <w:r>
        <w:rPr>
          <w:sz w:val="20"/>
          <w:szCs w:val="20"/>
          <w:color w:val="231F20"/>
          <w:spacing w:val="-5"/>
        </w:rPr>
        <w:t>Lp（a</w:t>
      </w:r>
      <w:r>
        <w:rPr>
          <w:sz w:val="20"/>
          <w:szCs w:val="20"/>
          <w:color w:val="231F20"/>
          <w:spacing w:val="-18"/>
        </w:rPr>
        <w:t>）］</w:t>
      </w:r>
      <w:r>
        <w:rPr>
          <w:sz w:val="20"/>
          <w:szCs w:val="20"/>
          <w:color w:val="231F20"/>
          <w:spacing w:val="-5"/>
        </w:rPr>
        <w:t>检测。一般情况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下，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5"/>
        </w:rPr>
        <w:t>血清 ApoA1 主要反映高密度脂蛋白（hig</w:t>
      </w:r>
      <w:r>
        <w:rPr>
          <w:sz w:val="20"/>
          <w:szCs w:val="20"/>
          <w:color w:val="231F20"/>
          <w:spacing w:val="-6"/>
        </w:rPr>
        <w:t>h-density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lipoprotein，HDL）颗粒水平，血清 ApoB 主要反映低密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度脂蛋白（low-density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lipoprot</w:t>
      </w:r>
      <w:r>
        <w:rPr>
          <w:sz w:val="20"/>
          <w:szCs w:val="20"/>
          <w:color w:val="231F20"/>
          <w:spacing w:val="-11"/>
        </w:rPr>
        <w:t>ein，LDL）颗粒水平。Lp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（a）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由 LDL 样颗粒和 Apo（a）组成，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是 AS</w:t>
      </w:r>
      <w:r>
        <w:rPr>
          <w:sz w:val="20"/>
          <w:szCs w:val="20"/>
          <w:color w:val="231F20"/>
          <w:spacing w:val="-6"/>
        </w:rPr>
        <w:t>CVD 和钙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化性主动脉瓣狭窄的独立危险因素。</w:t>
      </w:r>
    </w:p>
    <w:p>
      <w:pPr>
        <w:ind w:left="559"/>
        <w:spacing w:before="139" w:line="242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007A7E"/>
          <w:spacing w:val="-1"/>
        </w:rPr>
        <w:t>2    </w:t>
      </w:r>
      <w:r>
        <w:rPr>
          <w:rFonts w:ascii="SimHei" w:hAnsi="SimHei" w:eastAsia="SimHei" w:cs="SimHei"/>
          <w:sz w:val="22"/>
          <w:szCs w:val="22"/>
          <w:color w:val="007A7E"/>
          <w:spacing w:val="-1"/>
        </w:rPr>
        <w:t>血脂筛查对象</w:t>
      </w:r>
    </w:p>
    <w:p>
      <w:pPr>
        <w:pStyle w:val="BodyText"/>
        <w:ind w:left="559" w:right="295" w:firstLine="398"/>
        <w:spacing w:before="169" w:line="20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0"/>
        </w:rPr>
        <w:t>血脂筛查有利于及早发现血脂异常人群和指导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ASCVD 风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5"/>
        </w:rPr>
        <w:t>险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评估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5"/>
        </w:rPr>
        <w:t>与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5"/>
        </w:rPr>
        <w:t>干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5"/>
        </w:rPr>
        <w:t>预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5"/>
        </w:rPr>
        <w:t>治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疗。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对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5"/>
        </w:rPr>
        <w:t>于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普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5"/>
        </w:rPr>
        <w:t>通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人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5"/>
        </w:rPr>
        <w:t>群，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建议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&lt;40 岁成年人每 2~5 年进行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 次血脂检测（包括 TC、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4"/>
        </w:rPr>
        <w:t>-C、</w:t>
      </w:r>
      <w:r>
        <w:rPr>
          <w:sz w:val="20"/>
          <w:szCs w:val="20"/>
          <w:color w:val="231F20"/>
        </w:rPr>
        <w:t>HDL</w:t>
      </w:r>
      <w:r>
        <w:rPr>
          <w:sz w:val="20"/>
          <w:szCs w:val="20"/>
          <w:color w:val="231F20"/>
          <w:spacing w:val="4"/>
        </w:rPr>
        <w:t>-C 和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"/>
        </w:rPr>
        <w:t>），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4"/>
        </w:rPr>
        <w:t>≥ 40 岁成年人每年至少应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进行 1 次血脂检测。采取静脉血，采血前至少 2 周内保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持日常饮食习惯和体质量稳定，24 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内不进行剧烈身体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活动，禁食 8~12 h，坐位休息至少 5 min。</w:t>
      </w:r>
    </w:p>
    <w:p>
      <w:pPr>
        <w:pStyle w:val="BodyText"/>
        <w:ind w:left="958"/>
        <w:spacing w:before="1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血脂检查的重点对象为</w:t>
      </w:r>
      <w:r>
        <w:rPr>
          <w:sz w:val="20"/>
          <w:szCs w:val="20"/>
          <w:color w:val="231F20"/>
          <w:spacing w:val="-26"/>
        </w:rPr>
        <w:t>：（</w:t>
      </w:r>
      <w:r>
        <w:rPr>
          <w:sz w:val="20"/>
          <w:szCs w:val="20"/>
          <w:color w:val="231F20"/>
          <w:spacing w:val="-2"/>
        </w:rPr>
        <w:t>1）有 ASCVD 病史者；</w:t>
      </w:r>
    </w:p>
    <w:p>
      <w:pPr>
        <w:pStyle w:val="BodyText"/>
        <w:ind w:left="564" w:right="215" w:hanging="117"/>
        <w:spacing w:before="15" w:line="18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（2）有多个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10"/>
        </w:rPr>
        <w:t>ASCVD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危险因素（如高血压、糖尿病、肥胖、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吸烟）者</w:t>
      </w:r>
      <w:r>
        <w:rPr>
          <w:sz w:val="20"/>
          <w:szCs w:val="20"/>
          <w:color w:val="231F20"/>
          <w:spacing w:val="-1"/>
        </w:rPr>
        <w:t>；（</w:t>
      </w:r>
      <w:r>
        <w:rPr>
          <w:sz w:val="20"/>
          <w:szCs w:val="20"/>
          <w:color w:val="231F20"/>
          <w:spacing w:val="-4"/>
        </w:rPr>
        <w:t>3）有早发 ASCVD 家族史者（指男性一级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亲属 &lt;55 岁或女性一级亲属 &lt;65 岁患 ASCVD）或</w:t>
      </w:r>
      <w:r>
        <w:rPr>
          <w:sz w:val="20"/>
          <w:szCs w:val="20"/>
          <w:color w:val="231F20"/>
          <w:spacing w:val="-5"/>
        </w:rPr>
        <w:t>家族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4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性高脂血症患者</w:t>
      </w:r>
      <w:r>
        <w:rPr>
          <w:sz w:val="20"/>
          <w:szCs w:val="20"/>
          <w:color w:val="231F20"/>
          <w:spacing w:val="-35"/>
          <w:w w:val="73"/>
        </w:rPr>
        <w:t>；（</w:t>
      </w:r>
      <w:r>
        <w:rPr>
          <w:sz w:val="20"/>
          <w:szCs w:val="20"/>
          <w:color w:val="231F20"/>
          <w:spacing w:val="-2"/>
        </w:rPr>
        <w:t>4）皮肤或肌腱黄色瘤及跟腱增厚者。</w:t>
      </w:r>
    </w:p>
    <w:p>
      <w:pPr>
        <w:ind w:left="4"/>
        <w:spacing w:before="146" w:line="242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007A7E"/>
          <w:spacing w:val="-1"/>
        </w:rPr>
        <w:t>3    </w:t>
      </w:r>
      <w:r>
        <w:rPr>
          <w:rFonts w:ascii="SimHei" w:hAnsi="SimHei" w:eastAsia="SimHei" w:cs="SimHei"/>
          <w:sz w:val="22"/>
          <w:szCs w:val="22"/>
          <w:color w:val="007A7E"/>
          <w:spacing w:val="-1"/>
        </w:rPr>
        <w:t>血脂管理原则</w:t>
      </w:r>
    </w:p>
    <w:p>
      <w:pPr>
        <w:ind w:left="3"/>
        <w:spacing w:before="155" w:line="24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3.1    ASCVD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总体风险评估</w:t>
      </w:r>
    </w:p>
    <w:p>
      <w:pPr>
        <w:pStyle w:val="BodyText"/>
        <w:ind w:left="6" w:right="178" w:firstLine="394"/>
        <w:spacing w:before="50" w:line="20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依据 </w:t>
      </w: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1"/>
        </w:rPr>
        <w:t xml:space="preserve"> 危险分层进行不同强度干预是血脂管 </w:t>
      </w:r>
      <w:r>
        <w:rPr>
          <w:sz w:val="20"/>
          <w:szCs w:val="20"/>
          <w:color w:val="231F20"/>
          <w:spacing w:val="3"/>
        </w:rPr>
        <w:t>理的核心策略，</w:t>
      </w: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3"/>
        </w:rPr>
        <w:t xml:space="preserve"> 总体风险评估是血脂管理决策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的基础（图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1）。</w:t>
      </w:r>
    </w:p>
    <w:p>
      <w:pPr>
        <w:ind w:left="3"/>
        <w:spacing w:before="1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3.2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血脂合适水平的参考标准</w:t>
      </w:r>
    </w:p>
    <w:p>
      <w:pPr>
        <w:pStyle w:val="BodyText"/>
        <w:ind w:left="3" w:right="187" w:firstLine="399"/>
        <w:spacing w:before="48" w:line="21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3"/>
        </w:rPr>
        <w:t xml:space="preserve"> 一级预防低危人群（非糖尿病患者）的主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1"/>
        </w:rPr>
        <w:t>要血脂指标参考标准见表 1。血脂异常的临床分类依照 </w:t>
      </w:r>
      <w:r>
        <w:rPr>
          <w:sz w:val="20"/>
          <w:szCs w:val="20"/>
          <w:color w:val="231F20"/>
          <w:spacing w:val="-1"/>
        </w:rPr>
        <w:t>表 1 可分为高胆固醇血症、高甘油三酯</w:t>
      </w:r>
      <w:r>
        <w:rPr>
          <w:sz w:val="20"/>
          <w:szCs w:val="20"/>
          <w:color w:val="231F20"/>
          <w:spacing w:val="-2"/>
        </w:rPr>
        <w:t>血症、混合型高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脂血症和低高密度脂蛋白胆固醇血症，而血脂水平是否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达标要依据 ASCVD 风险的不同来判断。</w:t>
      </w:r>
    </w:p>
    <w:p>
      <w:pPr>
        <w:pStyle w:val="BodyText"/>
        <w:ind w:left="16" w:right="177" w:hanging="10"/>
        <w:spacing w:before="141" w:line="187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    </w:t>
      </w:r>
      <w:r>
        <w:rPr>
          <w:sz w:val="16"/>
          <w:szCs w:val="16"/>
          <w:color w:val="231F20"/>
          <w:spacing w:val="-3"/>
        </w:rPr>
        <w:t>中国 ASCVD 一级预防低危人群（非糖尿病患者）主要血脂指标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的参考标准（mmol/L）</w:t>
      </w:r>
    </w:p>
    <w:p>
      <w:pPr>
        <w:pStyle w:val="BodyText"/>
        <w:ind w:left="4" w:right="170" w:firstLine="1"/>
        <w:spacing w:before="18" w:line="191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Table  1     </w:t>
      </w:r>
      <w:r>
        <w:rPr>
          <w:sz w:val="16"/>
          <w:szCs w:val="16"/>
          <w:color w:val="231F20"/>
          <w:spacing w:val="-11"/>
        </w:rPr>
        <w:t>Reference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values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blood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1"/>
        </w:rPr>
        <w:t>lipids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for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1"/>
        </w:rPr>
        <w:t>the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2"/>
        </w:rPr>
        <w:t>primary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2"/>
        </w:rPr>
        <w:t>prevention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ASCVD in low-risk populations</w:t>
      </w:r>
    </w:p>
    <w:tbl>
      <w:tblPr>
        <w:tblStyle w:val="TableNormal"/>
        <w:tblW w:w="48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3"/>
        <w:gridCol w:w="793"/>
        <w:gridCol w:w="819"/>
        <w:gridCol w:w="759"/>
        <w:gridCol w:w="797"/>
        <w:gridCol w:w="827"/>
      </w:tblGrid>
      <w:tr>
        <w:trPr>
          <w:trHeight w:val="312" w:hRule="atLeast"/>
        </w:trPr>
        <w:tc>
          <w:tcPr>
            <w:shd w:val="clear" w:fill="C0D8DC"/>
            <w:tcW w:w="823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264"/>
              <w:spacing w:before="77" w:line="178" w:lineRule="auto"/>
              <w:rPr/>
            </w:pPr>
            <w:r>
              <w:rPr>
                <w:color w:val="231F20"/>
                <w:spacing w:val="-1"/>
              </w:rPr>
              <w:t>分类</w:t>
            </w:r>
          </w:p>
        </w:tc>
        <w:tc>
          <w:tcPr>
            <w:shd w:val="clear" w:fill="C0D8DC"/>
            <w:tcW w:w="793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290"/>
              <w:spacing w:before="99" w:line="161" w:lineRule="auto"/>
              <w:rPr/>
            </w:pPr>
            <w:r>
              <w:rPr>
                <w:color w:val="231F20"/>
                <w:spacing w:val="-4"/>
              </w:rPr>
              <w:t>TC</w:t>
            </w:r>
          </w:p>
        </w:tc>
        <w:tc>
          <w:tcPr>
            <w:shd w:val="clear" w:fill="C0D8DC"/>
            <w:tcW w:w="819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163"/>
              <w:spacing w:before="99" w:line="161" w:lineRule="auto"/>
              <w:rPr/>
            </w:pPr>
            <w:r>
              <w:rPr>
                <w:color w:val="231F20"/>
              </w:rPr>
              <w:t>LDL</w:t>
            </w:r>
            <w:r>
              <w:rPr>
                <w:color w:val="231F20"/>
                <w:spacing w:val="5"/>
              </w:rPr>
              <w:t>-C</w:t>
            </w:r>
          </w:p>
        </w:tc>
        <w:tc>
          <w:tcPr>
            <w:shd w:val="clear" w:fill="C0D8DC"/>
            <w:tcW w:w="759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135"/>
              <w:spacing w:before="99" w:line="161" w:lineRule="auto"/>
              <w:rPr/>
            </w:pPr>
            <w:r>
              <w:rPr>
                <w:color w:val="231F20"/>
                <w:spacing w:val="-2"/>
              </w:rPr>
              <w:t>HDL-C</w:t>
            </w:r>
          </w:p>
        </w:tc>
        <w:tc>
          <w:tcPr>
            <w:shd w:val="clear" w:fill="C0D8DC"/>
            <w:tcW w:w="797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324"/>
              <w:spacing w:before="99" w:line="161" w:lineRule="auto"/>
              <w:rPr/>
            </w:pPr>
            <w:r>
              <w:rPr>
                <w:color w:val="231F20"/>
                <w:spacing w:val="-4"/>
              </w:rPr>
              <w:t>TG</w:t>
            </w:r>
          </w:p>
        </w:tc>
        <w:tc>
          <w:tcPr>
            <w:shd w:val="clear" w:fill="C0D8DC"/>
            <w:tcW w:w="827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85"/>
              <w:spacing w:before="78" w:line="178" w:lineRule="auto"/>
              <w:rPr/>
            </w:pPr>
            <w:r>
              <w:rPr>
                <w:color w:val="231F20"/>
                <w:spacing w:val="-3"/>
              </w:rPr>
              <w:t>非 HDL-C</w:t>
            </w:r>
          </w:p>
        </w:tc>
      </w:tr>
      <w:tr>
        <w:trPr>
          <w:trHeight w:val="310" w:hRule="atLeast"/>
        </w:trPr>
        <w:tc>
          <w:tcPr>
            <w:tcW w:w="823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86"/>
              <w:spacing w:before="77" w:line="180" w:lineRule="auto"/>
              <w:rPr/>
            </w:pPr>
            <w:r>
              <w:rPr>
                <w:color w:val="231F20"/>
                <w:spacing w:val="-1"/>
              </w:rPr>
              <w:t>理想水平</w:t>
            </w:r>
          </w:p>
        </w:tc>
        <w:tc>
          <w:tcPr>
            <w:tcW w:w="793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301"/>
              <w:spacing w:before="152" w:line="124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  <w:tc>
          <w:tcPr>
            <w:tcW w:w="819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256"/>
              <w:spacing w:before="73" w:line="198" w:lineRule="auto"/>
              <w:rPr/>
            </w:pPr>
            <w:r>
              <w:rPr>
                <w:color w:val="231F20"/>
                <w:spacing w:val="-13"/>
              </w:rPr>
              <w:t>&lt;2.6</w:t>
            </w:r>
          </w:p>
        </w:tc>
        <w:tc>
          <w:tcPr>
            <w:tcW w:w="759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296"/>
              <w:spacing w:before="152" w:line="124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  <w:tc>
          <w:tcPr>
            <w:tcW w:w="797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340"/>
              <w:spacing w:before="152" w:line="124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  <w:tc>
          <w:tcPr>
            <w:tcW w:w="827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290"/>
              <w:spacing w:before="73" w:line="198" w:lineRule="auto"/>
              <w:rPr/>
            </w:pPr>
            <w:r>
              <w:rPr>
                <w:color w:val="231F20"/>
                <w:spacing w:val="-13"/>
              </w:rPr>
              <w:t>&lt;3.4</w:t>
            </w:r>
          </w:p>
        </w:tc>
      </w:tr>
      <w:tr>
        <w:trPr>
          <w:trHeight w:val="333" w:hRule="atLeast"/>
        </w:trPr>
        <w:tc>
          <w:tcPr>
            <w:shd w:val="clear" w:fill="ECF5F6"/>
            <w:tcW w:w="823" w:type="dxa"/>
            <w:vAlign w:val="top"/>
          </w:tcPr>
          <w:p>
            <w:pPr>
              <w:pStyle w:val="TableText"/>
              <w:ind w:left="84"/>
              <w:spacing w:before="88" w:line="180" w:lineRule="auto"/>
              <w:rPr/>
            </w:pPr>
            <w:r>
              <w:rPr>
                <w:color w:val="231F20"/>
                <w:spacing w:val="-1"/>
              </w:rPr>
              <w:t>合适水平</w:t>
            </w:r>
          </w:p>
        </w:tc>
        <w:tc>
          <w:tcPr>
            <w:shd w:val="clear" w:fill="ECF5F6"/>
            <w:tcW w:w="793" w:type="dxa"/>
            <w:vAlign w:val="top"/>
          </w:tcPr>
          <w:p>
            <w:pPr>
              <w:pStyle w:val="TableText"/>
              <w:ind w:left="245"/>
              <w:spacing w:before="85" w:line="208" w:lineRule="auto"/>
              <w:rPr/>
            </w:pPr>
            <w:r>
              <w:rPr>
                <w:color w:val="231F20"/>
                <w:spacing w:val="-13"/>
              </w:rPr>
              <w:t>&lt;5.2</w:t>
            </w:r>
          </w:p>
        </w:tc>
        <w:tc>
          <w:tcPr>
            <w:shd w:val="clear" w:fill="ECF5F6"/>
            <w:tcW w:w="819" w:type="dxa"/>
            <w:vAlign w:val="top"/>
          </w:tcPr>
          <w:p>
            <w:pPr>
              <w:pStyle w:val="TableText"/>
              <w:ind w:left="256"/>
              <w:spacing w:before="85" w:line="208" w:lineRule="auto"/>
              <w:rPr/>
            </w:pPr>
            <w:r>
              <w:rPr>
                <w:color w:val="231F20"/>
                <w:spacing w:val="-13"/>
              </w:rPr>
              <w:t>&lt;3.4</w:t>
            </w:r>
          </w:p>
        </w:tc>
        <w:tc>
          <w:tcPr>
            <w:shd w:val="clear" w:fill="ECF5F6"/>
            <w:tcW w:w="759" w:type="dxa"/>
            <w:vAlign w:val="top"/>
          </w:tcPr>
          <w:p>
            <w:pPr>
              <w:pStyle w:val="TableText"/>
              <w:ind w:left="296"/>
              <w:spacing w:before="164" w:line="124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  <w:tc>
          <w:tcPr>
            <w:shd w:val="clear" w:fill="ECF5F6"/>
            <w:tcW w:w="797" w:type="dxa"/>
            <w:vAlign w:val="top"/>
          </w:tcPr>
          <w:p>
            <w:pPr>
              <w:pStyle w:val="TableText"/>
              <w:ind w:left="284"/>
              <w:spacing w:before="85" w:line="208" w:lineRule="auto"/>
              <w:rPr/>
            </w:pPr>
            <w:r>
              <w:rPr>
                <w:color w:val="231F20"/>
                <w:spacing w:val="-13"/>
              </w:rPr>
              <w:t>&lt;1.7</w:t>
            </w:r>
          </w:p>
        </w:tc>
        <w:tc>
          <w:tcPr>
            <w:shd w:val="clear" w:fill="ECF5F6"/>
            <w:tcW w:w="827" w:type="dxa"/>
            <w:vAlign w:val="top"/>
          </w:tcPr>
          <w:p>
            <w:pPr>
              <w:pStyle w:val="TableText"/>
              <w:ind w:left="290"/>
              <w:spacing w:before="85" w:line="208" w:lineRule="auto"/>
              <w:rPr/>
            </w:pPr>
            <w:r>
              <w:rPr>
                <w:color w:val="231F20"/>
                <w:spacing w:val="-13"/>
              </w:rPr>
              <w:t>&lt;4.1</w:t>
            </w:r>
          </w:p>
        </w:tc>
      </w:tr>
      <w:tr>
        <w:trPr>
          <w:trHeight w:val="515" w:hRule="atLeast"/>
        </w:trPr>
        <w:tc>
          <w:tcPr>
            <w:tcW w:w="823" w:type="dxa"/>
            <w:vAlign w:val="top"/>
          </w:tcPr>
          <w:p>
            <w:pPr>
              <w:pStyle w:val="TableText"/>
              <w:ind w:left="84"/>
              <w:spacing w:before="190" w:line="180" w:lineRule="auto"/>
              <w:rPr/>
            </w:pPr>
            <w:r>
              <w:rPr>
                <w:color w:val="231F20"/>
                <w:spacing w:val="-1"/>
              </w:rPr>
              <w:t>边缘升高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245" w:right="111" w:hanging="137"/>
              <w:spacing w:before="90" w:line="181" w:lineRule="auto"/>
              <w:rPr/>
            </w:pPr>
            <w:r>
              <w:rPr>
                <w:color w:val="231F20"/>
                <w:spacing w:val="-4"/>
              </w:rPr>
              <w:t>≥ 5.2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4"/>
              </w:rPr>
              <w:t>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&lt;6.2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55" w:right="127" w:hanging="137"/>
              <w:spacing w:before="90" w:line="181" w:lineRule="auto"/>
              <w:rPr/>
            </w:pPr>
            <w:r>
              <w:rPr>
                <w:color w:val="231F20"/>
                <w:spacing w:val="-4"/>
              </w:rPr>
              <w:t>≥ 3.4 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&lt;4.1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96"/>
              <w:spacing w:before="267" w:line="123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84" w:right="77" w:hanging="137"/>
              <w:spacing w:before="90" w:line="181" w:lineRule="auto"/>
              <w:rPr/>
            </w:pPr>
            <w:r>
              <w:rPr>
                <w:color w:val="231F20"/>
                <w:spacing w:val="-7"/>
              </w:rPr>
              <w:t>≥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1.7 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&lt;2.3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290" w:right="101" w:hanging="137"/>
              <w:spacing w:before="90" w:line="181" w:lineRule="auto"/>
              <w:rPr/>
            </w:pPr>
            <w:r>
              <w:rPr>
                <w:color w:val="231F20"/>
                <w:spacing w:val="-4"/>
              </w:rPr>
              <w:t>≥ 4.1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4"/>
              </w:rPr>
              <w:t>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&lt;4.9</w:t>
            </w:r>
          </w:p>
        </w:tc>
      </w:tr>
      <w:tr>
        <w:trPr>
          <w:trHeight w:val="337" w:hRule="atLeast"/>
        </w:trPr>
        <w:tc>
          <w:tcPr>
            <w:shd w:val="clear" w:fill="ECF5F6"/>
            <w:tcW w:w="823" w:type="dxa"/>
            <w:vAlign w:val="top"/>
          </w:tcPr>
          <w:p>
            <w:pPr>
              <w:pStyle w:val="TableText"/>
              <w:ind w:left="248"/>
              <w:spacing w:before="110" w:line="180" w:lineRule="auto"/>
              <w:rPr/>
            </w:pPr>
            <w:r>
              <w:rPr>
                <w:color w:val="231F20"/>
                <w:spacing w:val="-2"/>
              </w:rPr>
              <w:t>升高</w:t>
            </w:r>
          </w:p>
        </w:tc>
        <w:tc>
          <w:tcPr>
            <w:shd w:val="clear" w:fill="ECF5F6"/>
            <w:tcW w:w="793" w:type="dxa"/>
            <w:vAlign w:val="top"/>
          </w:tcPr>
          <w:p>
            <w:pPr>
              <w:pStyle w:val="TableText"/>
              <w:ind w:left="208"/>
              <w:spacing w:before="108" w:line="191" w:lineRule="auto"/>
              <w:rPr/>
            </w:pPr>
            <w:r>
              <w:rPr>
                <w:color w:val="231F20"/>
                <w:spacing w:val="-2"/>
              </w:rPr>
              <w:t>≥ 6.2</w:t>
            </w:r>
          </w:p>
        </w:tc>
        <w:tc>
          <w:tcPr>
            <w:shd w:val="clear" w:fill="ECF5F6"/>
            <w:tcW w:w="819" w:type="dxa"/>
            <w:vAlign w:val="top"/>
          </w:tcPr>
          <w:p>
            <w:pPr>
              <w:pStyle w:val="TableText"/>
              <w:ind w:left="219"/>
              <w:spacing w:before="108" w:line="191" w:lineRule="auto"/>
              <w:rPr/>
            </w:pPr>
            <w:r>
              <w:rPr>
                <w:color w:val="231F20"/>
              </w:rPr>
              <w:t>≥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4.1</w:t>
            </w:r>
          </w:p>
        </w:tc>
        <w:tc>
          <w:tcPr>
            <w:shd w:val="clear" w:fill="ECF5F6"/>
            <w:tcW w:w="759" w:type="dxa"/>
            <w:vAlign w:val="top"/>
          </w:tcPr>
          <w:p>
            <w:pPr>
              <w:pStyle w:val="TableText"/>
              <w:ind w:left="296"/>
              <w:spacing w:before="187" w:line="124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  <w:tc>
          <w:tcPr>
            <w:shd w:val="clear" w:fill="ECF5F6"/>
            <w:tcW w:w="797" w:type="dxa"/>
            <w:vAlign w:val="top"/>
          </w:tcPr>
          <w:p>
            <w:pPr>
              <w:pStyle w:val="TableText"/>
              <w:ind w:left="247"/>
              <w:spacing w:before="108" w:line="191" w:lineRule="auto"/>
              <w:rPr/>
            </w:pPr>
            <w:r>
              <w:rPr>
                <w:color w:val="231F20"/>
                <w:spacing w:val="-2"/>
              </w:rPr>
              <w:t>≥ 2.3</w:t>
            </w:r>
          </w:p>
        </w:tc>
        <w:tc>
          <w:tcPr>
            <w:shd w:val="clear" w:fill="ECF5F6"/>
            <w:tcW w:w="827" w:type="dxa"/>
            <w:vAlign w:val="top"/>
          </w:tcPr>
          <w:p>
            <w:pPr>
              <w:pStyle w:val="TableText"/>
              <w:ind w:left="253"/>
              <w:spacing w:before="108" w:line="191" w:lineRule="auto"/>
              <w:rPr/>
            </w:pPr>
            <w:r>
              <w:rPr>
                <w:color w:val="231F20"/>
              </w:rPr>
              <w:t>≥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4.9</w:t>
            </w:r>
          </w:p>
        </w:tc>
      </w:tr>
      <w:tr>
        <w:trPr>
          <w:trHeight w:val="327" w:hRule="atLeast"/>
        </w:trPr>
        <w:tc>
          <w:tcPr>
            <w:tcW w:w="823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254"/>
              <w:spacing w:before="95" w:line="181" w:lineRule="auto"/>
              <w:rPr/>
            </w:pPr>
            <w:r>
              <w:rPr>
                <w:color w:val="231F20"/>
                <w:spacing w:val="-3"/>
              </w:rPr>
              <w:t>降低</w:t>
            </w:r>
          </w:p>
        </w:tc>
        <w:tc>
          <w:tcPr>
            <w:tcW w:w="793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302"/>
              <w:spacing w:before="172" w:line="124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  <w:tc>
          <w:tcPr>
            <w:tcW w:w="819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312"/>
              <w:spacing w:before="172" w:line="124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  <w:tc>
          <w:tcPr>
            <w:tcW w:w="759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240"/>
              <w:spacing w:before="93" w:line="195" w:lineRule="auto"/>
              <w:rPr/>
            </w:pPr>
            <w:r>
              <w:rPr>
                <w:color w:val="231F20"/>
                <w:spacing w:val="-13"/>
              </w:rPr>
              <w:t>&lt;1.0</w:t>
            </w:r>
          </w:p>
        </w:tc>
        <w:tc>
          <w:tcPr>
            <w:tcW w:w="797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341"/>
              <w:spacing w:before="172" w:line="124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  <w:tc>
          <w:tcPr>
            <w:tcW w:w="827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347"/>
              <w:spacing w:before="172" w:line="124" w:lineRule="exact"/>
              <w:rPr/>
            </w:pPr>
            <w:r>
              <w:rPr>
                <w:color w:val="231F20"/>
                <w:position w:val="-7"/>
              </w:rPr>
              <w:t>—</w:t>
            </w:r>
          </w:p>
        </w:tc>
      </w:tr>
    </w:tbl>
    <w:p>
      <w:pPr>
        <w:pStyle w:val="BodyText"/>
        <w:ind w:left="5" w:right="177" w:firstLine="315"/>
        <w:spacing w:before="61" w:line="22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注：ASCVD= 动脉粥样硬化性心血管疾病，TC= 总胆固醇，LDL-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C= 低密度脂蛋白胆固醇，HDL-C= 高密度脂蛋白胆固醇，TG= 甘油三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酯；—表示无；表中所列数值是干预前空腹 12 h 测定</w:t>
      </w:r>
      <w:r>
        <w:rPr>
          <w:sz w:val="16"/>
          <w:szCs w:val="16"/>
          <w:color w:val="231F20"/>
          <w:spacing w:val="-4"/>
        </w:rPr>
        <w:t>的血脂水平。</w:t>
      </w:r>
    </w:p>
    <w:p>
      <w:pPr>
        <w:ind w:left="3"/>
        <w:spacing w:before="160" w:line="264" w:lineRule="exact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  <w:position w:val="1"/>
        </w:rPr>
        <w:t>3.3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3"/>
          <w:position w:val="1"/>
        </w:rPr>
        <w:t>降脂目标</w:t>
      </w:r>
    </w:p>
    <w:p>
      <w:pPr>
        <w:pStyle w:val="BodyText"/>
        <w:ind w:left="3" w:right="178" w:firstLine="400"/>
        <w:spacing w:before="45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4"/>
        </w:rPr>
        <w:t>-C 是降脂治疗的首要靶点。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4"/>
        </w:rPr>
        <w:t>-C 达标后，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非 </w:t>
      </w:r>
      <w:r>
        <w:rPr>
          <w:sz w:val="20"/>
          <w:szCs w:val="20"/>
          <w:color w:val="231F20"/>
        </w:rPr>
        <w:t>HDL</w:t>
      </w:r>
      <w:r>
        <w:rPr>
          <w:sz w:val="20"/>
          <w:szCs w:val="20"/>
          <w:color w:val="231F20"/>
          <w:spacing w:val="2"/>
        </w:rPr>
        <w:t>-C 为次要干预靶点。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2"/>
        </w:rPr>
        <w:t>-C 和非 </w:t>
      </w:r>
      <w:r>
        <w:rPr>
          <w:sz w:val="20"/>
          <w:szCs w:val="20"/>
          <w:color w:val="231F20"/>
        </w:rPr>
        <w:t>HDL</w:t>
      </w:r>
      <w:r>
        <w:rPr>
          <w:sz w:val="20"/>
          <w:szCs w:val="20"/>
          <w:color w:val="231F20"/>
          <w:spacing w:val="2"/>
        </w:rPr>
        <w:t>-C 达标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后 TG 仍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2"/>
        </w:rPr>
        <w:t>高(≥ 2.3 mmol/L）的 ASCVD 高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2"/>
        </w:rPr>
        <w:t>危</w:t>
      </w:r>
      <w:r>
        <w:rPr>
          <w:sz w:val="20"/>
          <w:szCs w:val="20"/>
          <w:color w:val="231F20"/>
          <w:spacing w:val="-3"/>
        </w:rPr>
        <w:t>及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3"/>
        </w:rPr>
        <w:t>以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3"/>
        </w:rPr>
        <w:t>上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3"/>
        </w:rPr>
        <w:t>患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者，可同时采用二十碳五烯酸（eicosapentaenoic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acid，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EPA）治疗以进一步降低 ASCVD 风险。</w:t>
      </w:r>
    </w:p>
    <w:p>
      <w:pPr>
        <w:pStyle w:val="BodyText"/>
        <w:ind w:left="3" w:right="113" w:firstLine="401"/>
        <w:spacing w:before="15" w:line="21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LDL-C 控制水平应参照 ASCVD 总体风险。LDL-C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的目标值见表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6"/>
        </w:rPr>
        <w:t>2</w:t>
      </w:r>
      <w:r>
        <w:rPr>
          <w:sz w:val="11"/>
          <w:szCs w:val="11"/>
          <w:color w:val="231F20"/>
          <w:spacing w:val="-6"/>
          <w:position w:val="8"/>
        </w:rPr>
        <w:t>［5-10］</w:t>
      </w:r>
      <w:r>
        <w:rPr>
          <w:sz w:val="20"/>
          <w:szCs w:val="20"/>
          <w:color w:val="231F20"/>
          <w:spacing w:val="-6"/>
        </w:rPr>
        <w:t>。LDL-C 降幅越大，持续时间越长，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ASCVD 风险下降越多。非 HDL-C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目标值 =LDL-C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目标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7"/>
        </w:rPr>
        <w:t>值 +0.8 mmol/L。</w:t>
      </w:r>
    </w:p>
    <w:p>
      <w:pPr>
        <w:pStyle w:val="BodyText"/>
        <w:ind w:left="1555"/>
        <w:spacing w:before="138" w:line="197" w:lineRule="auto"/>
        <w:outlineLvl w:val="1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    </w:t>
      </w:r>
      <w:r>
        <w:rPr>
          <w:sz w:val="16"/>
          <w:szCs w:val="16"/>
          <w:color w:val="231F20"/>
          <w:spacing w:val="-1"/>
        </w:rPr>
        <w:t>降脂靶点的目标值</w:t>
      </w:r>
    </w:p>
    <w:p>
      <w:pPr>
        <w:pStyle w:val="BodyText"/>
        <w:ind w:left="913"/>
        <w:spacing w:line="189" w:lineRule="auto"/>
        <w:outlineLvl w:val="1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Table 2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10"/>
        </w:rPr>
        <w:t>The goal attainment values </w:t>
      </w:r>
      <w:r>
        <w:rPr>
          <w:sz w:val="16"/>
          <w:szCs w:val="16"/>
          <w:color w:val="231F20"/>
          <w:spacing w:val="-11"/>
        </w:rPr>
        <w:t>of LDL-C</w:t>
      </w:r>
    </w:p>
    <w:p>
      <w:pPr>
        <w:spacing w:line="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8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93"/>
        <w:gridCol w:w="1510"/>
        <w:gridCol w:w="48"/>
        <w:gridCol w:w="1367"/>
      </w:tblGrid>
      <w:tr>
        <w:trPr>
          <w:trHeight w:val="263" w:hRule="atLeast"/>
        </w:trPr>
        <w:tc>
          <w:tcPr>
            <w:shd w:val="clear" w:fill="C0D8DC"/>
            <w:tcW w:w="1893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408"/>
              <w:spacing w:before="51" w:line="176" w:lineRule="auto"/>
              <w:rPr/>
            </w:pPr>
            <w:r>
              <w:rPr>
                <w:color w:val="231F20"/>
                <w:spacing w:val="-6"/>
              </w:rPr>
              <w:t>ASCVD 风险等级</w:t>
            </w:r>
          </w:p>
        </w:tc>
        <w:tc>
          <w:tcPr>
            <w:shd w:val="clear" w:fill="C0D8DC"/>
            <w:tcW w:w="2925" w:type="dxa"/>
            <w:vAlign w:val="top"/>
            <w:gridSpan w:val="3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462"/>
              <w:spacing w:before="51" w:line="176" w:lineRule="auto"/>
              <w:rPr/>
            </w:pPr>
            <w:r>
              <w:rPr>
                <w:color w:val="231F20"/>
                <w:spacing w:val="-6"/>
              </w:rPr>
              <w:t>LDL-C 推荐目标值（mmol/L）</w:t>
            </w:r>
          </w:p>
        </w:tc>
      </w:tr>
      <w:tr>
        <w:trPr>
          <w:trHeight w:val="260" w:hRule="atLeast"/>
        </w:trPr>
        <w:tc>
          <w:tcPr>
            <w:tcW w:w="1893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795"/>
              <w:spacing w:before="29" w:line="193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  <w:position w:val="-1"/>
              </w:rPr>
              <w:t>低危</w:t>
            </w:r>
            <w:r>
              <w:rPr>
                <w:color w:val="231F20"/>
                <w:spacing w:val="-5"/>
                <w:position w:val="-1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a</w:t>
            </w:r>
          </w:p>
        </w:tc>
        <w:tc>
          <w:tcPr>
            <w:tcW w:w="1558" w:type="dxa"/>
            <w:vAlign w:val="top"/>
            <w:gridSpan w:val="2"/>
            <w:tcBorders>
              <w:top w:val="single" w:color="007A7E" w:sz="4" w:space="0"/>
            </w:tcBorders>
          </w:tcPr>
          <w:p>
            <w:pPr>
              <w:pStyle w:val="TableText"/>
              <w:ind w:right="7"/>
              <w:spacing w:before="48" w:line="176" w:lineRule="auto"/>
              <w:jc w:val="right"/>
              <w:rPr/>
            </w:pPr>
            <w:r>
              <w:rPr>
                <w:color w:val="231F20"/>
                <w:spacing w:val="-14"/>
              </w:rPr>
              <w:t>&lt;3</w:t>
            </w:r>
            <w:r>
              <w:rPr>
                <w:color w:val="231F20"/>
                <w:spacing w:val="-13"/>
              </w:rPr>
              <w:t>.</w:t>
            </w:r>
            <w:r>
              <w:rPr>
                <w:color w:val="231F20"/>
                <w:spacing w:val="-11"/>
              </w:rPr>
              <w:t>4</w:t>
            </w:r>
          </w:p>
        </w:tc>
        <w:tc>
          <w:tcPr>
            <w:tcW w:w="1367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spacing w:before="29" w:line="20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31F20"/>
                <w:spacing w:val="-5"/>
              </w:rPr>
              <w:t>［5］</w:t>
            </w:r>
          </w:p>
        </w:tc>
      </w:tr>
      <w:tr>
        <w:trPr>
          <w:trHeight w:val="260" w:hRule="atLeast"/>
        </w:trPr>
        <w:tc>
          <w:tcPr>
            <w:shd w:val="clear" w:fill="ECF5F6"/>
            <w:tcW w:w="1893" w:type="dxa"/>
            <w:vAlign w:val="top"/>
          </w:tcPr>
          <w:p>
            <w:pPr>
              <w:pStyle w:val="TableText"/>
              <w:ind w:left="651"/>
              <w:spacing w:before="42" w:line="181" w:lineRule="auto"/>
              <w:rPr>
                <w:sz w:val="9"/>
                <w:szCs w:val="9"/>
              </w:rPr>
            </w:pPr>
            <w:r>
              <w:rPr>
                <w:color w:val="231F20"/>
                <w:spacing w:val="-5"/>
              </w:rPr>
              <w:t>中、高危 </w:t>
            </w:r>
            <w:r>
              <w:rPr>
                <w:sz w:val="9"/>
                <w:szCs w:val="9"/>
                <w:color w:val="231F20"/>
                <w:spacing w:val="-5"/>
                <w:position w:val="6"/>
              </w:rPr>
              <w:t>a</w:t>
            </w:r>
          </w:p>
        </w:tc>
        <w:tc>
          <w:tcPr>
            <w:shd w:val="clear" w:fill="ECF5F6"/>
            <w:tcW w:w="1510" w:type="dxa"/>
            <w:vAlign w:val="top"/>
          </w:tcPr>
          <w:p>
            <w:pPr>
              <w:pStyle w:val="TableText"/>
              <w:ind w:right="8"/>
              <w:spacing w:before="62" w:line="164" w:lineRule="auto"/>
              <w:jc w:val="right"/>
              <w:rPr/>
            </w:pPr>
            <w:r>
              <w:rPr>
                <w:color w:val="231F20"/>
                <w:spacing w:val="-13"/>
              </w:rPr>
              <w:t>&lt;2.6</w:t>
            </w:r>
          </w:p>
        </w:tc>
        <w:tc>
          <w:tcPr>
            <w:shd w:val="clear" w:fill="ECF5F6"/>
            <w:tcW w:w="1415" w:type="dxa"/>
            <w:vAlign w:val="top"/>
            <w:gridSpan w:val="2"/>
          </w:tcPr>
          <w:p>
            <w:pPr>
              <w:pStyle w:val="TableText"/>
              <w:spacing w:before="42" w:line="20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31F20"/>
                <w:spacing w:val="-2"/>
              </w:rPr>
              <w:t>［6-7］</w:t>
            </w:r>
          </w:p>
        </w:tc>
      </w:tr>
      <w:tr>
        <w:trPr>
          <w:trHeight w:val="270" w:hRule="atLeast"/>
        </w:trPr>
        <w:tc>
          <w:tcPr>
            <w:tcW w:w="1893" w:type="dxa"/>
            <w:vAlign w:val="top"/>
          </w:tcPr>
          <w:p>
            <w:pPr>
              <w:pStyle w:val="TableText"/>
              <w:ind w:left="755"/>
              <w:spacing w:before="78" w:line="159" w:lineRule="auto"/>
              <w:rPr/>
            </w:pPr>
            <w:r>
              <w:rPr>
                <w:color w:val="231F20"/>
                <w:spacing w:val="-1"/>
              </w:rPr>
              <w:t>极高危</w:t>
            </w:r>
          </w:p>
        </w:tc>
        <w:tc>
          <w:tcPr>
            <w:tcW w:w="2925" w:type="dxa"/>
            <w:vAlign w:val="top"/>
            <w:gridSpan w:val="3"/>
          </w:tcPr>
          <w:p>
            <w:pPr>
              <w:pStyle w:val="TableText"/>
              <w:ind w:left="315"/>
              <w:spacing w:before="56" w:line="178" w:lineRule="auto"/>
              <w:rPr>
                <w:sz w:val="9"/>
                <w:szCs w:val="9"/>
              </w:rPr>
            </w:pPr>
            <w:r>
              <w:rPr>
                <w:color w:val="231F20"/>
                <w:spacing w:val="-9"/>
                <w:position w:val="-1"/>
              </w:rPr>
              <w:t>&lt;1.8 且较基线降低幅度 &gt;50%</w:t>
            </w:r>
            <w:r>
              <w:rPr>
                <w:sz w:val="9"/>
                <w:szCs w:val="9"/>
                <w:color w:val="231F20"/>
                <w:spacing w:val="2"/>
                <w:position w:val="6"/>
              </w:rPr>
              <w:t>［8-10］</w:t>
            </w:r>
          </w:p>
        </w:tc>
      </w:tr>
      <w:tr>
        <w:trPr>
          <w:trHeight w:val="288" w:hRule="atLeast"/>
        </w:trPr>
        <w:tc>
          <w:tcPr>
            <w:shd w:val="clear" w:fill="ECF5F6"/>
            <w:tcW w:w="1893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756"/>
              <w:spacing w:before="82" w:line="171" w:lineRule="auto"/>
              <w:rPr/>
            </w:pPr>
            <w:r>
              <w:rPr>
                <w:color w:val="231F20"/>
                <w:spacing w:val="-1"/>
              </w:rPr>
              <w:t>超高危</w:t>
            </w:r>
          </w:p>
        </w:tc>
        <w:tc>
          <w:tcPr>
            <w:shd w:val="clear" w:fill="ECF5F6"/>
            <w:tcW w:w="2925" w:type="dxa"/>
            <w:vAlign w:val="top"/>
            <w:gridSpan w:val="3"/>
            <w:tcBorders>
              <w:bottom w:val="single" w:color="007A7E" w:sz="6" w:space="0"/>
            </w:tcBorders>
          </w:tcPr>
          <w:p>
            <w:pPr>
              <w:pStyle w:val="TableText"/>
              <w:ind w:left="315"/>
              <w:spacing w:before="59" w:line="191" w:lineRule="auto"/>
              <w:rPr>
                <w:sz w:val="9"/>
                <w:szCs w:val="9"/>
              </w:rPr>
            </w:pPr>
            <w:r>
              <w:rPr>
                <w:color w:val="231F20"/>
                <w:spacing w:val="-9"/>
                <w:position w:val="-1"/>
              </w:rPr>
              <w:t>&lt;1.4 且较基线降低幅度 &gt;50%</w:t>
            </w:r>
            <w:r>
              <w:rPr>
                <w:sz w:val="9"/>
                <w:szCs w:val="9"/>
                <w:color w:val="231F20"/>
                <w:spacing w:val="2"/>
                <w:position w:val="6"/>
              </w:rPr>
              <w:t>［8-10］</w:t>
            </w:r>
          </w:p>
        </w:tc>
      </w:tr>
    </w:tbl>
    <w:p>
      <w:pPr>
        <w:pStyle w:val="BodyText"/>
        <w:ind w:right="186" w:firstLine="319"/>
        <w:spacing w:before="36" w:line="21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注：</w:t>
      </w:r>
      <w:r>
        <w:rPr>
          <w:sz w:val="9"/>
          <w:szCs w:val="9"/>
          <w:color w:val="231F20"/>
          <w:spacing w:val="-3"/>
          <w:position w:val="7"/>
        </w:rPr>
        <w:t>a</w:t>
      </w:r>
      <w:r>
        <w:rPr>
          <w:sz w:val="9"/>
          <w:szCs w:val="9"/>
          <w:color w:val="231F20"/>
          <w:spacing w:val="33"/>
          <w:w w:val="103"/>
          <w:position w:val="7"/>
        </w:rPr>
        <w:t xml:space="preserve"> </w:t>
      </w:r>
      <w:r>
        <w:rPr>
          <w:sz w:val="16"/>
          <w:szCs w:val="16"/>
          <w:color w:val="231F20"/>
          <w:spacing w:val="-3"/>
        </w:rPr>
        <w:t>表示合并糖尿病的 ASCVD 低、中和高危患者血脂目标值见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“特定人群的血脂管理”糖尿病患者部分。</w:t>
      </w:r>
    </w:p>
    <w:p>
      <w:pPr>
        <w:spacing w:line="216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5671" w:space="100"/>
            <w:col w:w="4998" w:space="0"/>
          </w:cols>
        </w:sectPr>
        <w:rPr>
          <w:sz w:val="16"/>
          <w:szCs w:val="16"/>
        </w:rPr>
      </w:pPr>
    </w:p>
    <w:p>
      <w:pPr>
        <w:spacing w:before="92"/>
        <w:rPr/>
      </w:pPr>
      <w:r/>
    </w:p>
    <w:tbl>
      <w:tblPr>
        <w:tblStyle w:val="TableNormal"/>
        <w:tblW w:w="1356" w:type="dxa"/>
        <w:tblInd w:w="4576" w:type="dxa"/>
        <w:shd w:val="clear" w:fill="7FCFE1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356"/>
      </w:tblGrid>
      <w:tr>
        <w:trPr>
          <w:trHeight w:val="274" w:hRule="atLeast"/>
        </w:trPr>
        <w:tc>
          <w:tcPr>
            <w:shd w:val="clear" w:fill="7FCFE1"/>
            <w:tcW w:w="1356" w:type="dxa"/>
            <w:vAlign w:val="top"/>
          </w:tcPr>
          <w:p>
            <w:pPr>
              <w:pStyle w:val="TableText"/>
              <w:ind w:left="429"/>
              <w:spacing w:before="85" w:line="179" w:lineRule="exact"/>
              <w:rPr/>
            </w:pPr>
            <w:bookmarkStart w:name="bookmark1" w:id="1"/>
            <w:bookmarkEnd w:id="1"/>
            <w:r>
              <w:rPr>
                <w:color w:val="231F20"/>
                <w:spacing w:val="-7"/>
                <w:position w:val="-3"/>
              </w:rPr>
              <w:t>ASCVD</w:t>
            </w:r>
          </w:p>
        </w:tc>
      </w:tr>
    </w:tbl>
    <w:p>
      <w:pPr>
        <w:ind w:left="3040"/>
        <w:spacing w:line="210" w:lineRule="auto"/>
        <w:tabs>
          <w:tab w:val="left" w:pos="7540"/>
        </w:tabs>
        <w:rPr>
          <w:rFonts w:ascii="Arial"/>
          <w:sz w:val="21"/>
        </w:rPr>
      </w:pPr>
      <w:r>
        <w:pict>
          <v:shape id="_x0000_s26" style="position:absolute;margin-left:262.493pt;margin-top:0.522003pt;mso-position-vertical-relative:text;mso-position-horizontal-relative:text;width:0.5pt;height:9pt;z-index:-251657216;" filled="false" strokecolor="#231F20" strokeweight="0.50pt" coordsize="10,180" coordorigin="0,0" path="m5,0l5,180e">
            <v:stroke joinstyle="miter" miterlimit="4"/>
          </v:shape>
        </w:pict>
      </w: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pStyle w:val="BodyText"/>
        <w:ind w:left="3036"/>
        <w:spacing w:line="196" w:lineRule="auto"/>
        <w:rPr>
          <w:sz w:val="16"/>
          <w:szCs w:val="16"/>
        </w:rPr>
      </w:pPr>
      <w:r>
        <w:pict>
          <v:shape id="_x0000_s28" style="position:absolute;margin-left:377.159pt;margin-top:27.6001pt;mso-position-vertical-relative:text;mso-position-horizontal-relative:text;width:0.5pt;height:6.45pt;z-index:-251656192;" filled="false" strokecolor="#231F20" strokeweight="0.50pt" coordsize="10,128" coordorigin="0,0" path="m5,0l5,128e">
            <v:stroke joinstyle="miter" miterlimit="4"/>
          </v:shape>
        </w:pict>
      </w:r>
      <w:r>
        <w:pict>
          <v:shape id="_x0000_s30" style="position:absolute;margin-left:152.052pt;margin-top:27.9976pt;mso-position-vertical-relative:text;mso-position-horizontal-relative:text;width:0.5pt;height:6.45pt;z-index:-251654144;" filled="false" strokecolor="#231F20" strokeweight="0.50pt" coordsize="10,128" coordorigin="0,0" path="m5,0l5,128e">
            <v:stroke joinstyle="miter" miterlimit="4"/>
          </v:shape>
        </w:pict>
      </w:r>
      <w:r>
        <w:pict>
          <v:shape id="_x0000_s32" style="position:absolute;margin-left:379.739pt;margin-top:0.582822pt;mso-position-vertical-relative:text;mso-position-horizontal-relative:text;width:9.8pt;height:11.7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1901828</wp:posOffset>
            </wp:positionH>
            <wp:positionV relativeFrom="paragraph">
              <wp:posOffset>76810</wp:posOffset>
            </wp:positionV>
            <wp:extent cx="58470" cy="8032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70" cy="8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4760684</wp:posOffset>
            </wp:positionH>
            <wp:positionV relativeFrom="paragraph">
              <wp:posOffset>76810</wp:posOffset>
            </wp:positionV>
            <wp:extent cx="58470" cy="8032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70" cy="8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117.969pt;margin-top:12.2075pt;mso-position-vertical-relative:text;mso-position-horizontal-relative:text;width:70.35pt;height:16.7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56" w:type="dxa"/>
                    <w:tblInd w:w="25" w:type="dxa"/>
                    <w:shd w:val="clear" w:fill="E3EFF1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1356"/>
                  </w:tblGrid>
                  <w:tr>
                    <w:trPr>
                      <w:trHeight w:val="273" w:hRule="atLeast"/>
                    </w:trPr>
                    <w:tc>
                      <w:tcPr>
                        <w:shd w:val="clear" w:fill="E3EFF1"/>
                        <w:tcW w:w="1356" w:type="dxa"/>
                        <w:vAlign w:val="top"/>
                      </w:tcPr>
                      <w:p>
                        <w:pPr>
                          <w:pStyle w:val="TableText"/>
                          <w:ind w:left="356"/>
                          <w:spacing w:before="61" w:line="176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二级预防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4760684</wp:posOffset>
            </wp:positionH>
            <wp:positionV relativeFrom="paragraph">
              <wp:posOffset>408587</wp:posOffset>
            </wp:positionV>
            <wp:extent cx="58470" cy="8032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70" cy="8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position w:val="1"/>
        </w:rPr>
        <w:drawing>
          <wp:inline distT="0" distB="0" distL="0" distR="0">
            <wp:extent cx="6350" cy="9801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41"/>
          <w:w w:val="101"/>
        </w:rPr>
        <w:t xml:space="preserve"> </w:t>
      </w:r>
      <w:r>
        <w:rPr>
          <w:sz w:val="16"/>
          <w:szCs w:val="16"/>
          <w:color w:val="231F20"/>
        </w:rPr>
        <w:t>是                         </w:t>
      </w:r>
      <w:r>
        <w:rPr>
          <w:sz w:val="16"/>
          <w:szCs w:val="16"/>
          <w:color w:val="231F20"/>
          <w:spacing w:val="-1"/>
        </w:rPr>
        <w:t xml:space="preserve">                                                                  </w:t>
      </w:r>
      <w:r>
        <w:rPr>
          <w:sz w:val="16"/>
          <w:szCs w:val="16"/>
          <w:position w:val="1"/>
        </w:rPr>
        <w:drawing>
          <wp:inline distT="0" distB="0" distL="0" distR="0">
            <wp:extent cx="6350" cy="9801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" w:lineRule="exact"/>
        <w:rPr/>
      </w:pPr>
      <w:r/>
    </w:p>
    <w:tbl>
      <w:tblPr>
        <w:tblStyle w:val="TableNormal"/>
        <w:tblW w:w="1356" w:type="dxa"/>
        <w:tblInd w:w="6819" w:type="dxa"/>
        <w:shd w:val="clear" w:fill="E3EFF1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1356"/>
      </w:tblGrid>
      <w:tr>
        <w:trPr>
          <w:trHeight w:val="273" w:hRule="atLeast"/>
        </w:trPr>
        <w:tc>
          <w:tcPr>
            <w:shd w:val="clear" w:fill="E3EFF1"/>
            <w:tcW w:w="1356" w:type="dxa"/>
            <w:vAlign w:val="top"/>
          </w:tcPr>
          <w:p>
            <w:pPr>
              <w:pStyle w:val="TableText"/>
              <w:ind w:left="356"/>
              <w:spacing w:before="61" w:line="176" w:lineRule="auto"/>
              <w:rPr/>
            </w:pPr>
            <w:r>
              <w:rPr>
                <w:color w:val="231F20"/>
                <w:spacing w:val="-1"/>
              </w:rPr>
              <w:t>一级预防</w:t>
            </w:r>
          </w:p>
        </w:tc>
      </w:tr>
    </w:tbl>
    <w:p>
      <w:pPr>
        <w:ind w:firstLine="2995"/>
        <w:spacing w:before="94" w:line="126" w:lineRule="exact"/>
        <w:rPr/>
      </w:pPr>
      <w:r>
        <w:pict>
          <v:shape id="_x0000_s36" style="position:absolute;margin-left:255.19pt;margin-top:9.95593pt;mso-position-vertical-relative:text;mso-position-horizontal-relative:text;width:242.95pt;height:55.1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08" w:type="dxa"/>
                    <w:tblInd w:w="25" w:type="dxa"/>
                    <w:shd w:val="clear" w:fill="F7B471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4808"/>
                  </w:tblGrid>
                  <w:tr>
                    <w:trPr>
                      <w:trHeight w:val="1041" w:hRule="atLeast"/>
                    </w:trPr>
                    <w:tc>
                      <w:tcPr>
                        <w:shd w:val="clear" w:fill="F7B471"/>
                        <w:tcW w:w="4808" w:type="dxa"/>
                        <w:vAlign w:val="top"/>
                      </w:tcPr>
                      <w:p>
                        <w:pPr>
                          <w:pStyle w:val="TableText"/>
                          <w:ind w:left="59" w:right="55"/>
                          <w:spacing w:before="58" w:line="167" w:lineRule="auto"/>
                          <w:rPr/>
                        </w:pPr>
                        <w:r>
                          <w:rPr>
                            <w:color w:val="231F20"/>
                            <w:spacing w:val="13"/>
                          </w:rPr>
                          <w:t>符合下列任意条件者，可直接列为高危人群，无需进行</w:t>
                        </w:r>
                        <w:r>
                          <w:rPr>
                            <w:color w:val="231F20"/>
                            <w:spacing w:val="3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3"/>
                          </w:rPr>
                          <w:t>10 年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ASCVD 风险评估：</w:t>
                        </w:r>
                      </w:p>
                      <w:p>
                        <w:pPr>
                          <w:pStyle w:val="TableText"/>
                          <w:ind w:left="128"/>
                          <w:spacing w:line="16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（1）LDL-C</w:t>
                        </w:r>
                        <w:r>
                          <w:rPr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≥ 4.9 mmol/L 或 TC</w:t>
                        </w:r>
                        <w:r>
                          <w:rPr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≥ </w:t>
                        </w:r>
                        <w:r>
                          <w:rPr>
                            <w:color w:val="231F20"/>
                            <w:spacing w:val="-9"/>
                          </w:rPr>
                          <w:t>7.2 mmol/L；</w:t>
                        </w:r>
                      </w:p>
                      <w:p>
                        <w:pPr>
                          <w:pStyle w:val="TableText"/>
                          <w:ind w:left="128"/>
                          <w:spacing w:line="171" w:lineRule="auto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（2）糖尿病患者（年龄≥</w:t>
                        </w:r>
                        <w:r>
                          <w:rPr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40 岁</w:t>
                        </w:r>
                        <w:r>
                          <w:rPr>
                            <w:color w:val="231F20"/>
                          </w:rPr>
                          <w:t>）；</w:t>
                        </w:r>
                      </w:p>
                      <w:p>
                        <w:pPr>
                          <w:pStyle w:val="TableText"/>
                          <w:ind w:left="128"/>
                          <w:spacing w:line="172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（3）CKD 3~4 期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8" style="position:absolute;margin-left:283.679pt;margin-top:62.9381pt;mso-position-vertical-relative:text;mso-position-horizontal-relative:text;width:136.6pt;height:17.3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position w:val="-5"/>
                    </w:rPr>
                    <w:drawing>
                      <wp:inline distT="0" distB="0" distL="0" distR="0">
                        <wp:extent cx="58470" cy="179099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470" cy="179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  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不符合者，评估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10 年 ASCVD 风险</w:t>
                  </w:r>
                </w:p>
              </w:txbxContent>
            </v:textbox>
          </v:shape>
        </w:pict>
      </w:r>
      <w:r>
        <w:pict>
          <v:shape id="_x0000_s40" style="position:absolute;margin-left:255.19pt;margin-top:77.8199pt;mso-position-vertical-relative:text;mso-position-horizontal-relative:text;width:242.75pt;height:135.1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04" w:type="dxa"/>
                    <w:tblInd w:w="25" w:type="dxa"/>
                    <w:tblLayout w:type="fixed"/>
                    <w:tblBorders>
                      <w:top w:val="single" w:color="227A7E" w:sz="4" w:space="0"/>
                      <w:left w:val="single" w:color="227A7E" w:sz="4" w:space="0"/>
                      <w:bottom w:val="single" w:color="227A7E" w:sz="4" w:space="0"/>
                      <w:right w:val="single" w:color="227A7E" w:sz="4" w:space="0"/>
                      <w:insideH w:val="single" w:color="227A7E" w:sz="4" w:space="0"/>
                      <w:insideV w:val="single" w:color="227A7E" w:sz="4" w:space="0"/>
                    </w:tblBorders>
                  </w:tblPr>
                  <w:tblGrid>
                    <w:gridCol w:w="482"/>
                    <w:gridCol w:w="498"/>
                    <w:gridCol w:w="1273"/>
                    <w:gridCol w:w="1273"/>
                    <w:gridCol w:w="1278"/>
                  </w:tblGrid>
                  <w:tr>
                    <w:trPr>
                      <w:trHeight w:val="267" w:hRule="atLeast"/>
                    </w:trPr>
                    <w:tc>
                      <w:tcPr>
                        <w:tcW w:w="980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168" w:line="190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-2"/>
                          </w:rPr>
                          <w:t>危险因素 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2"/>
                            <w:position w:val="6"/>
                          </w:rPr>
                          <w:t>a</w:t>
                        </w:r>
                      </w:p>
                      <w:p>
                        <w:pPr>
                          <w:pStyle w:val="TableText"/>
                          <w:ind w:left="236"/>
                          <w:spacing w:line="171" w:lineRule="auto"/>
                          <w:rPr/>
                        </w:pPr>
                        <w:r>
                          <w:rPr>
                            <w:color w:val="231F20"/>
                            <w:spacing w:val="4"/>
                          </w:rPr>
                          <w:t>（个）</w:t>
                        </w:r>
                      </w:p>
                    </w:tc>
                    <w:tc>
                      <w:tcPr>
                        <w:tcW w:w="3824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791"/>
                          <w:spacing w:before="54" w:line="175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血清胆固醇水平分层（mmol/L）</w:t>
                        </w:r>
                      </w:p>
                    </w:tc>
                  </w:tr>
                  <w:tr>
                    <w:trPr>
                      <w:trHeight w:val="454" w:hRule="atLeast"/>
                    </w:trPr>
                    <w:tc>
                      <w:tcPr>
                        <w:tcW w:w="980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47" w:line="168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3.1</w:t>
                        </w:r>
                        <w:r>
                          <w:rPr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≤ TC&lt;4.1 或</w:t>
                        </w:r>
                      </w:p>
                      <w:p>
                        <w:pPr>
                          <w:pStyle w:val="TableText"/>
                          <w:ind w:left="65"/>
                          <w:spacing w:line="178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1.8 ≤</w:t>
                        </w:r>
                        <w:r>
                          <w:rPr>
                            <w:color w:val="231F2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LDL-C&lt;2.6</w:t>
                        </w:r>
                      </w:p>
                    </w:tc>
                    <w:tc>
                      <w:tcPr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47" w:line="168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4.1</w:t>
                        </w:r>
                        <w:r>
                          <w:rPr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≤ TC&lt;5.2 或</w:t>
                        </w:r>
                      </w:p>
                      <w:p>
                        <w:pPr>
                          <w:pStyle w:val="TableText"/>
                          <w:ind w:left="55"/>
                          <w:spacing w:line="178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2.6 ≤ LDL-C&lt;3.4</w:t>
                        </w:r>
                      </w:p>
                    </w:tc>
                    <w:tc>
                      <w:tcPr>
                        <w:tcW w:w="1278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7" w:line="168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5.2</w:t>
                        </w:r>
                        <w:r>
                          <w:rPr>
                            <w:color w:val="231F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≤ TC&lt;7.2 或</w:t>
                        </w:r>
                      </w:p>
                      <w:p>
                        <w:pPr>
                          <w:pStyle w:val="TableText"/>
                          <w:ind w:left="61"/>
                          <w:spacing w:line="178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3.4 ≤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LDL-C&lt;4.9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82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75"/>
                          <w:spacing w:before="229" w:line="174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无高</w:t>
                        </w:r>
                      </w:p>
                      <w:p>
                        <w:pPr>
                          <w:pStyle w:val="TableText"/>
                          <w:ind w:left="78"/>
                          <w:spacing w:line="169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血压</w:t>
                        </w:r>
                      </w:p>
                    </w:tc>
                    <w:tc>
                      <w:tcPr>
                        <w:tcW w:w="498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before="48" w:line="178" w:lineRule="auto"/>
                          <w:rPr/>
                        </w:pPr>
                        <w:r>
                          <w:rPr>
                            <w:color w:val="231F20"/>
                            <w:spacing w:val="-15"/>
                          </w:rPr>
                          <w:t>0~1</w:t>
                        </w:r>
                      </w:p>
                    </w:tc>
                    <w:tc>
                      <w:tcPr>
                        <w:shd w:val="clear" w:fill="E3EFF1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53" w:line="17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  <w:tc>
                      <w:tcPr>
                        <w:shd w:val="clear" w:fill="E3EFF1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53" w:line="17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  <w:tc>
                      <w:tcPr>
                        <w:shd w:val="clear" w:fill="E3EFF1"/>
                        <w:tcW w:w="1278" w:type="dxa"/>
                        <w:vAlign w:val="top"/>
                      </w:tcPr>
                      <w:p>
                        <w:pPr>
                          <w:pStyle w:val="TableText"/>
                          <w:ind w:left="168"/>
                          <w:spacing w:before="53" w:line="17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82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8" w:type="dxa"/>
                        <w:vAlign w:val="top"/>
                      </w:tcPr>
                      <w:p>
                        <w:pPr>
                          <w:pStyle w:val="TableText"/>
                          <w:ind w:left="204"/>
                          <w:spacing w:before="50" w:line="176" w:lineRule="auto"/>
                          <w:rPr/>
                        </w:pPr>
                        <w:r>
                          <w:rPr>
                            <w:color w:val="231F20"/>
                          </w:rPr>
                          <w:t>2</w:t>
                        </w:r>
                      </w:p>
                    </w:tc>
                    <w:tc>
                      <w:tcPr>
                        <w:shd w:val="clear" w:fill="E3EFF1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54" w:line="17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  <w:tc>
                      <w:tcPr>
                        <w:shd w:val="clear" w:fill="E3EFF1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54" w:line="17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  <w:tc>
                      <w:tcPr>
                        <w:shd w:val="clear" w:fill="F0E55C"/>
                        <w:tcW w:w="1278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54" w:line="173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中危（5%~9%）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82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8" w:type="dxa"/>
                        <w:vAlign w:val="top"/>
                      </w:tcPr>
                      <w:p>
                        <w:pPr>
                          <w:pStyle w:val="TableText"/>
                          <w:ind w:left="206"/>
                          <w:spacing w:before="51" w:line="175" w:lineRule="auto"/>
                          <w:rPr/>
                        </w:pPr>
                        <w:r>
                          <w:rPr>
                            <w:color w:val="231F20"/>
                          </w:rPr>
                          <w:t>3</w:t>
                        </w:r>
                      </w:p>
                    </w:tc>
                    <w:tc>
                      <w:tcPr>
                        <w:shd w:val="clear" w:fill="E3EFF1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56" w:line="171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  <w:tc>
                      <w:tcPr>
                        <w:shd w:val="clear" w:fill="F0E55C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56" w:line="171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中危（5%~9%）</w:t>
                        </w:r>
                      </w:p>
                    </w:tc>
                    <w:tc>
                      <w:tcPr>
                        <w:shd w:val="clear" w:fill="F0E55C"/>
                        <w:tcW w:w="1278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56" w:line="171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中危（5%~9%）</w:t>
                        </w:r>
                      </w:p>
                    </w:tc>
                  </w:tr>
                  <w:tr>
                    <w:trPr>
                      <w:trHeight w:val="263" w:hRule="atLeast"/>
                    </w:trPr>
                    <w:tc>
                      <w:tcPr>
                        <w:tcW w:w="482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6"/>
                          <w:spacing w:before="69" w:line="174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有高</w:t>
                        </w:r>
                      </w:p>
                      <w:p>
                        <w:pPr>
                          <w:pStyle w:val="TableText"/>
                          <w:ind w:left="77"/>
                          <w:spacing w:line="169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血压</w:t>
                        </w:r>
                      </w:p>
                    </w:tc>
                    <w:tc>
                      <w:tcPr>
                        <w:tcW w:w="498" w:type="dxa"/>
                        <w:vAlign w:val="top"/>
                      </w:tcPr>
                      <w:p>
                        <w:pPr>
                          <w:pStyle w:val="TableText"/>
                          <w:ind w:left="203"/>
                          <w:spacing w:before="52" w:line="175" w:lineRule="auto"/>
                          <w:rPr/>
                        </w:pPr>
                        <w:r>
                          <w:rPr>
                            <w:color w:val="231F20"/>
                          </w:rPr>
                          <w:t>0</w:t>
                        </w:r>
                      </w:p>
                    </w:tc>
                    <w:tc>
                      <w:tcPr>
                        <w:shd w:val="clear" w:fill="E3EFF1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57" w:line="171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  <w:tc>
                      <w:tcPr>
                        <w:shd w:val="clear" w:fill="E3EFF1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57" w:line="171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  <w:tc>
                      <w:tcPr>
                        <w:shd w:val="clear" w:fill="E3EFF1"/>
                        <w:tcW w:w="1278" w:type="dxa"/>
                        <w:vAlign w:val="top"/>
                      </w:tcPr>
                      <w:p>
                        <w:pPr>
                          <w:pStyle w:val="TableText"/>
                          <w:ind w:left="167"/>
                          <w:spacing w:before="57" w:line="171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</w:tr>
                  <w:tr>
                    <w:trPr>
                      <w:trHeight w:val="263" w:hRule="atLeast"/>
                    </w:trPr>
                    <w:tc>
                      <w:tcPr>
                        <w:tcW w:w="482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8" w:type="dxa"/>
                        <w:vAlign w:val="top"/>
                      </w:tcPr>
                      <w:p>
                        <w:pPr>
                          <w:pStyle w:val="TableText"/>
                          <w:ind w:left="217"/>
                          <w:spacing w:before="53" w:line="174" w:lineRule="auto"/>
                          <w:rPr/>
                        </w:pPr>
                        <w:r>
                          <w:rPr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E3EFF1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57" w:line="171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低危（&lt;5%）</w:t>
                        </w:r>
                      </w:p>
                    </w:tc>
                    <w:tc>
                      <w:tcPr>
                        <w:shd w:val="clear" w:fill="F0E55C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57" w:line="171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中危（5%~9%）</w:t>
                        </w:r>
                      </w:p>
                    </w:tc>
                    <w:tc>
                      <w:tcPr>
                        <w:shd w:val="clear" w:fill="F0E55C"/>
                        <w:tcW w:w="1278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57" w:line="171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中危（5%~9%）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82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8" w:type="dxa"/>
                        <w:vAlign w:val="top"/>
                      </w:tcPr>
                      <w:p>
                        <w:pPr>
                          <w:pStyle w:val="TableText"/>
                          <w:ind w:left="203"/>
                          <w:spacing w:before="54" w:line="173" w:lineRule="auto"/>
                          <w:rPr/>
                        </w:pPr>
                        <w:r>
                          <w:rPr>
                            <w:color w:val="231F20"/>
                          </w:rPr>
                          <w:t>2</w:t>
                        </w:r>
                      </w:p>
                    </w:tc>
                    <w:tc>
                      <w:tcPr>
                        <w:shd w:val="clear" w:fill="F0E55C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58" w:line="169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中危（5%~9%）</w:t>
                        </w:r>
                      </w:p>
                    </w:tc>
                    <w:tc>
                      <w:tcPr>
                        <w:shd w:val="clear" w:fill="D1232A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54" w:line="173" w:lineRule="auto"/>
                          <w:rPr/>
                        </w:pPr>
                        <w:r>
                          <w:rPr>
                            <w:color w:val="231F20"/>
                            <w:spacing w:val="13"/>
                          </w:rPr>
                          <w:t>高危(≥ 10%）</w:t>
                        </w:r>
                      </w:p>
                    </w:tc>
                    <w:tc>
                      <w:tcPr>
                        <w:shd w:val="clear" w:fill="D1232A"/>
                        <w:tcW w:w="1278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54" w:line="173" w:lineRule="auto"/>
                          <w:rPr/>
                        </w:pPr>
                        <w:r>
                          <w:rPr>
                            <w:color w:val="231F20"/>
                            <w:spacing w:val="13"/>
                          </w:rPr>
                          <w:t>高危(≥ 10%）</w:t>
                        </w:r>
                      </w:p>
                    </w:tc>
                  </w:tr>
                  <w:tr>
                    <w:trPr>
                      <w:trHeight w:val="267" w:hRule="atLeast"/>
                    </w:trPr>
                    <w:tc>
                      <w:tcPr>
                        <w:tcW w:w="482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8" w:type="dxa"/>
                        <w:vAlign w:val="top"/>
                      </w:tcPr>
                      <w:p>
                        <w:pPr>
                          <w:pStyle w:val="TableText"/>
                          <w:ind w:left="206"/>
                          <w:spacing w:before="55" w:line="176" w:lineRule="auto"/>
                          <w:rPr/>
                        </w:pPr>
                        <w:r>
                          <w:rPr>
                            <w:color w:val="231F20"/>
                          </w:rPr>
                          <w:t>3</w:t>
                        </w:r>
                      </w:p>
                    </w:tc>
                    <w:tc>
                      <w:tcPr>
                        <w:shd w:val="clear" w:fill="D1232A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before="55" w:line="176" w:lineRule="auto"/>
                          <w:rPr/>
                        </w:pPr>
                        <w:r>
                          <w:rPr>
                            <w:color w:val="231F20"/>
                            <w:spacing w:val="13"/>
                          </w:rPr>
                          <w:t>高危(≥ 10%）</w:t>
                        </w:r>
                      </w:p>
                    </w:tc>
                    <w:tc>
                      <w:tcPr>
                        <w:shd w:val="clear" w:fill="D1232A"/>
                        <w:tcW w:w="1273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55" w:line="176" w:lineRule="auto"/>
                          <w:rPr/>
                        </w:pPr>
                        <w:r>
                          <w:rPr>
                            <w:color w:val="231F20"/>
                            <w:spacing w:val="13"/>
                          </w:rPr>
                          <w:t>高危(≥ 10%）</w:t>
                        </w:r>
                      </w:p>
                    </w:tc>
                    <w:tc>
                      <w:tcPr>
                        <w:shd w:val="clear" w:fill="D1232A"/>
                        <w:tcW w:w="1278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55" w:line="176" w:lineRule="auto"/>
                          <w:rPr/>
                        </w:pPr>
                        <w:r>
                          <w:rPr>
                            <w:color w:val="231F20"/>
                            <w:spacing w:val="13"/>
                          </w:rPr>
                          <w:t>高危(≥ 10%）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2"/>
        </w:rPr>
        <w:drawing>
          <wp:inline distT="0" distB="0" distL="0" distR="0">
            <wp:extent cx="58470" cy="8004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70" cy="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751" w:type="dxa"/>
        <w:tblInd w:w="1208" w:type="dxa"/>
        <w:shd w:val="clear" w:fill="F7B471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751"/>
      </w:tblGrid>
      <w:tr>
        <w:trPr>
          <w:trHeight w:val="4012" w:hRule="atLeast"/>
        </w:trPr>
        <w:tc>
          <w:tcPr>
            <w:shd w:val="clear" w:fill="F7B471"/>
            <w:tcW w:w="3751" w:type="dxa"/>
            <w:vAlign w:val="top"/>
          </w:tcPr>
          <w:p>
            <w:pPr>
              <w:pStyle w:val="TableText"/>
              <w:ind w:left="73" w:right="75" w:hanging="14"/>
              <w:spacing w:before="55" w:line="195" w:lineRule="auto"/>
              <w:rPr/>
            </w:pPr>
            <w:r>
              <w:rPr>
                <w:color w:val="231F20"/>
                <w:spacing w:val="-3"/>
              </w:rPr>
              <w:t>超高危：发生过≥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2 次严重 ASCVD 事件；或发</w:t>
            </w:r>
            <w:r>
              <w:rPr>
                <w:color w:val="231F20"/>
                <w:spacing w:val="-4"/>
              </w:rPr>
              <w:t>生过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1 次严重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9"/>
              </w:rPr>
              <w:t>ASCVD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9"/>
              </w:rPr>
              <w:t>事件，且合并≥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9"/>
              </w:rPr>
              <w:t>2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9"/>
              </w:rPr>
              <w:t>个高危因素</w:t>
            </w:r>
          </w:p>
          <w:sdt>
            <w:sdtPr>
              <w:rPr>
                <w:rFonts w:ascii="Microsoft YaHei" w:hAnsi="Microsoft YaHei" w:eastAsia="Microsoft YaHei" w:cs="Microsoft YaHei"/>
                <w:sz w:val="16"/>
                <w:szCs w:val="16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Microsoft YaHei" w:hAnsi="Microsoft YaHei" w:eastAsia="Microsoft YaHei" w:cs="Microsoft YaHei"/>
                <w:sz w:val="16"/>
                <w:szCs w:val="16"/>
              </w:rPr>
            </w:sdtEndPr>
            <w:sdtContent>
              <w:p>
                <w:pPr>
                  <w:pStyle w:val="TableText"/>
                  <w:ind w:left="137"/>
                  <w:spacing w:before="217" w:line="180" w:lineRule="auto"/>
                  <w:rPr/>
                </w:pPr>
                <w:hyperlink w:history="true" w:anchor="bookmark2">
                  <w:r>
                    <w:rPr>
                      <w:color w:val="231F20"/>
                      <w:spacing w:val="-7"/>
                    </w:rPr>
                    <w:t>严重 ASCVD 事件：</w:t>
                  </w:r>
                </w:hyperlink>
              </w:p>
              <w:p>
                <w:pPr>
                  <w:pStyle w:val="TableText"/>
                  <w:spacing w:before="11" w:line="192" w:lineRule="auto"/>
                  <w:jc w:val="right"/>
                  <w:rPr/>
                </w:pPr>
                <w:hyperlink w:history="true" w:anchor="bookmark3">
                  <w:r>
                    <w:rPr>
                      <w:color w:val="231F20"/>
                      <w:spacing w:val="-6"/>
                    </w:rPr>
                    <w:t>（1）近期急性冠脉综合征病史（&lt;1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年</w:t>
                  </w:r>
                  <w:r>
                    <w:rPr>
                      <w:color w:val="231F20"/>
                      <w:spacing w:val="-18"/>
                    </w:rPr>
                    <w:t>）；（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2）</w:t>
                  </w:r>
                </w:hyperlink>
              </w:p>
              <w:p>
                <w:pPr>
                  <w:pStyle w:val="TableText"/>
                  <w:ind w:left="393"/>
                  <w:spacing w:line="192" w:lineRule="auto"/>
                  <w:rPr/>
                </w:pPr>
                <w:hyperlink w:history="true" w:anchor="bookmark4">
                  <w:r>
                    <w:rPr>
                      <w:color w:val="231F20"/>
                      <w:spacing w:val="1"/>
                    </w:rPr>
                    <w:t>既往心肌梗死病史［上述（1）除外</w:t>
                  </w:r>
                  <w:r>
                    <w:rPr>
                      <w:color w:val="231F20"/>
                      <w:spacing w:val="-14"/>
                    </w:rPr>
                    <w:t>］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14"/>
                    </w:rPr>
                    <w:t>；（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3）</w:t>
                  </w:r>
                </w:hyperlink>
              </w:p>
            </w:sdtContent>
          </w:sdt>
          <w:p>
            <w:pPr>
              <w:pStyle w:val="TableText"/>
              <w:ind w:left="389"/>
              <w:spacing w:line="193" w:lineRule="auto"/>
              <w:rPr/>
            </w:pPr>
            <w:r>
              <w:rPr>
                <w:color w:val="231F20"/>
                <w:spacing w:val="-3"/>
              </w:rPr>
              <w:t>缺血性卒中史</w:t>
            </w:r>
            <w:r>
              <w:rPr>
                <w:color w:val="231F20"/>
                <w:spacing w:val="5"/>
              </w:rPr>
              <w:t>；（</w:t>
            </w:r>
            <w:r>
              <w:rPr>
                <w:color w:val="231F20"/>
                <w:spacing w:val="-3"/>
              </w:rPr>
              <w:t>4）有症状的外周血管疾病，</w:t>
            </w:r>
          </w:p>
          <w:p>
            <w:pPr>
              <w:pStyle w:val="TableText"/>
              <w:ind w:left="141" w:right="1435" w:firstLine="251"/>
              <w:spacing w:before="1" w:line="191" w:lineRule="auto"/>
              <w:rPr/>
            </w:pPr>
            <w:r>
              <w:rPr>
                <w:color w:val="231F20"/>
                <w:spacing w:val="-1"/>
              </w:rPr>
              <w:t>既往接受过血运重建或截肢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高危险因素：</w:t>
            </w:r>
          </w:p>
          <w:p>
            <w:pPr>
              <w:pStyle w:val="TableText"/>
              <w:ind w:left="387" w:hanging="9"/>
              <w:spacing w:before="4" w:line="194" w:lineRule="auto"/>
              <w:jc w:val="both"/>
              <w:rPr/>
            </w:pPr>
            <w:r>
              <w:rPr>
                <w:color w:val="231F20"/>
                <w:spacing w:val="-7"/>
              </w:rPr>
              <w:t>（1）LDL-C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≤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1.8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mmol/L，再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次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发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7"/>
              </w:rPr>
              <w:t>生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严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重 的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8"/>
              </w:rPr>
              <w:t>ASCVD 事件</w:t>
            </w:r>
            <w:r>
              <w:rPr>
                <w:color w:val="231F20"/>
                <w:spacing w:val="-7"/>
              </w:rPr>
              <w:t>；（</w:t>
            </w:r>
            <w:r>
              <w:rPr>
                <w:color w:val="231F20"/>
                <w:spacing w:val="-8"/>
              </w:rPr>
              <w:t>2）早发冠心病（男性 &lt;55 岁，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女性 &lt;65 岁</w:t>
            </w:r>
            <w:r>
              <w:rPr>
                <w:color w:val="231F20"/>
                <w:spacing w:val="-24"/>
              </w:rPr>
              <w:t>）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4"/>
              </w:rPr>
              <w:t>；（</w:t>
            </w:r>
            <w:r>
              <w:rPr>
                <w:color w:val="231F20"/>
                <w:spacing w:val="4"/>
              </w:rPr>
              <w:t>3）家族性高胆固醇血症或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基线 LDL-C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≥ 4.9 mmol/L</w:t>
            </w:r>
            <w:r>
              <w:rPr>
                <w:color w:val="231F20"/>
                <w:spacing w:val="-12"/>
              </w:rPr>
              <w:t>；（</w:t>
            </w:r>
            <w:r>
              <w:rPr>
                <w:color w:val="231F20"/>
                <w:spacing w:val="-6"/>
              </w:rPr>
              <w:t>4）既往有 CABG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8"/>
              </w:rPr>
              <w:t>或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8"/>
              </w:rPr>
              <w:t>PCI 治疗史</w:t>
            </w:r>
            <w:r>
              <w:rPr>
                <w:color w:val="231F20"/>
                <w:spacing w:val="-25"/>
              </w:rPr>
              <w:t>；（</w:t>
            </w:r>
            <w:r>
              <w:rPr>
                <w:color w:val="231F20"/>
                <w:spacing w:val="-8"/>
              </w:rPr>
              <w:t>5）糖尿病</w:t>
            </w:r>
            <w:r>
              <w:rPr>
                <w:color w:val="231F20"/>
                <w:spacing w:val="-25"/>
              </w:rPr>
              <w:t>；（</w:t>
            </w:r>
            <w:r>
              <w:rPr>
                <w:color w:val="231F20"/>
                <w:spacing w:val="-8"/>
              </w:rPr>
              <w:t>6）高血压</w:t>
            </w:r>
            <w:r>
              <w:rPr>
                <w:color w:val="231F20"/>
                <w:spacing w:val="-25"/>
              </w:rPr>
              <w:t>；（</w:t>
            </w:r>
            <w:r>
              <w:rPr>
                <w:color w:val="231F20"/>
                <w:spacing w:val="-8"/>
              </w:rPr>
              <w:t>7）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CKD 3~4 期</w:t>
            </w:r>
            <w:r>
              <w:rPr>
                <w:color w:val="231F20"/>
              </w:rPr>
              <w:t>；（</w:t>
            </w:r>
            <w:r>
              <w:rPr>
                <w:color w:val="231F20"/>
                <w:spacing w:val="-9"/>
              </w:rPr>
              <w:t>8）吸烟</w:t>
            </w:r>
          </w:p>
          <w:p>
            <w:pPr>
              <w:pStyle w:val="TableText"/>
              <w:ind w:left="59"/>
              <w:spacing w:before="180" w:line="180" w:lineRule="auto"/>
              <w:rPr/>
            </w:pPr>
            <w:r>
              <w:rPr>
                <w:color w:val="231F20"/>
                <w:spacing w:val="-3"/>
              </w:rPr>
              <w:t>极高危：不符合超高危标准的其他 ASCVD 患者</w:t>
            </w:r>
          </w:p>
        </w:tc>
      </w:tr>
    </w:tbl>
    <w:p>
      <w:pPr>
        <w:pStyle w:val="BodyText"/>
        <w:ind w:left="559" w:right="126" w:firstLine="400"/>
        <w:spacing w:before="49" w:line="20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注：ASCVD= 动脉粥样硬化性心血管疾病，TC= 总胆固醇，LDL-C=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6"/>
        </w:rPr>
        <w:t>低密度脂蛋白胆固醇，CKD</w:t>
      </w:r>
      <w:r>
        <w:rPr>
          <w:sz w:val="16"/>
          <w:szCs w:val="16"/>
          <w:color w:val="231F20"/>
          <w:spacing w:val="-7"/>
        </w:rPr>
        <w:t>=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7"/>
        </w:rPr>
        <w:t>慢性肾脏病，CABG= 冠状动脉旁路移植术，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PCI=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7"/>
        </w:rPr>
        <w:t>经皮冠状动脉介入治疗；</w:t>
      </w:r>
      <w:r>
        <w:rPr>
          <w:sz w:val="9"/>
          <w:szCs w:val="9"/>
          <w:color w:val="231F20"/>
          <w:spacing w:val="-7"/>
          <w:position w:val="7"/>
        </w:rPr>
        <w:t>a </w:t>
      </w:r>
      <w:r>
        <w:rPr>
          <w:sz w:val="16"/>
          <w:szCs w:val="16"/>
          <w:color w:val="231F20"/>
          <w:spacing w:val="-7"/>
        </w:rPr>
        <w:t>表示危险因素的水平均为干预前水平，包括吸烟、低高密度脂蛋白胆固醇（HDL-C）、年龄≥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7"/>
        </w:rPr>
        <w:t>45/55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6"/>
          <w:w w:val="90"/>
        </w:rPr>
        <w:t>岁（男性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6"/>
          <w:w w:val="90"/>
        </w:rPr>
        <w:t>/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6"/>
          <w:w w:val="90"/>
        </w:rPr>
        <w:t>女性</w:t>
      </w:r>
      <w:r>
        <w:rPr>
          <w:sz w:val="16"/>
          <w:szCs w:val="16"/>
          <w:color w:val="231F20"/>
          <w:spacing w:val="-9"/>
        </w:rPr>
        <w:t>）；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&lt;40 岁糖尿病患者危险分层见“特定人群的血脂管理”糖尿病患者部分。</w:t>
      </w:r>
    </w:p>
    <w:p>
      <w:pPr>
        <w:pStyle w:val="BodyText"/>
        <w:ind w:left="3961"/>
        <w:spacing w:before="7" w:line="181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    </w:t>
      </w:r>
      <w:r>
        <w:rPr>
          <w:sz w:val="16"/>
          <w:szCs w:val="16"/>
          <w:color w:val="231F20"/>
          <w:spacing w:val="-3"/>
        </w:rPr>
        <w:t>中国成年人 ASCVD 总体</w:t>
      </w:r>
      <w:r>
        <w:rPr>
          <w:sz w:val="16"/>
          <w:szCs w:val="16"/>
          <w:color w:val="231F20"/>
          <w:spacing w:val="-4"/>
        </w:rPr>
        <w:t>风险评估流程图</w:t>
      </w:r>
    </w:p>
    <w:p>
      <w:pPr>
        <w:pStyle w:val="BodyText"/>
        <w:ind w:left="3350"/>
        <w:spacing w:before="10" w:line="195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1    </w:t>
      </w:r>
      <w:r>
        <w:rPr>
          <w:sz w:val="16"/>
          <w:szCs w:val="16"/>
          <w:color w:val="231F20"/>
          <w:spacing w:val="-11"/>
        </w:rPr>
        <w:t>The risk assessment flow chart of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1"/>
        </w:rPr>
        <w:t>ASCVD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1"/>
        </w:rPr>
        <w:t>in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11"/>
        </w:rPr>
        <w:t>Chinese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1"/>
        </w:rPr>
        <w:t>adults</w:t>
      </w:r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9"/>
          <w:pgSz w:w="11963" w:h="16158"/>
          <w:pgMar w:top="1253" w:right="785" w:bottom="0" w:left="407" w:header="870" w:footer="0" w:gutter="0"/>
          <w:cols w:equalWidth="0" w:num="1">
            <w:col w:w="10769" w:space="0"/>
          </w:cols>
        </w:sectPr>
        <w:rPr/>
      </w:pPr>
    </w:p>
    <w:p>
      <w:pPr>
        <w:ind w:left="558"/>
        <w:spacing w:before="46"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3.4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降脂治疗的策略</w:t>
      </w:r>
    </w:p>
    <w:p>
      <w:pPr>
        <w:pStyle w:val="BodyText"/>
        <w:ind w:left="967"/>
        <w:spacing w:before="48" w:line="18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降脂治疗包括生活方式干预和药物治疗。</w:t>
      </w:r>
    </w:p>
    <w:p>
      <w:pPr>
        <w:pStyle w:val="BodyText"/>
        <w:ind w:left="557" w:right="300" w:firstLine="400"/>
        <w:spacing w:before="47" w:line="211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首先推荐健康生活方式，包括合理膳食、适度增加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身体活动、控制体质量、戒烟和限制饮酒等。其中合理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膳食对血脂影响较大，主要是限制饱和脂肪酸及反式脂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肪酸的摄入，增加蔬菜和水果、全谷物、膳食纤维及鱼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类的摄入。对 ASCVD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中危以上人群或合并高胆固醇血 </w:t>
      </w:r>
      <w:r>
        <w:rPr>
          <w:sz w:val="20"/>
          <w:szCs w:val="20"/>
          <w:color w:val="231F20"/>
        </w:rPr>
        <w:t>症患者，应特别强调减少膳食胆固醇的摄入，每天膳食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胆固醇摄入量应在 300 mg 以下</w:t>
      </w:r>
      <w:r>
        <w:rPr>
          <w:sz w:val="11"/>
          <w:szCs w:val="11"/>
          <w:color w:val="231F20"/>
          <w:spacing w:val="-5"/>
          <w:position w:val="8"/>
        </w:rPr>
        <w:t>［11-13］</w:t>
      </w:r>
      <w:r>
        <w:rPr>
          <w:sz w:val="20"/>
          <w:szCs w:val="20"/>
          <w:color w:val="231F20"/>
          <w:spacing w:val="-5"/>
          <w:position w:val="-1"/>
        </w:rPr>
        <w:t>。血脂管理膳食治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4"/>
        </w:rPr>
        <w:t>疗建议如下。</w:t>
      </w:r>
    </w:p>
    <w:p>
      <w:pPr>
        <w:pStyle w:val="BodyText"/>
        <w:ind w:firstLine="555"/>
        <w:spacing w:before="197" w:line="1941" w:lineRule="exact"/>
        <w:rPr/>
      </w:pPr>
      <w:r>
        <w:rPr>
          <w:position w:val="-38"/>
        </w:rPr>
        <w:pict>
          <v:group id="_x0000_s42" style="mso-position-vertical-relative:line;mso-position-horizontal-relative:char;width:240.95pt;height:97.05pt;" filled="false" stroked="false" coordsize="4818,1941" coordorigin="0,0">
            <v:rect id="_x0000_s44" style="position:absolute;left:0;top:7;width:4818;height:1933;" fillcolor="#C0D8DC" filled="true" stroked="false"/>
            <v:shape id="_x0000_s46" style="position:absolute;left:38;top:36;width:4742;height:18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80"/>
                      <w:spacing w:before="19" w:line="24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231F20"/>
                        <w:spacing w:val="-1"/>
                      </w:rPr>
                      <w:t>血脂管理膳食治疗建议</w:t>
                    </w:r>
                  </w:p>
                  <w:p>
                    <w:pPr>
                      <w:ind w:left="20" w:right="23" w:firstLine="14"/>
                      <w:spacing w:before="65" w:line="185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5"/>
                      </w:rPr>
                      <w:t>1. 限制油脂摄入总量，20~25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5"/>
                      </w:rPr>
                      <w:t>g/d。采用不饱和脂肪酸（植物油）替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代饱和脂肪酸（动物油、棕榈油等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4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4"/>
                        <w:position w:val="6"/>
                      </w:rPr>
                      <w:t>［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position w:val="6"/>
                      </w:rPr>
                      <w:t>14］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。</w:t>
                    </w:r>
                  </w:p>
                  <w:p>
                    <w:pPr>
                      <w:ind w:left="22"/>
                      <w:spacing w:before="77" w:line="218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2. 避免摄入反式脂肪酸（氢化植物油等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4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4"/>
                        <w:position w:val="6"/>
                      </w:rPr>
                      <w:t>［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1"/>
                        <w:position w:val="6"/>
                      </w:rPr>
                      <w:t>14］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。</w:t>
                    </w:r>
                  </w:p>
                  <w:p>
                    <w:pPr>
                      <w:ind w:left="24"/>
                      <w:spacing w:before="70" w:line="205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</w:rPr>
                      <w:t>3. 增加蔬菜和水果、全谷物、膳食纤维及鱼类的摄入。</w:t>
                    </w:r>
                  </w:p>
                  <w:p>
                    <w:pPr>
                      <w:ind w:left="20" w:right="20"/>
                      <w:spacing w:before="65" w:line="186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4.ASCVD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中危以上人群或合并高胆固醇血症患者应控制膳食胆固醇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  <w:position w:val="-1"/>
                      </w:rPr>
                      <w:t>摄入，每日少于 300 mg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2"/>
                        <w:position w:val="6"/>
                      </w:rPr>
                      <w:t>［11-13］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2"/>
                        <w:position w:val="-1"/>
                      </w:rPr>
                      <w:t>。</w:t>
                    </w:r>
                  </w:p>
                </w:txbxContent>
              </v:textbox>
            </v:shape>
            <v:shape id="_x0000_s48" style="position:absolute;left:0;top:0;width:4818;height:15;" filled="false" strokecolor="#007A7E" strokeweight="0.75pt" coordsize="4818,15" coordorigin="0,0" path="m0,7l4818,7e">
              <v:stroke joinstyle="miter" miterlimit="10"/>
            </v:shape>
          </v:group>
        </w:pic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59" w:right="299" w:firstLine="398"/>
        <w:spacing w:before="86" w:line="207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"/>
        </w:rPr>
        <w:t>在无 ASCVD 的人群中，当生活方式干预 3 个月后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9"/>
        </w:rPr>
        <w:t>不能达到降脂目标时，应考虑加用降脂药物。他汀类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药物是降胆固醇治疗的基础，推荐起始使用常规</w:t>
      </w:r>
      <w:r>
        <w:rPr>
          <w:sz w:val="20"/>
          <w:szCs w:val="20"/>
          <w:color w:val="231F20"/>
          <w:spacing w:val="8"/>
        </w:rPr>
        <w:t>剂量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或中等强度他汀类药物。当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4"/>
        </w:rPr>
        <w:t>-C 不能达标时，可联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10"/>
        </w:rPr>
        <w:t>合使用非他汀类降脂药物，如胆固醇吸收抑制剂</w:t>
      </w:r>
      <w:r>
        <w:rPr>
          <w:sz w:val="11"/>
          <w:szCs w:val="11"/>
          <w:color w:val="231F20"/>
          <w:spacing w:val="10"/>
          <w:position w:val="8"/>
        </w:rPr>
        <w:t>［15］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78"/>
        <w:spacing w:before="51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3"/>
        </w:rPr>
        <w:t>或 / 和前蛋白转化酶枯草溶菌素 9（proprotein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3"/>
        </w:rPr>
        <w:t>convertase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subtilisin/kexin type 9，PCSK9）抑制剂</w:t>
      </w:r>
      <w:r>
        <w:rPr>
          <w:sz w:val="11"/>
          <w:szCs w:val="11"/>
          <w:color w:val="231F20"/>
          <w:spacing w:val="3"/>
          <w:position w:val="9"/>
        </w:rPr>
        <w:t>［10］</w:t>
      </w:r>
      <w:r>
        <w:rPr>
          <w:sz w:val="20"/>
          <w:szCs w:val="20"/>
          <w:color w:val="231F20"/>
          <w:spacing w:val="3"/>
        </w:rPr>
        <w:t>。</w:t>
      </w:r>
    </w:p>
    <w:p>
      <w:pPr>
        <w:pStyle w:val="BodyText"/>
        <w:ind w:right="178" w:firstLine="396"/>
        <w:spacing w:before="36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对于 ASCVD 超高危患者，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3"/>
        </w:rPr>
        <w:t>当基线 </w:t>
      </w:r>
      <w:r>
        <w:rPr>
          <w:sz w:val="20"/>
          <w:szCs w:val="20"/>
          <w:color w:val="231F20"/>
          <w:spacing w:val="-4"/>
        </w:rPr>
        <w:t>LDL-C 较高（未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使用他汀类药物患者 LDL-C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</w:rPr>
        <w:t>≥ 4.9 mmol/L，或服用他 </w:t>
      </w:r>
      <w:r>
        <w:rPr>
          <w:sz w:val="20"/>
          <w:szCs w:val="20"/>
          <w:color w:val="231F20"/>
          <w:spacing w:val="2"/>
        </w:rPr>
        <w:t>汀类药物患者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2"/>
        </w:rPr>
        <w:t>-C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≥ 2.6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2"/>
        </w:rPr>
        <w:t>/L</w:t>
      </w:r>
      <w:r>
        <w:rPr>
          <w:sz w:val="20"/>
          <w:szCs w:val="20"/>
          <w:color w:val="231F20"/>
          <w:spacing w:val="-24"/>
        </w:rPr>
        <w:t>），</w:t>
      </w:r>
      <w:r>
        <w:rPr>
          <w:sz w:val="20"/>
          <w:szCs w:val="20"/>
          <w:color w:val="231F20"/>
          <w:spacing w:val="2"/>
        </w:rPr>
        <w:t>预计他汀类药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物联合胆固醇吸收抑制剂不能使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4"/>
        </w:rPr>
        <w:t>-C 达标时，可考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3"/>
        </w:rPr>
        <w:t>虑直接联用他汀类药物和 </w:t>
      </w:r>
      <w:r>
        <w:rPr>
          <w:sz w:val="20"/>
          <w:szCs w:val="20"/>
          <w:color w:val="231F20"/>
        </w:rPr>
        <w:t>PCSK</w:t>
      </w:r>
      <w:r>
        <w:rPr>
          <w:sz w:val="20"/>
          <w:szCs w:val="20"/>
          <w:color w:val="231F20"/>
          <w:spacing w:val="3"/>
        </w:rPr>
        <w:t>9 抑制剂，以保证患者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3"/>
        </w:rPr>
        <w:t>LDL-C 早期达标。</w:t>
      </w:r>
    </w:p>
    <w:p>
      <w:pPr>
        <w:pStyle w:val="BodyText"/>
        <w:ind w:left="408"/>
        <w:spacing w:before="1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降脂策略流程见图 2。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>
        <w:pict>
          <v:shape id="_x0000_s50" style="position:absolute;margin-left:56.9944pt;margin-top:0.872055pt;mso-position-vertical-relative:text;mso-position-horizontal-relative:text;width:126.6pt;height:12.3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根据 ASCVD 危险分层确定目标水平</w:t>
                  </w:r>
                </w:p>
              </w:txbxContent>
            </v:textbox>
          </v:shape>
        </w:pict>
      </w:r>
      <w:r/>
    </w:p>
    <w:p>
      <w:pPr>
        <w:ind w:left="2369"/>
        <w:spacing w:before="1" w:line="184" w:lineRule="exact"/>
        <w:rPr/>
      </w:pPr>
      <w:r>
        <w:pict>
          <v:shape id="_x0000_s52" style="position:absolute;margin-left:41.7534pt;margin-top:9.46413pt;mso-position-vertical-relative:text;mso-position-horizontal-relative:text;width:0.5pt;height:6.45pt;z-index:251671552;" filled="false" strokecolor="#231F20" strokeweight="0.50pt" coordsize="10,128" coordorigin="0,0" path="m5,0l5,128e">
            <v:stroke joinstyle="miter" miterlimit="4"/>
          </v:shape>
        </w:pict>
      </w:r>
      <w:r>
        <w:pict>
          <v:shape id="_x0000_s54" style="position:absolute;margin-left:199.076pt;margin-top:9.46413pt;mso-position-vertical-relative:text;mso-position-horizontal-relative:text;width:0.5pt;height:6.45pt;z-index:251672576;" filled="false" strokecolor="#231F20" strokeweight="0.50pt" coordsize="10,128" coordorigin="0,0" path="m5,0l5,128e">
            <v:stroke joinstyle="miter" miterlimit="4"/>
          </v:shape>
        </w:pic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85255</wp:posOffset>
            </wp:positionH>
            <wp:positionV relativeFrom="paragraph">
              <wp:posOffset>-185378</wp:posOffset>
            </wp:positionV>
            <wp:extent cx="2885388" cy="213749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5388" cy="2137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6350" cy="11700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>
        <w:pict>
          <v:shape id="_x0000_s56" style="position:absolute;margin-left:41.7534pt;margin-top:12.2603pt;mso-position-vertical-relative:text;mso-position-horizontal-relative:text;width:0.5pt;height:10.8pt;z-index:251669504;" filled="false" strokecolor="#231F20" strokeweight="0.50pt" coordsize="10,216" coordorigin="0,0" path="m5,0l5,215e">
            <v:stroke joinstyle="miter" miterlimit="4"/>
          </v:shape>
        </w:pict>
      </w:r>
      <w:r>
        <w:pict>
          <v:shape id="_x0000_s58" style="position:absolute;margin-left:199.076pt;margin-top:12.2603pt;mso-position-vertical-relative:text;mso-position-horizontal-relative:text;width:0.5pt;height:10.8pt;z-index:251670528;" filled="false" strokecolor="#231F20" strokeweight="0.50pt" coordsize="10,216" coordorigin="0,0" path="m5,0l5,215e">
            <v:stroke joinstyle="miter" miterlimit="4"/>
          </v:shape>
        </w:pict>
      </w:r>
      <w:r>
        <w:pict>
          <v:shape id="_x0000_s60" style="position:absolute;margin-left:25.1759pt;margin-top:0.11676pt;mso-position-vertical-relative:text;mso-position-horizontal-relative:text;width:194.15pt;height:12.3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低、中危 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      高危及以上</w:t>
                  </w:r>
                </w:p>
              </w:txbxContent>
            </v:textbox>
          </v:shape>
        </w:pict>
      </w: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>
        <w:pict>
          <v:shape id="_x0000_s62" style="position:absolute;margin-left:17.2959pt;margin-top:2.19533pt;mso-position-vertical-relative:text;mso-position-horizontal-relative:text;width:51.45pt;height:26.8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84" w:right="20" w:hanging="464"/>
                    <w:spacing w:before="19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生活方式干预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drawing>
                      <wp:inline distT="0" distB="0" distL="0" distR="0">
                        <wp:extent cx="6350" cy="137020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37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未达标</w:t>
                  </w:r>
                </w:p>
              </w:txbxContent>
            </v:textbox>
          </v:shape>
        </w:pict>
      </w:r>
      <w:r>
        <w:pict>
          <v:shape id="_x0000_s64" style="position:absolute;margin-left:173.538pt;margin-top:2.19533pt;mso-position-vertical-relative:text;mso-position-horizontal-relative:text;width:49.8pt;height:12.1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生活方式干预</w:t>
                  </w:r>
                </w:p>
              </w:txbxContent>
            </v:textbox>
          </v:shape>
        </w:pict>
      </w:r>
      <w:r/>
    </w:p>
    <w:p>
      <w:pPr>
        <w:ind w:left="3976"/>
        <w:spacing w:before="1" w:line="215" w:lineRule="exact"/>
        <w:rPr/>
      </w:pPr>
      <w:r>
        <w:rPr>
          <w:position w:val="-4"/>
        </w:rPr>
        <w:drawing>
          <wp:inline distT="0" distB="0" distL="0" distR="0">
            <wp:extent cx="6350" cy="13702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8" w:lineRule="auto"/>
        <w:rPr>
          <w:rFonts w:ascii="Arial"/>
          <w:sz w:val="21"/>
        </w:rPr>
      </w:pPr>
      <w:r>
        <w:pict>
          <v:shape id="_x0000_s66" style="position:absolute;margin-left:41.7534pt;margin-top:19.2165pt;mso-position-vertical-relative:text;mso-position-horizontal-relative:text;width:0.5pt;height:10.8pt;z-index:251668480;" filled="false" strokecolor="#231F20" strokeweight="0.50pt" coordsize="10,216" coordorigin="0,0" path="m5,0l5,215e">
            <v:stroke joinstyle="miter" miterlimit="4"/>
          </v:shape>
        </w:pict>
      </w:r>
      <w:r>
        <w:pict>
          <v:shape id="_x0000_s68" style="position:absolute;margin-left:63.577pt;margin-top:7.01617pt;mso-position-vertical-relative:text;mso-position-horizontal-relative:text;width:113.6pt;height:12.3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常规剂量或中等强度他汀类药物</w:t>
                  </w:r>
                </w:p>
              </w:txbxContent>
            </v:textbox>
          </v:shape>
        </w:pict>
      </w:r>
      <w:r/>
    </w:p>
    <w:p>
      <w:pPr>
        <w:pStyle w:val="BodyText"/>
        <w:ind w:left="877"/>
        <w:spacing w:before="70" w:line="16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未达标                               基线 </w:t>
      </w:r>
      <w:r>
        <w:rPr>
          <w:sz w:val="16"/>
          <w:szCs w:val="16"/>
          <w:color w:val="231F20"/>
        </w:rPr>
        <w:t>LDL</w:t>
      </w:r>
      <w:r>
        <w:rPr>
          <w:sz w:val="16"/>
          <w:szCs w:val="16"/>
          <w:color w:val="231F20"/>
          <w:spacing w:val="3"/>
        </w:rPr>
        <w:t>-C 水平较高且</w:t>
      </w:r>
    </w:p>
    <w:p>
      <w:pPr>
        <w:pStyle w:val="BodyText"/>
        <w:ind w:left="2280"/>
        <w:spacing w:line="173" w:lineRule="exact"/>
        <w:rPr>
          <w:sz w:val="16"/>
          <w:szCs w:val="16"/>
        </w:rPr>
      </w:pPr>
      <w:r>
        <w:pict>
          <v:shape id="_x0000_s70" style="position:absolute;margin-left:9.23187pt;margin-top:4.5984pt;mso-position-vertical-relative:text;mso-position-horizontal-relative:text;width:81.85pt;height:9.6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  <w:position w:val="-1"/>
                    </w:rPr>
                    <w:t>加用胆固醇吸收抑制剂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  <w:position w:val="-1"/>
        </w:rPr>
        <w:t>未达标</w:t>
      </w:r>
      <w:r>
        <w:rPr>
          <w:sz w:val="16"/>
          <w:szCs w:val="16"/>
          <w:color w:val="231F20"/>
          <w:spacing w:val="25"/>
          <w:w w:val="102"/>
          <w:position w:val="-1"/>
        </w:rPr>
        <w:t xml:space="preserve">  </w:t>
      </w:r>
      <w:r>
        <w:rPr>
          <w:sz w:val="16"/>
          <w:szCs w:val="16"/>
          <w:color w:val="231F20"/>
          <w:spacing w:val="-2"/>
        </w:rPr>
        <w:t>预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2"/>
        </w:rPr>
        <w:t>计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经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2"/>
        </w:rPr>
        <w:t>他汀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2"/>
        </w:rPr>
        <w:t>类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药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2"/>
        </w:rPr>
        <w:t>物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联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合</w:t>
      </w:r>
    </w:p>
    <w:p>
      <w:pPr>
        <w:pStyle w:val="BodyText"/>
        <w:ind w:left="2893"/>
        <w:spacing w:before="20" w:line="14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-1"/>
        </w:rPr>
        <w:t>胆</w:t>
      </w:r>
      <w:r>
        <w:rPr>
          <w:sz w:val="16"/>
          <w:szCs w:val="16"/>
          <w:color w:val="231F20"/>
          <w:spacing w:val="-3"/>
          <w:position w:val="-1"/>
        </w:rPr>
        <w:t xml:space="preserve"> </w:t>
      </w:r>
      <w:r>
        <w:rPr>
          <w:sz w:val="16"/>
          <w:szCs w:val="16"/>
          <w:color w:val="231F20"/>
          <w:spacing w:val="-5"/>
          <w:position w:val="-1"/>
        </w:rPr>
        <w:t>固</w:t>
      </w:r>
      <w:r>
        <w:rPr>
          <w:sz w:val="16"/>
          <w:szCs w:val="16"/>
          <w:color w:val="231F20"/>
          <w:spacing w:val="-25"/>
          <w:position w:val="-1"/>
        </w:rPr>
        <w:t xml:space="preserve"> </w:t>
      </w:r>
      <w:r>
        <w:rPr>
          <w:sz w:val="16"/>
          <w:szCs w:val="16"/>
          <w:color w:val="231F20"/>
          <w:spacing w:val="-5"/>
          <w:position w:val="-1"/>
        </w:rPr>
        <w:t>醇</w:t>
      </w:r>
      <w:r>
        <w:rPr>
          <w:sz w:val="16"/>
          <w:szCs w:val="16"/>
          <w:color w:val="231F20"/>
          <w:spacing w:val="-18"/>
          <w:position w:val="-1"/>
        </w:rPr>
        <w:t xml:space="preserve"> </w:t>
      </w:r>
      <w:r>
        <w:rPr>
          <w:sz w:val="16"/>
          <w:szCs w:val="16"/>
          <w:color w:val="231F20"/>
          <w:spacing w:val="-5"/>
          <w:position w:val="-1"/>
        </w:rPr>
        <w:t>吸收</w:t>
      </w:r>
      <w:r>
        <w:rPr>
          <w:sz w:val="16"/>
          <w:szCs w:val="16"/>
          <w:color w:val="231F20"/>
          <w:spacing w:val="-27"/>
          <w:position w:val="-1"/>
        </w:rPr>
        <w:t xml:space="preserve"> </w:t>
      </w:r>
      <w:r>
        <w:rPr>
          <w:sz w:val="16"/>
          <w:szCs w:val="16"/>
          <w:color w:val="231F20"/>
          <w:spacing w:val="-5"/>
          <w:position w:val="-1"/>
        </w:rPr>
        <w:t>抑</w:t>
      </w:r>
      <w:r>
        <w:rPr>
          <w:sz w:val="16"/>
          <w:szCs w:val="16"/>
          <w:color w:val="231F20"/>
          <w:spacing w:val="-26"/>
          <w:position w:val="-1"/>
        </w:rPr>
        <w:t xml:space="preserve"> </w:t>
      </w:r>
      <w:r>
        <w:rPr>
          <w:sz w:val="16"/>
          <w:szCs w:val="16"/>
          <w:color w:val="231F20"/>
          <w:spacing w:val="-5"/>
          <w:position w:val="-1"/>
        </w:rPr>
        <w:t>制</w:t>
      </w:r>
      <w:r>
        <w:rPr>
          <w:sz w:val="16"/>
          <w:szCs w:val="16"/>
          <w:color w:val="231F20"/>
          <w:spacing w:val="-26"/>
          <w:position w:val="-1"/>
        </w:rPr>
        <w:t xml:space="preserve"> </w:t>
      </w:r>
      <w:r>
        <w:rPr>
          <w:sz w:val="16"/>
          <w:szCs w:val="16"/>
          <w:color w:val="231F20"/>
          <w:spacing w:val="-5"/>
          <w:position w:val="-1"/>
        </w:rPr>
        <w:t>剂</w:t>
      </w:r>
      <w:r>
        <w:rPr>
          <w:sz w:val="16"/>
          <w:szCs w:val="16"/>
          <w:color w:val="231F20"/>
          <w:spacing w:val="-23"/>
          <w:position w:val="-1"/>
        </w:rPr>
        <w:t xml:space="preserve"> </w:t>
      </w:r>
      <w:r>
        <w:rPr>
          <w:sz w:val="16"/>
          <w:szCs w:val="16"/>
          <w:color w:val="231F20"/>
          <w:spacing w:val="-5"/>
          <w:position w:val="-1"/>
        </w:rPr>
        <w:t>干</w:t>
      </w:r>
      <w:r>
        <w:rPr>
          <w:sz w:val="16"/>
          <w:szCs w:val="16"/>
          <w:color w:val="231F20"/>
          <w:spacing w:val="-24"/>
          <w:position w:val="-1"/>
        </w:rPr>
        <w:t xml:space="preserve"> </w:t>
      </w:r>
      <w:r>
        <w:rPr>
          <w:sz w:val="16"/>
          <w:szCs w:val="16"/>
          <w:color w:val="231F20"/>
          <w:spacing w:val="-5"/>
          <w:position w:val="-1"/>
        </w:rPr>
        <w:t>预</w:t>
      </w:r>
    </w:p>
    <w:p>
      <w:pPr>
        <w:pStyle w:val="BodyText"/>
        <w:ind w:left="830"/>
        <w:spacing w:before="1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position w:val="-1"/>
        </w:rPr>
        <w:drawing>
          <wp:inline distT="0" distB="0" distL="0" distR="0">
            <wp:extent cx="6350" cy="13308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1"/>
          <w:position w:val="-1"/>
        </w:rPr>
        <w:t>未达标                                </w:t>
      </w:r>
      <w:r>
        <w:rPr>
          <w:sz w:val="16"/>
          <w:szCs w:val="16"/>
          <w:color w:val="231F20"/>
          <w:spacing w:val="1"/>
        </w:rPr>
        <w:t>难以达标的超高危患者</w:t>
      </w:r>
    </w:p>
    <w:p>
      <w:pPr>
        <w:spacing w:line="295" w:lineRule="auto"/>
        <w:rPr>
          <w:rFonts w:ascii="Arial"/>
          <w:sz w:val="21"/>
        </w:rPr>
      </w:pPr>
      <w:r>
        <w:pict>
          <v:shape id="_x0000_s72" style="position:absolute;margin-left:86.3553pt;margin-top:3.75791pt;mso-position-vertical-relative:text;mso-position-horizontal-relative:text;width:68.4pt;height:12.1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加用 PCSK9 抑制剂</w:t>
                  </w:r>
                </w:p>
              </w:txbxContent>
            </v:textbox>
          </v:shape>
        </w:pict>
      </w:r>
      <w:r/>
    </w:p>
    <w:p>
      <w:pPr>
        <w:pStyle w:val="BodyText"/>
        <w:ind w:left="315"/>
        <w:spacing w:before="69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注：PCSK9= 前蛋白转化酶枯草溶菌素 9。</w:t>
      </w:r>
    </w:p>
    <w:p>
      <w:pPr>
        <w:pStyle w:val="BodyText"/>
        <w:ind w:left="1642"/>
        <w:spacing w:before="7" w:line="181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  </w:t>
      </w:r>
      <w:r>
        <w:rPr>
          <w:sz w:val="16"/>
          <w:szCs w:val="16"/>
          <w:color w:val="231F20"/>
          <w:spacing w:val="-4"/>
        </w:rPr>
        <w:t>降脂策略流程图</w:t>
      </w:r>
    </w:p>
    <w:p>
      <w:pPr>
        <w:pStyle w:val="BodyText"/>
        <w:ind w:left="901"/>
        <w:spacing w:before="11" w:line="161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Figure 2     </w:t>
      </w:r>
      <w:r>
        <w:rPr>
          <w:sz w:val="16"/>
          <w:szCs w:val="16"/>
          <w:color w:val="231F20"/>
          <w:spacing w:val="-10"/>
        </w:rPr>
        <w:t>Flow chart 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0"/>
        </w:rPr>
        <w:t>lipid-lowering strategy</w:t>
      </w:r>
    </w:p>
    <w:p>
      <w:pPr>
        <w:spacing w:line="161" w:lineRule="auto"/>
        <w:sectPr>
          <w:type w:val="continuous"/>
          <w:pgSz w:w="11963" w:h="16158"/>
          <w:pgMar w:top="1253" w:right="785" w:bottom="0" w:left="407" w:header="870" w:footer="0" w:gutter="0"/>
          <w:cols w:equalWidth="0" w:num="2">
            <w:col w:w="5675" w:space="100"/>
            <w:col w:w="4994" w:space="0"/>
          </w:cols>
        </w:sectPr>
        <w:rPr>
          <w:sz w:val="16"/>
          <w:szCs w:val="16"/>
        </w:rPr>
      </w:pPr>
    </w:p>
    <w:p>
      <w:pPr>
        <w:spacing w:before="179"/>
        <w:rPr/>
      </w:pPr>
      <w:r/>
    </w:p>
    <w:p>
      <w:pPr>
        <w:sectPr>
          <w:headerReference w:type="default" r:id="rId1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631"/>
        <w:spacing w:before="189" w:line="1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color w:val="231F20"/>
          <w:spacing w:val="-2"/>
        </w:rPr>
        <w:t>·2432·</w:t>
      </w:r>
      <w:r>
        <w:rPr>
          <w:color w:val="231F20"/>
          <w:spacing w:val="22"/>
          <w:w w:val="101"/>
        </w:rPr>
        <w:t xml:space="preserve"> </w:t>
      </w:r>
      <w:hyperlink w:history="true" r:id="rId3"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https</w:t>
        </w:r>
        <w:r>
          <w:rPr>
            <w:sz w:val="16"/>
            <w:szCs w:val="16"/>
            <w:u w:val="single" w:color="auto"/>
            <w:color w:val="231F20"/>
            <w:spacing w:val="-2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//www.chinagp.net    E-mail</w:t>
        </w:r>
        <w:r>
          <w:rPr>
            <w:sz w:val="16"/>
            <w:szCs w:val="16"/>
            <w:u w:val="single" w:color="auto"/>
            <w:color w:val="231F20"/>
            <w:spacing w:val="-2"/>
          </w:rPr>
          <w:t>:</w:t>
        </w:r>
        <w:r>
          <w:rPr>
            <w:sz w:val="16"/>
            <w:szCs w:val="16"/>
            <w:u w:val="single" w:color="auto"/>
            <w:color w:val="231F20"/>
            <w:spacing w:val="-14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zgqkyx@chinagp.net.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</w:rPr>
          <w:t>cn</w:t>
        </w:r>
      </w:hyperlink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7" w:line="239" w:lineRule="auto"/>
        <w:tabs>
          <w:tab w:val="left" w:pos="131"/>
        </w:tabs>
        <w:rPr/>
      </w:pPr>
      <w:r>
        <w:pict>
          <v:shape id="_x0000_s74" style="position:absolute;margin-left:0.25pt;margin-top:9.5257pt;mso-position-vertical-relative:text;mso-position-horizontal-relative:text;width:94.75pt;height:0.5pt;z-index:-251624448;" filled="false" strokecolor="#811A36" strokeweight="0.50pt" coordsize="1895,10" coordorigin="0,0" path="m0,5l1894,5e">
            <v:stroke joinstyle="miter" miterlimit="4"/>
          </v:shape>
        </w:pict>
      </w:r>
      <w:r>
        <w:rPr>
          <w:sz w:val="16"/>
          <w:szCs w:val="16"/>
          <w:color w:val="231F20"/>
        </w:rPr>
        <w:tab/>
      </w:r>
      <w:r>
        <w:rPr>
          <w:sz w:val="16"/>
          <w:szCs w:val="16"/>
          <w:color w:val="231F20"/>
          <w:spacing w:val="-6"/>
        </w:rPr>
        <w:t>July 2024，Vol.27 No.20   </w:t>
      </w:r>
      <w:r>
        <w:rPr>
          <w:sz w:val="16"/>
          <w:szCs w:val="16"/>
          <w:position w:val="-4"/>
        </w:rPr>
        <w:drawing>
          <wp:inline distT="0" distB="0" distL="0" distR="0">
            <wp:extent cx="148353" cy="14139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53" cy="1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6"/>
          <w:position w:val="1"/>
        </w:rPr>
        <w:t>C</w:t>
      </w:r>
      <w:r>
        <w:rPr>
          <w:rFonts w:ascii="Times New Roman" w:hAnsi="Times New Roman" w:eastAsia="Times New Roman" w:cs="Times New Roman"/>
          <w:color w:val="231F20"/>
          <w:spacing w:val="-7"/>
          <w:position w:val="1"/>
        </w:rPr>
        <w:t>hinese General Practice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  <w:position w:val="1"/>
        </w:rPr>
        <w:t xml:space="preserve"> </w:t>
      </w:r>
      <w:r>
        <w:rPr>
          <w:position w:val="-4"/>
        </w:rPr>
        <w:drawing>
          <wp:inline distT="0" distB="0" distL="0" distR="0">
            <wp:extent cx="526017" cy="21667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7" cy="2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9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5603" w:space="100"/>
            <w:col w:w="5066" w:space="0"/>
          </w:cols>
        </w:sectPr>
        <w:rPr/>
      </w:pPr>
    </w:p>
    <w:p>
      <w:pPr>
        <w:spacing w:before="10"/>
        <w:rPr/>
      </w:pPr>
      <w:r/>
    </w:p>
    <w:p>
      <w:pPr>
        <w:sectPr>
          <w:type w:val="continuous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8" w:right="288" w:firstLine="396"/>
        <w:spacing w:before="37" w:line="210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4"/>
        </w:rPr>
        <w:t xml:space="preserve"> 升高与不健康生活方式及饮食密切相关，运动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和控制饮食可有效降低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4"/>
        </w:rPr>
        <w:t>。饮酒是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4"/>
        </w:rPr>
        <w:t xml:space="preserve"> 升高的非常重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要的因素，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3"/>
        </w:rPr>
        <w:t xml:space="preserve"> 升高的个体更需要严格限制酒精摄入。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饮食成分中除限制饱和脂肪酸的摄入外，要特别注意减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少精制碳水化合物摄入，增加膳食纤维含量丰富的低糖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饮食如全谷类的粗粮摄入。</w:t>
      </w:r>
    </w:p>
    <w:p>
      <w:pPr>
        <w:pStyle w:val="BodyText"/>
        <w:ind w:left="560" w:right="287" w:firstLine="406"/>
        <w:spacing w:before="1" w:line="21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降低 TG 的药物主要包括贝特类、ω-3 多不饱和脂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12"/>
        </w:rPr>
        <w:t>肪酸(ω-3 脂肪酸，指高纯度医用处方级）及烟酸类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药物，具体用法如下。</w:t>
      </w:r>
    </w:p>
    <w:p>
      <w:pPr>
        <w:pStyle w:val="BodyText"/>
        <w:ind w:firstLine="555"/>
        <w:spacing w:before="182" w:line="1801" w:lineRule="exact"/>
        <w:rPr/>
      </w:pPr>
      <w:r>
        <w:rPr>
          <w:position w:val="-36"/>
        </w:rPr>
        <w:pict>
          <v:group id="_x0000_s76" style="mso-position-vertical-relative:line;mso-position-horizontal-relative:char;width:240.95pt;height:90.05pt;" filled="false" stroked="false" coordsize="4818,1801" coordorigin="0,0">
            <v:rect id="_x0000_s78" style="position:absolute;left:0;top:7;width:4818;height:1793;" fillcolor="#C0D8DC" filled="true" stroked="false"/>
            <v:shape id="_x0000_s80" style="position:absolute;left:29;top:36;width:4758;height:17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1"/>
                      <w:spacing w:before="19" w:line="24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231F20"/>
                        <w:spacing w:val="-2"/>
                      </w:rPr>
                      <w:t>降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231F20"/>
                        <w:spacing w:val="-4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231F20"/>
                        <w:spacing w:val="-2"/>
                      </w:rPr>
                      <w:t>TG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231F20"/>
                        <w:spacing w:val="-2"/>
                      </w:rPr>
                      <w:t>的药物治疗建议</w:t>
                    </w:r>
                  </w:p>
                  <w:p>
                    <w:pPr>
                      <w:ind w:left="31" w:right="26" w:firstLine="12"/>
                      <w:spacing w:before="64" w:line="188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1.TG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≥ 5.6 mmol/L 时，可采用贝特类、ω-3 脂肪酸或烟酸类药物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position w:val="-1"/>
                      </w:rPr>
                      <w:t>治疗，减少胰腺炎风险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position w:val="6"/>
                      </w:rPr>
                      <w:t>［16］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position w:val="-1"/>
                      </w:rPr>
                      <w:t>。</w:t>
                    </w:r>
                  </w:p>
                  <w:p>
                    <w:pPr>
                      <w:ind w:left="20" w:right="20" w:firstLine="11"/>
                      <w:spacing w:before="91" w:line="19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8"/>
                      </w:rPr>
                      <w:t>2.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ASCVD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8"/>
                      </w:rPr>
                      <w:t xml:space="preserve"> 患者及高危人群接受中等剂量他汀类药物治疗后如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5"/>
                      </w:rPr>
                      <w:t>TG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5"/>
                      </w:rPr>
                      <w:t>≥ 2.3 mmol/L，应优先考虑给予大剂量二十碳五烯酸乙酯（IPE）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  <w:position w:val="-1"/>
                      </w:rPr>
                      <w:t>（2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6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  <w:position w:val="-1"/>
                      </w:rPr>
                      <w:t>g，2 次 /d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5"/>
                        <w:position w:val="-1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15"/>
                        <w:position w:val="6"/>
                      </w:rPr>
                      <w:t>［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1"/>
                        <w:position w:val="6"/>
                      </w:rPr>
                      <w:t>17-18］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  <w:position w:val="-1"/>
                      </w:rPr>
                      <w:t>、其次可考虑给予其他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33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  <w:position w:val="-1"/>
                      </w:rPr>
                      <w:t>ω-3 脂肪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  <w:position w:val="-1"/>
                      </w:rPr>
                      <w:t>酸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2"/>
                        <w:position w:val="6"/>
                      </w:rPr>
                      <w:t>［17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15"/>
                        <w:position w:val="6"/>
                      </w:rPr>
                      <w:t>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5"/>
                        <w:position w:val="-1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  <w:position w:val="-1"/>
                      </w:rPr>
                      <w:t>或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</w:rPr>
                      <w:t>非诺贝特、苯扎贝特进一步降低 ASCVD 风险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2"/>
                        <w:position w:val="6"/>
                      </w:rPr>
                      <w:t>［19-20］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</w:rPr>
                      <w:t>。</w:t>
                    </w:r>
                  </w:p>
                </w:txbxContent>
              </v:textbox>
            </v:shape>
            <v:shape id="_x0000_s82" style="position:absolute;left:0;top:0;width:4818;height:15;" filled="false" strokecolor="#007A7E" strokeweight="0.75pt" coordsize="4818,15" coordorigin="0,0" path="m0,7l4818,7e">
              <v:stroke joinstyle="miter" miterlimit="10"/>
            </v:shape>
          </v:group>
        </w:pict>
      </w:r>
    </w:p>
    <w:p>
      <w:pPr>
        <w:ind w:left="558"/>
        <w:spacing w:before="269"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3.5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降脂治疗过程的监测与随访</w:t>
      </w:r>
    </w:p>
    <w:p>
      <w:pPr>
        <w:pStyle w:val="BodyText"/>
        <w:ind w:left="559" w:right="223" w:firstLine="407"/>
        <w:spacing w:before="47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降脂治疗中监测的目的</w:t>
      </w:r>
      <w:r>
        <w:rPr>
          <w:sz w:val="20"/>
          <w:szCs w:val="20"/>
          <w:color w:val="231F20"/>
          <w:spacing w:val="-20"/>
        </w:rPr>
        <w:t>：（</w:t>
      </w:r>
      <w:r>
        <w:rPr>
          <w:sz w:val="20"/>
          <w:szCs w:val="20"/>
          <w:color w:val="231F20"/>
          <w:spacing w:val="6"/>
        </w:rPr>
        <w:t>1）观察是否达到降脂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目标值</w:t>
      </w:r>
      <w:r>
        <w:rPr>
          <w:sz w:val="20"/>
          <w:szCs w:val="20"/>
          <w:color w:val="231F20"/>
          <w:spacing w:val="-36"/>
        </w:rPr>
        <w:t>；（</w:t>
      </w:r>
      <w:r>
        <w:rPr>
          <w:sz w:val="20"/>
          <w:szCs w:val="20"/>
          <w:color w:val="231F20"/>
          <w:spacing w:val="-7"/>
        </w:rPr>
        <w:t>2）了解药物的潜在不良反应。根据评估结果，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优化药物治疗方案，不建议轻易停药。</w:t>
      </w:r>
    </w:p>
    <w:p>
      <w:pPr>
        <w:pStyle w:val="BodyText"/>
        <w:ind w:left="561" w:right="289" w:firstLine="405"/>
        <w:spacing w:before="1" w:line="22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降脂治疗随访时间：开始药物治疗后 4~6 周随访 1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次，安全达标后 3~6 个月随访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1 次</w:t>
      </w:r>
      <w:r>
        <w:rPr>
          <w:sz w:val="20"/>
          <w:szCs w:val="20"/>
          <w:color w:val="231F20"/>
          <w:spacing w:val="-8"/>
        </w:rPr>
        <w:t>（图 3）。</w:t>
      </w:r>
    </w:p>
    <w:p>
      <w:pPr>
        <w:pStyle w:val="BodyText"/>
        <w:ind w:left="1047" w:right="3948" w:hanging="380"/>
        <w:spacing w:before="202" w:line="227" w:lineRule="auto"/>
        <w:rPr>
          <w:sz w:val="16"/>
          <w:szCs w:val="16"/>
        </w:rPr>
      </w:pPr>
      <w:r>
        <w:pict>
          <v:shape id="_x0000_s84" style="position:absolute;margin-left:153.035pt;margin-top:9.11836pt;mso-position-vertical-relative:text;mso-position-horizontal-relative:text;width:41.8pt;height:12.2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首次用药者</w:t>
                  </w:r>
                </w:p>
              </w:txbxContent>
            </v:textbox>
          </v:shape>
        </w:pict>
      </w:r>
      <w:r>
        <w:pict>
          <v:shape id="_x0000_s86" style="position:absolute;margin-left:172.569pt;margin-top:20.4492pt;mso-position-vertical-relative:text;mso-position-horizontal-relative:text;width:29.45pt;height:14.45pt;z-index:-251627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drawing>
                      <wp:inline distT="0" distB="0" distL="0" distR="0">
                        <wp:extent cx="6350" cy="113512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135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4"/>
                    </w:rPr>
                    <w:t>4~6 周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366420</wp:posOffset>
            </wp:positionH>
            <wp:positionV relativeFrom="paragraph">
              <wp:posOffset>90132</wp:posOffset>
            </wp:positionV>
            <wp:extent cx="3032988" cy="242260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988" cy="2422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1"/>
        </w:rPr>
        <w:t>非药物治疗者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</w:rPr>
        <w:drawing>
          <wp:inline distT="0" distB="0" distL="0" distR="0">
            <wp:extent cx="6350" cy="11351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</w:rPr>
        <w:t>3~6 个月</w:t>
      </w:r>
    </w:p>
    <w:p>
      <w:pPr>
        <w:pStyle w:val="BodyText"/>
        <w:ind w:left="670"/>
        <w:spacing w:before="44" w:line="180" w:lineRule="auto"/>
        <w:rPr>
          <w:sz w:val="16"/>
          <w:szCs w:val="16"/>
        </w:rPr>
      </w:pPr>
      <w:r>
        <w:pict>
          <v:shape id="_x0000_s88" style="position:absolute;margin-left:123.069pt;margin-top:1.1916pt;mso-position-vertical-relative:text;mso-position-horizontal-relative:text;width:101.85pt;height:12.2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复查血脂、血糖、肝酶和 CK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复查血脂水平</w:t>
      </w:r>
    </w:p>
    <w:p>
      <w:pPr>
        <w:spacing w:line="387" w:lineRule="auto"/>
        <w:rPr>
          <w:rFonts w:ascii="Arial"/>
          <w:sz w:val="21"/>
        </w:rPr>
      </w:pPr>
      <w:r>
        <w:pict>
          <v:shape id="_x0000_s90" style="position:absolute;margin-left:173.279pt;margin-top:0.762207pt;mso-position-vertical-relative:text;mso-position-horizontal-relative:text;width:0.5pt;height:9pt;z-index:251700224;" filled="false" strokecolor="#231F20" strokeweight="0.50pt" coordsize="10,180" coordorigin="0,0" path="m5,180l5,0e">
            <v:stroke joinstyle="miter" miterlimit="4"/>
          </v:shape>
        </w:pict>
      </w:r>
      <w:r>
        <w:pict>
          <v:shape id="_x0000_s92" style="position:absolute;margin-left:142.413pt;margin-top:9.88699pt;mso-position-vertical-relative:text;mso-position-horizontal-relative:text;width:63.95pt;height:5.45pt;z-index:-251626496;" filled="false" strokecolor="#231F20" strokeweight="0.50pt" coordsize="1279,108" coordorigin="0,0" path="m5,0l5,108m1273,0l1273,108e">
            <v:stroke joinstyle="miter" miterlimit="4"/>
          </v:shape>
        </w:pict>
      </w:r>
      <w:r/>
    </w:p>
    <w:p>
      <w:pPr>
        <w:pStyle w:val="BodyText"/>
        <w:ind w:left="1941"/>
        <w:spacing w:before="69" w:line="180" w:lineRule="auto"/>
        <w:rPr>
          <w:sz w:val="16"/>
          <w:szCs w:val="16"/>
        </w:rPr>
      </w:pPr>
      <w:r>
        <w:pict>
          <v:shape id="_x0000_s94" style="position:absolute;margin-left:206.269pt;margin-top:14.5122pt;mso-position-vertical-relative:text;mso-position-horizontal-relative:text;width:0.5pt;height:9pt;z-index:251699200;" filled="false" strokecolor="#231F20" strokeweight="0.50pt" coordsize="10,180" coordorigin="0,0" path="m5,180l5,0e">
            <v:stroke joinstyle="miter" miterlimit="4"/>
          </v:shape>
        </w:pict>
      </w:r>
      <w:r>
        <w:pict>
          <v:shape id="_x0000_s96" style="position:absolute;margin-left:40.4148pt;margin-top:2.43169pt;mso-position-vertical-relative:text;mso-position-horizontal-relative:text;width:33.8pt;height:12.2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血脂达标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血脂达标，且无不良反应</w:t>
      </w:r>
      <w:r>
        <w:rPr>
          <w:sz w:val="16"/>
          <w:szCs w:val="16"/>
          <w:color w:val="231F20"/>
          <w:spacing w:val="16"/>
          <w:w w:val="101"/>
        </w:rPr>
        <w:t xml:space="preserve">   </w:t>
      </w:r>
      <w:r>
        <w:rPr>
          <w:sz w:val="16"/>
          <w:szCs w:val="16"/>
          <w:color w:val="231F20"/>
          <w:spacing w:val="-1"/>
        </w:rPr>
        <w:t>不达标</w:t>
      </w:r>
    </w:p>
    <w:p>
      <w:pPr>
        <w:pStyle w:val="BodyText"/>
        <w:ind w:left="1113"/>
        <w:spacing w:before="124" w:line="177" w:lineRule="auto"/>
        <w:rPr>
          <w:sz w:val="16"/>
          <w:szCs w:val="16"/>
        </w:rPr>
      </w:pPr>
      <w:r>
        <w:pict>
          <v:shape id="_x0000_s98" style="position:absolute;margin-left:160.982pt;margin-top:9.94636pt;mso-position-vertical-relative:text;mso-position-horizontal-relative:text;width:0.5pt;height:5.45pt;z-index:-251632640;" filled="false" strokecolor="#231F20" strokeweight="0.50pt" coordsize="10,108" coordorigin="0,0" path="m5,0l5,108e">
            <v:stroke joinstyle="miter" miterlimit="4"/>
          </v:shape>
        </w:pict>
      </w:r>
      <w:r>
        <w:pict>
          <v:shape id="_x0000_s100" style="position:absolute;margin-left:230.679pt;margin-top:9.94636pt;mso-position-vertical-relative:text;mso-position-horizontal-relative:text;width:0.5pt;height:5.45pt;z-index:-251631616;" filled="false" strokecolor="#231F20" strokeweight="0.50pt" coordsize="10,108" coordorigin="0,0" path="m5,0l5,108e">
            <v:stroke joinstyle="miter" miterlimit="4"/>
          </v:shape>
        </w:pict>
      </w:r>
      <w:r>
        <w:rPr>
          <w:sz w:val="16"/>
          <w:szCs w:val="16"/>
          <w:color w:val="231F20"/>
          <w:spacing w:val="-10"/>
        </w:rPr>
        <w:t>6 个月 ~1 年</w:t>
      </w:r>
    </w:p>
    <w:p>
      <w:pPr>
        <w:pStyle w:val="BodyText"/>
        <w:ind w:left="670"/>
        <w:spacing w:before="128" w:line="181" w:lineRule="auto"/>
        <w:rPr>
          <w:sz w:val="16"/>
          <w:szCs w:val="16"/>
        </w:rPr>
      </w:pPr>
      <w:r>
        <w:pict>
          <v:shape id="_x0000_s102" style="position:absolute;margin-left:199.422pt;margin-top:5.45893pt;mso-position-vertical-relative:text;mso-position-horizontal-relative:text;width:65.85pt;height:21.9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8"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或联合应用不同作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用机制的降脂药物</w:t>
                  </w:r>
                </w:p>
              </w:txbxContent>
            </v:textbox>
          </v:shape>
        </w:pict>
      </w:r>
      <w:r>
        <w:pict>
          <v:shape id="_x0000_s104" style="position:absolute;margin-left:131.097pt;margin-top:5.51249pt;mso-position-vertical-relative:text;mso-position-horizontal-relative:text;width:57.95pt;height:36.9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18" w:line="204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需及时调整降脂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药物剂量或种类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-1"/>
                    </w:rPr>
                    <w:drawing>
                      <wp:inline distT="0" distB="0" distL="0" distR="0">
                        <wp:extent cx="6350" cy="145110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4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4"/>
                    </w:rPr>
                    <w:t>4~6 周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7"/>
        </w:rPr>
        <w:t>复查血脂水平</w:t>
      </w:r>
      <w:r>
        <w:rPr>
          <w:sz w:val="16"/>
          <w:szCs w:val="16"/>
          <w:color w:val="231F20"/>
          <w:spacing w:val="7"/>
        </w:rPr>
        <w:t xml:space="preserve">    </w:t>
      </w:r>
      <w:r>
        <w:rPr>
          <w:sz w:val="16"/>
          <w:szCs w:val="16"/>
          <w:color w:val="231F20"/>
          <w:spacing w:val="-7"/>
        </w:rPr>
        <w:t>3~6 个月</w:t>
      </w:r>
    </w:p>
    <w:p>
      <w:pPr>
        <w:pStyle w:val="BodyText"/>
        <w:ind w:left="1113"/>
        <w:spacing w:before="210" w:line="177" w:lineRule="auto"/>
        <w:rPr>
          <w:sz w:val="16"/>
          <w:szCs w:val="16"/>
        </w:rPr>
      </w:pPr>
      <w:r>
        <w:pict>
          <v:shape id="_x0000_s106" style="position:absolute;margin-left:229.429pt;margin-top:9.44255pt;mso-position-vertical-relative:text;mso-position-horizontal-relative:text;width:29.35pt;height:16.1pt;z-index:-251628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position w:val="-1"/>
                    </w:rPr>
                    <w:drawing>
                      <wp:inline distT="0" distB="0" distL="0" distR="0">
                        <wp:extent cx="6350" cy="145110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4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4"/>
                    </w:rPr>
                    <w:t>4~6 周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6"/>
        </w:rPr>
        <w:t>长期达标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1 年</w:t>
      </w:r>
    </w:p>
    <w:p>
      <w:pPr>
        <w:pStyle w:val="BodyText"/>
        <w:ind w:left="670"/>
        <w:spacing w:before="187" w:line="18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复查血脂水平                     复查血脂、血糖、肝酶和 CK</w:t>
      </w:r>
    </w:p>
    <w:p>
      <w:pPr>
        <w:spacing w:line="376" w:lineRule="auto"/>
        <w:rPr>
          <w:rFonts w:ascii="Arial"/>
          <w:sz w:val="21"/>
        </w:rPr>
      </w:pPr>
      <w:r>
        <w:pict>
          <v:shape id="_x0000_s108" style="position:absolute;margin-left:183.659pt;margin-top:0.712738pt;mso-position-vertical-relative:text;mso-position-horizontal-relative:text;width:0.5pt;height:10.15pt;z-index:251698176;" filled="false" strokecolor="#231F20" strokeweight="0.50pt" coordsize="10,202" coordorigin="0,0" path="m5,202l5,0e">
            <v:stroke joinstyle="miter" miterlimit="4"/>
          </v:shape>
        </w:pict>
      </w:r>
      <w:r>
        <w:pict>
          <v:shape id="_x0000_s110" style="position:absolute;margin-left:56.0999pt;margin-top:0.712738pt;mso-position-vertical-relative:text;mso-position-horizontal-relative:text;width:0.5pt;height:10.15pt;z-index:-251630592;" filled="false" strokecolor="#231F20" strokeweight="0.50pt" coordsize="10,202" coordorigin="0,0" path="m5,202l5,0e">
            <v:stroke joinstyle="miter" miterlimit="4"/>
          </v:shape>
        </w:pict>
      </w:r>
      <w:r>
        <w:pict>
          <v:shape id="_x0000_s112" style="position:absolute;margin-left:125.014pt;margin-top:10.9807pt;mso-position-vertical-relative:text;mso-position-horizontal-relative:text;width:0.5pt;height:4.5pt;z-index:-251629568;" filled="false" strokecolor="#231F20" strokeweight="0.50pt" coordsize="10,90" coordorigin="0,0" path="m5,0l5,90e">
            <v:stroke joinstyle="miter" miterlimit="4"/>
          </v:shape>
        </w:pict>
      </w:r>
      <w:r/>
    </w:p>
    <w:p>
      <w:pPr>
        <w:pStyle w:val="BodyText"/>
        <w:ind w:left="1144" w:right="1802" w:firstLine="81"/>
        <w:spacing w:before="69" w:line="18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治疗性生活方式改变和降脂药物治疗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  <w:spacing w:val="-1"/>
        </w:rPr>
        <w:t>必须长期坚持，才能有更佳的临床获益</w:t>
      </w:r>
    </w:p>
    <w:p>
      <w:pPr>
        <w:pStyle w:val="BodyText"/>
        <w:ind w:left="548" w:right="288" w:firstLine="325"/>
        <w:spacing w:before="47" w:line="20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注：肝酶指丙氨酸氨基转移酶（</w:t>
      </w:r>
      <w:r>
        <w:rPr>
          <w:sz w:val="16"/>
          <w:szCs w:val="16"/>
          <w:color w:val="231F20"/>
        </w:rPr>
        <w:t>ALT</w:t>
      </w:r>
      <w:r>
        <w:rPr>
          <w:sz w:val="16"/>
          <w:szCs w:val="16"/>
          <w:color w:val="231F20"/>
          <w:spacing w:val="8"/>
        </w:rPr>
        <w:t>）和天冬氨酸氨基转移酶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（AST）；CK= 肌酸激酶。</w:t>
      </w:r>
    </w:p>
    <w:p>
      <w:pPr>
        <w:pStyle w:val="BodyText"/>
        <w:ind w:left="1881"/>
        <w:spacing w:before="1" w:line="180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3    </w:t>
      </w:r>
      <w:r>
        <w:rPr>
          <w:sz w:val="16"/>
          <w:szCs w:val="16"/>
          <w:color w:val="231F20"/>
          <w:spacing w:val="-2"/>
        </w:rPr>
        <w:t>降脂过程中的监测流程图</w:t>
      </w:r>
    </w:p>
    <w:p>
      <w:pPr>
        <w:pStyle w:val="BodyText"/>
        <w:ind w:left="1070"/>
        <w:spacing w:before="12" w:line="18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>3    </w:t>
      </w:r>
      <w:r>
        <w:rPr>
          <w:sz w:val="16"/>
          <w:szCs w:val="16"/>
          <w:color w:val="231F20"/>
          <w:spacing w:val="-12"/>
        </w:rPr>
        <w:t>Monitoring flow chart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2"/>
        </w:rPr>
        <w:t>lipid-lowering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-12"/>
        </w:rPr>
        <w:t>treatment</w:t>
      </w:r>
    </w:p>
    <w:p>
      <w:pPr>
        <w:ind w:left="558"/>
        <w:spacing w:before="216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3.6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转诊指征</w:t>
      </w:r>
    </w:p>
    <w:p>
      <w:pPr>
        <w:pStyle w:val="BodyText"/>
        <w:ind w:left="955"/>
        <w:spacing w:before="48" w:line="18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基层血脂管理建议转诊指征：</w:t>
      </w:r>
    </w:p>
    <w:p>
      <w:pPr>
        <w:pStyle w:val="BodyText"/>
        <w:ind w:left="558" w:right="288" w:firstLine="385"/>
        <w:spacing w:before="42"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（1）严重高胆固醇血症（LDL-C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≥ 4.9 mmol/L）或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严重高甘油三酯血症（TG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≥ 5.6 mmol/L</w:t>
      </w:r>
      <w:r>
        <w:rPr>
          <w:sz w:val="20"/>
          <w:szCs w:val="20"/>
          <w:color w:val="231F20"/>
          <w:spacing w:val="-35"/>
        </w:rPr>
        <w:t>），</w:t>
      </w:r>
      <w:r>
        <w:rPr>
          <w:sz w:val="20"/>
          <w:szCs w:val="20"/>
          <w:color w:val="231F20"/>
          <w:spacing w:val="-6"/>
        </w:rPr>
        <w:t>且合并</w:t>
      </w:r>
      <w:r>
        <w:rPr>
          <w:sz w:val="20"/>
          <w:szCs w:val="20"/>
          <w:color w:val="231F20"/>
          <w:spacing w:val="-7"/>
        </w:rPr>
        <w:t xml:space="preserve"> 2 项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及以上高危因素者；</w:t>
      </w:r>
    </w:p>
    <w:p>
      <w:pPr>
        <w:pStyle w:val="BodyText"/>
        <w:ind w:left="943"/>
        <w:spacing w:before="6" w:line="16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（2）合并严重肝、肾疾病者，妊娠女性、儿童青少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183" w:firstLine="2"/>
        <w:spacing w:before="37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年及高龄老年人初始治疗，有原发性高胆固醇血症家族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史者；</w:t>
      </w:r>
    </w:p>
    <w:p>
      <w:pPr>
        <w:pStyle w:val="BodyText"/>
        <w:ind w:left="40" w:right="188" w:firstLine="356"/>
        <w:spacing w:before="1" w:line="21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（3）降脂治疗后血脂不能达标，或有严重药物不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  <w:w w:val="98"/>
        </w:rPr>
        <w:t>良反应者。</w:t>
      </w:r>
    </w:p>
    <w:p>
      <w:pPr>
        <w:ind w:left="12"/>
        <w:spacing w:before="132" w:line="242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007A7E"/>
          <w:spacing w:val="-3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color w:val="007A7E"/>
          <w:spacing w:val="4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007A7E"/>
          <w:spacing w:val="-3"/>
        </w:rPr>
        <w:t>降脂药物治疗</w:t>
      </w:r>
    </w:p>
    <w:p>
      <w:pPr>
        <w:pStyle w:val="BodyText"/>
        <w:ind w:left="11" w:right="113" w:firstLine="398"/>
        <w:spacing w:before="164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根据其主要作用，降脂药物分为主要降低胆固醇的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1"/>
        </w:rPr>
        <w:t>药物和主要降低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1"/>
        </w:rPr>
        <w:t xml:space="preserve"> 的药物。在临床实践中通常根据血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脂异常类型、基线血脂水平以及需要达到的血脂目标值，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"/>
        </w:rPr>
        <w:t>决定是否启用降脂药物或是否联合应用。</w:t>
      </w:r>
    </w:p>
    <w:p>
      <w:pPr>
        <w:ind w:left="12"/>
        <w:spacing w:before="1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4.1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主要降胆固醇药物</w:t>
      </w:r>
    </w:p>
    <w:p>
      <w:pPr>
        <w:pStyle w:val="BodyText"/>
        <w:ind w:left="13" w:right="177" w:firstLine="403"/>
        <w:spacing w:before="48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主要降胆固醇药物包括他汀类药物、胆固醇吸收抑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制剂、PCSK9 抑制剂、普罗布考及其他降脂药。</w:t>
      </w:r>
    </w:p>
    <w:p>
      <w:pPr>
        <w:pStyle w:val="BodyText"/>
        <w:ind w:left="10" w:right="177"/>
        <w:spacing w:before="1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4.1.1   他汀类药物适用于高胆固醇血症、混合型高脂血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1"/>
        </w:rPr>
        <w:t>症和 </w:t>
      </w: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1"/>
        </w:rPr>
        <w:t xml:space="preserve"> 的防治。他汀类药物还可使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1"/>
        </w:rPr>
        <w:t xml:space="preserve"> 水平降低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7%~30%，HDL-C 水平升高 5%~15%。不同种类与剂量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的他汀类药物降胆固醇幅度有一定差别，但任何一种他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7"/>
        </w:rPr>
        <w:t>汀类药物剂量增倍时，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7"/>
        </w:rPr>
        <w:t>-C 水平进一步降低幅度仅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约为 6%。他汀类药物可在任何时间段每天服用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"/>
        </w:rPr>
        <w:t>1 次，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但晚上服用时 LDL-C 降幅会稍增加。</w:t>
      </w:r>
    </w:p>
    <w:p>
      <w:pPr>
        <w:pStyle w:val="BodyText"/>
        <w:ind w:left="12" w:right="178" w:firstLine="416"/>
        <w:spacing w:before="1" w:line="22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中等强度他汀类药物指 LDL-C 降幅 25%~50% 时所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采用的他汀类药物日剂量。不同种类与剂量的他汀类药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"/>
        </w:rPr>
        <w:t>物降低 LDL-C 的幅度见表 3。</w:t>
      </w:r>
    </w:p>
    <w:p>
      <w:pPr>
        <w:pStyle w:val="BodyText"/>
        <w:ind w:left="1323"/>
        <w:spacing w:before="81" w:line="197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    </w:t>
      </w:r>
      <w:r>
        <w:rPr>
          <w:sz w:val="16"/>
          <w:szCs w:val="16"/>
          <w:color w:val="231F20"/>
          <w:spacing w:val="-1"/>
        </w:rPr>
        <w:t>他汀类药物降胆固醇强度</w:t>
      </w:r>
    </w:p>
    <w:p>
      <w:pPr>
        <w:pStyle w:val="BodyText"/>
        <w:ind w:left="728"/>
        <w:spacing w:before="1" w:line="18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3    </w:t>
      </w:r>
      <w:r>
        <w:rPr>
          <w:sz w:val="16"/>
          <w:szCs w:val="16"/>
          <w:color w:val="231F20"/>
          <w:spacing w:val="-11"/>
        </w:rPr>
        <w:t>The cholesterol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-11"/>
        </w:rPr>
        <w:t>reduction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1"/>
        </w:rPr>
        <w:t>intens</w:t>
      </w:r>
      <w:r>
        <w:rPr>
          <w:sz w:val="16"/>
          <w:szCs w:val="16"/>
          <w:color w:val="231F20"/>
          <w:spacing w:val="-12"/>
        </w:rPr>
        <w:t>ity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2"/>
        </w:rPr>
        <w:t>of stains</w:t>
      </w:r>
    </w:p>
    <w:tbl>
      <w:tblPr>
        <w:tblStyle w:val="TableNormal"/>
        <w:tblW w:w="4818" w:type="dxa"/>
        <w:tblInd w:w="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58"/>
        <w:gridCol w:w="1960"/>
      </w:tblGrid>
      <w:tr>
        <w:trPr>
          <w:trHeight w:val="264" w:hRule="atLeast"/>
        </w:trPr>
        <w:tc>
          <w:tcPr>
            <w:shd w:val="clear" w:fill="C0D8DC"/>
            <w:tcW w:w="2858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984"/>
              <w:spacing w:before="50" w:line="178" w:lineRule="auto"/>
              <w:rPr/>
            </w:pPr>
            <w:r>
              <w:rPr>
                <w:color w:val="231F20"/>
                <w:spacing w:val="-2"/>
              </w:rPr>
              <w:t>降胆固醇强度</w:t>
            </w:r>
          </w:p>
        </w:tc>
        <w:tc>
          <w:tcPr>
            <w:shd w:val="clear" w:fill="C0D8DC"/>
            <w:tcW w:w="1960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527"/>
              <w:spacing w:before="51" w:line="177" w:lineRule="auto"/>
              <w:rPr/>
            </w:pPr>
            <w:r>
              <w:rPr>
                <w:color w:val="231F20"/>
                <w:spacing w:val="-1"/>
              </w:rPr>
              <w:t>药物及其剂量</w:t>
            </w:r>
          </w:p>
        </w:tc>
      </w:tr>
      <w:tr>
        <w:trPr>
          <w:trHeight w:val="534" w:hRule="atLeast"/>
        </w:trPr>
        <w:tc>
          <w:tcPr>
            <w:tcW w:w="2858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1218"/>
              <w:spacing w:before="91" w:line="165" w:lineRule="auto"/>
              <w:rPr/>
            </w:pPr>
            <w:r>
              <w:rPr>
                <w:color w:val="231F20"/>
                <w:spacing w:val="-2"/>
              </w:rPr>
              <w:t>高强度</w:t>
            </w:r>
          </w:p>
          <w:p>
            <w:pPr>
              <w:pStyle w:val="TableText"/>
              <w:ind w:left="205"/>
              <w:spacing w:line="200" w:lineRule="auto"/>
              <w:rPr/>
            </w:pPr>
            <w:r>
              <w:rPr>
                <w:color w:val="231F20"/>
                <w:spacing w:val="-1"/>
              </w:rPr>
              <w:t>（每日剂量可降低 LDL-C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≥ 50%）</w:t>
            </w:r>
          </w:p>
        </w:tc>
        <w:tc>
          <w:tcPr>
            <w:tcW w:w="1960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106" w:right="385" w:firstLine="10"/>
              <w:spacing w:before="50" w:line="207" w:lineRule="auto"/>
              <w:rPr/>
            </w:pPr>
            <w:r>
              <w:rPr>
                <w:color w:val="231F20"/>
                <w:spacing w:val="-14"/>
              </w:rPr>
              <w:t>阿托伐他汀 40~80 mg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瑞舒伐他汀 20 mg</w:t>
            </w:r>
          </w:p>
        </w:tc>
      </w:tr>
      <w:tr>
        <w:trPr>
          <w:trHeight w:val="2184" w:hRule="atLeast"/>
        </w:trPr>
        <w:tc>
          <w:tcPr>
            <w:shd w:val="clear" w:fill="E3EFF1"/>
            <w:tcW w:w="2858" w:type="dxa"/>
            <w:vAlign w:val="top"/>
            <w:tcBorders>
              <w:bottom w:val="single" w:color="007A7E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2"/>
              <w:spacing w:before="68" w:line="165" w:lineRule="auto"/>
              <w:rPr/>
            </w:pPr>
            <w:r>
              <w:rPr>
                <w:color w:val="231F20"/>
                <w:spacing w:val="-4"/>
              </w:rPr>
              <w:t>中等强度</w:t>
            </w:r>
          </w:p>
          <w:p>
            <w:pPr>
              <w:pStyle w:val="TableText"/>
              <w:ind w:right="4"/>
              <w:spacing w:line="200" w:lineRule="auto"/>
              <w:jc w:val="right"/>
              <w:rPr/>
            </w:pPr>
            <w:r>
              <w:rPr>
                <w:color w:val="231F20"/>
                <w:spacing w:val="-5"/>
              </w:rPr>
              <w:t>（每日剂量可降低 LDL-C 25%~&lt;50%）</w:t>
            </w:r>
          </w:p>
        </w:tc>
        <w:tc>
          <w:tcPr>
            <w:shd w:val="clear" w:fill="E3EFF1"/>
            <w:tcW w:w="1960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117"/>
              <w:spacing w:before="64" w:line="177" w:lineRule="auto"/>
              <w:rPr/>
            </w:pPr>
            <w:r>
              <w:rPr>
                <w:color w:val="231F20"/>
                <w:spacing w:val="-13"/>
              </w:rPr>
              <w:t>阿托伐他汀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10~20 mg</w:t>
            </w:r>
          </w:p>
          <w:p>
            <w:pPr>
              <w:pStyle w:val="TableText"/>
              <w:ind w:left="109" w:right="465" w:hanging="3"/>
              <w:spacing w:before="70" w:line="239" w:lineRule="auto"/>
              <w:rPr/>
            </w:pPr>
            <w:r>
              <w:rPr>
                <w:color w:val="231F20"/>
                <w:spacing w:val="-13"/>
              </w:rPr>
              <w:t>瑞舒伐他汀 5~10 mg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氟伐他汀 80 mg</w:t>
            </w:r>
          </w:p>
          <w:p>
            <w:pPr>
              <w:pStyle w:val="TableText"/>
              <w:ind w:left="111"/>
              <w:spacing w:line="177" w:lineRule="auto"/>
              <w:rPr/>
            </w:pPr>
            <w:r>
              <w:rPr>
                <w:color w:val="231F20"/>
                <w:spacing w:val="-9"/>
              </w:rPr>
              <w:t>洛伐他汀 40 mg</w:t>
            </w:r>
          </w:p>
          <w:p>
            <w:pPr>
              <w:pStyle w:val="TableText"/>
              <w:ind w:left="115"/>
              <w:spacing w:before="70" w:line="177" w:lineRule="auto"/>
              <w:rPr/>
            </w:pPr>
            <w:r>
              <w:rPr>
                <w:color w:val="231F20"/>
                <w:spacing w:val="-14"/>
              </w:rPr>
              <w:t>匹伐他汀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1~4 mg</w:t>
            </w:r>
          </w:p>
          <w:p>
            <w:pPr>
              <w:pStyle w:val="TableText"/>
              <w:ind w:left="106"/>
              <w:spacing w:before="71" w:line="177" w:lineRule="auto"/>
              <w:rPr/>
            </w:pPr>
            <w:r>
              <w:rPr>
                <w:color w:val="231F20"/>
                <w:spacing w:val="-9"/>
              </w:rPr>
              <w:t>普伐他汀 40 mg</w:t>
            </w:r>
          </w:p>
          <w:p>
            <w:pPr>
              <w:pStyle w:val="TableText"/>
              <w:ind w:left="107" w:right="545" w:hanging="1"/>
              <w:spacing w:before="71" w:line="205" w:lineRule="auto"/>
              <w:rPr/>
            </w:pPr>
            <w:r>
              <w:rPr>
                <w:color w:val="231F20"/>
                <w:spacing w:val="-14"/>
              </w:rPr>
              <w:t>辛伐他汀 20~40 mg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血脂康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1.2 g</w:t>
            </w:r>
          </w:p>
        </w:tc>
      </w:tr>
    </w:tbl>
    <w:p>
      <w:pPr>
        <w:pStyle w:val="BodyText"/>
        <w:ind w:right="176" w:firstLine="411"/>
        <w:spacing w:before="297" w:line="210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如应用中等强度他汀类药物（避免使用大剂量他汀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5"/>
        </w:rPr>
        <w:t>类药物）后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5"/>
        </w:rPr>
        <w:t>-C 仍不达标，则考虑联合治疗（联合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胆固醇吸收抑制剂或 / 和 PCSK9 抑制剂或其他药物）。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</w:rPr>
        <w:t>在应用他汀类药物期间，需关注与其他药物间的相互作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用。通过 CYP3A4 途径代谢的他汀类药物与免疫抑制剂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（如环孢菌素 A 等）、抗真菌药物、大环内酯类药物、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胺碘酮、吉非罗齐以及西柚汁等联用时，可能增加肌病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1"/>
        </w:rPr>
        <w:t>或肌溶解的风险，故使用上述药（食）物的患者应避免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"/>
        </w:rPr>
        <w:t>使用大剂量他汀类药物并监测不良反应。</w:t>
      </w:r>
    </w:p>
    <w:p>
      <w:pPr>
        <w:pStyle w:val="BodyText"/>
        <w:ind w:left="408"/>
        <w:spacing w:line="15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应用他汀类药物使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2"/>
        </w:rPr>
        <w:t>LDL-C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2"/>
        </w:rPr>
        <w:t>达标后应继续</w:t>
      </w:r>
      <w:r>
        <w:rPr>
          <w:sz w:val="20"/>
          <w:szCs w:val="20"/>
          <w:color w:val="231F20"/>
          <w:spacing w:val="-3"/>
        </w:rPr>
        <w:t>长期应用，</w:t>
      </w:r>
    </w:p>
    <w:p>
      <w:pPr>
        <w:spacing w:line="157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5663" w:space="100"/>
            <w:col w:w="5006" w:space="0"/>
          </w:cols>
        </w:sectPr>
        <w:rPr>
          <w:sz w:val="20"/>
          <w:szCs w:val="20"/>
        </w:rPr>
      </w:pPr>
    </w:p>
    <w:p>
      <w:pPr>
        <w:spacing w:before="45"/>
        <w:rPr/>
      </w:pPr>
      <w:r/>
    </w:p>
    <w:p>
      <w:pPr>
        <w:sectPr>
          <w:headerReference w:type="default" r:id="rId29"/>
          <w:pgSz w:w="11963" w:h="16158"/>
          <w:pgMar w:top="1253" w:right="785" w:bottom="0" w:left="407" w:header="87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61"/>
        <w:spacing w:before="50" w:line="17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如能耐受应避免停用。</w:t>
      </w:r>
    </w:p>
    <w:p>
      <w:pPr>
        <w:pStyle w:val="BodyText"/>
        <w:ind w:left="558" w:right="319" w:firstLine="436"/>
        <w:spacing w:before="46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目前报道的他汀类药物不良反应主要包括肝功能异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常、他汀类药物相关肌痛、肌酶升高、肌炎、横纹肌溶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解症（图 4</w:t>
      </w:r>
      <w:r>
        <w:rPr>
          <w:sz w:val="20"/>
          <w:szCs w:val="20"/>
          <w:color w:val="231F20"/>
          <w:spacing w:val="-1"/>
        </w:rPr>
        <w:t>）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"/>
        </w:rPr>
        <w:t>，</w:t>
      </w:r>
      <w:r>
        <w:rPr>
          <w:sz w:val="20"/>
          <w:szCs w:val="20"/>
          <w:color w:val="231F20"/>
        </w:rPr>
        <w:t>多呈剂量依赖性。长期、大剂量服</w:t>
      </w:r>
      <w:r>
        <w:rPr>
          <w:sz w:val="20"/>
          <w:szCs w:val="20"/>
          <w:color w:val="231F20"/>
          <w:spacing w:val="-1"/>
        </w:rPr>
        <w:t>用他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汀类药物有增加新发糖尿病的风险，但其对 ASCVD 的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总体益处远大于新发糖尿病的风险。</w:t>
      </w:r>
    </w:p>
    <w:p>
      <w:pPr>
        <w:pStyle w:val="BodyText"/>
        <w:ind w:left="558" w:right="318"/>
        <w:spacing w:before="2" w:line="20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4.1.2   胆固醇吸收抑制剂包括依折麦布和海博麦布。二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者均为口服用药，常规用法均为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10 mg，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6"/>
        </w:rPr>
        <w:t>1 次 /d。与他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汀类药物联用时，依折麦布可使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5"/>
        </w:rPr>
        <w:t>-C 水平进一步降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0"/>
          <w:position w:val="-1"/>
        </w:rPr>
        <w:t>低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sz w:val="20"/>
          <w:szCs w:val="20"/>
          <w:color w:val="231F20"/>
          <w:spacing w:val="-20"/>
          <w:position w:val="-1"/>
        </w:rPr>
        <w:t>18%~20%</w:t>
      </w:r>
      <w:r>
        <w:rPr>
          <w:sz w:val="11"/>
          <w:szCs w:val="11"/>
          <w:color w:val="231F20"/>
          <w:spacing w:val="-4"/>
          <w:position w:val="8"/>
        </w:rPr>
        <w:t>［21</w:t>
      </w:r>
      <w:r>
        <w:rPr>
          <w:sz w:val="11"/>
          <w:szCs w:val="11"/>
          <w:color w:val="231F20"/>
          <w:spacing w:val="-1"/>
          <w:position w:val="8"/>
        </w:rPr>
        <w:t>］</w:t>
      </w:r>
      <w:r>
        <w:rPr>
          <w:sz w:val="20"/>
          <w:szCs w:val="20"/>
          <w:color w:val="231F20"/>
          <w:spacing w:val="-1"/>
          <w:position w:val="-1"/>
        </w:rPr>
        <w:t>，</w:t>
      </w:r>
      <w:r>
        <w:rPr>
          <w:sz w:val="20"/>
          <w:szCs w:val="20"/>
          <w:color w:val="231F20"/>
          <w:spacing w:val="-4"/>
          <w:position w:val="-1"/>
        </w:rPr>
        <w:t>海博麦布进一步降低 16% 左右</w:t>
      </w:r>
      <w:r>
        <w:rPr>
          <w:sz w:val="11"/>
          <w:szCs w:val="11"/>
          <w:color w:val="231F20"/>
          <w:spacing w:val="-4"/>
          <w:position w:val="8"/>
        </w:rPr>
        <w:t>［22］</w:t>
      </w:r>
      <w:r>
        <w:rPr>
          <w:sz w:val="20"/>
          <w:szCs w:val="20"/>
          <w:color w:val="231F20"/>
          <w:spacing w:val="-4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</w:rPr>
        <w:t>胆固醇吸收抑制剂不良反应轻微，且多为一过性，主要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表现为头痛和消化道症状。也应关注其与他汀类药物联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用时，可发生肝酶增高和肌痛等不良反应，禁用于妊娠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期和哺乳期。</w:t>
      </w:r>
    </w:p>
    <w:p>
      <w:pPr>
        <w:pStyle w:val="BodyText"/>
        <w:ind w:left="558" w:right="318"/>
        <w:spacing w:before="46" w:line="20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4.1.3   PCSK9 抑制剂，目前获批上</w:t>
      </w:r>
      <w:r>
        <w:rPr>
          <w:sz w:val="20"/>
          <w:szCs w:val="20"/>
          <w:color w:val="231F20"/>
          <w:spacing w:val="-4"/>
        </w:rPr>
        <w:t>市的有依洛尤单抗、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阿利西尤单抗、托莱西单抗及小干扰 </w:t>
      </w:r>
      <w:r>
        <w:rPr>
          <w:sz w:val="20"/>
          <w:szCs w:val="20"/>
          <w:color w:val="231F20"/>
        </w:rPr>
        <w:t>RNA</w:t>
      </w:r>
      <w:r>
        <w:rPr>
          <w:sz w:val="20"/>
          <w:szCs w:val="20"/>
          <w:color w:val="231F20"/>
          <w:spacing w:val="1"/>
        </w:rPr>
        <w:t xml:space="preserve"> 英克司兰。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依洛尤单抗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140 mg 或阿利西尤单抗 75 mg，每 2 周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1 次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皮下注射，安全性和耐受性好，可使 LDL-C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水平明显降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低达 50%~70%，其严重不良事件、肌肉相关事件、新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</w:rPr>
        <w:t>发糖尿病、出血性卒中和神经认知事件等不良反应发生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率与安慰剂相似</w:t>
      </w:r>
      <w:r>
        <w:rPr>
          <w:sz w:val="11"/>
          <w:szCs w:val="11"/>
          <w:color w:val="231F20"/>
          <w:spacing w:val="-8"/>
          <w:position w:val="9"/>
        </w:rPr>
        <w:t>［23］</w:t>
      </w:r>
      <w:r>
        <w:rPr>
          <w:sz w:val="11"/>
          <w:szCs w:val="11"/>
          <w:color w:val="231F20"/>
          <w:spacing w:val="-9"/>
          <w:position w:val="9"/>
        </w:rPr>
        <w:t xml:space="preserve"> </w:t>
      </w:r>
      <w:r>
        <w:rPr>
          <w:sz w:val="20"/>
          <w:szCs w:val="20"/>
          <w:color w:val="231F20"/>
          <w:spacing w:val="-8"/>
        </w:rPr>
        <w:t>。托莱西单抗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150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mg，每 2 周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7"/>
        </w:rPr>
        <w:t>1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17"/>
        </w:rPr>
        <w:t>次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皮下注射，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6"/>
        </w:rPr>
        <w:t>-C 降幅类似</w:t>
      </w:r>
      <w:r>
        <w:rPr>
          <w:sz w:val="11"/>
          <w:szCs w:val="11"/>
          <w:color w:val="231F20"/>
          <w:spacing w:val="6"/>
          <w:position w:val="8"/>
        </w:rPr>
        <w:t>［24］</w:t>
      </w:r>
      <w:r>
        <w:rPr>
          <w:sz w:val="11"/>
          <w:szCs w:val="11"/>
          <w:color w:val="231F20"/>
          <w:spacing w:val="-10"/>
          <w:position w:val="8"/>
        </w:rPr>
        <w:t xml:space="preserve"> </w:t>
      </w:r>
      <w:r>
        <w:rPr>
          <w:sz w:val="20"/>
          <w:szCs w:val="20"/>
          <w:color w:val="231F20"/>
          <w:spacing w:val="6"/>
        </w:rPr>
        <w:t>。英克司</w:t>
      </w:r>
      <w:r>
        <w:rPr>
          <w:sz w:val="20"/>
          <w:szCs w:val="20"/>
          <w:color w:val="231F20"/>
          <w:spacing w:val="5"/>
        </w:rPr>
        <w:t>兰降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5"/>
        </w:rPr>
        <w:t>-C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的幅度与 </w:t>
      </w:r>
      <w:r>
        <w:rPr>
          <w:sz w:val="20"/>
          <w:szCs w:val="20"/>
          <w:color w:val="231F20"/>
        </w:rPr>
        <w:t>PCSK</w:t>
      </w:r>
      <w:r>
        <w:rPr>
          <w:sz w:val="20"/>
          <w:szCs w:val="20"/>
          <w:color w:val="231F20"/>
          <w:spacing w:val="1"/>
        </w:rPr>
        <w:t>9 单抗近似，但作用更持久，注射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1 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疗效可维持半年</w:t>
      </w:r>
      <w:r>
        <w:rPr>
          <w:sz w:val="11"/>
          <w:szCs w:val="11"/>
          <w:color w:val="231F20"/>
          <w:spacing w:val="2"/>
          <w:position w:val="8"/>
        </w:rPr>
        <w:t>［25］</w:t>
      </w:r>
      <w:r>
        <w:rPr>
          <w:sz w:val="20"/>
          <w:szCs w:val="20"/>
          <w:color w:val="231F20"/>
          <w:spacing w:val="2"/>
        </w:rPr>
        <w:t>。常见不良反应包括注射部位疼痛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或肿块、疲劳感、恶心以及肌肉疼痛等。</w:t>
      </w:r>
    </w:p>
    <w:p>
      <w:pPr>
        <w:pStyle w:val="BodyText"/>
        <w:ind w:left="558" w:right="318"/>
        <w:spacing w:before="39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4.1.4   普罗布考有抗氧化和延缓动脉粥样硬化作用。目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前主要联合其他降脂药物用于治疗家族性高胆固醇血症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"/>
        </w:rPr>
        <w:t>患者，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"/>
        </w:rPr>
        <w:t>以减轻皮肤黄色瘤的发生及严重程度。成年人常</w:t>
      </w:r>
    </w:p>
    <w:p>
      <w:pPr>
        <w:pStyle w:val="BodyText"/>
        <w:spacing w:before="297" w:line="178" w:lineRule="auto"/>
        <w:jc w:val="right"/>
        <w:rPr>
          <w:sz w:val="16"/>
          <w:szCs w:val="16"/>
        </w:rPr>
      </w:pP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699896</wp:posOffset>
            </wp:positionH>
            <wp:positionV relativeFrom="paragraph">
              <wp:posOffset>143489</wp:posOffset>
            </wp:positionV>
            <wp:extent cx="5709589" cy="2835008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589" cy="283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1"/>
        </w:rPr>
        <w:t>他汀类药物不良反应</w:t>
      </w:r>
    </w:p>
    <w:p>
      <w:pPr>
        <w:spacing w:line="5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4" w:line="18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用剂量为 0.5 g，2 次 /d。</w:t>
      </w:r>
    </w:p>
    <w:p>
      <w:pPr>
        <w:pStyle w:val="BodyText"/>
        <w:ind w:left="4" w:right="187" w:hanging="2"/>
        <w:spacing w:before="30" w:line="20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4.1.5   其他降脂药脂必泰是一种红曲与中药（山楂、泽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"/>
        </w:rPr>
        <w:t>泻、白术）的复合制剂，具有降低胆固醇的作用。</w:t>
      </w:r>
    </w:p>
    <w:p>
      <w:pPr>
        <w:ind w:left="3"/>
        <w:spacing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4.2    </w:t>
      </w:r>
      <w:r>
        <w:rPr>
          <w:rFonts w:ascii="SimHei" w:hAnsi="SimHei" w:eastAsia="SimHei" w:cs="SimHei"/>
          <w:sz w:val="20"/>
          <w:szCs w:val="20"/>
          <w:color w:val="231F20"/>
        </w:rPr>
        <w:t>主要降</w:t>
      </w:r>
      <w:r>
        <w:rPr>
          <w:rFonts w:ascii="SimHei" w:hAnsi="SimHei" w:eastAsia="SimHei" w:cs="SimHei"/>
          <w:sz w:val="20"/>
          <w:szCs w:val="20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药物</w:t>
      </w:r>
    </w:p>
    <w:p>
      <w:pPr>
        <w:pStyle w:val="BodyText"/>
        <w:ind w:left="8" w:right="197" w:firstLine="400"/>
        <w:spacing w:before="48" w:line="22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主要降 TG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的药物包括贝特类药物、ω-3 脂肪</w:t>
      </w:r>
      <w:r>
        <w:rPr>
          <w:sz w:val="20"/>
          <w:szCs w:val="20"/>
          <w:color w:val="231F20"/>
          <w:spacing w:val="-3"/>
        </w:rPr>
        <w:t>酸、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烟酸及其同类物（表 4）。</w:t>
      </w:r>
    </w:p>
    <w:p>
      <w:pPr>
        <w:pStyle w:val="BodyText"/>
        <w:ind w:left="1657"/>
        <w:spacing w:before="137" w:line="197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 </w:t>
      </w:r>
      <w:r>
        <w:rPr>
          <w:sz w:val="16"/>
          <w:szCs w:val="16"/>
          <w:color w:val="231F20"/>
          <w:spacing w:val="-5"/>
        </w:rPr>
        <w:t>主要降 TG 药物</w:t>
      </w:r>
    </w:p>
    <w:p>
      <w:pPr>
        <w:pStyle w:val="BodyText"/>
        <w:ind w:left="1302"/>
        <w:spacing w:line="18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Table 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  </w:t>
      </w:r>
      <w:r>
        <w:rPr>
          <w:sz w:val="16"/>
          <w:szCs w:val="16"/>
          <w:color w:val="231F20"/>
          <w:spacing w:val="-10"/>
        </w:rPr>
        <w:t>Main TG-lowering drugs</w:t>
      </w:r>
    </w:p>
    <w:tbl>
      <w:tblPr>
        <w:tblStyle w:val="TableNormal"/>
        <w:tblW w:w="48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3"/>
        <w:gridCol w:w="1393"/>
        <w:gridCol w:w="1120"/>
        <w:gridCol w:w="1712"/>
      </w:tblGrid>
      <w:tr>
        <w:trPr>
          <w:trHeight w:val="456" w:hRule="atLeast"/>
        </w:trPr>
        <w:tc>
          <w:tcPr>
            <w:shd w:val="clear" w:fill="C0D8DC"/>
            <w:tcW w:w="593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141"/>
              <w:spacing w:before="52" w:line="168" w:lineRule="auto"/>
              <w:rPr/>
            </w:pPr>
            <w:r>
              <w:rPr>
                <w:color w:val="231F20"/>
                <w:spacing w:val="-1"/>
              </w:rPr>
              <w:t>药物</w:t>
            </w:r>
          </w:p>
          <w:p>
            <w:pPr>
              <w:pStyle w:val="TableText"/>
              <w:ind w:left="141"/>
              <w:spacing w:line="175" w:lineRule="auto"/>
              <w:rPr/>
            </w:pPr>
            <w:r>
              <w:rPr>
                <w:color w:val="231F20"/>
                <w:spacing w:val="-1"/>
              </w:rPr>
              <w:t>分类</w:t>
            </w:r>
          </w:p>
        </w:tc>
        <w:tc>
          <w:tcPr>
            <w:shd w:val="clear" w:fill="C0D8DC"/>
            <w:tcW w:w="1393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387"/>
              <w:spacing w:before="148" w:line="178" w:lineRule="auto"/>
              <w:rPr/>
            </w:pPr>
            <w:r>
              <w:rPr>
                <w:color w:val="231F20"/>
                <w:spacing w:val="-2"/>
              </w:rPr>
              <w:t>常用药物</w:t>
            </w:r>
          </w:p>
        </w:tc>
        <w:tc>
          <w:tcPr>
            <w:shd w:val="clear" w:fill="C0D8DC"/>
            <w:tcW w:w="1120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414"/>
              <w:spacing w:before="150" w:line="176" w:lineRule="auto"/>
              <w:rPr/>
            </w:pPr>
            <w:r>
              <w:rPr>
                <w:color w:val="231F20"/>
                <w:spacing w:val="-1"/>
              </w:rPr>
              <w:t>剂量</w:t>
            </w:r>
          </w:p>
        </w:tc>
        <w:tc>
          <w:tcPr>
            <w:shd w:val="clear" w:fill="C0D8DC"/>
            <w:tcW w:w="1712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549"/>
              <w:spacing w:before="148" w:line="176" w:lineRule="auto"/>
              <w:rPr/>
            </w:pPr>
            <w:r>
              <w:rPr>
                <w:color w:val="231F20"/>
                <w:spacing w:val="-1"/>
              </w:rPr>
              <w:t>不良反应</w:t>
            </w:r>
          </w:p>
        </w:tc>
      </w:tr>
      <w:tr>
        <w:trPr>
          <w:trHeight w:val="1623" w:hRule="atLeast"/>
        </w:trPr>
        <w:tc>
          <w:tcPr>
            <w:tcW w:w="593" w:type="dxa"/>
            <w:vAlign w:val="top"/>
            <w:tcBorders>
              <w:top w:val="single" w:color="007A7E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9" w:line="177" w:lineRule="auto"/>
              <w:rPr/>
            </w:pPr>
            <w:r>
              <w:rPr>
                <w:color w:val="231F20"/>
                <w:spacing w:val="-3"/>
              </w:rPr>
              <w:t>贝特类</w:t>
            </w:r>
          </w:p>
        </w:tc>
        <w:tc>
          <w:tcPr>
            <w:tcW w:w="1393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62"/>
              <w:spacing w:before="52" w:line="177" w:lineRule="auto"/>
              <w:rPr/>
            </w:pPr>
            <w:r>
              <w:rPr>
                <w:color w:val="231F20"/>
                <w:spacing w:val="-1"/>
              </w:rPr>
              <w:t>非诺贝特片</w:t>
            </w:r>
          </w:p>
          <w:p>
            <w:pPr>
              <w:pStyle w:val="TableText"/>
              <w:ind w:left="61"/>
              <w:spacing w:before="70" w:line="177" w:lineRule="auto"/>
              <w:rPr/>
            </w:pPr>
            <w:r>
              <w:rPr>
                <w:color w:val="231F20"/>
                <w:spacing w:val="-1"/>
              </w:rPr>
              <w:t>微粒化非诺贝特</w:t>
            </w:r>
          </w:p>
          <w:p>
            <w:pPr>
              <w:pStyle w:val="TableText"/>
              <w:ind w:left="62" w:right="54"/>
              <w:spacing w:before="68"/>
              <w:rPr/>
            </w:pPr>
            <w:r>
              <w:rPr>
                <w:color w:val="231F20"/>
                <w:spacing w:val="-1"/>
              </w:rPr>
              <w:t>非诺贝特缓释胶囊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苯扎贝特</w:t>
            </w:r>
          </w:p>
          <w:p>
            <w:pPr>
              <w:pStyle w:val="TableText"/>
              <w:ind w:left="63"/>
              <w:spacing w:line="177" w:lineRule="auto"/>
              <w:rPr/>
            </w:pPr>
            <w:r>
              <w:rPr>
                <w:color w:val="231F20"/>
                <w:spacing w:val="-1"/>
              </w:rPr>
              <w:t>苯扎贝特缓释片</w:t>
            </w:r>
          </w:p>
          <w:p>
            <w:pPr>
              <w:pStyle w:val="TableText"/>
              <w:ind w:left="64"/>
              <w:spacing w:before="70" w:line="170" w:lineRule="auto"/>
              <w:rPr/>
            </w:pPr>
            <w:r>
              <w:rPr>
                <w:color w:val="231F20"/>
                <w:spacing w:val="-2"/>
              </w:rPr>
              <w:t>吉非贝齐</w:t>
            </w:r>
          </w:p>
        </w:tc>
        <w:tc>
          <w:tcPr>
            <w:tcW w:w="1120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63"/>
              <w:spacing w:before="48" w:line="189" w:lineRule="auto"/>
              <w:rPr/>
            </w:pPr>
            <w:r>
              <w:rPr>
                <w:color w:val="231F20"/>
                <w:spacing w:val="-10"/>
              </w:rPr>
              <w:t>0.1 g，3 次 /d</w:t>
            </w:r>
          </w:p>
          <w:p>
            <w:pPr>
              <w:pStyle w:val="TableText"/>
              <w:ind w:left="63" w:right="70"/>
              <w:spacing w:before="58" w:line="222" w:lineRule="auto"/>
              <w:rPr/>
            </w:pPr>
            <w:r>
              <w:rPr>
                <w:color w:val="231F20"/>
                <w:spacing w:val="-13"/>
              </w:rPr>
              <w:t>0.2 g，1 次 /d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3"/>
              </w:rPr>
              <w:t>0.25 g，1 次 /d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0.2 g，3 次 /d</w:t>
            </w:r>
          </w:p>
          <w:p>
            <w:pPr>
              <w:pStyle w:val="TableText"/>
              <w:ind w:left="63"/>
              <w:spacing w:before="57" w:line="189" w:lineRule="auto"/>
              <w:rPr/>
            </w:pPr>
            <w:r>
              <w:rPr>
                <w:color w:val="231F20"/>
                <w:spacing w:val="-10"/>
              </w:rPr>
              <w:t>0.4 g，1 次 /d</w:t>
            </w:r>
          </w:p>
          <w:p>
            <w:pPr>
              <w:pStyle w:val="TableText"/>
              <w:ind w:left="63"/>
              <w:spacing w:before="56" w:line="173" w:lineRule="auto"/>
              <w:rPr/>
            </w:pPr>
            <w:r>
              <w:rPr>
                <w:color w:val="231F20"/>
                <w:spacing w:val="-10"/>
              </w:rPr>
              <w:t>0.6 g，2 次 /d</w:t>
            </w:r>
          </w:p>
        </w:tc>
        <w:tc>
          <w:tcPr>
            <w:tcW w:w="1712" w:type="dxa"/>
            <w:vAlign w:val="top"/>
            <w:tcBorders>
              <w:top w:val="single" w:color="007A7E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 w:right="63" w:hanging="1"/>
              <w:spacing w:before="68" w:line="179" w:lineRule="auto"/>
              <w:rPr/>
            </w:pPr>
            <w:r>
              <w:rPr>
                <w:color w:val="231F20"/>
                <w:spacing w:val="14"/>
              </w:rPr>
              <w:t>包括肝脏、肌肉和肾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毒性等</w:t>
            </w:r>
          </w:p>
        </w:tc>
      </w:tr>
      <w:tr>
        <w:trPr>
          <w:trHeight w:val="655" w:hRule="atLeast"/>
        </w:trPr>
        <w:tc>
          <w:tcPr>
            <w:shd w:val="clear" w:fill="E3EFF1"/>
            <w:tcW w:w="593" w:type="dxa"/>
            <w:vAlign w:val="top"/>
          </w:tcPr>
          <w:p>
            <w:pPr>
              <w:pStyle w:val="TableText"/>
              <w:ind w:left="89"/>
              <w:spacing w:before="161" w:line="173" w:lineRule="auto"/>
              <w:rPr/>
            </w:pPr>
            <w:r>
              <w:rPr>
                <w:color w:val="231F20"/>
                <w:spacing w:val="-1"/>
              </w:rPr>
              <w:t>ω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-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3</w:t>
            </w:r>
          </w:p>
          <w:p>
            <w:pPr>
              <w:pStyle w:val="TableText"/>
              <w:ind w:left="59"/>
              <w:spacing w:line="176" w:lineRule="auto"/>
              <w:rPr/>
            </w:pPr>
            <w:r>
              <w:rPr>
                <w:color w:val="231F20"/>
                <w:spacing w:val="-1"/>
              </w:rPr>
              <w:t>脂肪酸</w:t>
            </w:r>
          </w:p>
        </w:tc>
        <w:tc>
          <w:tcPr>
            <w:shd w:val="clear" w:fill="E3EFF1"/>
            <w:tcW w:w="1393" w:type="dxa"/>
            <w:vAlign w:val="top"/>
          </w:tcPr>
          <w:p>
            <w:pPr>
              <w:pStyle w:val="TableText"/>
              <w:ind w:left="63"/>
              <w:spacing w:before="124" w:line="159" w:lineRule="auto"/>
              <w:rPr/>
            </w:pPr>
            <w:r>
              <w:rPr>
                <w:color w:val="231F20"/>
              </w:rPr>
              <w:t>IPE</w:t>
            </w:r>
          </w:p>
          <w:p>
            <w:pPr>
              <w:pStyle w:val="TableText"/>
              <w:ind w:left="63"/>
              <w:spacing w:before="145" w:line="160" w:lineRule="auto"/>
              <w:rPr/>
            </w:pPr>
            <w:r>
              <w:rPr>
                <w:color w:val="231F20"/>
                <w:spacing w:val="-9"/>
              </w:rPr>
              <w:t>EPA+DHA</w:t>
            </w:r>
          </w:p>
        </w:tc>
        <w:tc>
          <w:tcPr>
            <w:shd w:val="clear" w:fill="E3EFF1"/>
            <w:tcW w:w="1120" w:type="dxa"/>
            <w:vAlign w:val="top"/>
          </w:tcPr>
          <w:p>
            <w:pPr>
              <w:pStyle w:val="TableText"/>
              <w:ind w:left="76"/>
              <w:spacing w:before="257" w:line="189" w:lineRule="auto"/>
              <w:rPr/>
            </w:pPr>
            <w:r>
              <w:rPr>
                <w:color w:val="231F20"/>
                <w:spacing w:val="-14"/>
                <w:w w:val="92"/>
              </w:rPr>
              <w:t>1~4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4"/>
                <w:w w:val="92"/>
              </w:rPr>
              <w:t>g/d</w:t>
            </w:r>
          </w:p>
        </w:tc>
        <w:tc>
          <w:tcPr>
            <w:shd w:val="clear" w:fill="E3EFF1"/>
            <w:tcW w:w="1712" w:type="dxa"/>
            <w:vAlign w:val="top"/>
          </w:tcPr>
          <w:p>
            <w:pPr>
              <w:pStyle w:val="TableText"/>
              <w:ind w:left="76" w:right="63" w:firstLine="24"/>
              <w:spacing w:before="68" w:line="168" w:lineRule="auto"/>
              <w:rPr/>
            </w:pPr>
            <w:r>
              <w:rPr>
                <w:color w:val="231F20"/>
                <w:spacing w:val="11"/>
              </w:rPr>
              <w:t>胃肠道反应，大剂量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3"/>
              </w:rPr>
              <w:t>可能增加轻微出血、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新发心房颤动风险</w:t>
            </w:r>
          </w:p>
        </w:tc>
      </w:tr>
      <w:tr>
        <w:trPr>
          <w:trHeight w:val="934" w:hRule="atLeast"/>
        </w:trPr>
        <w:tc>
          <w:tcPr>
            <w:tcW w:w="593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63"/>
              <w:spacing w:before="210" w:line="165" w:lineRule="auto"/>
              <w:rPr/>
            </w:pPr>
            <w:r>
              <w:rPr>
                <w:color w:val="231F20"/>
                <w:spacing w:val="-2"/>
              </w:rPr>
              <w:t>烟酸及</w:t>
            </w:r>
          </w:p>
          <w:p>
            <w:pPr>
              <w:pStyle w:val="TableText"/>
              <w:ind w:left="62" w:right="54" w:hanging="3"/>
              <w:spacing w:line="180" w:lineRule="auto"/>
              <w:rPr/>
            </w:pPr>
            <w:r>
              <w:rPr>
                <w:color w:val="231F20"/>
                <w:spacing w:val="-1"/>
              </w:rPr>
              <w:t>其同类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物</w:t>
            </w:r>
          </w:p>
        </w:tc>
        <w:tc>
          <w:tcPr>
            <w:tcW w:w="1393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65"/>
              <w:spacing w:before="169" w:line="176" w:lineRule="auto"/>
              <w:rPr/>
            </w:pPr>
            <w:r>
              <w:rPr>
                <w:color w:val="231F20"/>
                <w:spacing w:val="-2"/>
              </w:rPr>
              <w:t>烟酸缓释片</w:t>
            </w:r>
          </w:p>
          <w:p>
            <w:pPr>
              <w:pStyle w:val="TableText"/>
              <w:ind w:left="72"/>
              <w:spacing w:before="261" w:line="180" w:lineRule="auto"/>
              <w:rPr/>
            </w:pPr>
            <w:r>
              <w:rPr>
                <w:color w:val="231F20"/>
                <w:spacing w:val="-3"/>
              </w:rPr>
              <w:t>阿昔莫司</w:t>
            </w:r>
          </w:p>
        </w:tc>
        <w:tc>
          <w:tcPr>
            <w:tcW w:w="1120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76" w:right="17" w:hanging="13"/>
              <w:spacing w:before="66" w:line="175" w:lineRule="auto"/>
              <w:rPr/>
            </w:pPr>
            <w:r>
              <w:rPr>
                <w:color w:val="231F20"/>
                <w:spacing w:val="-16"/>
              </w:rPr>
              <w:t>0.375~1.000 g，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0"/>
                <w:w w:val="95"/>
              </w:rPr>
              <w:t>1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0"/>
                <w:w w:val="95"/>
              </w:rPr>
              <w:t>次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0"/>
                <w:w w:val="95"/>
              </w:rPr>
              <w:t>/d</w:t>
            </w:r>
          </w:p>
          <w:p>
            <w:pPr>
              <w:pStyle w:val="TableText"/>
              <w:ind w:left="63"/>
              <w:spacing w:before="66" w:line="172" w:lineRule="auto"/>
              <w:rPr/>
            </w:pPr>
            <w:r>
              <w:rPr>
                <w:color w:val="231F20"/>
                <w:spacing w:val="-13"/>
              </w:rPr>
              <w:t>0.25~0.50 g，</w:t>
            </w:r>
          </w:p>
          <w:p>
            <w:pPr>
              <w:pStyle w:val="TableText"/>
              <w:ind w:left="63"/>
              <w:spacing w:line="169" w:lineRule="auto"/>
              <w:rPr/>
            </w:pPr>
            <w:r>
              <w:rPr>
                <w:color w:val="231F20"/>
                <w:spacing w:val="-10"/>
              </w:rPr>
              <w:t>2 次 /d</w:t>
            </w:r>
          </w:p>
        </w:tc>
        <w:tc>
          <w:tcPr>
            <w:tcW w:w="1712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76" w:right="55"/>
              <w:spacing w:before="114" w:line="173" w:lineRule="auto"/>
              <w:rPr/>
            </w:pPr>
            <w:r>
              <w:rPr>
                <w:color w:val="231F20"/>
                <w:spacing w:val="-4"/>
              </w:rPr>
              <w:t>颜面潮红、皮肤瘙痒、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皮疹、肝脏损害、高尿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酸血症、高血糖、棘皮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症和消化道不适等</w:t>
            </w:r>
          </w:p>
        </w:tc>
      </w:tr>
    </w:tbl>
    <w:p>
      <w:pPr>
        <w:pStyle w:val="BodyText"/>
        <w:ind w:left="1" w:right="178" w:firstLine="316"/>
        <w:spacing w:before="60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注：IPE= 二十碳五烯酸乙酯，EPA= 二十碳五烯酸，DHA= 二十二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6"/>
        </w:rPr>
        <w:t>碳六烯酸。</w:t>
      </w:r>
    </w:p>
    <w:p>
      <w:pPr>
        <w:ind w:left="3"/>
        <w:spacing w:before="166"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4.3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降脂药物的联合应用</w:t>
      </w:r>
    </w:p>
    <w:p>
      <w:pPr>
        <w:pStyle w:val="BodyText"/>
        <w:ind w:left="4" w:right="178" w:firstLine="407"/>
        <w:spacing w:before="48" w:line="21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降脂药物联合应用是当前血脂异常干预策略的趋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3"/>
        </w:rPr>
        <w:t>势，主要目的是提高血脂达标率，进一步降低 </w:t>
      </w: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风险，减少药物不良反应。目前可选择的降脂药物主要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1"/>
        </w:rPr>
        <w:t>联合应用方案见表 5。也可使用他汀类药物或 / 和胆固</w:t>
      </w:r>
    </w:p>
    <w:p>
      <w:pPr>
        <w:spacing w:line="215" w:lineRule="auto"/>
        <w:sectPr>
          <w:type w:val="continuous"/>
          <w:pgSz w:w="11963" w:h="16158"/>
          <w:pgMar w:top="1253" w:right="785" w:bottom="0" w:left="407" w:header="870" w:footer="0" w:gutter="0"/>
          <w:cols w:equalWidth="0" w:num="2">
            <w:col w:w="5693" w:space="78"/>
            <w:col w:w="4998" w:space="0"/>
          </w:cols>
        </w:sectPr>
        <w:rPr>
          <w:sz w:val="20"/>
          <w:szCs w:val="20"/>
        </w:rPr>
      </w:pPr>
    </w:p>
    <w:p>
      <w:pPr>
        <w:spacing w:before="96"/>
        <w:rPr/>
      </w:pPr>
      <w:r/>
    </w:p>
    <w:p>
      <w:pPr>
        <w:sectPr>
          <w:type w:val="continuous"/>
          <w:pgSz w:w="11963" w:h="16158"/>
          <w:pgMar w:top="1253" w:right="785" w:bottom="0" w:left="407" w:header="87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2488"/>
        <w:spacing w:before="30" w:line="17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肝功能异常</w:t>
      </w:r>
    </w:p>
    <w:p>
      <w:pPr>
        <w:spacing w:before="30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1" w:line="178" w:lineRule="auto"/>
        <w:rPr>
          <w:sz w:val="16"/>
          <w:szCs w:val="16"/>
        </w:rPr>
      </w:pPr>
      <w:r>
        <w:pict>
          <v:shape id="_x0000_s120" style="position:absolute;margin-left:21.2186pt;margin-top:13.3133pt;mso-position-vertical-relative:text;mso-position-horizontal-relative:text;width:0.5pt;height:10.7pt;z-index:-251598848;" filled="false" strokecolor="#231F20" strokeweight="0.50pt" coordsize="10,213" coordorigin="0,0" path="m5,0l5,213e">
            <v:stroke joinstyle="miter" miterlimit="4"/>
          </v:shape>
        </w:pict>
      </w:r>
      <w:r>
        <w:rPr>
          <w:sz w:val="16"/>
          <w:szCs w:val="16"/>
          <w:color w:val="231F20"/>
          <w:spacing w:val="-1"/>
        </w:rPr>
        <w:t>肌肉并发症</w:t>
      </w:r>
    </w:p>
    <w:p>
      <w:pPr>
        <w:spacing w:line="178" w:lineRule="auto"/>
        <w:sectPr>
          <w:type w:val="continuous"/>
          <w:pgSz w:w="11963" w:h="16158"/>
          <w:pgMar w:top="1253" w:right="785" w:bottom="0" w:left="407" w:header="870" w:footer="0" w:gutter="0"/>
          <w:cols w:equalWidth="0" w:num="2">
            <w:col w:w="6622" w:space="100"/>
            <w:col w:w="4048" w:space="0"/>
          </w:cols>
        </w:sectPr>
        <w:rPr>
          <w:sz w:val="16"/>
          <w:szCs w:val="16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1963" w:h="16158"/>
          <w:pgMar w:top="1253" w:right="785" w:bottom="0" w:left="407" w:header="87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right="18"/>
        <w:spacing w:before="64" w:line="178" w:lineRule="exact"/>
        <w:jc w:val="right"/>
        <w:rPr>
          <w:sz w:val="16"/>
          <w:szCs w:val="16"/>
        </w:rPr>
      </w:pPr>
      <w:r>
        <w:pict>
          <v:shape id="_x0000_s122" style="position:absolute;margin-left:68.9669pt;margin-top:0.836807pt;mso-position-vertical-relative:text;mso-position-horizontal-relative:text;width:63.15pt;height:13.9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8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ALT、AST  3 ULN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4"/>
          <w:position w:val="2"/>
        </w:rPr>
        <w:t>ALT、AST</w:t>
      </w:r>
      <w:r>
        <w:rPr>
          <w:sz w:val="16"/>
          <w:szCs w:val="16"/>
          <w:color w:val="231F20"/>
          <w:spacing w:val="16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≥ 3 ULN     </w:t>
      </w:r>
      <w:r>
        <w:rPr>
          <w:sz w:val="16"/>
          <w:szCs w:val="16"/>
          <w:color w:val="231F20"/>
          <w:spacing w:val="-5"/>
          <w:position w:val="2"/>
        </w:rPr>
        <w:t xml:space="preserve">    CK</w:t>
      </w:r>
    </w:p>
    <w:p>
      <w:pPr>
        <w:pStyle w:val="BodyText"/>
        <w:ind w:left="4419"/>
        <w:spacing w:before="152" w:line="17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无症状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2153" w:right="2037"/>
        <w:spacing w:before="69" w:line="175" w:lineRule="auto"/>
        <w:jc w:val="both"/>
        <w:rPr>
          <w:sz w:val="16"/>
          <w:szCs w:val="16"/>
        </w:rPr>
      </w:pPr>
      <w:r>
        <w:pict>
          <v:shape id="_x0000_s124" style="position:absolute;margin-left:170.819pt;margin-top:2.3471pt;mso-position-vertical-relative:text;mso-position-horizontal-relative:text;width:25.95pt;height:21.8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1" w:right="20" w:hanging="81"/>
                    <w:spacing w:before="21"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停药并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转诊</w:t>
                  </w:r>
                </w:p>
              </w:txbxContent>
            </v:textbox>
          </v:shape>
        </w:pict>
      </w:r>
      <w:r>
        <w:pict>
          <v:shape id="_x0000_s126" style="position:absolute;margin-left:58.979pt;margin-top:2.3791pt;mso-position-vertical-relative:text;mso-position-horizontal-relative:text;width:33.85pt;height:21.8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原剂量或</w:t>
                  </w:r>
                </w:p>
                <w:p>
                  <w:pPr>
                    <w:pStyle w:val="BodyText"/>
                    <w:ind w:left="20"/>
                    <w:spacing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减量观察</w:t>
                  </w:r>
                </w:p>
              </w:txbxContent>
            </v:textbox>
          </v:shape>
        </w:pict>
      </w:r>
      <w:r>
        <w:pict>
          <v:shape id="_x0000_s128" style="position:absolute;margin-left:216.609pt;margin-top:2.44311pt;mso-position-vertical-relative:text;mso-position-horizontal-relative:text;width:33.85pt;height:21.7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原剂量，</w:t>
                  </w:r>
                </w:p>
                <w:p>
                  <w:pPr>
                    <w:pStyle w:val="BodyText"/>
                    <w:ind w:left="21"/>
                    <w:spacing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密切观察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换用另一种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"/>
        </w:rPr>
        <w:t>代谢途径的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"/>
        </w:rPr>
        <w:t>他汀类药物</w:t>
      </w:r>
    </w:p>
    <w:p>
      <w:pPr>
        <w:spacing w:before="27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223" w:lineRule="auto"/>
        <w:rPr>
          <w:sz w:val="16"/>
          <w:szCs w:val="16"/>
        </w:rPr>
      </w:pPr>
      <w:r>
        <w:pict>
          <v:shape id="_x0000_s130" style="position:absolute;margin-left:197.336pt;margin-top:14.0964pt;mso-position-vertical-relative:text;mso-position-horizontal-relative:text;width:0.5pt;height:9.45pt;z-index:-251602944;" filled="false" strokecolor="#231F20" strokeweight="0.50pt" coordsize="10,188" coordorigin="0,0" path="m5,0l5,188e">
            <v:stroke joinstyle="miter" miterlimit="4"/>
          </v:shape>
        </w:pict>
      </w:r>
      <w:r>
        <w:pict>
          <v:shape id="_x0000_s132" style="position:absolute;margin-left:68.4173pt;margin-top:0.773888pt;mso-position-vertical-relative:text;mso-position-horizontal-relative:text;width:37.85pt;height:14.2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CK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≥ 4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且</w:t>
                  </w:r>
                </w:p>
              </w:txbxContent>
            </v:textbox>
          </v:shape>
        </w:pict>
      </w:r>
      <w:r>
        <w:pict>
          <v:shape id="_x0000_s134" style="position:absolute;margin-left:111.477pt;margin-top:0.773888pt;mso-position-vertical-relative:text;mso-position-horizontal-relative:text;width:26.1pt;height:14.8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3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8"/>
                    </w:rPr>
                    <w:t>1</w:t>
                  </w:r>
                  <w:r>
                    <w:rPr>
                      <w:sz w:val="16"/>
                      <w:szCs w:val="16"/>
                      <w:color w:val="231F20"/>
                      <w:spacing w:val="-17"/>
                    </w:rPr>
                    <w:t>0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7"/>
                    </w:rPr>
                    <w:t>UL</w:t>
                  </w:r>
                  <w:r>
                    <w:rPr>
                      <w:sz w:val="16"/>
                      <w:szCs w:val="16"/>
                      <w:color w:val="231F20"/>
                      <w:spacing w:val="-16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136" style="position:absolute;margin-left:173.102pt;margin-top:2.12589pt;mso-position-vertical-relative:text;mso-position-horizontal-relative:text;width:48.85pt;height:11.2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61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>CK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>≥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>10 ULN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7"/>
        </w:rPr>
        <w:t>4 ULN</w:t>
      </w:r>
    </w:p>
    <w:p>
      <w:pPr>
        <w:pStyle w:val="BodyText"/>
        <w:ind w:left="432"/>
        <w:spacing w:before="102" w:line="17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有症状</w:t>
      </w:r>
    </w:p>
    <w:p>
      <w:pPr>
        <w:pStyle w:val="BodyText"/>
        <w:ind w:left="3050" w:right="802" w:hanging="61"/>
        <w:spacing w:before="28" w:line="16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立即停用他汀类药物；检测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CK、尿肌红蛋白、肾功能</w:t>
      </w:r>
    </w:p>
    <w:p>
      <w:pPr>
        <w:pStyle w:val="BodyText"/>
        <w:ind w:left="1659" w:right="3252" w:hanging="1"/>
        <w:spacing w:before="1" w:line="175" w:lineRule="auto"/>
        <w:jc w:val="both"/>
        <w:rPr>
          <w:sz w:val="16"/>
          <w:szCs w:val="16"/>
        </w:rPr>
      </w:pPr>
      <w:r>
        <w:pict>
          <v:shape id="_x0000_s138" style="position:absolute;margin-left:37.9931pt;margin-top:31.1217pt;mso-position-vertical-relative:text;mso-position-horizontal-relative:text;width:0.5pt;height:10.7pt;z-index:-251600896;" filled="false" strokecolor="#231F20" strokeweight="0.50pt" coordsize="10,213" coordorigin="0,0" path="m5,0l5,213e">
            <v:stroke joinstyle="miter" miterlimit="4"/>
          </v:shape>
        </w:pict>
      </w:r>
      <w:r>
        <w:pict>
          <v:shape id="_x0000_s140" style="position:absolute;margin-left:197.336pt;margin-top:2.36783pt;mso-position-vertical-relative:text;mso-position-horizontal-relative:text;width:0.5pt;height:8.35pt;z-index:-251601920;" filled="false" strokecolor="#231F20" strokeweight="0.50pt" coordsize="10,167" coordorigin="0,0" path="m5,0l5,166e">
            <v:stroke joinstyle="miter" miterlimit="4"/>
          </v:shape>
        </w:pict>
      </w:r>
      <w:r>
        <w:pict>
          <v:shape id="_x0000_s142" style="position:absolute;margin-left:17.6102pt;margin-top:-0.97085pt;mso-position-vertical-relative:text;mso-position-horizontal-relative:text;width:41.95pt;height:31.3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20" w:line="175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停用他汀类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药物，监测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症状和 </w:t>
                  </w:r>
                  <w:r>
                    <w:rPr>
                      <w:sz w:val="16"/>
                      <w:szCs w:val="16"/>
                      <w:color w:val="231F20"/>
                    </w:rPr>
                    <w:t>CK</w:t>
                  </w:r>
                </w:p>
              </w:txbxContent>
            </v:textbox>
          </v:shape>
        </w:pict>
      </w:r>
      <w:r>
        <w:pict>
          <v:shape id="_x0000_s144" style="position:absolute;margin-left:180.496pt;margin-top:17.733pt;mso-position-vertical-relative:text;mso-position-horizontal-relative:text;width:33.85pt;height:12.2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立即转诊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停用他汀类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药物，监测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症状和 </w:t>
      </w:r>
      <w:r>
        <w:rPr>
          <w:sz w:val="16"/>
          <w:szCs w:val="16"/>
          <w:color w:val="231F20"/>
        </w:rPr>
        <w:t>CK</w:t>
      </w:r>
    </w:p>
    <w:p>
      <w:pPr>
        <w:spacing w:line="175" w:lineRule="auto"/>
        <w:sectPr>
          <w:type w:val="continuous"/>
          <w:pgSz w:w="11963" w:h="16158"/>
          <w:pgMar w:top="1253" w:right="785" w:bottom="0" w:left="407" w:header="870" w:footer="0" w:gutter="0"/>
          <w:cols w:equalWidth="0" w:num="2">
            <w:col w:w="4989" w:space="71"/>
            <w:col w:w="5709" w:space="0"/>
          </w:cols>
        </w:sectPr>
        <w:rPr>
          <w:sz w:val="16"/>
          <w:szCs w:val="16"/>
        </w:rPr>
      </w:pPr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1963" w:h="16158"/>
          <w:pgMar w:top="1253" w:right="785" w:bottom="0" w:left="407" w:header="87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395" w:right="1247" w:firstLine="37"/>
        <w:spacing w:before="31" w:line="179" w:lineRule="auto"/>
        <w:rPr>
          <w:sz w:val="16"/>
          <w:szCs w:val="16"/>
        </w:rPr>
      </w:pPr>
      <w:r>
        <w:pict>
          <v:shape id="_x0000_s146" style="position:absolute;margin-left:290.986pt;margin-top:22.1789pt;mso-position-vertical-relative:text;mso-position-horizontal-relative:text;width:0.5pt;height:10.7pt;z-index:-251597824;" filled="false" strokecolor="#231F20" strokeweight="0.50pt" coordsize="10,213" coordorigin="0,0" path="m5,0l5,213e">
            <v:stroke joinstyle="miter" miterlimit="4"/>
          </v:shape>
        </w:pict>
      </w:r>
      <w:r>
        <w:rPr>
          <w:sz w:val="16"/>
          <w:szCs w:val="16"/>
          <w:color w:val="231F20"/>
          <w:spacing w:val="-1"/>
        </w:rPr>
        <w:t>症状消失且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3"/>
        </w:rPr>
        <w:t>CK 恢复正常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5272" w:right="1049" w:hanging="80"/>
        <w:spacing w:before="69" w:line="16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换用另一种代谢途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"/>
        </w:rPr>
        <w:t>径的他汀类药物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1" w:right="2150" w:firstLine="37"/>
        <w:spacing w:before="29" w:line="179" w:lineRule="auto"/>
        <w:rPr>
          <w:sz w:val="16"/>
          <w:szCs w:val="16"/>
        </w:rPr>
      </w:pPr>
      <w:r>
        <w:pict>
          <v:shape id="_x0000_s148" style="position:absolute;margin-left:27.3771pt;margin-top:22.1099pt;mso-position-vertical-relative:text;mso-position-horizontal-relative:text;width:0.5pt;height:10.7pt;z-index:-251599872;" filled="false" strokecolor="#231F20" strokeweight="0.50pt" coordsize="10,213" coordorigin="0,0" path="m5,0l5,213e">
            <v:stroke joinstyle="miter" miterlimit="4"/>
          </v:shape>
        </w:pict>
      </w:r>
      <w:r>
        <w:rPr>
          <w:sz w:val="16"/>
          <w:szCs w:val="16"/>
          <w:color w:val="231F20"/>
          <w:spacing w:val="-1"/>
        </w:rPr>
        <w:t>症状消失且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3"/>
        </w:rPr>
        <w:t>CK 恢复正常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80" w:right="2032" w:hanging="80"/>
        <w:spacing w:before="69" w:line="16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联合用药或换用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非他汀类药物</w:t>
      </w:r>
    </w:p>
    <w:p>
      <w:pPr>
        <w:spacing w:line="168" w:lineRule="auto"/>
        <w:sectPr>
          <w:type w:val="continuous"/>
          <w:pgSz w:w="11963" w:h="16158"/>
          <w:pgMar w:top="1253" w:right="785" w:bottom="0" w:left="407" w:header="870" w:footer="0" w:gutter="0"/>
          <w:cols w:equalWidth="0" w:num="2">
            <w:col w:w="7520" w:space="100"/>
            <w:col w:w="3150" w:space="0"/>
          </w:cols>
        </w:sectPr>
        <w:rPr>
          <w:sz w:val="16"/>
          <w:szCs w:val="16"/>
        </w:rPr>
      </w:pPr>
    </w:p>
    <w:p>
      <w:pPr>
        <w:pStyle w:val="BodyText"/>
        <w:ind w:left="874"/>
        <w:spacing w:before="80" w:line="1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注：ALT= 丙氨酸氨基转移酶，AST= 天冬氨酸氨基转移酶，ULN= 参考值上限。</w:t>
      </w:r>
    </w:p>
    <w:p>
      <w:pPr>
        <w:pStyle w:val="BodyText"/>
        <w:ind w:left="4329"/>
        <w:spacing w:before="35" w:line="178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4    </w:t>
      </w:r>
      <w:r>
        <w:rPr>
          <w:sz w:val="16"/>
          <w:szCs w:val="16"/>
          <w:color w:val="231F20"/>
          <w:spacing w:val="-2"/>
        </w:rPr>
        <w:t>他汀类药物不良反应处理原则</w:t>
      </w:r>
    </w:p>
    <w:p>
      <w:pPr>
        <w:pStyle w:val="BodyText"/>
        <w:ind w:left="3875"/>
        <w:spacing w:before="12" w:line="161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4     </w:t>
      </w:r>
      <w:r>
        <w:rPr>
          <w:sz w:val="16"/>
          <w:szCs w:val="16"/>
          <w:color w:val="231F20"/>
          <w:spacing w:val="-13"/>
        </w:rPr>
        <w:t>Management of adverse reactions to statins</w:t>
      </w:r>
    </w:p>
    <w:p>
      <w:pPr>
        <w:spacing w:line="161" w:lineRule="auto"/>
        <w:sectPr>
          <w:type w:val="continuous"/>
          <w:pgSz w:w="11963" w:h="16158"/>
          <w:pgMar w:top="1253" w:right="785" w:bottom="0" w:left="407" w:header="870" w:footer="0" w:gutter="0"/>
          <w:cols w:equalWidth="0" w:num="1">
            <w:col w:w="10769" w:space="0"/>
          </w:cols>
        </w:sectPr>
        <w:rPr>
          <w:sz w:val="16"/>
          <w:szCs w:val="16"/>
        </w:rPr>
      </w:pPr>
    </w:p>
    <w:p>
      <w:pPr>
        <w:spacing w:before="179"/>
        <w:rPr/>
      </w:pPr>
      <w:r/>
    </w:p>
    <w:p>
      <w:pPr>
        <w:sectPr>
          <w:headerReference w:type="default" r:id="rId31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631"/>
        <w:spacing w:before="189" w:line="1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color w:val="231F20"/>
          <w:spacing w:val="-2"/>
        </w:rPr>
        <w:t>·2434·</w:t>
      </w:r>
      <w:r>
        <w:rPr>
          <w:color w:val="231F20"/>
          <w:spacing w:val="22"/>
          <w:w w:val="101"/>
        </w:rPr>
        <w:t xml:space="preserve"> </w:t>
      </w:r>
      <w:hyperlink w:history="true" r:id="rId3"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https</w:t>
        </w:r>
        <w:r>
          <w:rPr>
            <w:sz w:val="16"/>
            <w:szCs w:val="16"/>
            <w:u w:val="single" w:color="auto"/>
            <w:color w:val="231F20"/>
            <w:spacing w:val="-2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//www.chinagp.net    E-mail</w:t>
        </w:r>
        <w:r>
          <w:rPr>
            <w:sz w:val="16"/>
            <w:szCs w:val="16"/>
            <w:u w:val="single" w:color="auto"/>
            <w:color w:val="231F20"/>
            <w:spacing w:val="-2"/>
          </w:rPr>
          <w:t>:</w:t>
        </w:r>
        <w:r>
          <w:rPr>
            <w:sz w:val="16"/>
            <w:szCs w:val="16"/>
            <w:u w:val="single" w:color="auto"/>
            <w:color w:val="231F20"/>
            <w:spacing w:val="-14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zgqkyx@chinagp.net.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</w:rPr>
          <w:t>cn</w:t>
        </w:r>
      </w:hyperlink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7" w:line="239" w:lineRule="auto"/>
        <w:tabs>
          <w:tab w:val="left" w:pos="131"/>
        </w:tabs>
        <w:rPr/>
      </w:pPr>
      <w:r>
        <w:rPr>
          <w:sz w:val="16"/>
          <w:szCs w:val="16"/>
          <w:color w:val="231F20"/>
        </w:rPr>
        <w:tab/>
      </w:r>
      <w:r>
        <w:rPr>
          <w:sz w:val="16"/>
          <w:szCs w:val="16"/>
          <w:color w:val="231F20"/>
          <w:spacing w:val="-6"/>
        </w:rPr>
        <w:t>July 2024，Vol.27 No.20   </w:t>
      </w:r>
      <w:r>
        <w:rPr>
          <w:sz w:val="16"/>
          <w:szCs w:val="16"/>
          <w:position w:val="-4"/>
        </w:rPr>
        <w:drawing>
          <wp:inline distT="0" distB="0" distL="0" distR="0">
            <wp:extent cx="148353" cy="14139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53" cy="1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6"/>
          <w:position w:val="1"/>
        </w:rPr>
        <w:t>C</w:t>
      </w:r>
      <w:r>
        <w:rPr>
          <w:rFonts w:ascii="Times New Roman" w:hAnsi="Times New Roman" w:eastAsia="Times New Roman" w:cs="Times New Roman"/>
          <w:color w:val="231F20"/>
          <w:spacing w:val="-7"/>
          <w:position w:val="1"/>
        </w:rPr>
        <w:t>hinese General Practice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  <w:position w:val="1"/>
        </w:rPr>
        <w:t xml:space="preserve"> </w:t>
      </w:r>
      <w:r>
        <w:rPr>
          <w:position w:val="-4"/>
        </w:rPr>
        <w:drawing>
          <wp:inline distT="0" distB="0" distL="0" distR="0">
            <wp:extent cx="526017" cy="216679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7" cy="2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9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5603" w:space="100"/>
            <w:col w:w="5066" w:space="0"/>
          </w:cols>
        </w:sectPr>
        <w:rPr/>
      </w:pPr>
    </w:p>
    <w:p>
      <w:pPr>
        <w:pStyle w:val="BodyText"/>
        <w:ind w:left="4478"/>
        <w:spacing w:before="283" w:line="197" w:lineRule="auto"/>
        <w:rPr>
          <w:sz w:val="16"/>
          <w:szCs w:val="16"/>
        </w:rPr>
      </w:pPr>
      <w:r>
        <w:pict>
          <v:shape id="_x0000_s154" style="position:absolute;margin-left:285.393pt;margin-top:-14.3002pt;mso-position-vertical-relative:text;mso-position-horizontal-relative:text;width:94.75pt;height:0.5pt;z-index:-251575296;" filled="false" strokecolor="#811A36" strokeweight="0.50pt" coordsize="1895,10" coordorigin="0,0" path="m0,5l1894,5e">
            <v:stroke joinstyle="miter" miterlimit="4"/>
          </v:shape>
        </w:pic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    </w:t>
      </w:r>
      <w:r>
        <w:rPr>
          <w:sz w:val="16"/>
          <w:szCs w:val="16"/>
          <w:color w:val="231F20"/>
          <w:spacing w:val="-1"/>
        </w:rPr>
        <w:t>降脂药物的联合应用策略</w:t>
      </w:r>
    </w:p>
    <w:p>
      <w:pPr>
        <w:pStyle w:val="BodyText"/>
        <w:ind w:left="4103"/>
        <w:spacing w:line="18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>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-12"/>
        </w:rPr>
        <w:t>Combination of lipid-lowering drugs</w:t>
      </w:r>
    </w:p>
    <w:tbl>
      <w:tblPr>
        <w:tblStyle w:val="TableNormal"/>
        <w:tblW w:w="10034" w:type="dxa"/>
        <w:tblInd w:w="5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12"/>
        <w:gridCol w:w="3054"/>
        <w:gridCol w:w="2468"/>
      </w:tblGrid>
      <w:tr>
        <w:trPr>
          <w:trHeight w:val="299" w:hRule="atLeast"/>
        </w:trPr>
        <w:tc>
          <w:tcPr>
            <w:shd w:val="clear" w:fill="C0D8DC"/>
            <w:tcW w:w="4512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1937"/>
              <w:spacing w:before="47" w:line="199" w:lineRule="auto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联合应用策略 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a</w:t>
            </w:r>
          </w:p>
        </w:tc>
        <w:tc>
          <w:tcPr>
            <w:shd w:val="clear" w:fill="C0D8DC"/>
            <w:tcW w:w="3054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1566"/>
              <w:spacing w:before="71" w:line="177" w:lineRule="auto"/>
              <w:rPr/>
            </w:pPr>
            <w:r>
              <w:rPr>
                <w:color w:val="231F20"/>
                <w:spacing w:val="-1"/>
              </w:rPr>
              <w:t>适用情况</w:t>
            </w:r>
          </w:p>
        </w:tc>
        <w:tc>
          <w:tcPr>
            <w:shd w:val="clear" w:fill="C0D8DC"/>
            <w:tcW w:w="2468" w:type="dxa"/>
            <w:vAlign w:val="top"/>
            <w:tcBorders>
              <w:bottom w:val="single" w:color="007A7E" w:sz="4" w:space="0"/>
              <w:top w:val="single" w:color="007A7E" w:sz="6" w:space="0"/>
            </w:tcBorders>
          </w:tcPr>
          <w:p>
            <w:pPr>
              <w:pStyle w:val="TableText"/>
              <w:ind w:left="916"/>
              <w:spacing w:before="67" w:line="194" w:lineRule="auto"/>
              <w:rPr/>
            </w:pPr>
            <w:r>
              <w:rPr>
                <w:color w:val="231F20"/>
                <w:spacing w:val="-1"/>
              </w:rPr>
              <w:t>安全性关注点</w:t>
            </w:r>
          </w:p>
        </w:tc>
      </w:tr>
      <w:tr>
        <w:trPr>
          <w:trHeight w:val="297" w:hRule="atLeast"/>
        </w:trPr>
        <w:tc>
          <w:tcPr>
            <w:tcW w:w="4512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59"/>
              <w:spacing w:before="71" w:line="178" w:lineRule="auto"/>
              <w:rPr/>
            </w:pPr>
            <w:r>
              <w:rPr>
                <w:color w:val="231F20"/>
                <w:spacing w:val="-4"/>
              </w:rPr>
              <w:t>他汀类药物 + 胆固醇吸收抑制剂</w:t>
            </w:r>
          </w:p>
        </w:tc>
        <w:tc>
          <w:tcPr>
            <w:tcW w:w="3054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457"/>
              <w:spacing w:before="69" w:line="180" w:lineRule="auto"/>
              <w:rPr/>
            </w:pPr>
            <w:r>
              <w:rPr>
                <w:color w:val="231F20"/>
                <w:spacing w:val="-1"/>
              </w:rPr>
              <w:t>单药治疗后 LDL-C 不达标</w:t>
            </w:r>
          </w:p>
        </w:tc>
        <w:tc>
          <w:tcPr>
            <w:tcW w:w="2468" w:type="dxa"/>
            <w:vAlign w:val="top"/>
            <w:tcBorders>
              <w:top w:val="single" w:color="007A7E" w:sz="4" w:space="0"/>
            </w:tcBorders>
          </w:tcPr>
          <w:p>
            <w:pPr>
              <w:pStyle w:val="TableText"/>
              <w:ind w:left="381"/>
              <w:spacing w:before="70" w:line="178" w:lineRule="auto"/>
              <w:rPr/>
            </w:pPr>
            <w:r>
              <w:rPr>
                <w:color w:val="231F20"/>
                <w:spacing w:val="-2"/>
              </w:rPr>
              <w:t>常规监测</w:t>
            </w:r>
          </w:p>
        </w:tc>
      </w:tr>
      <w:tr>
        <w:trPr>
          <w:trHeight w:val="307" w:hRule="atLeast"/>
        </w:trPr>
        <w:tc>
          <w:tcPr>
            <w:shd w:val="clear" w:fill="ECF5F6"/>
            <w:tcW w:w="4512" w:type="dxa"/>
            <w:vAlign w:val="top"/>
          </w:tcPr>
          <w:p>
            <w:pPr>
              <w:pStyle w:val="TableText"/>
              <w:ind w:left="59"/>
              <w:spacing w:before="83" w:line="178" w:lineRule="auto"/>
              <w:rPr/>
            </w:pPr>
            <w:r>
              <w:rPr>
                <w:color w:val="231F20"/>
                <w:spacing w:val="-6"/>
              </w:rPr>
              <w:t>他汀类药物 +PCSK9 抑制剂</w:t>
            </w:r>
          </w:p>
        </w:tc>
        <w:tc>
          <w:tcPr>
            <w:shd w:val="clear" w:fill="ECF5F6"/>
            <w:tcW w:w="3054" w:type="dxa"/>
            <w:vAlign w:val="top"/>
          </w:tcPr>
          <w:p>
            <w:pPr>
              <w:pStyle w:val="TableText"/>
              <w:ind w:left="457"/>
              <w:spacing w:before="82" w:line="180" w:lineRule="auto"/>
              <w:rPr/>
            </w:pPr>
            <w:r>
              <w:rPr>
                <w:color w:val="231F20"/>
                <w:spacing w:val="-1"/>
              </w:rPr>
              <w:t>单药治疗后 LDL-C 不达标</w:t>
            </w:r>
          </w:p>
        </w:tc>
        <w:tc>
          <w:tcPr>
            <w:shd w:val="clear" w:fill="ECF5F6"/>
            <w:tcW w:w="2468" w:type="dxa"/>
            <w:vAlign w:val="top"/>
          </w:tcPr>
          <w:p>
            <w:pPr>
              <w:pStyle w:val="TableText"/>
              <w:ind w:left="381"/>
              <w:spacing w:before="83" w:line="178" w:lineRule="auto"/>
              <w:rPr/>
            </w:pPr>
            <w:r>
              <w:rPr>
                <w:color w:val="231F20"/>
                <w:spacing w:val="-2"/>
              </w:rPr>
              <w:t>常规监测</w:t>
            </w:r>
          </w:p>
        </w:tc>
      </w:tr>
      <w:tr>
        <w:trPr>
          <w:trHeight w:val="307" w:hRule="atLeast"/>
        </w:trPr>
        <w:tc>
          <w:tcPr>
            <w:tcW w:w="4512" w:type="dxa"/>
            <w:vAlign w:val="top"/>
          </w:tcPr>
          <w:p>
            <w:pPr>
              <w:pStyle w:val="TableText"/>
              <w:ind w:left="59"/>
              <w:spacing w:before="86" w:line="178" w:lineRule="auto"/>
              <w:rPr/>
            </w:pPr>
            <w:r>
              <w:rPr>
                <w:color w:val="231F20"/>
                <w:spacing w:val="-5"/>
              </w:rPr>
              <w:t>他汀类药物 + 胆固醇吸收抑制剂 +PCSK9 抑</w:t>
            </w:r>
            <w:r>
              <w:rPr>
                <w:color w:val="231F20"/>
                <w:spacing w:val="-6"/>
              </w:rPr>
              <w:t>制剂</w:t>
            </w:r>
          </w:p>
        </w:tc>
        <w:tc>
          <w:tcPr>
            <w:tcW w:w="3054" w:type="dxa"/>
            <w:vAlign w:val="top"/>
          </w:tcPr>
          <w:p>
            <w:pPr>
              <w:pStyle w:val="TableText"/>
              <w:ind w:left="460"/>
              <w:spacing w:before="86" w:line="178" w:lineRule="auto"/>
              <w:rPr/>
            </w:pPr>
            <w:r>
              <w:rPr>
                <w:color w:val="231F20"/>
                <w:spacing w:val="-1"/>
              </w:rPr>
              <w:t>双联用药后 LDL-C 不达标</w:t>
            </w:r>
          </w:p>
        </w:tc>
        <w:tc>
          <w:tcPr>
            <w:tcW w:w="2468" w:type="dxa"/>
            <w:vAlign w:val="top"/>
          </w:tcPr>
          <w:p>
            <w:pPr>
              <w:pStyle w:val="TableText"/>
              <w:ind w:left="381"/>
              <w:spacing w:before="85" w:line="178" w:lineRule="auto"/>
              <w:rPr/>
            </w:pPr>
            <w:r>
              <w:rPr>
                <w:color w:val="231F20"/>
                <w:spacing w:val="-2"/>
              </w:rPr>
              <w:t>常规监测</w:t>
            </w:r>
          </w:p>
        </w:tc>
      </w:tr>
      <w:tr>
        <w:trPr>
          <w:trHeight w:val="307" w:hRule="atLeast"/>
        </w:trPr>
        <w:tc>
          <w:tcPr>
            <w:shd w:val="clear" w:fill="ECF5F6"/>
            <w:tcW w:w="4512" w:type="dxa"/>
            <w:vAlign w:val="top"/>
          </w:tcPr>
          <w:p>
            <w:pPr>
              <w:pStyle w:val="TableText"/>
              <w:ind w:left="59"/>
              <w:spacing w:before="89" w:line="173" w:lineRule="auto"/>
              <w:rPr/>
            </w:pPr>
            <w:r>
              <w:rPr>
                <w:color w:val="231F20"/>
                <w:spacing w:val="-3"/>
              </w:rPr>
              <w:t>他汀类药物 +ω-3 脂肪酸（IPE、EPA+DHA）或非诺贝特</w:t>
            </w:r>
          </w:p>
        </w:tc>
        <w:tc>
          <w:tcPr>
            <w:shd w:val="clear" w:fill="ECF5F6"/>
            <w:tcW w:w="3054" w:type="dxa"/>
            <w:vAlign w:val="top"/>
          </w:tcPr>
          <w:p>
            <w:pPr>
              <w:pStyle w:val="TableText"/>
              <w:ind w:left="460"/>
              <w:spacing w:before="84" w:line="186" w:lineRule="auto"/>
              <w:rPr/>
            </w:pPr>
            <w:r>
              <w:rPr>
                <w:color w:val="231F20"/>
                <w:spacing w:val="-9"/>
              </w:rPr>
              <w:t>LDL-C 达标、TG 2.3~5.7 mmol/L</w:t>
            </w:r>
          </w:p>
        </w:tc>
        <w:tc>
          <w:tcPr>
            <w:shd w:val="clear" w:fill="ECF5F6"/>
            <w:tcW w:w="2468" w:type="dxa"/>
            <w:vAlign w:val="top"/>
          </w:tcPr>
          <w:p>
            <w:pPr>
              <w:pStyle w:val="TableText"/>
              <w:ind w:left="378"/>
              <w:spacing w:before="89" w:line="176" w:lineRule="auto"/>
              <w:rPr/>
            </w:pPr>
            <w:r>
              <w:rPr>
                <w:color w:val="231F20"/>
                <w:spacing w:val="-1"/>
              </w:rPr>
              <w:t>心房颤动、出血、肾功能</w:t>
            </w:r>
          </w:p>
        </w:tc>
      </w:tr>
      <w:tr>
        <w:trPr>
          <w:trHeight w:val="315" w:hRule="atLeast"/>
        </w:trPr>
        <w:tc>
          <w:tcPr>
            <w:tcW w:w="4512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67"/>
              <w:spacing w:before="91" w:line="173" w:lineRule="auto"/>
              <w:rPr/>
            </w:pPr>
            <w:r>
              <w:rPr>
                <w:color w:val="231F20"/>
                <w:spacing w:val="-3"/>
              </w:rPr>
              <w:t>贝特类药物 +ω-3 脂肪酸（IPE、EPA+DHA）</w:t>
            </w:r>
          </w:p>
        </w:tc>
        <w:tc>
          <w:tcPr>
            <w:tcW w:w="3054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457"/>
              <w:spacing w:before="86" w:line="191" w:lineRule="auto"/>
              <w:rPr/>
            </w:pPr>
            <w:r>
              <w:rPr>
                <w:color w:val="231F20"/>
                <w:spacing w:val="-8"/>
              </w:rPr>
              <w:t>单药治疗后 TG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≥ 5.7 mmol/L</w:t>
            </w:r>
          </w:p>
        </w:tc>
        <w:tc>
          <w:tcPr>
            <w:tcW w:w="2468" w:type="dxa"/>
            <w:vAlign w:val="top"/>
            <w:tcBorders>
              <w:bottom w:val="single" w:color="007A7E" w:sz="6" w:space="0"/>
            </w:tcBorders>
          </w:tcPr>
          <w:p>
            <w:pPr>
              <w:pStyle w:val="TableText"/>
              <w:ind w:left="381"/>
              <w:spacing w:before="90" w:line="178" w:lineRule="auto"/>
              <w:rPr/>
            </w:pPr>
            <w:r>
              <w:rPr>
                <w:color w:val="231F20"/>
                <w:spacing w:val="-2"/>
              </w:rPr>
              <w:t>常规监测</w:t>
            </w:r>
          </w:p>
        </w:tc>
      </w:tr>
    </w:tbl>
    <w:p>
      <w:pPr>
        <w:pStyle w:val="BodyText"/>
        <w:ind w:left="874"/>
        <w:spacing w:before="36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注：PCSK9= 前蛋白转化酶枯草溶菌素 9；</w:t>
      </w:r>
      <w:r>
        <w:rPr>
          <w:sz w:val="9"/>
          <w:szCs w:val="9"/>
          <w:color w:val="231F20"/>
          <w:spacing w:val="-2"/>
          <w:position w:val="7"/>
        </w:rPr>
        <w:t>a</w:t>
      </w:r>
      <w:r>
        <w:rPr>
          <w:sz w:val="9"/>
          <w:szCs w:val="9"/>
          <w:color w:val="231F20"/>
          <w:spacing w:val="17"/>
          <w:position w:val="7"/>
        </w:rPr>
        <w:t xml:space="preserve"> </w:t>
      </w:r>
      <w:r>
        <w:rPr>
          <w:sz w:val="16"/>
          <w:szCs w:val="16"/>
          <w:color w:val="231F20"/>
          <w:spacing w:val="-2"/>
        </w:rPr>
        <w:t>联合应用策略中的他汀类药物均指</w:t>
      </w:r>
      <w:r>
        <w:rPr>
          <w:sz w:val="16"/>
          <w:szCs w:val="16"/>
          <w:color w:val="231F20"/>
          <w:spacing w:val="-3"/>
        </w:rPr>
        <w:t>中等强度他汀类药物（具体药物和剂量见表 3）。</w:t>
      </w:r>
    </w:p>
    <w:p>
      <w:pPr>
        <w:spacing w:before="76"/>
        <w:rPr/>
      </w:pPr>
      <w:r/>
    </w:p>
    <w:p>
      <w:pPr>
        <w:sectPr>
          <w:type w:val="continuous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61"/>
        <w:spacing w:before="40" w:line="17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醇吸收抑制剂固定复方制剂进一步提高依从性。</w:t>
      </w:r>
    </w:p>
    <w:p>
      <w:pPr>
        <w:ind w:left="560"/>
        <w:spacing w:before="174" w:line="241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007A7E"/>
          <w:spacing w:val="-1"/>
        </w:rPr>
        <w:t>5    </w:t>
      </w:r>
      <w:r>
        <w:rPr>
          <w:rFonts w:ascii="SimHei" w:hAnsi="SimHei" w:eastAsia="SimHei" w:cs="SimHei"/>
          <w:sz w:val="22"/>
          <w:szCs w:val="22"/>
          <w:color w:val="007A7E"/>
          <w:spacing w:val="-1"/>
        </w:rPr>
        <w:t>特定人群的血脂管理</w:t>
      </w:r>
    </w:p>
    <w:p>
      <w:pPr>
        <w:ind w:left="560"/>
        <w:spacing w:before="155" w:line="263" w:lineRule="exact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  <w:position w:val="1"/>
        </w:rPr>
        <w:t>5.1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2"/>
          <w:position w:val="1"/>
        </w:rPr>
        <w:t>高血压患者</w:t>
      </w:r>
    </w:p>
    <w:p>
      <w:pPr>
        <w:pStyle w:val="BodyText"/>
        <w:ind w:left="558" w:right="211" w:firstLine="401"/>
        <w:spacing w:before="47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20"/>
        </w:rPr>
        <w:t>高血压患者能从强化降脂中明显获益。应根据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ASCVD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5"/>
        </w:rPr>
        <w:t>危险分层确定高血压患者相应的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5"/>
        </w:rPr>
        <w:t>LDL-C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目标值。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对于高血压合并危险因素归为 ASCVD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中危及以上患者，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应予以积极降胆固醇治疗，LDL-C 至少应 &lt;2.6 mmol/L。</w:t>
      </w:r>
    </w:p>
    <w:p>
      <w:pPr>
        <w:ind w:left="560"/>
        <w:spacing w:before="1"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5.2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糖尿病患者</w:t>
      </w:r>
    </w:p>
    <w:p>
      <w:pPr>
        <w:pStyle w:val="BodyText"/>
        <w:ind w:left="558" w:right="288" w:firstLine="396"/>
        <w:spacing w:before="49" w:line="23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对于糖尿病患者，推荐同时采用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4"/>
        </w:rPr>
        <w:t>LDL-C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4"/>
        </w:rPr>
        <w:t>和</w:t>
      </w:r>
      <w:r>
        <w:rPr>
          <w:sz w:val="20"/>
          <w:szCs w:val="20"/>
          <w:color w:val="231F20"/>
          <w:spacing w:val="-5"/>
        </w:rPr>
        <w:t>非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5"/>
        </w:rPr>
        <w:t>HDL-C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作为降脂靶点。</w:t>
      </w:r>
    </w:p>
    <w:p>
      <w:pPr>
        <w:pStyle w:val="BodyText"/>
        <w:ind w:firstLine="555"/>
        <w:spacing w:before="155" w:line="3121" w:lineRule="exact"/>
        <w:rPr/>
      </w:pPr>
      <w:r>
        <w:rPr>
          <w:position w:val="-62"/>
        </w:rPr>
        <w:pict>
          <v:group id="_x0000_s156" style="mso-position-vertical-relative:line;mso-position-horizontal-relative:char;width:240.95pt;height:156.05pt;" filled="false" stroked="false" coordsize="4818,3121" coordorigin="0,0">
            <v:rect id="_x0000_s158" style="position:absolute;left:0;top:7;width:4818;height:3113;" fillcolor="#C0D8DC" filled="true" stroked="false"/>
            <v:shape id="_x0000_s160" style="position:absolute;left:38;top:36;width:4745;height:30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9"/>
                      <w:spacing w:before="19" w:line="24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231F20"/>
                        <w:spacing w:val="-1"/>
                      </w:rPr>
                      <w:t>糖尿病患者血脂目标值建议</w:t>
                    </w:r>
                  </w:p>
                  <w:p>
                    <w:pPr>
                      <w:ind w:left="24" w:right="30" w:firstLine="10"/>
                      <w:spacing w:before="45" w:line="209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  <w:position w:val="-1"/>
                      </w:rPr>
                      <w:t>1. 糖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5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  <w:position w:val="-1"/>
                      </w:rPr>
                      <w:t>尿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8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  <w:position w:val="-1"/>
                      </w:rPr>
                      <w:t>病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8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  <w:position w:val="-1"/>
                      </w:rPr>
                      <w:t>合并 ASCVD：LDL-C&lt;1.4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9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  <w:position w:val="-1"/>
                      </w:rPr>
                      <w:t>mmol/L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4"/>
                        <w:position w:val="6"/>
                      </w:rPr>
                      <w:t>［10，21，26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3"/>
                        <w:position w:val="6"/>
                      </w:rPr>
                      <w:t>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3"/>
                        <w:position w:val="-1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4"/>
                        <w:position w:val="-1"/>
                      </w:rPr>
                      <w:t>且降低幅度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4"/>
                      </w:rPr>
                      <w:t>&gt;50%。</w:t>
                    </w:r>
                  </w:p>
                  <w:p>
                    <w:pPr>
                      <w:ind w:left="20" w:right="20" w:firstLine="1"/>
                      <w:spacing w:before="43" w:line="208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4"/>
                      </w:rPr>
                      <w:t>2.ASCVD 风险为高危的糖尿病患者：LDL-C&lt;1.8 mmol/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5"/>
                      </w:rPr>
                      <w:t>L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5"/>
                        <w:position w:val="7"/>
                      </w:rPr>
                      <w:t>［27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6"/>
                        <w:position w:val="7"/>
                      </w:rPr>
                      <w:t>］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5"/>
                        <w:position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6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5"/>
                      </w:rPr>
                      <w:t>且降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低幅度 &gt;50%（ASCVD 风险为高危的糖尿病患者指年龄≥ 40 岁，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</w:rPr>
                      <w:t>或 20~39 岁有≥ 3 个危险因素，或合并靶器官损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3"/>
                      </w:rPr>
                      <w:t>害，或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3"/>
                      </w:rPr>
                      <w:t>1 型糖尿病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病程≥ 20 年。主要危险因素包括高血压、血脂异常、吸烟、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</w:rPr>
                      <w:t>肥胖、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2"/>
                      </w:rPr>
                      <w:t>早发冠心病家族史；靶器官损害包括蛋白尿、肾功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"/>
                      </w:rPr>
                      <w:t>能损害、左心室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</w:rPr>
                      <w:t>肥厚或视网膜病变）。</w:t>
                    </w:r>
                  </w:p>
                  <w:p>
                    <w:pPr>
                      <w:ind w:left="25"/>
                      <w:spacing w:before="51" w:line="22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7"/>
                      </w:rPr>
                      <w:t>3.ASCVD 风险为低、中危的糖尿病患者：LDL-C &lt;2.6 mmol/L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4"/>
                        <w:position w:val="7"/>
                      </w:rPr>
                      <w:t>［17］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4"/>
                      </w:rPr>
                      <w:t>。</w:t>
                    </w:r>
                  </w:p>
                  <w:p>
                    <w:pPr>
                      <w:ind w:left="34" w:right="27" w:hanging="14"/>
                      <w:spacing w:before="64" w:line="200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"/>
                      </w:rPr>
                      <w:t>4. 糖尿病患者以非高密度脂蛋白胆固醇为次要目标，目标值为相应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>的 LDL-C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>目标值 +0.8 mmo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1"/>
                      </w:rPr>
                      <w:t>l/L。</w:t>
                    </w:r>
                  </w:p>
                </w:txbxContent>
              </v:textbox>
            </v:shape>
            <v:shape id="_x0000_s162" style="position:absolute;left:0;top:0;width:4818;height:15;" filled="false" strokecolor="#007A7E" strokeweight="0.75pt" coordsize="4818,15" coordorigin="0,0" path="m0,7l4818,7e">
              <v:stroke joinstyle="miter" miterlimit="10"/>
            </v:shape>
          </v:group>
        </w:pict>
      </w:r>
    </w:p>
    <w:p>
      <w:pPr>
        <w:pStyle w:val="BodyText"/>
        <w:ind w:left="558" w:right="287" w:firstLine="397"/>
        <w:spacing w:before="276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建议 </w:t>
      </w: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8"/>
        </w:rPr>
        <w:t xml:space="preserve"> 风险为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8"/>
        </w:rPr>
        <w:t>高危的糖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8"/>
        </w:rPr>
        <w:t>尿病患者选择中等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4"/>
        </w:rPr>
        <w:t>强度他汀类药物作为基础降脂治疗，如果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13"/>
        </w:rPr>
        <w:t>-C 不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达标，需联用胆固醇吸收抑制剂或 </w:t>
      </w:r>
      <w:r>
        <w:rPr>
          <w:sz w:val="20"/>
          <w:szCs w:val="20"/>
          <w:color w:val="231F20"/>
        </w:rPr>
        <w:t>PCSK</w:t>
      </w:r>
      <w:r>
        <w:rPr>
          <w:sz w:val="20"/>
          <w:szCs w:val="20"/>
          <w:color w:val="231F20"/>
          <w:spacing w:val="5"/>
        </w:rPr>
        <w:t>9 抑制剂</w:t>
      </w:r>
      <w:r>
        <w:rPr>
          <w:sz w:val="11"/>
          <w:szCs w:val="11"/>
          <w:color w:val="231F20"/>
          <w:spacing w:val="5"/>
          <w:position w:val="8"/>
        </w:rPr>
        <w:t>［21， </w:t>
      </w:r>
      <w:r>
        <w:rPr>
          <w:sz w:val="11"/>
          <w:szCs w:val="11"/>
          <w:color w:val="231F20"/>
          <w:spacing w:val="-2"/>
          <w:position w:val="9"/>
        </w:rPr>
        <w:t>26］</w:t>
      </w:r>
      <w:r>
        <w:rPr>
          <w:sz w:val="20"/>
          <w:szCs w:val="20"/>
          <w:color w:val="231F20"/>
          <w:spacing w:val="-2"/>
        </w:rPr>
        <w:t>。如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2"/>
        </w:rPr>
        <w:t>果 LDL-C 达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2"/>
        </w:rPr>
        <w:t>标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2"/>
        </w:rPr>
        <w:t>后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2"/>
        </w:rPr>
        <w:t>仍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2"/>
        </w:rPr>
        <w:t>有 TG 增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2"/>
        </w:rPr>
        <w:t>高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2"/>
        </w:rPr>
        <w:t>或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2"/>
        </w:rPr>
        <w:t>非 HDL-C 不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1"/>
        </w:rPr>
        <w:t>达标，考虑联用 </w:t>
      </w:r>
      <w:r>
        <w:rPr>
          <w:sz w:val="20"/>
          <w:szCs w:val="20"/>
          <w:color w:val="231F20"/>
        </w:rPr>
        <w:t>IPE</w:t>
      </w:r>
      <w:r>
        <w:rPr>
          <w:sz w:val="20"/>
          <w:szCs w:val="20"/>
          <w:color w:val="231F20"/>
          <w:spacing w:val="11"/>
        </w:rPr>
        <w:t xml:space="preserve"> 或其他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11"/>
        </w:rPr>
        <w:t>ω-3 脂肪酸或贝特类药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  <w:position w:val="-7"/>
        </w:rPr>
        <w:t>物</w:t>
      </w:r>
      <w:r>
        <w:rPr>
          <w:sz w:val="11"/>
          <w:szCs w:val="11"/>
          <w:color w:val="231F20"/>
          <w:spacing w:val="1"/>
          <w:position w:val="1"/>
        </w:rPr>
        <w:t>［17，19-20］</w:t>
      </w:r>
      <w:r>
        <w:rPr>
          <w:sz w:val="20"/>
          <w:szCs w:val="20"/>
          <w:color w:val="231F20"/>
          <w:spacing w:val="1"/>
          <w:position w:val="-7"/>
        </w:rPr>
        <w:t>。</w:t>
      </w:r>
    </w:p>
    <w:p>
      <w:pPr>
        <w:ind w:left="560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5.3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慢性肾脏病（</w:t>
      </w:r>
      <w:r>
        <w:rPr>
          <w:rFonts w:ascii="SimHei" w:hAnsi="SimHei" w:eastAsia="SimHei" w:cs="SimHei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CKD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）患者</w:t>
      </w:r>
    </w:p>
    <w:p>
      <w:pPr>
        <w:pStyle w:val="BodyText"/>
        <w:ind w:left="561" w:right="288" w:firstLine="394"/>
        <w:spacing w:before="53" w:line="20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对于轻中度肾功能不全患者，他汀类药物治疗能显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2"/>
        </w:rPr>
        <w:t>著降低其 </w:t>
      </w: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2"/>
        </w:rPr>
        <w:t xml:space="preserve"> 风险</w:t>
      </w:r>
      <w:r>
        <w:rPr>
          <w:sz w:val="11"/>
          <w:szCs w:val="11"/>
          <w:color w:val="231F20"/>
          <w:spacing w:val="2"/>
          <w:position w:val="9"/>
        </w:rPr>
        <w:t>［28</w:t>
      </w:r>
      <w:r>
        <w:rPr>
          <w:sz w:val="11"/>
          <w:szCs w:val="11"/>
          <w:color w:val="231F20"/>
          <w:spacing w:val="11"/>
          <w:position w:val="9"/>
        </w:rPr>
        <w:t>］</w:t>
      </w:r>
      <w:r>
        <w:rPr>
          <w:sz w:val="11"/>
          <w:szCs w:val="11"/>
          <w:color w:val="231F20"/>
          <w:spacing w:val="1"/>
          <w:position w:val="9"/>
        </w:rPr>
        <w:t xml:space="preserve"> </w:t>
      </w:r>
      <w:r>
        <w:rPr>
          <w:sz w:val="20"/>
          <w:szCs w:val="20"/>
          <w:color w:val="231F20"/>
          <w:spacing w:val="-21"/>
        </w:rPr>
        <w:t>；</w:t>
      </w:r>
      <w:r>
        <w:rPr>
          <w:sz w:val="20"/>
          <w:szCs w:val="20"/>
          <w:color w:val="231F20"/>
          <w:spacing w:val="2"/>
        </w:rPr>
        <w:t>对于透析依赖的重度肾功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1"/>
        </w:rPr>
        <w:t>能不全患者，他汀类药物干预研究未显示效果</w:t>
      </w:r>
      <w:r>
        <w:rPr>
          <w:sz w:val="11"/>
          <w:szCs w:val="11"/>
          <w:color w:val="231F20"/>
          <w:position w:val="8"/>
        </w:rPr>
        <w:t>［29-30］</w:t>
      </w:r>
      <w:r>
        <w:rPr>
          <w:sz w:val="20"/>
          <w:szCs w:val="20"/>
          <w:color w:val="231F20"/>
          <w:position w:val="-1"/>
        </w:rPr>
        <w:t>。</w:t>
      </w:r>
    </w:p>
    <w:p>
      <w:pPr>
        <w:pStyle w:val="BodyText"/>
        <w:ind w:left="559" w:right="287" w:firstLine="401"/>
        <w:spacing w:before="24" w:line="19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CKD</w:t>
      </w:r>
      <w:r>
        <w:rPr>
          <w:sz w:val="20"/>
          <w:szCs w:val="20"/>
          <w:color w:val="231F20"/>
          <w:spacing w:val="7"/>
        </w:rPr>
        <w:t xml:space="preserve"> 患者是他汀类药物引起肌病的高危人群，发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病风险与他汀类药物剂量密切相关，故应避免大剂量应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3"/>
        </w:rPr>
        <w:t>用。贝特类药物可升高肌酐水平，在中重度 </w:t>
      </w:r>
      <w:r>
        <w:rPr>
          <w:sz w:val="20"/>
          <w:szCs w:val="20"/>
          <w:color w:val="231F20"/>
        </w:rPr>
        <w:t>CKD</w:t>
      </w:r>
      <w:r>
        <w:rPr>
          <w:sz w:val="20"/>
          <w:szCs w:val="20"/>
          <w:color w:val="231F20"/>
          <w:spacing w:val="3"/>
        </w:rPr>
        <w:t xml:space="preserve"> 患者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" w:right="178" w:firstLine="10"/>
        <w:spacing w:before="38" w:line="20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中与他汀类药物联用时，可能增加肌病风险，联合用药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position w:val="-1"/>
        </w:rPr>
        <w:t>时应依据肾小球滤过率调整剂量</w:t>
      </w:r>
      <w:r>
        <w:rPr>
          <w:sz w:val="11"/>
          <w:szCs w:val="11"/>
          <w:color w:val="231F20"/>
          <w:position w:val="8"/>
        </w:rPr>
        <w:t>［31-32］</w:t>
      </w:r>
      <w:r>
        <w:rPr>
          <w:sz w:val="20"/>
          <w:szCs w:val="20"/>
          <w:color w:val="231F20"/>
          <w:position w:val="-1"/>
        </w:rPr>
        <w:t>。</w:t>
      </w:r>
    </w:p>
    <w:p>
      <w:pPr>
        <w:ind w:left="12"/>
        <w:spacing w:before="1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5.4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卒中患者</w:t>
      </w:r>
    </w:p>
    <w:p>
      <w:pPr>
        <w:pStyle w:val="BodyText"/>
        <w:ind w:left="11" w:right="178" w:firstLine="398"/>
        <w:spacing w:before="45" w:line="21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缺血性卒中患者可从降脂治疗中获益。对于缺血性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</w:rPr>
        <w:t>卒中患者，目前中等剂量他汀类药物增加出血性卒中风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5"/>
        </w:rPr>
        <w:t>险的证据不充分，降低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5"/>
        </w:rPr>
        <w:t>-C 的获益远大于有潜</w:t>
      </w:r>
      <w:r>
        <w:rPr>
          <w:sz w:val="20"/>
          <w:szCs w:val="20"/>
          <w:color w:val="231F20"/>
          <w:spacing w:val="4"/>
        </w:rPr>
        <w:t>在出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血性卒中的风险。存在出血性卒中高风险或有出血性卒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9"/>
        </w:rPr>
        <w:t>中病史的患者应个体化评估降脂治疗的获益与风险，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LDL-C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目标值不宜过低。</w:t>
      </w:r>
    </w:p>
    <w:p>
      <w:pPr>
        <w:pStyle w:val="BodyText"/>
        <w:ind w:firstLine="8"/>
        <w:spacing w:before="182" w:line="3064" w:lineRule="exact"/>
        <w:rPr/>
      </w:pPr>
      <w:r>
        <w:rPr>
          <w:position w:val="-61"/>
        </w:rPr>
        <w:pict>
          <v:group id="_x0000_s164" style="mso-position-vertical-relative:line;mso-position-horizontal-relative:char;width:240.95pt;height:153.25pt;" filled="false" stroked="false" coordsize="4818,3065" coordorigin="0,0">
            <v:rect id="_x0000_s166" style="position:absolute;left:0;top:7;width:4818;height:3057;" fillcolor="#C0D8DC" filled="true" stroked="false"/>
            <v:shape id="_x0000_s168" style="position:absolute;left:38;top:148;width:4750;height:27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7"/>
                      <w:spacing w:before="19" w:line="24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231F20"/>
                        <w:spacing w:val="-1"/>
                      </w:rPr>
                      <w:t>卒中患者的降脂治疗建议</w:t>
                    </w:r>
                  </w:p>
                  <w:p>
                    <w:pPr>
                      <w:ind w:left="22" w:right="20" w:firstLine="13"/>
                      <w:spacing w:before="63" w:line="19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</w:rPr>
                      <w:t>1.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</w:rPr>
                      <w:t>对于单纯动脉粥样硬化性缺血性卒中或短暂性脑缺血发作（TIA）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患 者， 建 议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LDL-C&lt;1.8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mmol/L；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非 高 密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度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脂 蛋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9"/>
                      </w:rPr>
                      <w:t>胆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>固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>醇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>&lt;2.6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5"/>
                        <w:w w:val="94"/>
                        <w:position w:val="-2"/>
                      </w:rPr>
                      <w:t>mmol/L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2"/>
                        <w:position w:val="4"/>
                      </w:rPr>
                      <w:t>［33］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2"/>
                        <w:position w:val="-2"/>
                      </w:rPr>
                      <w:t>。</w:t>
                    </w:r>
                  </w:p>
                  <w:p>
                    <w:pPr>
                      <w:ind w:left="25" w:right="36" w:hanging="3"/>
                      <w:spacing w:before="95" w:line="187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2. 对于动脉粥样硬化性缺血性卒中或 TIA 患者，推荐他汀类药物作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position w:val="-2"/>
                      </w:rPr>
                      <w:t>为首选治疗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position w:val="4"/>
                      </w:rPr>
                      <w:t>［33-34］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position w:val="-2"/>
                      </w:rPr>
                      <w:t>。</w:t>
                    </w:r>
                  </w:p>
                  <w:p>
                    <w:pPr>
                      <w:ind w:left="20" w:right="34" w:firstLine="4"/>
                      <w:spacing w:before="92" w:line="187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3. 对于动脉粥样硬化性缺血性卒中或 TIA 患者，经他汀类药物治疗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后 LDL-C 不达标者可加用胆固醇吸收抑制剂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position w:val="7"/>
                      </w:rPr>
                      <w:t>［21］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。</w:t>
                    </w:r>
                  </w:p>
                  <w:p>
                    <w:pPr>
                      <w:ind w:left="20" w:right="26" w:hanging="1"/>
                      <w:spacing w:before="94" w:line="188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1"/>
                      </w:rPr>
                      <w:t>4. 对于动脉粥样硬化性缺血性卒中或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TIA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1"/>
                      </w:rPr>
                      <w:t xml:space="preserve"> 患者，经他汀类药物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+ 胆固醇吸收抑制剂治疗后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LDL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-C 不达标者可加用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>PCSK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9 抑制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3"/>
                        <w:position w:val="-5"/>
                      </w:rPr>
                      <w:t>剂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3"/>
                        <w:position w:val="1"/>
                      </w:rPr>
                      <w:t>［ 10，26］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3"/>
                        <w:position w:val="-5"/>
                      </w:rPr>
                      <w:t>。</w:t>
                    </w:r>
                  </w:p>
                </w:txbxContent>
              </v:textbox>
            </v:shape>
            <v:shape id="_x0000_s170" style="position:absolute;left:0;top:0;width:4818;height:15;" filled="false" strokecolor="#007A7E" strokeweight="0.75pt" coordsize="4818,15" coordorigin="0,0" path="m0,7l4818,7e">
              <v:stroke joinstyle="miter" miterlimit="10"/>
            </v:shape>
          </v:group>
        </w:pict>
      </w:r>
    </w:p>
    <w:p>
      <w:pPr>
        <w:spacing w:line="396" w:lineRule="auto"/>
        <w:rPr>
          <w:rFonts w:ascii="Arial"/>
          <w:sz w:val="21"/>
        </w:rPr>
      </w:pPr>
      <w:r/>
    </w:p>
    <w:p>
      <w:pPr>
        <w:ind w:left="35"/>
        <w:spacing w:before="72" w:line="24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007A7E"/>
          <w:spacing w:val="1"/>
        </w:rPr>
        <w:t>中国血脂管理指南（基层版</w:t>
      </w:r>
      <w:r>
        <w:rPr>
          <w:rFonts w:ascii="SimHei" w:hAnsi="SimHei" w:eastAsia="SimHei" w:cs="SimHei"/>
          <w:sz w:val="22"/>
          <w:szCs w:val="22"/>
          <w:color w:val="007A7E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7A7E"/>
          <w:spacing w:val="1"/>
        </w:rPr>
        <w:t>2024</w:t>
      </w:r>
      <w:r>
        <w:rPr>
          <w:rFonts w:ascii="Times New Roman" w:hAnsi="Times New Roman" w:eastAsia="Times New Roman" w:cs="Times New Roman"/>
          <w:sz w:val="22"/>
          <w:szCs w:val="22"/>
          <w:color w:val="007A7E"/>
          <w:spacing w:val="14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7A7E"/>
          <w:spacing w:val="1"/>
        </w:rPr>
        <w:t>年）修订联合专</w:t>
      </w:r>
    </w:p>
    <w:p>
      <w:pPr>
        <w:ind w:left="19"/>
        <w:spacing w:before="13" w:line="24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007A7E"/>
          <w:spacing w:val="-3"/>
        </w:rPr>
        <w:t>家委员会</w:t>
      </w:r>
    </w:p>
    <w:p>
      <w:pPr>
        <w:ind w:left="20" w:right="203" w:firstLine="392"/>
        <w:spacing w:before="154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指南修订组织机构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：国家心血管病专家委员会，中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华医学会心血管病学分会，中华医学会内分泌学分会，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中华医学会糖尿病学分会，中华医学会检验医学分会，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中国卒中学会</w:t>
      </w:r>
    </w:p>
    <w:p>
      <w:pPr>
        <w:ind w:right="110" w:firstLine="413"/>
        <w:spacing w:before="2" w:line="26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指南修订指导委员会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（按姓氏笔画排序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）：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王成彬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（解放军总医院全军医学检验质量控制中心，中华医学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会检验医学分会主任委员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王拥军（首都医科大</w:t>
      </w:r>
      <w:r>
        <w:rPr>
          <w:rFonts w:ascii="SimSun" w:hAnsi="SimSun" w:eastAsia="SimSun" w:cs="SimSun"/>
          <w:sz w:val="20"/>
          <w:szCs w:val="20"/>
          <w:color w:val="231F20"/>
        </w:rPr>
        <w:t>学附 </w:t>
      </w:r>
      <w:r>
        <w:rPr>
          <w:rFonts w:ascii="SimSun" w:hAnsi="SimSun" w:eastAsia="SimSun" w:cs="SimSun"/>
          <w:sz w:val="20"/>
          <w:szCs w:val="20"/>
          <w:color w:val="231F20"/>
        </w:rPr>
        <w:t>属北京天坛医院，中国卒中学会会长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宁光（上海交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通大学医学院附属瑞金医院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朱大龙（南京大学医学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院附属鼓楼医院，中华医学会糖尿病学分会主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任委员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张运（山东大学齐鲁医院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赵家军（山东省立医院，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中华医学会内分泌学分会主任委员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胡大一（北京大</w:t>
      </w:r>
    </w:p>
    <w:p>
      <w:pPr>
        <w:spacing w:line="268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5663" w:space="100"/>
            <w:col w:w="500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48"/>
        <w:rPr/>
      </w:pPr>
      <w:r/>
    </w:p>
    <w:p>
      <w:pPr>
        <w:sectPr>
          <w:headerReference w:type="default" r:id="rId34"/>
          <w:pgSz w:w="11963" w:h="16158"/>
          <w:pgMar w:top="1253" w:right="785" w:bottom="0" w:left="407" w:header="870" w:footer="0" w:gutter="0"/>
          <w:cols w:equalWidth="0" w:num="1">
            <w:col w:w="10769" w:space="0"/>
          </w:cols>
        </w:sectPr>
        <w:rPr/>
      </w:pPr>
    </w:p>
    <w:p>
      <w:pPr>
        <w:ind w:left="561" w:right="290" w:firstLine="17"/>
        <w:spacing w:before="44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学人民医院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贾伟平（上海市第六人民医院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顾东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风（中国医学科学院阜外医院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葛均波（复旦大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学附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属中山医院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韩雅玲（北部战区总医院，中华医学会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心血管病学分会主任委员）</w:t>
      </w:r>
    </w:p>
    <w:p>
      <w:pPr>
        <w:ind w:left="960"/>
        <w:spacing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指南修订专家组组长</w:t>
      </w:r>
    </w:p>
    <w:p>
      <w:pPr>
        <w:ind w:left="957"/>
        <w:spacing w:before="45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协调人：高润霖（中国医学科学院阜外医院）</w:t>
      </w:r>
    </w:p>
    <w:p>
      <w:pPr>
        <w:ind w:left="568" w:right="289" w:firstLine="392"/>
        <w:spacing w:before="47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成员（按姓氏笔画排序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）：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李建军（中国医学科学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院阜外医院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陆国平（上海交通大学医学院附属瑞金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医院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赵冬（首都医科大学附属北京安贞医院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赵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水平（中南大学湘雅二医院）</w:t>
      </w:r>
    </w:p>
    <w:p>
      <w:pPr>
        <w:ind w:left="547" w:right="221" w:firstLine="413"/>
        <w:spacing w:before="6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指南修订专家组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（按姓氏笔画排序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）：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于波（哈尔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滨医科大学附属第二医院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马长生（首都医科大学附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属北京安贞医院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马依彤（新疆医科大学第一附属医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院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王敏（绵阳市中心医院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王文志（首都医科大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学附属北京天坛医院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王俊玲（北京市朝阳区劲松社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区卫生服务中心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王胜煌（宁波大学附属第一医院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王莉珉（石家庄市桥西区裕西社区卫生服务中心</w:t>
      </w:r>
      <w:r>
        <w:rPr>
          <w:rFonts w:ascii="SimSun" w:hAnsi="SimSun" w:eastAsia="SimSun" w:cs="SimSun"/>
          <w:sz w:val="20"/>
          <w:szCs w:val="20"/>
          <w:color w:val="231F20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王 </w:t>
      </w:r>
      <w:r>
        <w:rPr>
          <w:rFonts w:ascii="SimSun" w:hAnsi="SimSun" w:eastAsia="SimSun" w:cs="SimSun"/>
          <w:sz w:val="20"/>
          <w:szCs w:val="20"/>
          <w:color w:val="231F20"/>
        </w:rPr>
        <w:t>增武（中国医学科学院阜外医院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叶平（解放军总医  </w:t>
      </w:r>
      <w:r>
        <w:rPr>
          <w:rFonts w:ascii="SimSun" w:hAnsi="SimSun" w:eastAsia="SimSun" w:cs="SimSun"/>
          <w:sz w:val="20"/>
          <w:szCs w:val="20"/>
          <w:color w:val="231F20"/>
        </w:rPr>
        <w:t>院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史旭波（首都医科大学附属北京同仁医院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刘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星（马鞍山十七冶医院合肥红光社区中心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刘静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（首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都医科大学附属北京安贞医院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刘梅林（北京大学第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一医院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安美美（北京市海淀区甘家口社区卫生服务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中心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孙艺红（中日友好医院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纪立农（北京大学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人民医院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严晓伟（北京协和医院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杜雪平（首都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医科大学附属复兴医院月坛社区卫生服务中心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李勇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（复旦大学附属华山医院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李静（中国医学科学院阜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外医院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李小鹰（解放军总医院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李永锦（北京市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朝阳区劲松社区卫生服务中心</w:t>
      </w:r>
      <w:r>
        <w:rPr>
          <w:rFonts w:ascii="SimSun" w:hAnsi="SimSun" w:eastAsia="SimSun" w:cs="SimSun"/>
          <w:sz w:val="20"/>
          <w:szCs w:val="20"/>
          <w:color w:val="231F20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李光伟（中国医学科 </w:t>
      </w:r>
      <w:r>
        <w:rPr>
          <w:rFonts w:ascii="SimSun" w:hAnsi="SimSun" w:eastAsia="SimSun" w:cs="SimSun"/>
          <w:sz w:val="20"/>
          <w:szCs w:val="20"/>
          <w:color w:val="231F20"/>
        </w:rPr>
        <w:t>学院阜外医院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吴浩（首都医科大学全科医学与继续</w:t>
      </w:r>
    </w:p>
    <w:p>
      <w:pPr>
        <w:ind w:left="547" w:right="293" w:firstLine="10"/>
        <w:spacing w:before="5" w:line="27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教育学院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吴娜琼（中国医学科学院阜外医院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邹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大进（上海长海医院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陈红（北京大学人民医院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陈桢玥（上海交通大学医学院附属瑞金医院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陈韵岱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（解放军总医院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武阳丰（北京大学医学部公共卫生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学院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罗彩东（绵阳市中心医院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周洲（中国医学</w:t>
      </w:r>
    </w:p>
    <w:p>
      <w:pPr>
        <w:ind w:left="558" w:right="221" w:firstLine="2"/>
        <w:spacing w:before="7" w:line="27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科学院阜外医院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赵文华（中国疾病预防控制中心营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养与健康所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俞蔚（浙江大学医学院附属浙江医院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祝烨（四川大学华西医院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祝之明（陆军军医大学大 </w:t>
      </w:r>
      <w:r>
        <w:rPr>
          <w:rFonts w:ascii="SimSun" w:hAnsi="SimSun" w:eastAsia="SimSun" w:cs="SimSun"/>
          <w:sz w:val="20"/>
          <w:szCs w:val="20"/>
          <w:color w:val="231F20"/>
        </w:rPr>
        <w:t>坪医院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袁祖贻（西安交通大学第一附属医院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高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炜（北京大学第三医院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高传玉（阜外华中心血管病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医院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郭艺芳（河北省人民医院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郭远林（中国医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学科学院阜外医院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唐熠达（北京大学第三医院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梁春（上海长征医院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彭道泉（中南大学湘雅二医院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董吁钢（中山大学附属第一医院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程翔（华中科技大 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学同济医学院附属协和医院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曾正陪（北京协和医院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鄢盛恺（遵义医科大学附属医院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詹思延（北京大学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医学部公共卫生学院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>窦克非（中国医学科学院阜外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" w:right="198" w:firstLine="12"/>
        <w:spacing w:before="41" w:line="27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医院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廖玉华（华中科技大学同济医学院附属协和医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院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霍勇（北京大学第一医院）</w:t>
      </w:r>
    </w:p>
    <w:p>
      <w:pPr>
        <w:ind w:left="43" w:right="187" w:firstLine="369"/>
        <w:spacing w:before="2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指南修订执笔专家</w:t>
      </w:r>
      <w:r>
        <w:rPr>
          <w:rFonts w:ascii="SimSun" w:hAnsi="SimSun" w:eastAsia="SimSun" w:cs="SimSun"/>
          <w:sz w:val="20"/>
          <w:szCs w:val="20"/>
          <w:color w:val="231F20"/>
        </w:rPr>
        <w:t>：王增武（中国医学科学院阜外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医院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郭远林（中国医学科学院阜外医院）</w:t>
      </w:r>
    </w:p>
    <w:p>
      <w:pPr>
        <w:ind w:left="413"/>
        <w:spacing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指南修订秘书组</w:t>
      </w:r>
    </w:p>
    <w:p>
      <w:pPr>
        <w:ind w:left="416"/>
        <w:spacing w:before="44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组长：王增武（中国医学科学院阜外医院）</w:t>
      </w:r>
    </w:p>
    <w:p>
      <w:pPr>
        <w:ind w:right="198" w:firstLine="413"/>
        <w:spacing w:before="47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成员：马丽媛（中国医学科学院阜外医院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高莹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（中国医学科学院阜外医院）</w:t>
      </w:r>
    </w:p>
    <w:p>
      <w:pPr>
        <w:ind w:left="413"/>
        <w:spacing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本文利益冲突：所有作者声明无利益冲突。</w:t>
      </w:r>
    </w:p>
    <w:p>
      <w:pPr>
        <w:ind w:left="17"/>
        <w:spacing w:before="180" w:line="24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007A7E"/>
          <w:spacing w:val="-2"/>
        </w:rPr>
        <w:t>参考文献</w:t>
      </w:r>
    </w:p>
    <w:p>
      <w:pPr>
        <w:pStyle w:val="BodyText"/>
        <w:ind w:left="406" w:right="167" w:hanging="401"/>
        <w:spacing w:before="162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［1］国家心血管病中心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0"/>
        </w:rPr>
        <w:t>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0"/>
        </w:rPr>
        <w:t>中国心血管健康与疾病报告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0"/>
        </w:rPr>
        <w:t>2021［M］. 北京：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科学出版社，2022.</w:t>
      </w:r>
    </w:p>
    <w:p>
      <w:pPr>
        <w:pStyle w:val="BodyText"/>
        <w:ind w:left="405" w:right="178" w:hanging="400"/>
        <w:spacing w:before="50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［2］FERENCE B A，GINSBERG H N，GRAHAM I，et al. Low-d</w:t>
      </w:r>
      <w:r>
        <w:rPr>
          <w:sz w:val="16"/>
          <w:szCs w:val="16"/>
          <w:color w:val="231F20"/>
          <w:spacing w:val="-8"/>
        </w:rPr>
        <w:t>ensity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lipoproteins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cause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atherosclerotic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cardiovascul</w:t>
      </w:r>
      <w:r>
        <w:rPr>
          <w:sz w:val="16"/>
          <w:szCs w:val="16"/>
          <w:color w:val="231F20"/>
          <w:spacing w:val="-15"/>
        </w:rPr>
        <w:t>ar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disease.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5"/>
        </w:rPr>
        <w:t>1.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Evidence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from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0"/>
        </w:rPr>
        <w:t>genetic，epidemiologic，and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0"/>
        </w:rPr>
        <w:t>clinical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studies.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0"/>
        </w:rPr>
        <w:t>co</w:t>
      </w:r>
      <w:r>
        <w:rPr>
          <w:sz w:val="16"/>
          <w:szCs w:val="16"/>
          <w:color w:val="231F20"/>
          <w:spacing w:val="-11"/>
        </w:rPr>
        <w:t>nsensus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statement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from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the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2"/>
        </w:rPr>
        <w:t>European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Atherosclerosis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Society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Consensus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Panel［J］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6"/>
        </w:rPr>
        <w:t>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Eur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Heart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6"/>
        </w:rPr>
        <w:t>J，</w:t>
      </w:r>
      <w:r>
        <w:rPr>
          <w:sz w:val="16"/>
          <w:szCs w:val="16"/>
          <w:color w:val="231F20"/>
          <w:spacing w:val="-7"/>
        </w:rPr>
        <w:t>2017，38（32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7"/>
        </w:rPr>
        <w:t>2459-2472.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10.1093/eurheartj/ehx144.</w:t>
      </w:r>
    </w:p>
    <w:p>
      <w:pPr>
        <w:pStyle w:val="BodyText"/>
        <w:ind w:left="406" w:right="176" w:hanging="401"/>
        <w:spacing w:before="44" w:line="20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［3］国家卫生健康委员会疾病预防控制局 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中国</w:t>
      </w:r>
      <w:r>
        <w:rPr>
          <w:sz w:val="16"/>
          <w:szCs w:val="16"/>
          <w:color w:val="231F20"/>
          <w:spacing w:val="2"/>
        </w:rPr>
        <w:t>居民营养与慢性病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状况报告 2015［M］. 北京：人民卫生出版</w:t>
      </w:r>
      <w:r>
        <w:rPr>
          <w:sz w:val="16"/>
          <w:szCs w:val="16"/>
          <w:color w:val="231F20"/>
          <w:spacing w:val="-6"/>
        </w:rPr>
        <w:t>社，2015.</w:t>
      </w:r>
    </w:p>
    <w:p>
      <w:pPr>
        <w:pStyle w:val="BodyText"/>
        <w:ind w:left="397" w:right="178" w:hanging="392"/>
        <w:spacing w:before="54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［4］中国血脂管理指南修订联合专家委员会 .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中国血脂</w:t>
      </w:r>
      <w:r>
        <w:rPr>
          <w:sz w:val="16"/>
          <w:szCs w:val="16"/>
          <w:color w:val="231F20"/>
          <w:spacing w:val="7"/>
        </w:rPr>
        <w:t>管理指南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（2023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7"/>
        </w:rPr>
        <w:t>年</w:t>
      </w:r>
      <w:r>
        <w:rPr>
          <w:sz w:val="16"/>
          <w:szCs w:val="16"/>
          <w:color w:val="231F20"/>
          <w:spacing w:val="-8"/>
        </w:rPr>
        <w:t>）［</w:t>
      </w:r>
      <w:r>
        <w:rPr>
          <w:sz w:val="16"/>
          <w:szCs w:val="16"/>
          <w:color w:val="231F20"/>
          <w:spacing w:val="-7"/>
        </w:rPr>
        <w:t>J］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7"/>
        </w:rPr>
        <w:t>.  中 国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7"/>
        </w:rPr>
        <w:t>循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7"/>
        </w:rPr>
        <w:t>环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7"/>
        </w:rPr>
        <w:t>杂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7"/>
        </w:rPr>
        <w:t>志，2023，</w:t>
      </w:r>
      <w:r>
        <w:rPr>
          <w:sz w:val="16"/>
          <w:szCs w:val="16"/>
          <w:color w:val="231F20"/>
          <w:spacing w:val="-8"/>
        </w:rPr>
        <w:t>38（3）：237-271.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DOI：10.3969/j.issn.1000-3614.2023.03.001.</w:t>
      </w:r>
    </w:p>
    <w:p>
      <w:pPr>
        <w:pStyle w:val="BodyText"/>
        <w:ind w:left="406" w:right="176" w:hanging="401"/>
        <w:spacing w:before="43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</w:rPr>
        <w:t>［5］Cholesterol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3"/>
        </w:rPr>
        <w:t>Treatment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3"/>
        </w:rPr>
        <w:t>Trialist</w:t>
      </w:r>
      <w:r>
        <w:rPr>
          <w:sz w:val="16"/>
          <w:szCs w:val="16"/>
          <w:color w:val="231F20"/>
          <w:spacing w:val="-14"/>
        </w:rPr>
        <w:t>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Collaborators.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effects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of lowering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LDL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cholesterol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3"/>
        </w:rPr>
        <w:t>with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sta</w:t>
      </w:r>
      <w:r>
        <w:rPr>
          <w:sz w:val="16"/>
          <w:szCs w:val="16"/>
          <w:color w:val="231F20"/>
          <w:spacing w:val="-14"/>
        </w:rPr>
        <w:t>tin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therapy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people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low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risk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of vascular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disease：meta-analysis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individual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data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9"/>
        </w:rPr>
        <w:t>from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9"/>
        </w:rPr>
        <w:t>27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9"/>
        </w:rPr>
        <w:t>randomi</w:t>
      </w:r>
      <w:r>
        <w:rPr>
          <w:sz w:val="16"/>
          <w:szCs w:val="16"/>
          <w:color w:val="231F20"/>
          <w:spacing w:val="-10"/>
        </w:rPr>
        <w:t>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trials［J］ 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1"/>
        </w:rPr>
        <w:t>Lancet，2012，380（9841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1"/>
        </w:rPr>
        <w:t>581-</w:t>
      </w:r>
      <w:r>
        <w:rPr>
          <w:sz w:val="16"/>
          <w:szCs w:val="16"/>
          <w:color w:val="231F20"/>
          <w:spacing w:val="-2"/>
        </w:rPr>
        <w:t>590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2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10.1016/S0140-6736(12)60367</w:t>
      </w:r>
      <w:r>
        <w:rPr>
          <w:sz w:val="16"/>
          <w:szCs w:val="16"/>
          <w:color w:val="231F20"/>
          <w:spacing w:val="-12"/>
        </w:rPr>
        <w:t>-5.</w:t>
      </w:r>
    </w:p>
    <w:p>
      <w:pPr>
        <w:pStyle w:val="BodyText"/>
        <w:ind w:left="406" w:right="179" w:hanging="401"/>
        <w:spacing w:before="31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［6］Cholesterol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0"/>
        </w:rPr>
        <w:t>Treatment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Trialists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Collaboration.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Efficacy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0"/>
        </w:rPr>
        <w:t>safety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LDL-lowering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therapy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3"/>
        </w:rPr>
        <w:t>among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3"/>
        </w:rPr>
        <w:t>men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women：m</w:t>
      </w:r>
      <w:r>
        <w:rPr>
          <w:sz w:val="16"/>
          <w:szCs w:val="16"/>
          <w:color w:val="231F20"/>
          <w:spacing w:val="-14"/>
        </w:rPr>
        <w:t>eta-analysis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individual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data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0"/>
        </w:rPr>
        <w:t>from  174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0"/>
        </w:rPr>
        <w:t>000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0"/>
        </w:rPr>
        <w:t>participants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27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0"/>
        </w:rPr>
        <w:t>rando</w:t>
      </w:r>
      <w:r>
        <w:rPr>
          <w:sz w:val="16"/>
          <w:szCs w:val="16"/>
          <w:color w:val="231F20"/>
          <w:spacing w:val="-11"/>
        </w:rPr>
        <w:t>mised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trials［J］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4"/>
        </w:rPr>
        <w:t>Lancet，2015，385（9976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  <w:spacing w:val="-4"/>
        </w:rPr>
        <w:t>1397-1405.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10.1016/S0140-6736(14)61368</w:t>
      </w:r>
      <w:r>
        <w:rPr>
          <w:sz w:val="16"/>
          <w:szCs w:val="16"/>
          <w:color w:val="231F20"/>
          <w:spacing w:val="-12"/>
        </w:rPr>
        <w:t>-4.</w:t>
      </w:r>
    </w:p>
    <w:p>
      <w:pPr>
        <w:pStyle w:val="BodyText"/>
        <w:ind w:left="409" w:right="177" w:hanging="404"/>
        <w:spacing w:before="31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［7］YUSUF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9"/>
        </w:rPr>
        <w:t>S，BOSCH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J，DAGENAIS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9"/>
        </w:rPr>
        <w:t>G，et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al.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Cholester</w:t>
      </w:r>
      <w:r>
        <w:rPr>
          <w:sz w:val="16"/>
          <w:szCs w:val="16"/>
          <w:color w:val="231F20"/>
          <w:spacing w:val="-10"/>
        </w:rPr>
        <w:t>ol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lowering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0"/>
        </w:rPr>
        <w:t>intermediate-risk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0"/>
        </w:rPr>
        <w:t>pe</w:t>
      </w:r>
      <w:r>
        <w:rPr>
          <w:sz w:val="16"/>
          <w:szCs w:val="16"/>
          <w:color w:val="231F20"/>
          <w:spacing w:val="-11"/>
        </w:rPr>
        <w:t>rsons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1"/>
        </w:rPr>
        <w:t>without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cardiovascular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1"/>
        </w:rPr>
        <w:t>disease［J］.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Engl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8"/>
        </w:rPr>
        <w:t>J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8"/>
        </w:rPr>
        <w:t>Med，2016，374（21</w:t>
      </w:r>
      <w:r>
        <w:rPr>
          <w:sz w:val="16"/>
          <w:szCs w:val="16"/>
          <w:color w:val="231F20"/>
          <w:spacing w:val="-6"/>
        </w:rPr>
        <w:t>）：</w:t>
      </w:r>
      <w:r>
        <w:rPr>
          <w:sz w:val="16"/>
          <w:szCs w:val="16"/>
          <w:color w:val="231F20"/>
          <w:spacing w:val="-8"/>
        </w:rPr>
        <w:t>2021-2031.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8"/>
        </w:rPr>
        <w:t>DOI：10.1056/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NEJMoa1600176.</w:t>
      </w:r>
    </w:p>
    <w:p>
      <w:pPr>
        <w:pStyle w:val="BodyText"/>
        <w:ind w:left="407" w:right="176" w:hanging="402"/>
        <w:spacing w:before="35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［8］RIDKER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M，MORA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S，ROSE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L</w:t>
      </w:r>
      <w:r>
        <w:rPr>
          <w:sz w:val="16"/>
          <w:szCs w:val="16"/>
          <w:color w:val="231F20"/>
          <w:spacing w:val="-7"/>
        </w:rPr>
        <w:t>，et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Percent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reduction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7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LDL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1"/>
        </w:rPr>
        <w:t>cholesterol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1"/>
        </w:rPr>
        <w:t>following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high-intensity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statin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therapy：potential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implications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for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guidelines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for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prescription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of emerging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lipid-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lowering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1"/>
        </w:rPr>
        <w:t>agents［J］.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1"/>
        </w:rPr>
        <w:t>Eur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1"/>
        </w:rPr>
        <w:t>Heart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1"/>
        </w:rPr>
        <w:t>J，2016，37（17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11"/>
        </w:rPr>
        <w:t>1373-1379.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DOI：10.1093/eurheartj/ehw046.</w:t>
      </w:r>
    </w:p>
    <w:p>
      <w:pPr>
        <w:pStyle w:val="BodyText"/>
        <w:ind w:left="407" w:right="177" w:hanging="402"/>
        <w:spacing w:before="42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［9］BANGALORE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S，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7"/>
        </w:rPr>
        <w:t>FAYYAD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R，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7"/>
        </w:rPr>
        <w:t>KASTELEIN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J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J，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7"/>
        </w:rPr>
        <w:t>et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2013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cholesterol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guidelines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8"/>
        </w:rPr>
        <w:t>revisited：percent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8"/>
        </w:rPr>
        <w:t>L</w:t>
      </w:r>
      <w:r>
        <w:rPr>
          <w:sz w:val="16"/>
          <w:szCs w:val="16"/>
          <w:color w:val="231F20"/>
          <w:spacing w:val="-9"/>
        </w:rPr>
        <w:t>DL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9"/>
        </w:rPr>
        <w:t>cholesterol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reduction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  <w:spacing w:val="-1"/>
        </w:rPr>
        <w:t>or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attained  LDL  cholest</w:t>
      </w:r>
      <w:r>
        <w:rPr>
          <w:sz w:val="16"/>
          <w:szCs w:val="16"/>
          <w:color w:val="231F20"/>
          <w:spacing w:val="-2"/>
        </w:rPr>
        <w:t>erol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  <w:spacing w:val="-2"/>
        </w:rPr>
        <w:t>level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  <w:spacing w:val="-2"/>
        </w:rPr>
        <w:t>or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  <w:spacing w:val="-2"/>
        </w:rPr>
        <w:t>both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  <w:spacing w:val="-2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prognosis  </w:t>
      </w:r>
      <w:r>
        <w:rPr>
          <w:sz w:val="16"/>
          <w:szCs w:val="16"/>
          <w:color w:val="231F20"/>
          <w:spacing w:val="-1"/>
        </w:rPr>
        <w:t>？［</w:t>
      </w:r>
      <w:r>
        <w:rPr>
          <w:sz w:val="16"/>
          <w:szCs w:val="16"/>
          <w:color w:val="231F20"/>
          <w:spacing w:val="-5"/>
        </w:rPr>
        <w:t>J］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5"/>
        </w:rPr>
        <w:t>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5"/>
        </w:rPr>
        <w:t>Am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5"/>
        </w:rPr>
        <w:t>J  Med，2016，129（4</w:t>
      </w:r>
      <w:r>
        <w:rPr>
          <w:sz w:val="16"/>
          <w:szCs w:val="16"/>
          <w:color w:val="231F20"/>
          <w:spacing w:val="-1"/>
        </w:rPr>
        <w:t>）：</w:t>
      </w:r>
      <w:r>
        <w:rPr>
          <w:sz w:val="16"/>
          <w:szCs w:val="16"/>
          <w:color w:val="231F20"/>
          <w:spacing w:val="-5"/>
        </w:rPr>
        <w:t>384-391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5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DOI：10.1016/j.amjmed.2015.10.024.</w:t>
      </w:r>
    </w:p>
    <w:p>
      <w:pPr>
        <w:pStyle w:val="BodyText"/>
        <w:ind w:left="493" w:right="179" w:hanging="488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［10］SCHWARTZ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7"/>
        </w:rPr>
        <w:t>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G，STEG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P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7"/>
        </w:rPr>
        <w:t>G，SZAREK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M，et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</w:t>
      </w:r>
      <w:r>
        <w:rPr>
          <w:sz w:val="16"/>
          <w:szCs w:val="16"/>
          <w:color w:val="231F20"/>
          <w:spacing w:val="-8"/>
        </w:rPr>
        <w:t>lirocumab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5"/>
        </w:rPr>
        <w:t>cardiovascular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outcomes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after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acute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coronary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syndrome［J］.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9"/>
        </w:rPr>
        <w:t>Engl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J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9"/>
        </w:rPr>
        <w:t>Med，2018，379（22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9"/>
        </w:rPr>
        <w:t>2097-21</w:t>
      </w:r>
      <w:r>
        <w:rPr>
          <w:sz w:val="16"/>
          <w:szCs w:val="16"/>
          <w:color w:val="231F20"/>
          <w:spacing w:val="-10"/>
        </w:rPr>
        <w:t>07.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DOI：10.1056/</w:t>
      </w:r>
    </w:p>
    <w:p>
      <w:pPr>
        <w:spacing w:line="215" w:lineRule="auto"/>
        <w:sectPr>
          <w:type w:val="continuous"/>
          <w:pgSz w:w="11963" w:h="16158"/>
          <w:pgMar w:top="1253" w:right="785" w:bottom="0" w:left="407" w:header="870" w:footer="0" w:gutter="0"/>
          <w:cols w:equalWidth="0" w:num="2">
            <w:col w:w="5663" w:space="100"/>
            <w:col w:w="5006" w:space="0"/>
          </w:cols>
        </w:sectPr>
        <w:rPr>
          <w:sz w:val="16"/>
          <w:szCs w:val="16"/>
        </w:rPr>
      </w:pPr>
    </w:p>
    <w:p>
      <w:pPr>
        <w:spacing w:before="90"/>
        <w:rPr/>
      </w:pPr>
      <w:r/>
    </w:p>
    <w:p>
      <w:pPr>
        <w:sectPr>
          <w:headerReference w:type="default" r:id="rId35"/>
          <w:pgSz w:w="11963" w:h="16158"/>
          <w:pgMar w:top="1230" w:right="785" w:bottom="0" w:left="407" w:header="889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1043"/>
        <w:spacing w:before="53" w:line="1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</w:rPr>
        <w:t>NEJMoa1801174.</w:t>
      </w:r>
    </w:p>
    <w:p>
      <w:pPr>
        <w:pStyle w:val="BodyText"/>
        <w:ind w:left="1041" w:right="283" w:hanging="488"/>
        <w:spacing w:before="35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［11］ZHONG</w:t>
      </w:r>
      <w:r>
        <w:rPr>
          <w:sz w:val="16"/>
          <w:szCs w:val="16"/>
          <w:color w:val="231F20"/>
          <w:spacing w:val="5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V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-2"/>
        </w:rPr>
        <w:t>W，VAN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HORN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  <w:spacing w:val="-2"/>
        </w:rPr>
        <w:t>L， CORNELIS</w:t>
      </w:r>
      <w:r>
        <w:rPr>
          <w:sz w:val="16"/>
          <w:szCs w:val="16"/>
          <w:color w:val="231F20"/>
          <w:spacing w:val="45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M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 ，et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Associations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7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dietary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7"/>
        </w:rPr>
        <w:t>cholesterol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egg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consumption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7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incident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cardiovascular disease and mortality［</w:t>
      </w:r>
      <w:r>
        <w:rPr>
          <w:sz w:val="16"/>
          <w:szCs w:val="16"/>
          <w:color w:val="231F20"/>
          <w:spacing w:val="-17"/>
        </w:rPr>
        <w:t>J］. JAMA，2019，321（11</w:t>
      </w:r>
      <w:r>
        <w:rPr>
          <w:sz w:val="16"/>
          <w:szCs w:val="16"/>
          <w:color w:val="231F20"/>
          <w:spacing w:val="-32"/>
        </w:rPr>
        <w:t>）：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1"/>
        </w:rPr>
        <w:t>1081-1095. DOI：10.1001/jama.</w:t>
      </w:r>
      <w:r>
        <w:rPr>
          <w:sz w:val="16"/>
          <w:szCs w:val="16"/>
          <w:color w:val="231F20"/>
          <w:spacing w:val="-12"/>
        </w:rPr>
        <w:t>2019.1572.</w:t>
      </w:r>
    </w:p>
    <w:p>
      <w:pPr>
        <w:pStyle w:val="BodyText"/>
        <w:ind w:left="1040" w:right="293" w:hanging="487"/>
        <w:spacing w:before="45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［12］GINSBERG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N，KARMAL</w:t>
      </w:r>
      <w:r>
        <w:rPr>
          <w:sz w:val="16"/>
          <w:szCs w:val="16"/>
          <w:color w:val="231F20"/>
          <w:spacing w:val="-9"/>
        </w:rPr>
        <w:t>LY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9"/>
        </w:rPr>
        <w:t>W，SIDDIQUI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9"/>
        </w:rPr>
        <w:t>M，et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al.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9"/>
        </w:rPr>
        <w:t>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dose-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response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5"/>
        </w:rPr>
        <w:t>study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effects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dietary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cholesterol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on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fasting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postprandial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2"/>
        </w:rPr>
        <w:t>lipid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2"/>
        </w:rPr>
        <w:t>lipoprotein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metabolism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in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healthy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young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men［J］.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Arterioscler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Thromb，1994，14（4）：576-586.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DOI：10.1161/01.atv.14.4.576.</w:t>
      </w:r>
    </w:p>
    <w:p>
      <w:pPr>
        <w:pStyle w:val="BodyText"/>
        <w:ind w:left="1039" w:right="293" w:hanging="486"/>
        <w:spacing w:before="25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［13］GINSBERG H N，KARMALLY W，SIDDIQUI M，et al. Increases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5"/>
        </w:rPr>
        <w:t>dietary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cholesterol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are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associated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with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modest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increases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b</w:t>
      </w:r>
      <w:r>
        <w:rPr>
          <w:sz w:val="16"/>
          <w:szCs w:val="16"/>
          <w:color w:val="231F20"/>
          <w:spacing w:val="-16"/>
        </w:rPr>
        <w:t>oth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LDL and HDL cholesterol in health</w:t>
      </w:r>
      <w:r>
        <w:rPr>
          <w:sz w:val="16"/>
          <w:szCs w:val="16"/>
          <w:color w:val="231F20"/>
          <w:spacing w:val="-14"/>
        </w:rPr>
        <w:t>y young women［J］. Arterioscler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Thromb Vasc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1"/>
        </w:rPr>
        <w:t>Biol，1995，15（2）：169-178.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1"/>
        </w:rPr>
        <w:t>DOI：10.1161/01.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atv.15.2.169.</w:t>
      </w:r>
    </w:p>
    <w:p>
      <w:pPr>
        <w:pStyle w:val="BodyText"/>
        <w:ind w:left="1038" w:right="294" w:hanging="485"/>
        <w:spacing w:before="3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［14］MOZAFFARIAN D，MICHA R，WALLACE S. Effects on coronary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6"/>
        </w:rPr>
        <w:t>heart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6"/>
        </w:rPr>
        <w:t>disease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increasing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polyunsaturated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fat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place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saturated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fat：a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systematic review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meta-analysis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of randomized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controlled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trials［J］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PLoS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2"/>
        </w:rPr>
        <w:t>Med，2010，7（3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2"/>
        </w:rPr>
        <w:t>e1000252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10.1371/journal.pmed.1000252.</w:t>
      </w:r>
    </w:p>
    <w:p>
      <w:pPr>
        <w:pStyle w:val="BodyText"/>
        <w:ind w:left="1038" w:right="293" w:hanging="485"/>
        <w:spacing w:before="41" w:line="22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［15］KIM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B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K，HONG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J，LEE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Y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J，et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Long-term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efficacy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safety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moderate-intensity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1"/>
        </w:rPr>
        <w:t>statin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with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ezetimibe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combination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therapy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versus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high-intensity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stati</w:t>
      </w:r>
      <w:r>
        <w:rPr>
          <w:sz w:val="16"/>
          <w:szCs w:val="16"/>
          <w:color w:val="231F20"/>
          <w:spacing w:val="-9"/>
        </w:rPr>
        <w:t>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9"/>
        </w:rPr>
        <w:t>monotherapy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9"/>
        </w:rPr>
        <w:t>in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9"/>
        </w:rPr>
        <w:t>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with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6"/>
        </w:rPr>
        <w:t>atherosclerotic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cardiovascular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disease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（RACING）：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randomised，open-label，non-inferiority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7"/>
        </w:rPr>
        <w:t>trial［J］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7"/>
        </w:rPr>
        <w:t>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7"/>
        </w:rPr>
        <w:t>Lancet，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2022，400（10349）：380-390.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0"/>
        </w:rPr>
        <w:t>DOI：10.1016/S0140-6736(22)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00916-3.</w:t>
      </w:r>
    </w:p>
    <w:p>
      <w:pPr>
        <w:pStyle w:val="BodyText"/>
        <w:ind w:left="1039" w:right="295" w:hanging="486"/>
        <w:spacing w:before="3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［16］</w:t>
      </w:r>
      <w:r>
        <w:rPr>
          <w:sz w:val="16"/>
          <w:szCs w:val="16"/>
          <w:color w:val="231F20"/>
        </w:rPr>
        <w:t>CHRISTIAN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46"/>
          <w:w w:val="102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1"/>
        </w:rPr>
        <w:t xml:space="preserve"> ，</w:t>
      </w:r>
      <w:r>
        <w:rPr>
          <w:sz w:val="16"/>
          <w:szCs w:val="16"/>
          <w:color w:val="231F20"/>
        </w:rPr>
        <w:t>ARONDEKAR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1"/>
        </w:rPr>
        <w:t xml:space="preserve"> 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</w:rPr>
        <w:t>BUYSMAN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1"/>
        </w:rPr>
        <w:t>，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1"/>
        </w:rPr>
        <w:t>et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al.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1"/>
        </w:rPr>
        <w:t>Clinical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economic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1"/>
        </w:rPr>
        <w:t>benefits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1"/>
        </w:rPr>
        <w:t>observed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when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1"/>
        </w:rPr>
        <w:t>follow-up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triglyceride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</w:rPr>
        <w:t>levels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ar</w:t>
      </w:r>
      <w:r>
        <w:rPr>
          <w:sz w:val="16"/>
          <w:szCs w:val="16"/>
          <w:color w:val="231F20"/>
          <w:spacing w:val="-14"/>
        </w:rPr>
        <w:t>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less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than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500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mg/dL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patients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with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severe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hypertriglyceridemia［J］.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8"/>
        </w:rPr>
        <w:t>J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Clin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Lipid</w:t>
      </w:r>
      <w:r>
        <w:rPr>
          <w:sz w:val="16"/>
          <w:szCs w:val="16"/>
          <w:color w:val="231F20"/>
          <w:spacing w:val="-9"/>
        </w:rPr>
        <w:t>ol，2012，6（5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9"/>
        </w:rPr>
        <w:t>450-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461. DOI：10.1016/j.j</w:t>
      </w:r>
      <w:r>
        <w:rPr>
          <w:sz w:val="16"/>
          <w:szCs w:val="16"/>
          <w:color w:val="231F20"/>
          <w:spacing w:val="-10"/>
        </w:rPr>
        <w:t>acl.2012.08.007.</w:t>
      </w:r>
    </w:p>
    <w:p>
      <w:pPr>
        <w:pStyle w:val="BodyText"/>
        <w:ind w:left="1040" w:right="292" w:hanging="487"/>
        <w:spacing w:before="45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［17］BHATT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4"/>
        </w:rPr>
        <w:t>L，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4"/>
        </w:rPr>
        <w:t>STEG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P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4"/>
        </w:rPr>
        <w:t>G，MILLER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M，et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4"/>
        </w:rPr>
        <w:t>al.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Cardiovascular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risk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reduction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with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icosapent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2"/>
        </w:rPr>
        <w:t>ethyl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2"/>
        </w:rPr>
        <w:t>for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2"/>
        </w:rPr>
        <w:t>hypertriglyceridemia［J］.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N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1"/>
        </w:rPr>
        <w:t>Engl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Med，2019，380（1）：11-22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DOI：10.1056/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NEJMoa1812792.</w:t>
      </w:r>
    </w:p>
    <w:p>
      <w:pPr>
        <w:pStyle w:val="BodyText"/>
        <w:ind w:left="1040" w:right="283" w:hanging="487"/>
        <w:spacing w:before="37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［18］</w:t>
      </w:r>
      <w:r>
        <w:rPr>
          <w:sz w:val="16"/>
          <w:szCs w:val="16"/>
          <w:color w:val="231F20"/>
        </w:rPr>
        <w:t>YOKOYAMA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6"/>
        </w:rPr>
        <w:t>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</w:rPr>
        <w:t>ORIGASA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6"/>
        </w:rPr>
        <w:t xml:space="preserve"> ，</w:t>
      </w:r>
      <w:r>
        <w:rPr>
          <w:sz w:val="16"/>
          <w:szCs w:val="16"/>
          <w:color w:val="231F20"/>
        </w:rPr>
        <w:t>MATSUZAKI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6"/>
        </w:rPr>
        <w:t>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Effects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eicosapentaenoic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0"/>
        </w:rPr>
        <w:t>acid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major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0"/>
        </w:rPr>
        <w:t>coronary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events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hypercholesterolaemic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patients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2"/>
        </w:rPr>
        <w:t>（JELIS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2"/>
        </w:rPr>
        <w:t>a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2"/>
        </w:rPr>
        <w:t>randomised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open-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label，blinded endpoint analysis［J］. Lancet，20</w:t>
      </w:r>
      <w:r>
        <w:rPr>
          <w:sz w:val="16"/>
          <w:szCs w:val="16"/>
          <w:color w:val="231F20"/>
          <w:spacing w:val="-17"/>
        </w:rPr>
        <w:t>07，369（9567</w:t>
      </w:r>
      <w:r>
        <w:rPr>
          <w:sz w:val="16"/>
          <w:szCs w:val="16"/>
          <w:color w:val="231F20"/>
          <w:spacing w:val="-22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1090-1098. DOI：10.1016/</w:t>
      </w:r>
      <w:r>
        <w:rPr>
          <w:sz w:val="16"/>
          <w:szCs w:val="16"/>
          <w:color w:val="231F20"/>
          <w:spacing w:val="-11"/>
        </w:rPr>
        <w:t>S0140-6736(07)60527-3.</w:t>
      </w:r>
    </w:p>
    <w:p>
      <w:pPr>
        <w:pStyle w:val="BodyText"/>
        <w:ind w:left="1038" w:right="294" w:hanging="485"/>
        <w:spacing w:before="30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［19］KEECH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A，SIMES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7"/>
        </w:rPr>
        <w:t>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7"/>
        </w:rPr>
        <w:t>J，BARTER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P，et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7"/>
        </w:rPr>
        <w:t>Effects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of long-term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fenofibrate therapy on cardiovascular eve</w:t>
      </w:r>
      <w:r>
        <w:rPr>
          <w:sz w:val="16"/>
          <w:szCs w:val="16"/>
          <w:color w:val="231F20"/>
          <w:spacing w:val="-16"/>
        </w:rPr>
        <w:t>nts in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6"/>
        </w:rPr>
        <w:t>9795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6"/>
        </w:rPr>
        <w:t>people with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6"/>
        </w:rPr>
        <w:t>type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diabetes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mellitus（the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1"/>
        </w:rPr>
        <w:t>FIELD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1"/>
        </w:rPr>
        <w:t>study</w:t>
      </w:r>
      <w:r>
        <w:rPr>
          <w:sz w:val="16"/>
          <w:szCs w:val="16"/>
          <w:color w:val="231F20"/>
          <w:spacing w:val="-18"/>
        </w:rPr>
        <w:t>）：</w:t>
      </w:r>
      <w:r>
        <w:rPr>
          <w:sz w:val="16"/>
          <w:szCs w:val="16"/>
          <w:color w:val="231F20"/>
          <w:spacing w:val="-11"/>
        </w:rPr>
        <w:t>randomised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controlled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trial［J］.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Lancet，200</w:t>
      </w:r>
      <w:r>
        <w:rPr>
          <w:sz w:val="16"/>
          <w:szCs w:val="16"/>
          <w:color w:val="231F20"/>
          <w:spacing w:val="-4"/>
        </w:rPr>
        <w:t>5，366（9500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4"/>
        </w:rPr>
        <w:t>1849-1861.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4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10.1016/S0140-6736(05)67667-2.</w:t>
      </w:r>
    </w:p>
    <w:p>
      <w:pPr>
        <w:pStyle w:val="BodyText"/>
        <w:ind w:left="1042" w:right="293" w:hanging="489"/>
        <w:spacing w:before="29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</w:rPr>
        <w:t>［20］Accord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Study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Group.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Effec</w:t>
      </w:r>
      <w:r>
        <w:rPr>
          <w:sz w:val="16"/>
          <w:szCs w:val="16"/>
          <w:color w:val="231F20"/>
          <w:spacing w:val="-15"/>
        </w:rPr>
        <w:t>ts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combination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lipid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therapy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type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2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diabetes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1"/>
        </w:rPr>
        <w:t>mellitus［J］.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1"/>
        </w:rPr>
        <w:t>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Engl J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1"/>
        </w:rPr>
        <w:t>M</w:t>
      </w:r>
      <w:r>
        <w:rPr>
          <w:sz w:val="16"/>
          <w:szCs w:val="16"/>
          <w:color w:val="231F20"/>
          <w:spacing w:val="-12"/>
        </w:rPr>
        <w:t>ed，2010，362（17</w:t>
      </w:r>
      <w:r>
        <w:rPr>
          <w:sz w:val="16"/>
          <w:szCs w:val="16"/>
          <w:color w:val="231F20"/>
          <w:spacing w:val="-17"/>
        </w:rPr>
        <w:t>）：</w:t>
      </w:r>
      <w:r>
        <w:rPr>
          <w:sz w:val="16"/>
          <w:szCs w:val="16"/>
          <w:color w:val="231F20"/>
          <w:spacing w:val="-12"/>
        </w:rPr>
        <w:t>1563-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1574. DOI：10.1056/NEJMoa1001282.</w:t>
      </w:r>
    </w:p>
    <w:p>
      <w:pPr>
        <w:pStyle w:val="BodyText"/>
        <w:ind w:left="1042" w:right="294" w:hanging="489"/>
        <w:spacing w:before="22" w:line="20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［21］CANNON  C  P ，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BLAZING  M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A， GI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</w:rPr>
        <w:t>UG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LIA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</w:rPr>
        <w:t>NO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R  P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， </w:t>
      </w:r>
      <w:r>
        <w:rPr>
          <w:sz w:val="16"/>
          <w:szCs w:val="16"/>
          <w:color w:val="231F20"/>
          <w:spacing w:val="-10"/>
        </w:rPr>
        <w:t>et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  <w:spacing w:val="-10"/>
        </w:rPr>
        <w:t>al.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Ezetimibe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added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to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0"/>
        </w:rPr>
        <w:t>statin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therapy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after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0"/>
        </w:rPr>
        <w:t>acute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0"/>
        </w:rPr>
        <w:t>coronary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syndromes［J］.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Engl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</w:rPr>
        <w:t>J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2"/>
        </w:rPr>
        <w:t>Med，2015，372（25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12"/>
        </w:rPr>
        <w:t>2387-2397.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DOI：10.1056/NEJMoa141048</w:t>
      </w:r>
      <w:r>
        <w:rPr>
          <w:sz w:val="16"/>
          <w:szCs w:val="16"/>
          <w:color w:val="231F20"/>
          <w:spacing w:val="-14"/>
        </w:rPr>
        <w:t>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8" w:right="168" w:hanging="488"/>
        <w:spacing w:before="2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［22］LIAO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9"/>
        </w:rPr>
        <w:t>J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W，WANG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9"/>
        </w:rPr>
        <w:t>X，LI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9"/>
        </w:rPr>
        <w:t>Z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9"/>
        </w:rPr>
        <w:t>Y，et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al.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Pharmacokinetic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9"/>
        </w:rPr>
        <w:t>study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oral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9"/>
          <w:szCs w:val="9"/>
          <w:color w:val="231F20"/>
          <w:spacing w:val="-10"/>
          <w:position w:val="7"/>
        </w:rPr>
        <w:t>14</w:t>
      </w:r>
      <w:r>
        <w:rPr>
          <w:sz w:val="16"/>
          <w:szCs w:val="16"/>
          <w:color w:val="231F20"/>
          <w:spacing w:val="-10"/>
        </w:rPr>
        <w:t>C-radiolabeled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hyzetimibe，A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4"/>
        </w:rPr>
        <w:t>new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4"/>
        </w:rPr>
        <w:t>cholesterol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4"/>
        </w:rPr>
        <w:t>absorption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inhibitor［J］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6"/>
        </w:rPr>
        <w:t>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Front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6"/>
        </w:rPr>
        <w:t>Pharmacol，2021，12：665372.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6"/>
        </w:rPr>
        <w:t>D</w:t>
      </w:r>
      <w:r>
        <w:rPr>
          <w:sz w:val="16"/>
          <w:szCs w:val="16"/>
          <w:color w:val="231F20"/>
          <w:spacing w:val="-7"/>
        </w:rPr>
        <w:t>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10.3389/fphar.2021.665372.</w:t>
      </w:r>
    </w:p>
    <w:p>
      <w:pPr>
        <w:pStyle w:val="BodyText"/>
        <w:ind w:left="489" w:right="178" w:hanging="489"/>
        <w:spacing w:before="43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［23］O</w:t>
      </w:r>
      <w:r>
        <w:rPr>
          <w:rFonts w:ascii="FZShuTi" w:hAnsi="FZShuTi" w:eastAsia="FZShuTi" w:cs="FZShuTi"/>
          <w:sz w:val="16"/>
          <w:szCs w:val="16"/>
          <w:color w:val="231F20"/>
          <w:spacing w:val="-7"/>
        </w:rPr>
        <w:t>'</w:t>
      </w:r>
      <w:r>
        <w:rPr>
          <w:sz w:val="16"/>
          <w:szCs w:val="16"/>
          <w:color w:val="231F20"/>
          <w:spacing w:val="-7"/>
        </w:rPr>
        <w:t>DONOGHUE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M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7"/>
        </w:rPr>
        <w:t>L，GIUGLIANO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R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P，WIVI</w:t>
      </w:r>
      <w:r>
        <w:rPr>
          <w:sz w:val="16"/>
          <w:szCs w:val="16"/>
          <w:color w:val="231F20"/>
          <w:spacing w:val="-8"/>
        </w:rPr>
        <w:t>OTT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8"/>
        </w:rPr>
        <w:t>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D，et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Long-term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evolocumab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i</w:t>
      </w:r>
      <w:r>
        <w:rPr>
          <w:sz w:val="16"/>
          <w:szCs w:val="16"/>
          <w:color w:val="231F20"/>
          <w:spacing w:val="-15"/>
        </w:rPr>
        <w:t>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patients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with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established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5"/>
        </w:rPr>
        <w:t>atherosclerotic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cardiovascular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disease［J］.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6"/>
        </w:rPr>
        <w:t>Circ</w:t>
      </w:r>
      <w:r>
        <w:rPr>
          <w:sz w:val="16"/>
          <w:szCs w:val="16"/>
          <w:color w:val="231F20"/>
          <w:spacing w:val="-7"/>
        </w:rPr>
        <w:t>ulation，2022，146（15</w:t>
      </w:r>
      <w:r>
        <w:rPr>
          <w:sz w:val="16"/>
          <w:szCs w:val="16"/>
          <w:color w:val="231F20"/>
          <w:spacing w:val="-22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1109-1119. DOI：10.1161/CI</w:t>
      </w:r>
      <w:r>
        <w:rPr>
          <w:sz w:val="16"/>
          <w:szCs w:val="16"/>
          <w:color w:val="231F20"/>
          <w:spacing w:val="-10"/>
        </w:rPr>
        <w:t>RCULATIONAHA.122.061620.</w:t>
      </w:r>
    </w:p>
    <w:p>
      <w:pPr>
        <w:pStyle w:val="BodyText"/>
        <w:ind w:left="485" w:right="178" w:hanging="485"/>
        <w:spacing w:before="21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［24］QI L T，LIU D X，QU 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0"/>
        </w:rPr>
        <w:t>L，et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0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Tafolecimab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0"/>
        </w:rPr>
        <w:t>Chinese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0"/>
        </w:rPr>
        <w:t>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with hypercholesterolemia（CREDIT-4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13"/>
        </w:rPr>
        <w:t>a randomized，double-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blind，placebo-controlled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phase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3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</w:rPr>
        <w:t>trial［J］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.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</w:rPr>
        <w:t>JACC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Asia，2023，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3（4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9"/>
        </w:rPr>
        <w:t>636-645. DOI：10.1016/j.jacasi.2023.04.011.</w:t>
      </w:r>
    </w:p>
    <w:p>
      <w:pPr>
        <w:pStyle w:val="BodyText"/>
        <w:ind w:left="488" w:right="178" w:hanging="488"/>
        <w:spacing w:before="45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［25］FITZGERALD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K，WHITE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7"/>
        </w:rPr>
        <w:t>S，BORODOVSKY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A，et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highly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durable RNAi therap</w:t>
      </w:r>
      <w:r>
        <w:rPr>
          <w:sz w:val="16"/>
          <w:szCs w:val="16"/>
          <w:color w:val="231F20"/>
          <w:spacing w:val="-12"/>
        </w:rPr>
        <w:t>eutic inhibitor of PCSK9［J］. N Engl J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2"/>
        </w:rPr>
        <w:t>Med，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2017，376（1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11"/>
        </w:rPr>
        <w:t>41-51. DOI：10.1056/NEJMoa1609243.</w:t>
      </w:r>
    </w:p>
    <w:p>
      <w:pPr>
        <w:pStyle w:val="BodyText"/>
        <w:ind w:left="488" w:right="177" w:hanging="488"/>
        <w:spacing w:before="3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［26］</w:t>
      </w:r>
      <w:r>
        <w:rPr>
          <w:sz w:val="16"/>
          <w:szCs w:val="16"/>
          <w:color w:val="231F20"/>
        </w:rPr>
        <w:t>SABATINE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</w:rPr>
        <w:t>GIUGLIANO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</w:rPr>
        <w:t>KEECH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Evolocumab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clinical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outco</w:t>
      </w:r>
      <w:r>
        <w:rPr>
          <w:sz w:val="16"/>
          <w:szCs w:val="16"/>
          <w:color w:val="231F20"/>
          <w:spacing w:val="-14"/>
        </w:rPr>
        <w:t>mes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patients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with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cardiovascular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disease［J］.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Engl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J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6"/>
        </w:rPr>
        <w:t>Me</w:t>
      </w:r>
      <w:r>
        <w:rPr>
          <w:sz w:val="16"/>
          <w:szCs w:val="16"/>
          <w:color w:val="231F20"/>
          <w:spacing w:val="-7"/>
        </w:rPr>
        <w:t>d，2017，376（18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7"/>
        </w:rPr>
        <w:t>1713-1722.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DOI：10.1056/NEJMoa1615664.</w:t>
      </w:r>
    </w:p>
    <w:p>
      <w:pPr>
        <w:pStyle w:val="BodyText"/>
        <w:ind w:left="487" w:right="167" w:hanging="487"/>
        <w:spacing w:before="53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［27］Cholesterol Treatment Trialists Collaborators</w:t>
      </w:r>
      <w:r>
        <w:rPr>
          <w:sz w:val="16"/>
          <w:szCs w:val="16"/>
          <w:color w:val="231F20"/>
          <w:spacing w:val="-13"/>
        </w:rPr>
        <w:t>. Efficacy of cholesterol-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lowering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7"/>
        </w:rPr>
        <w:t>therapy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7"/>
        </w:rPr>
        <w:t>18，686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7"/>
        </w:rPr>
        <w:t>people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7"/>
        </w:rPr>
        <w:t>with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di</w:t>
      </w:r>
      <w:r>
        <w:rPr>
          <w:sz w:val="16"/>
          <w:szCs w:val="16"/>
          <w:color w:val="231F20"/>
          <w:spacing w:val="-18"/>
        </w:rPr>
        <w:t>abetes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8"/>
        </w:rPr>
        <w:t>in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8"/>
        </w:rPr>
        <w:t>14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8"/>
        </w:rPr>
        <w:t>randomised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trials of statins：a meta-analysis［J］. Lancet，2008，3</w:t>
      </w:r>
      <w:r>
        <w:rPr>
          <w:sz w:val="16"/>
          <w:szCs w:val="16"/>
          <w:color w:val="231F20"/>
          <w:spacing w:val="-16"/>
        </w:rPr>
        <w:t>71（9607</w:t>
      </w:r>
      <w:r>
        <w:rPr>
          <w:sz w:val="16"/>
          <w:szCs w:val="16"/>
          <w:color w:val="231F20"/>
          <w:spacing w:val="-23"/>
        </w:rPr>
        <w:t>）：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0"/>
        </w:rPr>
        <w:t>117-125. DOI：10.1016/S0140-6736(08)60104</w:t>
      </w:r>
      <w:r>
        <w:rPr>
          <w:sz w:val="16"/>
          <w:szCs w:val="16"/>
          <w:color w:val="231F20"/>
          <w:spacing w:val="-11"/>
        </w:rPr>
        <w:t>-X.</w:t>
      </w:r>
    </w:p>
    <w:p>
      <w:pPr>
        <w:pStyle w:val="BodyText"/>
        <w:ind w:left="485" w:right="167" w:hanging="485"/>
        <w:spacing w:before="31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［28］Cholesterol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8"/>
        </w:rPr>
        <w:t>Treatment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Trialists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8"/>
        </w:rPr>
        <w:t>Collaboration.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8"/>
        </w:rPr>
        <w:t>Impact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of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8"/>
        </w:rPr>
        <w:t>ren</w:t>
      </w:r>
      <w:r>
        <w:rPr>
          <w:sz w:val="16"/>
          <w:szCs w:val="16"/>
          <w:color w:val="231F20"/>
          <w:spacing w:val="-9"/>
        </w:rPr>
        <w:t>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function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on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effects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of LDL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cholesterol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lowering with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statin-b</w:t>
      </w:r>
      <w:r>
        <w:rPr>
          <w:sz w:val="16"/>
          <w:szCs w:val="16"/>
          <w:color w:val="231F20"/>
          <w:spacing w:val="-16"/>
        </w:rPr>
        <w:t>ased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regimens：a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meta-analysis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3"/>
        </w:rPr>
        <w:t>individual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participant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data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from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28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randomised trials［J］. Lancet Diabetes Endocrinol，2016，4</w:t>
      </w:r>
      <w:r>
        <w:rPr>
          <w:sz w:val="16"/>
          <w:szCs w:val="16"/>
          <w:color w:val="231F20"/>
          <w:spacing w:val="-17"/>
        </w:rPr>
        <w:t>（10</w:t>
      </w:r>
      <w:r>
        <w:rPr>
          <w:sz w:val="16"/>
          <w:szCs w:val="16"/>
          <w:color w:val="231F20"/>
          <w:spacing w:val="-30"/>
        </w:rPr>
        <w:t>）：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0"/>
        </w:rPr>
        <w:t>829-839. DOI：10.1016/S2213-8587(1</w:t>
      </w:r>
      <w:r>
        <w:rPr>
          <w:sz w:val="16"/>
          <w:szCs w:val="16"/>
          <w:color w:val="231F20"/>
          <w:spacing w:val="-11"/>
        </w:rPr>
        <w:t>6)30156-5.</w:t>
      </w:r>
    </w:p>
    <w:p>
      <w:pPr>
        <w:pStyle w:val="BodyText"/>
        <w:ind w:left="487" w:right="178" w:hanging="487"/>
        <w:spacing w:before="29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［29］WANNER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4"/>
        </w:rPr>
        <w:t>C，KRANE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V，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4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Ä</w:t>
      </w:r>
      <w:r>
        <w:rPr>
          <w:sz w:val="16"/>
          <w:szCs w:val="16"/>
          <w:color w:val="231F20"/>
          <w:spacing w:val="-4"/>
        </w:rPr>
        <w:t>RZ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W，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4"/>
        </w:rPr>
        <w:t>et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al.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Atorvastatin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patients with type 2 diabetes mellitus u</w:t>
      </w:r>
      <w:r>
        <w:rPr>
          <w:sz w:val="16"/>
          <w:szCs w:val="16"/>
          <w:color w:val="231F20"/>
          <w:spacing w:val="-15"/>
        </w:rPr>
        <w:t>ndergoing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5"/>
        </w:rPr>
        <w:t>hemodialysis［J］.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N EnglJ Med，2005，353（3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9"/>
        </w:rPr>
        <w:t>238-248.</w:t>
      </w:r>
    </w:p>
    <w:p>
      <w:pPr>
        <w:pStyle w:val="BodyText"/>
        <w:ind w:left="487" w:right="178" w:hanging="487"/>
        <w:spacing w:before="45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［30］FELLSTR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Ö</w:t>
      </w:r>
      <w:r>
        <w:rPr>
          <w:sz w:val="16"/>
          <w:szCs w:val="16"/>
          <w:color w:val="231F20"/>
          <w:spacing w:val="-2"/>
        </w:rPr>
        <w:t>M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B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2"/>
        </w:rPr>
        <w:t>C，JARD</w:t>
      </w:r>
      <w:r>
        <w:rPr>
          <w:sz w:val="16"/>
          <w:szCs w:val="16"/>
          <w:color w:val="231F20"/>
          <w:spacing w:val="-3"/>
        </w:rPr>
        <w:t>INE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A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G，SCHMIEDER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R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3"/>
        </w:rPr>
        <w:t>E，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3"/>
        </w:rPr>
        <w:t>et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3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Rosuvastatin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cardiovascular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1"/>
        </w:rPr>
        <w:t>events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in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1"/>
        </w:rPr>
        <w:t>patients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undergoing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hemodialysis［J］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8"/>
        </w:rPr>
        <w:t>N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Engl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J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8"/>
        </w:rPr>
        <w:t>Med，2009，360（14</w:t>
      </w:r>
      <w:r>
        <w:rPr>
          <w:sz w:val="16"/>
          <w:szCs w:val="16"/>
          <w:color w:val="231F20"/>
          <w:spacing w:val="-1"/>
        </w:rPr>
        <w:t>）：</w:t>
      </w:r>
      <w:r>
        <w:rPr>
          <w:sz w:val="16"/>
          <w:szCs w:val="16"/>
          <w:color w:val="231F20"/>
          <w:spacing w:val="-8"/>
        </w:rPr>
        <w:t>1395-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1407. DOI：10.1056/NEJMoa0810177.</w:t>
      </w:r>
    </w:p>
    <w:p>
      <w:pPr>
        <w:pStyle w:val="BodyText"/>
        <w:ind w:left="489" w:right="178" w:hanging="489"/>
        <w:spacing w:before="21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8"/>
        </w:rPr>
        <w:t>［31］</w:t>
      </w:r>
      <w:r>
        <w:rPr>
          <w:sz w:val="16"/>
          <w:szCs w:val="16"/>
          <w:color w:val="231F20"/>
        </w:rPr>
        <w:t>MYCHALECKYJ</w:t>
      </w:r>
      <w:r>
        <w:rPr>
          <w:sz w:val="16"/>
          <w:szCs w:val="16"/>
          <w:color w:val="231F20"/>
          <w:spacing w:val="50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28"/>
        </w:rPr>
        <w:t>，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CRAVEN</w:t>
      </w:r>
      <w:r>
        <w:rPr>
          <w:sz w:val="16"/>
          <w:szCs w:val="16"/>
          <w:color w:val="231F20"/>
          <w:spacing w:val="44"/>
          <w:w w:val="102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28"/>
        </w:rPr>
        <w:t>，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NAYAK  U</w:t>
      </w:r>
      <w:r>
        <w:rPr>
          <w:sz w:val="16"/>
          <w:szCs w:val="16"/>
          <w:color w:val="231F20"/>
          <w:spacing w:val="28"/>
        </w:rPr>
        <w:t>，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47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8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Reversibility</w:t>
      </w:r>
      <w:r>
        <w:rPr>
          <w:sz w:val="16"/>
          <w:szCs w:val="16"/>
          <w:color w:val="231F20"/>
          <w:spacing w:val="47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5"/>
        </w:rPr>
        <w:t>fenofibrate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therapy-induced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5"/>
        </w:rPr>
        <w:t>renal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function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impairment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</w:rPr>
        <w:t>ACCORD type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2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diabetic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</w:rPr>
        <w:t>participants［J］.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4"/>
        </w:rPr>
        <w:t>Diabetes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Care，2012，35（5</w:t>
      </w:r>
      <w:r>
        <w:rPr>
          <w:sz w:val="16"/>
          <w:szCs w:val="16"/>
          <w:color w:val="231F20"/>
          <w:spacing w:val="-16"/>
        </w:rPr>
        <w:t>）：</w:t>
      </w:r>
      <w:r>
        <w:rPr>
          <w:sz w:val="16"/>
          <w:szCs w:val="16"/>
          <w:color w:val="231F20"/>
          <w:spacing w:val="-10"/>
        </w:rPr>
        <w:t>1008-1014. DOI：10.2337/dc11-181</w:t>
      </w:r>
      <w:r>
        <w:rPr>
          <w:sz w:val="16"/>
          <w:szCs w:val="16"/>
          <w:color w:val="231F20"/>
          <w:spacing w:val="-11"/>
        </w:rPr>
        <w:t>1.</w:t>
      </w:r>
    </w:p>
    <w:p>
      <w:pPr>
        <w:pStyle w:val="BodyText"/>
        <w:ind w:left="487" w:right="176" w:hanging="487"/>
        <w:spacing w:before="29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［32］LINZ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6"/>
        </w:rPr>
        <w:t>P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E，LOVATO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6"/>
        </w:rPr>
        <w:t>C</w:t>
      </w:r>
      <w:r>
        <w:rPr>
          <w:sz w:val="16"/>
          <w:szCs w:val="16"/>
          <w:color w:val="231F20"/>
          <w:spacing w:val="-7"/>
        </w:rPr>
        <w:t>，BYINGTON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7"/>
        </w:rPr>
        <w:t>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7"/>
        </w:rPr>
        <w:t>P，et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7"/>
        </w:rPr>
        <w:t>Paradoxical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reduction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HDL-C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with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fenofibrate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thiazolidined</w:t>
      </w:r>
      <w:r>
        <w:rPr>
          <w:sz w:val="16"/>
          <w:szCs w:val="16"/>
          <w:color w:val="231F20"/>
          <w:spacing w:val="-15"/>
        </w:rPr>
        <w:t>ione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therapy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in type 2 diabetes：the ACCORD Lipid Trial［J］. Diabetes Care，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0"/>
        </w:rPr>
        <w:t>2014，37（3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10"/>
        </w:rPr>
        <w:t>686-693. DOI：10.2337/dc13-0790.</w:t>
      </w:r>
    </w:p>
    <w:p>
      <w:pPr>
        <w:pStyle w:val="BodyText"/>
        <w:ind w:left="487" w:right="177" w:hanging="487"/>
        <w:spacing w:before="29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［33］AMARENCO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P，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4"/>
        </w:rPr>
        <w:t>LABREUCHE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J.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Lipid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4"/>
        </w:rPr>
        <w:t>management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in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prevention of stroke：review and updated meta-analysis of statins 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stroke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</w:rPr>
        <w:t>prevention［J］.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Lancet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Neurol，2009，8（5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12"/>
        </w:rPr>
        <w:t>453-463.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DOI：10.1016/S1474-4422(09)70058-4.</w:t>
      </w:r>
    </w:p>
    <w:p>
      <w:pPr>
        <w:pStyle w:val="BodyText"/>
        <w:ind w:left="487" w:right="179" w:hanging="488"/>
        <w:spacing w:before="31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［34］AMARENCO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P，BOGOUSSLAVSKY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J，CALLAHAN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3rd，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et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0"/>
        </w:rPr>
        <w:t>al.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High-dose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0"/>
        </w:rPr>
        <w:t>atorvastatin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after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stroke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0"/>
        </w:rPr>
        <w:t>or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0"/>
        </w:rPr>
        <w:t>trans</w:t>
      </w:r>
      <w:r>
        <w:rPr>
          <w:sz w:val="16"/>
          <w:szCs w:val="16"/>
          <w:color w:val="231F20"/>
          <w:spacing w:val="-11"/>
        </w:rPr>
        <w:t>ient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ischemic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attack［J］.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9"/>
        </w:rPr>
        <w:t>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Engl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9"/>
        </w:rPr>
        <w:t>J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9"/>
        </w:rPr>
        <w:t>Med，2006，355（6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9"/>
        </w:rPr>
        <w:t>549</w:t>
      </w:r>
      <w:r>
        <w:rPr>
          <w:sz w:val="16"/>
          <w:szCs w:val="16"/>
          <w:color w:val="231F20"/>
          <w:spacing w:val="-10"/>
        </w:rPr>
        <w:t>-559.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10.1056/NEJMoa061894.</w:t>
      </w:r>
    </w:p>
    <w:p>
      <w:pPr>
        <w:pStyle w:val="BodyText"/>
        <w:ind w:left="1114"/>
        <w:spacing w:before="23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（收稿日期：2024-01-02；修回日期：2024-01</w:t>
      </w:r>
      <w:r>
        <w:rPr>
          <w:sz w:val="16"/>
          <w:szCs w:val="16"/>
          <w:color w:val="231F20"/>
          <w:spacing w:val="-5"/>
        </w:rPr>
        <w:t>-23）</w:t>
      </w:r>
    </w:p>
    <w:p>
      <w:pPr>
        <w:pStyle w:val="BodyText"/>
        <w:ind w:left="3214"/>
        <w:spacing w:before="35" w:line="15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1"/>
          <w:position w:val="-1"/>
        </w:rPr>
        <w:t>（本文编辑：张小龙）</w:t>
      </w:r>
    </w:p>
    <w:sectPr>
      <w:type w:val="continuous"/>
      <w:pgSz w:w="11963" w:h="16158"/>
      <w:pgMar w:top="1230" w:right="785" w:bottom="0" w:left="407" w:header="889" w:footer="0" w:gutter="0"/>
      <w:cols w:equalWidth="0" w:num="2">
        <w:col w:w="5669" w:space="100"/>
        <w:col w:w="50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ZShuTi">
    <w:panose1 w:val="02010601030101010101"/>
    <w:charset w:val="86"/>
    <w:family w:val="auto"/>
    <w:pitch w:val="variable"/>
    <w:sig w:usb0="00000003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4.6079pt;margin-top:262.942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780.474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3"/>
      <w:spacing w:before="13" w:line="209" w:lineRule="auto"/>
      <w:rPr>
        <w:rFonts w:ascii="SimHei" w:hAnsi="SimHei" w:eastAsia="SimHei" w:cs="SimHei"/>
        <w:sz w:val="16"/>
        <w:szCs w:val="16"/>
      </w:rPr>
    </w:pPr>
    <w:r>
      <w:pict>
        <v:shape id="WordPictureWatermark20" style="position:absolute;margin-left:44.6079pt;margin-top:262.942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22" style="position:absolute;margin-left:20.4pt;margin-top:780.474pt;mso-position-vertical-relative:page;mso-position-horizontal-relative:page;width:475.55pt;height:9.75pt;z-index:-251655168;" o:allowincell="f" filled="false" stroked="false" type="#_x0000_t75">
          <v:imagedata o:title="" r:id="rId2"/>
        </v:shape>
      </w:pict>
    </w:r>
    <w:r>
      <w:pict>
        <v:shape id="_x0000_s24" style="position:absolute;margin-left:312.607pt;margin-top:7.02496pt;mso-position-vertical-relative:text;mso-position-horizontal-relative:text;width:220.2pt;height:16.3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//www.chinagp.net    E-mail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: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    </w:t>
                </w:r>
                <w:r>
                  <w:rPr>
                    <w:color w:val="231F20"/>
                    <w:spacing w:val="-2"/>
                    <w:position w:val="-1"/>
                  </w:rPr>
                  <w:t>·2431·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position w:val="2"/>
      </w:rPr>
      <w:t xml:space="preserve"> </w:t>
    </w:r>
    <w:r>
      <w:rPr>
        <w:sz w:val="24"/>
        <w:szCs w:val="24"/>
        <w:color w:val="231F20"/>
        <w:spacing w:val="-2"/>
        <w:position w:val="2"/>
      </w:rPr>
      <w:t>中国全科医学      </w:t>
    </w:r>
    <w:r>
      <w:rPr>
        <w:rFonts w:ascii="SimHei" w:hAnsi="SimHei" w:eastAsia="SimHei" w:cs="SimHei"/>
        <w:sz w:val="16"/>
        <w:szCs w:val="16"/>
        <w:color w:val="231F20"/>
        <w:spacing w:val="-2"/>
        <w:position w:val="-1"/>
      </w:rPr>
      <w:t>2024年7月</w:t>
    </w:r>
    <w:r>
      <w:rPr>
        <w:rFonts w:ascii="SimHei" w:hAnsi="SimHei" w:eastAsia="SimHei" w:cs="SimHei"/>
        <w:sz w:val="16"/>
        <w:szCs w:val="16"/>
        <w:color w:val="231F20"/>
        <w:spacing w:val="-2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-3"/>
        <w:position w:val="-1"/>
      </w:rPr>
      <w:t>第27卷</w:t>
    </w:r>
    <w:r>
      <w:rPr>
        <w:rFonts w:ascii="SimHei" w:hAnsi="SimHei" w:eastAsia="SimHei" w:cs="SimHei"/>
        <w:sz w:val="16"/>
        <w:szCs w:val="16"/>
        <w:color w:val="231F20"/>
        <w:spacing w:val="-3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-3"/>
        <w:position w:val="-1"/>
      </w:rPr>
      <w:t>第20期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3"/>
      <w:spacing w:before="13" w:line="209" w:lineRule="auto"/>
      <w:rPr>
        <w:rFonts w:ascii="SimHei" w:hAnsi="SimHei" w:eastAsia="SimHei" w:cs="SimHei"/>
        <w:sz w:val="16"/>
        <w:szCs w:val="16"/>
      </w:rPr>
    </w:pPr>
    <w:r>
      <w:pict>
        <v:shape id="WordPictureWatermark114" style="position:absolute;margin-left:44.6079pt;margin-top:262.942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WordPictureWatermark116" style="position:absolute;margin-left:20.4pt;margin-top:780.474pt;mso-position-vertical-relative:page;mso-position-horizontal-relative:page;width:475.55pt;height:9.75pt;z-index:-251651072;" o:allowincell="f" filled="false" stroked="false" type="#_x0000_t75">
          <v:imagedata o:title="" r:id="rId2"/>
        </v:shape>
      </w:pict>
    </w:r>
    <w:r>
      <w:pict>
        <v:shape id="_x0000_s118" style="position:absolute;margin-left:312.607pt;margin-top:7.02496pt;mso-position-vertical-relative:text;mso-position-horizontal-relative:text;width:220.2pt;height:16.3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//www.chinagp.net    E-mail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: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    </w:t>
                </w:r>
                <w:r>
                  <w:rPr>
                    <w:color w:val="231F20"/>
                    <w:spacing w:val="-2"/>
                    <w:position w:val="-1"/>
                  </w:rPr>
                  <w:t>·2433·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position w:val="2"/>
      </w:rPr>
      <w:t xml:space="preserve"> </w:t>
    </w:r>
    <w:r>
      <w:rPr>
        <w:sz w:val="24"/>
        <w:szCs w:val="24"/>
        <w:color w:val="231F20"/>
        <w:spacing w:val="-2"/>
        <w:position w:val="2"/>
      </w:rPr>
      <w:t>中国全科医学      </w:t>
    </w:r>
    <w:r>
      <w:rPr>
        <w:rFonts w:ascii="SimHei" w:hAnsi="SimHei" w:eastAsia="SimHei" w:cs="SimHei"/>
        <w:sz w:val="16"/>
        <w:szCs w:val="16"/>
        <w:color w:val="231F20"/>
        <w:spacing w:val="-2"/>
        <w:position w:val="-1"/>
      </w:rPr>
      <w:t>2024年7月</w:t>
    </w:r>
    <w:r>
      <w:rPr>
        <w:rFonts w:ascii="SimHei" w:hAnsi="SimHei" w:eastAsia="SimHei" w:cs="SimHei"/>
        <w:sz w:val="16"/>
        <w:szCs w:val="16"/>
        <w:color w:val="231F20"/>
        <w:spacing w:val="-2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-3"/>
        <w:position w:val="-1"/>
      </w:rPr>
      <w:t>第27卷</w:t>
    </w:r>
    <w:r>
      <w:rPr>
        <w:rFonts w:ascii="SimHei" w:hAnsi="SimHei" w:eastAsia="SimHei" w:cs="SimHei"/>
        <w:sz w:val="16"/>
        <w:szCs w:val="16"/>
        <w:color w:val="231F20"/>
        <w:spacing w:val="-3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-3"/>
        <w:position w:val="-1"/>
      </w:rPr>
      <w:t>第20期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50" style="position:absolute;margin-left:179.917pt;margin-top:262.942pt;mso-position-vertical-relative:page;mso-position-horizontal-relative:page;width:378.95pt;height:213.1pt;z-index:-251649024;" o:allowincell="f" filled="false" stroked="false" type="#_x0000_t75">
          <v:imagedata o:title="" r:id="rId1"/>
        </v:shape>
      </w:pict>
    </w:r>
    <w:r>
      <w:pict>
        <v:shape id="WordPictureWatermark152" style="position:absolute;margin-left:20.4pt;margin-top:780.474pt;mso-position-vertical-relative:page;mso-position-horizontal-relative:page;width:475.55pt;height:9.75pt;z-index:-251648000;" o:allowincell="f" filled="false" stroked="false" type="#_x0000_t75">
          <v:imagedata o:title="" r:id="rId2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3"/>
      <w:spacing w:before="13" w:line="209" w:lineRule="auto"/>
      <w:rPr>
        <w:rFonts w:ascii="SimHei" w:hAnsi="SimHei" w:eastAsia="SimHei" w:cs="SimHei"/>
        <w:sz w:val="16"/>
        <w:szCs w:val="16"/>
      </w:rPr>
    </w:pPr>
    <w:r>
      <w:pict>
        <v:shape id="WordPictureWatermark172" style="position:absolute;margin-left:44.6079pt;margin-top:262.942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174" style="position:absolute;margin-left:20.4pt;margin-top:780.474pt;mso-position-vertical-relative:page;mso-position-horizontal-relative:page;width:475.55pt;height:9.75pt;z-index:-251644928;" o:allowincell="f" filled="false" stroked="false" type="#_x0000_t75">
          <v:imagedata o:title="" r:id="rId2"/>
        </v:shape>
      </w:pict>
    </w:r>
    <w:r>
      <w:pict>
        <v:shape id="_x0000_s176" style="position:absolute;margin-left:312.607pt;margin-top:7.02496pt;mso-position-vertical-relative:text;mso-position-horizontal-relative:text;width:220.2pt;height:16.3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//www.chinagp.net    E-mail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: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    </w:t>
                </w:r>
                <w:r>
                  <w:rPr>
                    <w:color w:val="231F20"/>
                    <w:spacing w:val="-2"/>
                    <w:position w:val="-1"/>
                  </w:rPr>
                  <w:t>·2435·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position w:val="2"/>
      </w:rPr>
      <w:t xml:space="preserve"> </w:t>
    </w:r>
    <w:r>
      <w:rPr>
        <w:sz w:val="24"/>
        <w:szCs w:val="24"/>
        <w:color w:val="231F20"/>
        <w:spacing w:val="-2"/>
        <w:position w:val="2"/>
      </w:rPr>
      <w:t>中国全科医学      </w:t>
    </w:r>
    <w:r>
      <w:rPr>
        <w:rFonts w:ascii="SimHei" w:hAnsi="SimHei" w:eastAsia="SimHei" w:cs="SimHei"/>
        <w:sz w:val="16"/>
        <w:szCs w:val="16"/>
        <w:color w:val="231F20"/>
        <w:spacing w:val="-2"/>
        <w:position w:val="-1"/>
      </w:rPr>
      <w:t>2024年7月</w:t>
    </w:r>
    <w:r>
      <w:rPr>
        <w:rFonts w:ascii="SimHei" w:hAnsi="SimHei" w:eastAsia="SimHei" w:cs="SimHei"/>
        <w:sz w:val="16"/>
        <w:szCs w:val="16"/>
        <w:color w:val="231F20"/>
        <w:spacing w:val="-2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-3"/>
        <w:position w:val="-1"/>
      </w:rPr>
      <w:t>第27卷</w:t>
    </w:r>
    <w:r>
      <w:rPr>
        <w:rFonts w:ascii="SimHei" w:hAnsi="SimHei" w:eastAsia="SimHei" w:cs="SimHei"/>
        <w:sz w:val="16"/>
        <w:szCs w:val="16"/>
        <w:color w:val="231F20"/>
        <w:spacing w:val="-3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-3"/>
        <w:position w:val="-1"/>
      </w:rPr>
      <w:t>第20期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02"/>
      <w:spacing w:before="1" w:line="201" w:lineRule="auto"/>
      <w:tabs>
        <w:tab w:val="left" w:pos="5835"/>
      </w:tabs>
      <w:rPr/>
    </w:pPr>
    <w:r>
      <w:pict>
        <v:shape id="_x0000_s178" style="position:absolute;margin-left:305.543pt;margin-top:50.3608pt;mso-position-vertical-relative:page;mso-position-horizontal-relative:page;width:94.75pt;height:0.5pt;z-index:-251640832;" o:allowincell="f" filled="false" strokecolor="#811A36" strokeweight="0.50pt" coordsize="1895,10" coordorigin="0,0" path="m0,5l1894,5e">
          <v:stroke joinstyle="miter" miterlimit="4"/>
        </v:shape>
      </w:pict>
    </w:r>
    <w:r>
      <w:pict>
        <v:shape id="WordPictureWatermark180" style="position:absolute;margin-left:44.6079pt;margin-top:262.942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pict>
        <v:shape id="WordPictureWatermark182" style="position:absolute;margin-left:20.4pt;margin-top:780.474pt;mso-position-vertical-relative:page;mso-position-horizontal-relative:page;width:475.55pt;height:9.75pt;z-index:-251641856;" o:allowincell="f" filled="false" stroked="false" type="#_x0000_t75">
          <v:imagedata o:title="" r:id="rId2"/>
        </v:shape>
      </w:pict>
    </w:r>
    <w:r>
      <w:pict>
        <v:shape id="_x0000_s184" style="position:absolute;margin-left:30.551pt;margin-top:5.09734pt;mso-position-vertical-relative:text;mso-position-horizontal-relative:text;width:214.25pt;height:15.7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8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</w:rPr>
                  <w:t>·2436·</w:t>
                </w:r>
                <w:r>
                  <w:rPr>
                    <w:color w:val="231F20"/>
                    <w:spacing w:val="22"/>
                    <w:w w:val="101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//www.chinagp.net    E-mail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:</w:t>
                  </w:r>
                  <w:r>
                    <w:rPr>
                      <w:sz w:val="16"/>
                      <w:szCs w:val="16"/>
                      <w:u w:val="single" w:color="auto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</w:rPr>
      <w:tab/>
    </w:r>
    <w:r>
      <w:rPr>
        <w:sz w:val="16"/>
        <w:szCs w:val="16"/>
        <w:color w:val="231F20"/>
        <w:spacing w:val="-6"/>
      </w:rPr>
      <w:t>July 2024，Vol.27 No.20   </w:t>
    </w:r>
    <w:r>
      <w:rPr>
        <w:sz w:val="16"/>
        <w:szCs w:val="16"/>
        <w:position w:val="-3"/>
      </w:rPr>
      <w:drawing>
        <wp:inline distT="0" distB="0" distL="0" distR="0">
          <wp:extent cx="148353" cy="137252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48353" cy="1372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  <w:color w:val="231F20"/>
        <w:spacing w:val="15"/>
      </w:rPr>
      <w:t xml:space="preserve">  </w:t>
    </w:r>
    <w:r>
      <w:rPr>
        <w:rFonts w:ascii="Times New Roman" w:hAnsi="Times New Roman" w:eastAsia="Times New Roman" w:cs="Times New Roman"/>
        <w:color w:val="231F20"/>
        <w:spacing w:val="-6"/>
        <w:position w:val="1"/>
      </w:rPr>
      <w:t>C</w:t>
    </w:r>
    <w:r>
      <w:rPr>
        <w:rFonts w:ascii="Times New Roman" w:hAnsi="Times New Roman" w:eastAsia="Times New Roman" w:cs="Times New Roman"/>
        <w:color w:val="231F20"/>
        <w:spacing w:val="-7"/>
        <w:position w:val="1"/>
      </w:rPr>
      <w:t>hinese General Practice</w:t>
    </w:r>
    <w:r>
      <w:rPr>
        <w:rFonts w:ascii="Times New Roman" w:hAnsi="Times New Roman" w:eastAsia="Times New Roman" w:cs="Times New Roman"/>
        <w:color w:val="231F20"/>
        <w:spacing w:val="22"/>
        <w:w w:val="101"/>
        <w:position w:val="1"/>
      </w:rPr>
      <w:t xml:space="preserve"> </w:t>
    </w:r>
    <w:r>
      <w:rPr>
        <w:position w:val="-3"/>
      </w:rPr>
      <w:drawing>
        <wp:inline distT="0" distB="0" distL="0" distR="0">
          <wp:extent cx="526017" cy="210329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526017" cy="2103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7.jpeg"/><Relationship Id="rId7" Type="http://schemas.openxmlformats.org/officeDocument/2006/relationships/image" Target="media/image6.png"/><Relationship Id="rId6" Type="http://schemas.openxmlformats.org/officeDocument/2006/relationships/hyperlink" Target="https://www.chinagp.net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header" Target="header6.xml"/><Relationship Id="rId34" Type="http://schemas.openxmlformats.org/officeDocument/2006/relationships/header" Target="header5.xml"/><Relationship Id="rId33" Type="http://schemas.openxmlformats.org/officeDocument/2006/relationships/image" Target="media/image37.jpeg"/><Relationship Id="rId32" Type="http://schemas.openxmlformats.org/officeDocument/2006/relationships/image" Target="media/image36.png"/><Relationship Id="rId31" Type="http://schemas.openxmlformats.org/officeDocument/2006/relationships/header" Target="header4.xml"/><Relationship Id="rId30" Type="http://schemas.openxmlformats.org/officeDocument/2006/relationships/image" Target="media/image33.png"/><Relationship Id="rId3" Type="http://schemas.openxmlformats.org/officeDocument/2006/relationships/hyperlink" Target="https://www.chinagp.netE-mail:zgqkyx@chinagp.net.cn" TargetMode="External"/><Relationship Id="rId29" Type="http://schemas.openxmlformats.org/officeDocument/2006/relationships/header" Target="header3.xml"/><Relationship Id="rId28" Type="http://schemas.openxmlformats.org/officeDocument/2006/relationships/image" Target="media/image29.png"/><Relationship Id="rId27" Type="http://schemas.openxmlformats.org/officeDocument/2006/relationships/image" Target="media/image28.png"/><Relationship Id="rId26" Type="http://schemas.openxmlformats.org/officeDocument/2006/relationships/image" Target="media/image27.png"/><Relationship Id="rId25" Type="http://schemas.openxmlformats.org/officeDocument/2006/relationships/image" Target="media/image26.png"/><Relationship Id="rId24" Type="http://schemas.openxmlformats.org/officeDocument/2006/relationships/image" Target="media/image25.png"/><Relationship Id="rId23" Type="http://schemas.openxmlformats.org/officeDocument/2006/relationships/image" Target="media/image24.jpeg"/><Relationship Id="rId22" Type="http://schemas.openxmlformats.org/officeDocument/2006/relationships/image" Target="media/image23.png"/><Relationship Id="rId21" Type="http://schemas.openxmlformats.org/officeDocument/2006/relationships/image" Target="media/image22.png"/><Relationship Id="rId20" Type="http://schemas.openxmlformats.org/officeDocument/2006/relationships/image" Target="media/image21.png"/><Relationship Id="rId2" Type="http://schemas.openxmlformats.org/officeDocument/2006/relationships/image" Target="media/image3.jpeg"/><Relationship Id="rId19" Type="http://schemas.openxmlformats.org/officeDocument/2006/relationships/image" Target="media/image20.png"/><Relationship Id="rId18" Type="http://schemas.openxmlformats.org/officeDocument/2006/relationships/image" Target="media/image19.png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4" Type="http://schemas.openxmlformats.org/officeDocument/2006/relationships/image" Target="media/image10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32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_rels/header5.xml.rels><?xml version="1.0" encoding="UTF-8" standalone="yes"?>
<Relationships xmlns="http://schemas.openxmlformats.org/package/2006/relationships"><Relationship Id="rId4" Type="http://schemas.openxmlformats.org/officeDocument/2006/relationships/image" Target="media/image40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header6.xml.rels><?xml version="1.0" encoding="UTF-8" standalone="yes"?>
<Relationships xmlns="http://schemas.openxmlformats.org/package/2006/relationships"><Relationship Id="rId5" Type="http://schemas.openxmlformats.org/officeDocument/2006/relationships/image" Target="media/image44.jpeg"/><Relationship Id="rId4" Type="http://schemas.openxmlformats.org/officeDocument/2006/relationships/image" Target="media/image43.pn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42.png"/><Relationship Id="rId1" Type="http://schemas.openxmlformats.org/officeDocument/2006/relationships/image" Target="media/image4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2024-12-28T20:19:10Z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2025-10-29T09:42:27</vt:filetime>
  </property>
</Properties>
</file>