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596291</wp:posOffset>
            </wp:positionH>
            <wp:positionV relativeFrom="paragraph">
              <wp:posOffset>163883</wp:posOffset>
            </wp:positionV>
            <wp:extent cx="761899" cy="105531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899" cy="105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331"/>
        <w:spacing w:before="59" w:line="220" w:lineRule="auto"/>
        <w:rPr/>
      </w:pPr>
      <w:r>
        <w:rPr>
          <w:spacing w:val="-3"/>
        </w:rPr>
        <w:t>医药导报</w:t>
      </w:r>
    </w:p>
    <w:p>
      <w:pPr>
        <w:ind w:left="2311"/>
        <w:spacing w:before="12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Herald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Medicine</w:t>
      </w:r>
    </w:p>
    <w:p>
      <w:pPr>
        <w:ind w:left="2320"/>
        <w:spacing w:before="148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ISSN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1004-0781,CN 42-1293/R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952"/>
        <w:spacing w:before="87" w:line="226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5"/>
        </w:rPr>
        <w:t>《医药导报》网络首发论文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943"/>
        <w:spacing w:before="65" w:line="219" w:lineRule="auto"/>
        <w:rPr>
          <w:sz w:val="20"/>
          <w:szCs w:val="20"/>
        </w:rPr>
      </w:pPr>
      <w:r>
        <w:pict>
          <v:shape id="_x0000_s4" style="position:absolute;margin-left:89.2871pt;margin-top:7.29985pt;mso-position-vertical-relative:text;mso-position-horizontal-relative:text;width:326.65pt;height:330pt;z-index:251658240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sz w:val="20"/>
          <w:szCs w:val="20"/>
        </w:rPr>
        <w:t>题目：          《</w:t>
      </w:r>
      <w:r>
        <w:rPr>
          <w:rFonts w:ascii="Times New Roman" w:hAnsi="Times New Roman" w:eastAsia="Times New Roman" w:cs="Times New Roman"/>
          <w:sz w:val="20"/>
          <w:szCs w:val="20"/>
        </w:rPr>
        <w:t>2022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国际血脂专家组意见书：他汀相关肌肉</w:t>
      </w:r>
      <w:r>
        <w:rPr>
          <w:sz w:val="20"/>
          <w:szCs w:val="20"/>
          <w:spacing w:val="-1"/>
        </w:rPr>
        <w:t>症状患者反安慰药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/drucebo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sz w:val="20"/>
          <w:szCs w:val="20"/>
          <w:spacing w:val="-1"/>
        </w:rPr>
        <w:t>效</w:t>
      </w:r>
    </w:p>
    <w:p>
      <w:pPr>
        <w:pStyle w:val="BodyText"/>
        <w:ind w:left="2563"/>
        <w:spacing w:before="74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应的分步诊断与管理》解读</w:t>
      </w:r>
    </w:p>
    <w:p>
      <w:pPr>
        <w:pStyle w:val="BodyText"/>
        <w:ind w:left="944"/>
        <w:spacing w:before="74" w:line="220" w:lineRule="auto"/>
        <w:rPr>
          <w:sz w:val="20"/>
          <w:szCs w:val="20"/>
        </w:rPr>
      </w:pPr>
      <w:r>
        <w:rPr>
          <w:sz w:val="20"/>
          <w:szCs w:val="20"/>
        </w:rPr>
        <w:t>作者：          武刘芸，尹琪楠，韩丽珠，雷洋，边原，郑星月，李炼，童荣生</w:t>
      </w:r>
    </w:p>
    <w:p>
      <w:pPr>
        <w:pStyle w:val="BodyText"/>
        <w:ind w:left="950"/>
        <w:spacing w:before="73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收稿日期：</w:t>
      </w:r>
      <w:r>
        <w:rPr>
          <w:sz w:val="20"/>
          <w:szCs w:val="20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2022-05-08</w:t>
      </w:r>
    </w:p>
    <w:p>
      <w:pPr>
        <w:pStyle w:val="BodyText"/>
        <w:ind w:left="959"/>
        <w:spacing w:before="74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网络首发日期：</w:t>
      </w:r>
      <w:r>
        <w:rPr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2023-03-21</w:t>
      </w:r>
    </w:p>
    <w:p>
      <w:pPr>
        <w:pStyle w:val="BodyText"/>
        <w:ind w:left="958"/>
        <w:spacing w:before="73" w:line="220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引用格式：      武刘芸，尹琪楠，韩丽珠，雷洋，边原，郑星月，李炼，童荣生．《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2022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4"/>
        </w:rPr>
        <w:t>国际</w:t>
      </w:r>
    </w:p>
    <w:p>
      <w:pPr>
        <w:pStyle w:val="BodyText"/>
        <w:ind w:left="2566" w:right="1041" w:hanging="2"/>
        <w:spacing w:before="72" w:line="28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血脂专家组意见书：他汀相关肌肉症状患者反安慰药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/druc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ebo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效应的分步诊断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与管理》解读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[J/OL]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3"/>
        </w:rPr>
        <w:t>．医药导报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3"/>
        </w:rPr>
        <w:t>.</w:t>
      </w:r>
    </w:p>
    <w:p>
      <w:pPr>
        <w:ind w:left="2556"/>
        <w:spacing w:before="36" w:line="190" w:lineRule="auto"/>
        <w:rPr>
          <w:rFonts w:ascii="Times New Roman" w:hAnsi="Times New Roman" w:eastAsia="Times New Roman" w:cs="Times New Roman"/>
          <w:sz w:val="20"/>
          <w:szCs w:val="20"/>
        </w:rPr>
      </w:pPr>
      <w:hyperlink w:history="true" r:id="rId3">
        <w:r>
          <w:rPr>
            <w:rFonts w:ascii="Times New Roman" w:hAnsi="Times New Roman" w:eastAsia="Times New Roman" w:cs="Times New Roman"/>
            <w:sz w:val="20"/>
            <w:szCs w:val="20"/>
          </w:rPr>
          <w:t>https://kns.cnki.net/kcms/detail/42.1293.R.20230320.11</w:t>
        </w:r>
        <w:r>
          <w:rPr>
            <w:rFonts w:ascii="Times New Roman" w:hAnsi="Times New Roman" w:eastAsia="Times New Roman" w:cs="Times New Roman"/>
            <w:sz w:val="20"/>
            <w:szCs w:val="20"/>
            <w:spacing w:val="-1"/>
          </w:rPr>
          <w:t>30.026.html</w:t>
        </w:r>
      </w:hyperlink>
    </w:p>
    <w:p>
      <w:pPr>
        <w:ind w:firstLine="939"/>
        <w:spacing w:before="69" w:line="1200" w:lineRule="exact"/>
        <w:rPr/>
      </w:pPr>
      <w:r>
        <w:rPr>
          <w:position w:val="-23"/>
        </w:rPr>
        <w:drawing>
          <wp:inline distT="0" distB="0" distL="0" distR="0">
            <wp:extent cx="761995" cy="76199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5" cy="76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971"/>
        <w:spacing w:line="409" w:lineRule="exact"/>
        <w:rPr/>
      </w:pPr>
      <w:r>
        <w:rPr>
          <w:position w:val="-8"/>
        </w:rPr>
        <w:drawing>
          <wp:inline distT="0" distB="0" distL="0" distR="0">
            <wp:extent cx="1008875" cy="25984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875" cy="2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25"/>
        <w:spacing w:before="106" w:line="40" w:lineRule="exact"/>
        <w:rPr/>
      </w:pPr>
      <w:r>
        <w:rPr/>
        <w:drawing>
          <wp:inline distT="0" distB="0" distL="0" distR="0">
            <wp:extent cx="5315640" cy="2528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5640" cy="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76" w:right="982" w:firstLine="375"/>
        <w:spacing w:before="47" w:line="320" w:lineRule="auto"/>
        <w:rPr/>
      </w:pPr>
      <w:r>
        <w:rPr>
          <w:b/>
          <w:bCs/>
          <w:spacing w:val="-1"/>
        </w:rPr>
        <w:t>网络首发</w:t>
      </w:r>
      <w:r>
        <w:rPr>
          <w:spacing w:val="-1"/>
        </w:rPr>
        <w:t>：在编辑部工作流程中，稿件从录用到出版要经历录用定稿、排版定稿、整期汇编定稿等阶</w:t>
      </w:r>
      <w:r>
        <w:rPr>
          <w:spacing w:val="15"/>
        </w:rPr>
        <w:t xml:space="preserve"> </w:t>
      </w:r>
      <w:r>
        <w:rPr/>
        <w:t>段。录用定稿指内容已经确定，且通过同行评议、主编终审同意刊用的稿件。排版定稿指</w:t>
      </w:r>
      <w:r>
        <w:rPr>
          <w:spacing w:val="-1"/>
        </w:rPr>
        <w:t>录用定稿按照期</w:t>
      </w:r>
      <w:r>
        <w:rPr/>
        <w:t xml:space="preserve"> </w:t>
      </w:r>
      <w:r>
        <w:rPr/>
        <w:t>刊特定版式（包括网络呈现版式）排版后的稿件，可暂不确定出版年、卷、期和页码。整</w:t>
      </w:r>
      <w:r>
        <w:rPr>
          <w:spacing w:val="-1"/>
        </w:rPr>
        <w:t>期汇编定稿指出</w:t>
      </w:r>
      <w:r>
        <w:rPr/>
        <w:t xml:space="preserve"> </w:t>
      </w:r>
      <w:r>
        <w:rPr>
          <w:spacing w:val="-4"/>
        </w:rPr>
        <w:t>版年、卷、期、页码均已确定的印刷或数字出版的整期汇编</w:t>
      </w:r>
      <w:r>
        <w:rPr>
          <w:spacing w:val="-5"/>
        </w:rPr>
        <w:t>稿件。录用定稿网络首发稿件内容必须符合《出</w:t>
      </w:r>
      <w:r>
        <w:rPr/>
        <w:t xml:space="preserve">  </w:t>
      </w:r>
      <w:r>
        <w:rPr/>
        <w:t>版管理条例》和《期刊出版管理规定》的有关规定；学术研究成果具有创新性、科学性和</w:t>
      </w:r>
      <w:r>
        <w:rPr>
          <w:spacing w:val="-1"/>
        </w:rPr>
        <w:t>先进性，符合编</w:t>
      </w:r>
      <w:r>
        <w:rPr/>
        <w:t xml:space="preserve"> </w:t>
      </w:r>
      <w:r>
        <w:rPr>
          <w:spacing w:val="-1"/>
        </w:rPr>
        <w:t>辑部对刊文的录用要求，不存在学术不端行为及其他侵权行为；稿件内容应基本符合国家有关书刊编辑、</w:t>
      </w:r>
      <w:r>
        <w:rPr>
          <w:spacing w:val="6"/>
        </w:rPr>
        <w:t xml:space="preserve">  </w:t>
      </w:r>
      <w:r>
        <w:rPr>
          <w:spacing w:val="-1"/>
        </w:rPr>
        <w:t>出版的技术标准，正确使用和统一规范语言文字、符号、数字、外文字母、法定计量单位及地图标注等。</w:t>
      </w:r>
      <w:r>
        <w:rPr>
          <w:spacing w:val="6"/>
        </w:rPr>
        <w:t xml:space="preserve">  </w:t>
      </w:r>
      <w:r>
        <w:rPr>
          <w:spacing w:val="-3"/>
        </w:rPr>
        <w:t>为确保录用定稿网络首发的严肃性，录用定稿一经发布，不得修改论文题目、作者、机构名称和学术内容，</w:t>
      </w:r>
      <w:r>
        <w:rPr>
          <w:spacing w:val="5"/>
        </w:rPr>
        <w:t xml:space="preserve"> </w:t>
      </w:r>
      <w:r>
        <w:rPr>
          <w:spacing w:val="-2"/>
        </w:rPr>
        <w:t>只可基于编辑规范进行少量文字的修改。</w:t>
      </w:r>
    </w:p>
    <w:p>
      <w:pPr>
        <w:pStyle w:val="BodyText"/>
        <w:ind w:left="977" w:right="1031" w:firstLine="379"/>
        <w:spacing w:before="5" w:line="320" w:lineRule="auto"/>
        <w:jc w:val="both"/>
        <w:rPr/>
      </w:pPr>
      <w:r>
        <w:rPr>
          <w:b/>
          <w:bCs/>
          <w:spacing w:val="-1"/>
        </w:rPr>
        <w:t>出版确认</w:t>
      </w:r>
      <w:r>
        <w:rPr>
          <w:spacing w:val="-1"/>
        </w:rPr>
        <w:t>：纸质期刊编辑部通过与《中国学术期刊（光盘版）》电子杂志社有限公司签约，在《中国</w:t>
      </w:r>
      <w:r>
        <w:rPr>
          <w:spacing w:val="10"/>
        </w:rPr>
        <w:t xml:space="preserve"> </w:t>
      </w:r>
      <w:r>
        <w:rPr>
          <w:spacing w:val="-4"/>
        </w:rPr>
        <w:t>学术期刊（网络版）》出版传播平台上创办与纸质期刊内容一致的网络版，以单篇或整期出版形式，在印刷</w:t>
      </w:r>
      <w:r>
        <w:rPr>
          <w:spacing w:val="2"/>
        </w:rPr>
        <w:t xml:space="preserve"> </w:t>
      </w:r>
      <w:r>
        <w:rPr>
          <w:spacing w:val="-4"/>
        </w:rPr>
        <w:t>出版之前刊发论文的录用定稿、排版定稿、整期汇编定稿。因为《中国学术期刊（网络版）》是国家新闻出</w:t>
      </w:r>
      <w:r>
        <w:rPr>
          <w:spacing w:val="2"/>
        </w:rPr>
        <w:t xml:space="preserve"> </w:t>
      </w:r>
      <w:r>
        <w:rPr>
          <w:spacing w:val="-1"/>
        </w:rPr>
        <w:t>版广电总局批准的网络连续型出版物（</w:t>
      </w:r>
      <w:r>
        <w:rPr>
          <w:rFonts w:ascii="Times New Roman" w:hAnsi="Times New Roman" w:eastAsia="Times New Roman" w:cs="Times New Roman"/>
          <w:spacing w:val="-1"/>
        </w:rPr>
        <w:t>ISSN 2096-4188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CN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11-6037/Z</w:t>
      </w:r>
      <w:r>
        <w:rPr>
          <w:spacing w:val="-47"/>
          <w:w w:val="98"/>
        </w:rPr>
        <w:t>），</w:t>
      </w:r>
      <w:r>
        <w:rPr>
          <w:spacing w:val="-1"/>
        </w:rPr>
        <w:t>所以签约期刊的网络版上网络首</w:t>
      </w:r>
      <w:r>
        <w:rPr/>
        <w:t xml:space="preserve"> </w:t>
      </w:r>
      <w:r>
        <w:rPr>
          <w:spacing w:val="-4"/>
        </w:rPr>
        <w:t>发论文视为正式出版。</w:t>
      </w:r>
    </w:p>
    <w:p>
      <w:pPr>
        <w:spacing w:line="320" w:lineRule="auto"/>
        <w:sectPr>
          <w:headerReference w:type="default" r:id="rId1"/>
          <w:pgSz w:w="11907" w:h="16839"/>
          <w:pgMar w:top="400" w:right="757" w:bottom="0" w:left="864" w:header="0" w:footer="0" w:gutter="0"/>
        </w:sectPr>
        <w:rPr/>
      </w:pPr>
    </w:p>
    <w:p>
      <w:pPr>
        <w:spacing w:line="1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spacing w:val="-1"/>
        </w:rPr>
        <w:t>网络首发时间：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2023-03-21 09:02:12</w:t>
      </w:r>
    </w:p>
    <w:p>
      <w:pPr>
        <w:spacing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color w:val="0765AB"/>
        </w:rPr>
        <w:t>网络首发地址：</w:t>
      </w:r>
      <w:hyperlink w:history="true" r:id="rId3">
        <w:r>
          <w:rPr>
            <w:rFonts w:ascii="Times New Roman" w:hAnsi="Times New Roman" w:eastAsia="Times New Roman" w:cs="Times New Roman"/>
            <w:sz w:val="18"/>
            <w:szCs w:val="18"/>
            <w:color w:val="0765AB"/>
          </w:rPr>
          <w:t>https://kns.cnki.net/kcms/detail/42.1293.R.</w:t>
        </w:r>
        <w:r>
          <w:rPr>
            <w:rFonts w:ascii="Times New Roman" w:hAnsi="Times New Roman" w:eastAsia="Times New Roman" w:cs="Times New Roman"/>
            <w:sz w:val="18"/>
            <w:szCs w:val="18"/>
            <w:color w:val="0765AB"/>
            <w:spacing w:val="-1"/>
          </w:rPr>
          <w:t>20230320.1130.026.html</w:t>
        </w:r>
      </w:hyperlink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3976" w:right="377" w:hanging="3260"/>
        <w:spacing w:before="88" w:line="427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27"/>
          <w:szCs w:val="27"/>
          <w:b/>
          <w:bCs/>
          <w:spacing w:val="5"/>
        </w:rPr>
        <w:t>《2022</w:t>
      </w:r>
      <w:r>
        <w:rPr>
          <w:rFonts w:ascii="SimHei" w:hAnsi="SimHei" w:eastAsia="SimHei" w:cs="SimHei"/>
          <w:sz w:val="27"/>
          <w:szCs w:val="27"/>
          <w:spacing w:val="-35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5"/>
        </w:rPr>
        <w:t>国际血脂专家组意见书：他汀相关肌肉症状</w:t>
      </w:r>
      <w:r>
        <w:rPr>
          <w:rFonts w:ascii="SimHei" w:hAnsi="SimHei" w:eastAsia="SimHei" w:cs="SimHei"/>
          <w:sz w:val="27"/>
          <w:szCs w:val="27"/>
          <w:b/>
          <w:bCs/>
          <w:spacing w:val="4"/>
        </w:rPr>
        <w:t>患者反安慰药/</w:t>
      </w:r>
      <w:r>
        <w:rPr>
          <w:rFonts w:ascii="SimHei" w:hAnsi="SimHei" w:eastAsia="SimHei" w:cs="SimHei"/>
          <w:sz w:val="27"/>
          <w:szCs w:val="27"/>
          <w:b/>
          <w:bCs/>
        </w:rPr>
        <w:t>drucebo</w:t>
      </w:r>
      <w:r>
        <w:rPr>
          <w:rFonts w:ascii="SimHei" w:hAnsi="SimHei" w:eastAsia="SimHei" w:cs="SimHei"/>
          <w:sz w:val="27"/>
          <w:szCs w:val="27"/>
          <w:spacing w:val="-52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4"/>
        </w:rPr>
        <w:t>效应</w:t>
      </w:r>
      <w:r>
        <w:rPr>
          <w:rFonts w:ascii="SimHei" w:hAnsi="SimHei" w:eastAsia="SimHei" w:cs="SimHei"/>
          <w:sz w:val="27"/>
          <w:szCs w:val="27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spacing w:val="5"/>
        </w:rPr>
        <w:t>的分步诊断与管理》解读</w:t>
      </w:r>
      <w:r>
        <w:rPr>
          <w:rFonts w:ascii="SimHei" w:hAnsi="SimHei" w:eastAsia="SimHei" w:cs="SimHei"/>
          <w:sz w:val="14"/>
          <w:szCs w:val="14"/>
          <w:b/>
          <w:bCs/>
          <w:spacing w:val="5"/>
          <w:position w:val="13"/>
        </w:rPr>
        <w:t>*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2578"/>
        <w:spacing w:before="69" w:line="21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1"/>
        </w:rPr>
        <w:t>武刘芸，尹琪楠，韩丽珠，雷洋，边原</w:t>
      </w:r>
      <w:r>
        <w:rPr>
          <w:rFonts w:ascii="KaiTi" w:hAnsi="KaiTi" w:eastAsia="KaiTi" w:cs="KaiTi"/>
          <w:sz w:val="11"/>
          <w:szCs w:val="11"/>
          <w:spacing w:val="-1"/>
          <w:position w:val="11"/>
        </w:rPr>
        <w:t>*</w:t>
      </w:r>
      <w:r>
        <w:rPr>
          <w:rFonts w:ascii="KaiTi" w:hAnsi="KaiTi" w:eastAsia="KaiTi" w:cs="KaiTi"/>
          <w:sz w:val="21"/>
          <w:szCs w:val="21"/>
          <w:spacing w:val="-1"/>
        </w:rPr>
        <w:t>，郑星月，李炼，童荣生</w:t>
      </w:r>
    </w:p>
    <w:p>
      <w:pPr>
        <w:pStyle w:val="BodyText"/>
        <w:ind w:left="740"/>
        <w:spacing w:before="226" w:line="219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四川省医学科学院</w:t>
      </w:r>
      <w:r>
        <w:rPr>
          <w:sz w:val="21"/>
          <w:szCs w:val="21"/>
          <w:spacing w:val="-6"/>
        </w:rPr>
        <w:t xml:space="preserve"> </w:t>
      </w:r>
      <w:r>
        <w:rPr>
          <w:sz w:val="21"/>
          <w:szCs w:val="21"/>
          <w:spacing w:val="-8"/>
        </w:rPr>
        <w:t>·四川省人民医院/电子科技大学附属医院药学部</w:t>
      </w:r>
      <w:r>
        <w:rPr>
          <w:sz w:val="21"/>
          <w:szCs w:val="21"/>
          <w:spacing w:val="-25"/>
        </w:rPr>
        <w:t xml:space="preserve"> </w:t>
      </w:r>
      <w:r>
        <w:rPr>
          <w:sz w:val="21"/>
          <w:szCs w:val="21"/>
          <w:spacing w:val="-8"/>
        </w:rPr>
        <w:t>·个体化药物治疗四川省重点实验室，</w:t>
      </w:r>
    </w:p>
    <w:p>
      <w:pPr>
        <w:pStyle w:val="BodyText"/>
        <w:ind w:left="4990"/>
        <w:spacing w:before="218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成都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3"/>
        </w:rPr>
        <w:t>610072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719" w:right="310" w:firstLine="1"/>
        <w:spacing w:before="68" w:line="411" w:lineRule="auto"/>
        <w:jc w:val="both"/>
        <w:rPr>
          <w:sz w:val="21"/>
          <w:szCs w:val="21"/>
        </w:rPr>
      </w:pPr>
      <w:r>
        <w:pict>
          <v:shape id="_x0000_s8" style="position:absolute;margin-left:111.447pt;margin-top:11.3463pt;mso-position-vertical-relative:text;mso-position-horizontal-relative:text;width:326.65pt;height:330pt;z-index:251661312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pict>
          <v:shape id="_x0000_s10" style="position:absolute;margin-left:111.447pt;margin-top:11.3463pt;mso-position-vertical-relative:text;mso-position-horizontal-relative:text;width:326.65pt;height:330pt;z-index:251660288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sz w:val="21"/>
          <w:szCs w:val="21"/>
          <w:b/>
          <w:bCs/>
          <w:spacing w:val="-2"/>
        </w:rPr>
        <w:t>摘要</w:t>
      </w:r>
      <w:r>
        <w:rPr>
          <w:sz w:val="21"/>
          <w:szCs w:val="21"/>
          <w:spacing w:val="-2"/>
        </w:rPr>
        <w:t xml:space="preserve"> 2022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2"/>
        </w:rPr>
        <w:t>年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2"/>
        </w:rPr>
        <w:t>2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2"/>
        </w:rPr>
        <w:t>月，国际血脂专家组(ILEP)发布《他汀相关肌肉</w:t>
      </w:r>
      <w:r>
        <w:rPr>
          <w:sz w:val="21"/>
          <w:szCs w:val="21"/>
          <w:spacing w:val="-3"/>
        </w:rPr>
        <w:t>症状(SAMS)患者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3"/>
        </w:rPr>
        <w:t>nocebo/drucebo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3"/>
        </w:rPr>
        <w:t>效应（反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5"/>
        </w:rPr>
        <w:t>安慰剂/杜鲁塞博效应）</w:t>
      </w:r>
      <w:r>
        <w:rPr>
          <w:sz w:val="21"/>
          <w:szCs w:val="21"/>
          <w:spacing w:val="-49"/>
        </w:rPr>
        <w:t xml:space="preserve"> </w:t>
      </w:r>
      <w:r>
        <w:rPr>
          <w:sz w:val="21"/>
          <w:szCs w:val="21"/>
          <w:spacing w:val="5"/>
        </w:rPr>
        <w:t>的分步诊断与管理意见书》。该意见书对他汀相关肌肉症状进行归因，并提出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nocebo/drucebo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2"/>
        </w:rPr>
        <w:t>效应一词用以形容患者因对他汀药物的不好预期而导致的不良反应，并针对此效应提出以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患者为中心的分步诊断与管理措施，以期改善血脂异常人群接受降脂治疗的长期依</w:t>
      </w:r>
      <w:r>
        <w:rPr>
          <w:sz w:val="21"/>
          <w:szCs w:val="21"/>
        </w:rPr>
        <w:t>从性，从而改善预后。 </w:t>
      </w:r>
      <w:r>
        <w:rPr>
          <w:sz w:val="21"/>
          <w:szCs w:val="21"/>
          <w:spacing w:val="-3"/>
        </w:rPr>
        <w:t>该文对这一意见书进行解读。</w:t>
      </w:r>
    </w:p>
    <w:p>
      <w:pPr>
        <w:pStyle w:val="BodyText"/>
        <w:ind w:left="724"/>
        <w:spacing w:before="1" w:line="21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关键词</w:t>
      </w:r>
      <w:r>
        <w:rPr>
          <w:sz w:val="21"/>
          <w:szCs w:val="21"/>
          <w:spacing w:val="-1"/>
        </w:rPr>
        <w:t xml:space="preserve"> Drucebo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spacing w:val="-1"/>
        </w:rPr>
        <w:t>效应；反安慰剂效应；他汀相关肌肉症状；他汀类药物不耐受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741"/>
        <w:spacing w:before="72" w:line="22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2"/>
        </w:rPr>
        <w:t>中图分类号  R 972    文献标识码  A  开放科学（资源服务）标识码（OSID）</w:t>
      </w:r>
    </w:p>
    <w:p>
      <w:pPr>
        <w:ind w:firstLine="4189"/>
        <w:spacing w:before="115" w:line="1020" w:lineRule="exact"/>
        <w:rPr/>
      </w:pPr>
      <w:r>
        <w:rPr>
          <w:position w:val="-20"/>
        </w:rPr>
        <w:drawing>
          <wp:inline distT="0" distB="0" distL="0" distR="0">
            <wp:extent cx="647700" cy="6477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716" w:right="362" w:firstLine="1"/>
        <w:spacing w:before="78" w:line="470" w:lineRule="auto"/>
        <w:jc w:val="both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Interpretation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Step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>-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by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>-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step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Diagnosis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 xml:space="preserve">    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and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Management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of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>the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Nocebo/Drucebo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Effect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Patients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with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Statin-associa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ted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Muscle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Symptoms: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Position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Paper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6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Published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by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the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6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Internationa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l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6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Lipid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Expert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Panel  (ILEP)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3"/>
        </w:rPr>
        <w:t>in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4"/>
        </w:rPr>
        <w:t>2022</w:t>
      </w:r>
    </w:p>
    <w:p>
      <w:pPr>
        <w:ind w:left="715" w:right="375"/>
        <w:spacing w:before="1" w:line="457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WU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Liuyun,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YIN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Qinan,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HAN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Lizhu,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LEI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Yang,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BIAN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Yuan,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ZHENG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Xingyue,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Lian,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TONG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Rongsheng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(Department  of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Pharmacy,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Key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Laboratory  of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Personalized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Drug  Therap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  of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Sichuan  Province,  Sichuan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Provincial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People’s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Hospital/Affiliated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Hospital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University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Electron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ic  Science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Technology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China,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Sichuan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Academy of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Medical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Sciences, Chengdu 610072, Chin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a)</w:t>
      </w:r>
    </w:p>
    <w:p>
      <w:pPr>
        <w:ind w:left="722" w:right="373" w:hanging="8"/>
        <w:spacing w:before="33" w:line="454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>ABSTRACT  </w:t>
      </w:r>
      <w:r>
        <w:rPr>
          <w:rFonts w:ascii="Times New Roman" w:hAnsi="Times New Roman" w:eastAsia="Times New Roman" w:cs="Times New Roman"/>
          <w:sz w:val="21"/>
          <w:szCs w:val="21"/>
        </w:rPr>
        <w:t>In  February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2022,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International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Lipid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Expert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Panel   (ILEP)  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ssued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position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paper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step-by-step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diagnosis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Nocebo/Drucebo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effe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statin-associated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muscle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symptoms.   The    document   attributes    statin-associated    muscle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symptoms,    and    put   forward    the   term</w:t>
      </w:r>
    </w:p>
    <w:p>
      <w:pPr>
        <w:spacing w:line="454" w:lineRule="auto"/>
        <w:sectPr>
          <w:headerReference w:type="default" r:id="rId7"/>
          <w:pgSz w:w="11907" w:h="16839"/>
          <w:pgMar w:top="50" w:right="757" w:bottom="0" w:left="421" w:header="0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270" w:right="374" w:hanging="3"/>
        <w:spacing w:before="61" w:line="457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Nocebo/Drucebo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effect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describe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adverse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event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(AE)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caused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by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patients'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poor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expectations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statins,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which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patient-centered  step-by-step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agnosis  and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measures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developed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improve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long-term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compliance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lipid-lowering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people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dys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lipidemia,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improve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prognosis.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article interprets this position pape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r.</w:t>
      </w:r>
    </w:p>
    <w:p>
      <w:pPr>
        <w:ind w:left="274"/>
        <w:spacing w:before="32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>KEY WORDS </w:t>
      </w:r>
      <w:r>
        <w:rPr>
          <w:rFonts w:ascii="Times New Roman" w:hAnsi="Times New Roman" w:eastAsia="Times New Roman" w:cs="Times New Roman"/>
          <w:sz w:val="21"/>
          <w:szCs w:val="21"/>
        </w:rPr>
        <w:t>Drucebo effect; Nocebo effec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t;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Statin-associated muscle symptoms;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Statin intolerance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79" w:right="385" w:firstLine="420"/>
        <w:spacing w:before="68" w:line="40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-4"/>
        </w:rPr>
        <w:t>脂质异常是导致心血管疾病的重要因素之一。临床上，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5"/>
        </w:rPr>
        <w:t>他汀类药物与脂质管理联系甚密。在大多数情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况下，他汀类药物是所有脂质调节疗法的基础，是减少未来动脉粥样硬化性心血管疾病</w:t>
      </w:r>
      <w:r>
        <w:rPr>
          <w:rFonts w:ascii="Times New Roman" w:hAnsi="Times New Roman" w:eastAsia="Times New Roman" w:cs="Times New Roman"/>
          <w:sz w:val="21"/>
          <w:szCs w:val="21"/>
        </w:rPr>
        <w:t>(ather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osclerotic</w:t>
      </w:r>
    </w:p>
    <w:p>
      <w:pPr>
        <w:pStyle w:val="BodyText"/>
        <w:ind w:left="276" w:right="377"/>
        <w:spacing w:before="4" w:line="416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cardiovascular disease</w:t>
      </w:r>
      <w:r>
        <w:rPr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sz w:val="21"/>
          <w:szCs w:val="21"/>
        </w:rPr>
        <w:t>ASCVD)</w:t>
      </w:r>
      <w:r>
        <w:rPr>
          <w:sz w:val="21"/>
          <w:szCs w:val="21"/>
        </w:rPr>
        <w:t>事件和病</w:t>
      </w:r>
      <w:r>
        <w:rPr>
          <w:sz w:val="21"/>
          <w:szCs w:val="21"/>
          <w:spacing w:val="-1"/>
        </w:rPr>
        <w:t>死率最有效的干预措施之一</w:t>
      </w:r>
      <w:r>
        <w:rPr>
          <w:sz w:val="11"/>
          <w:szCs w:val="11"/>
          <w:spacing w:val="-1"/>
          <w:position w:val="10"/>
        </w:rPr>
        <w:t>[1-2]</w:t>
      </w:r>
      <w:r>
        <w:rPr>
          <w:sz w:val="21"/>
          <w:szCs w:val="21"/>
          <w:spacing w:val="-1"/>
        </w:rPr>
        <w:t>。他汀类药物治疗脂质异常及预防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心血管事件发生的疗效毋庸置疑，但也将引起一系列不良事件（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AEs</w:t>
      </w:r>
      <w:r>
        <w:rPr>
          <w:sz w:val="21"/>
          <w:szCs w:val="21"/>
          <w:spacing w:val="-53"/>
          <w:w w:val="96"/>
        </w:rPr>
        <w:t>），</w:t>
      </w:r>
      <w:r>
        <w:rPr>
          <w:sz w:val="21"/>
          <w:szCs w:val="21"/>
          <w:spacing w:val="-2"/>
        </w:rPr>
        <w:t>包括由药物因素及非药物因素所引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起的，这些事件进而导致患者依从性降低。这导致</w:t>
      </w:r>
      <w:r>
        <w:rPr>
          <w:sz w:val="21"/>
          <w:szCs w:val="21"/>
          <w:spacing w:val="-1"/>
        </w:rPr>
        <w:t>许多</w:t>
      </w:r>
      <w:r>
        <w:rPr>
          <w:sz w:val="21"/>
          <w:szCs w:val="21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ASCVD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高危患者治疗不当或未能达到目标脂质水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平，降脂治疗（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lipid-lowering therapy</w:t>
      </w:r>
      <w:r>
        <w:rPr>
          <w:rFonts w:ascii="Times New Roman" w:hAnsi="Times New Roman" w:eastAsia="Times New Roman" w:cs="Times New Roman"/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1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LLT</w:t>
      </w:r>
      <w:r>
        <w:rPr>
          <w:sz w:val="21"/>
          <w:szCs w:val="21"/>
          <w:spacing w:val="-1"/>
        </w:rPr>
        <w:t>）效果不理想，从而导致心血管事件风险增加</w:t>
      </w:r>
      <w:r>
        <w:rPr>
          <w:sz w:val="11"/>
          <w:szCs w:val="11"/>
          <w:spacing w:val="-1"/>
          <w:position w:val="10"/>
        </w:rPr>
        <w:t>[3]</w:t>
      </w:r>
      <w:r>
        <w:rPr>
          <w:sz w:val="21"/>
          <w:szCs w:val="21"/>
          <w:spacing w:val="-1"/>
        </w:rPr>
        <w:t>。</w:t>
      </w:r>
    </w:p>
    <w:p>
      <w:pPr>
        <w:pStyle w:val="BodyText"/>
        <w:ind w:left="276" w:right="375" w:firstLine="421"/>
        <w:spacing w:before="5" w:line="42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对他汀类药物相关不良事件的认识和管理至关重要。大多数感知到的不良事件并非是由他汀类药物导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致的，但被错误归因于药物，如老年性骨病和炎症性肌病；或由于患者在服药时的心理暗示而出现的主观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症状，即反安慰剂/杜鲁塞博（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nocebo</w:t>
      </w:r>
      <w:r>
        <w:rPr>
          <w:sz w:val="21"/>
          <w:szCs w:val="21"/>
          <w:spacing w:val="-1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drucebo</w:t>
      </w:r>
      <w:r>
        <w:rPr>
          <w:sz w:val="21"/>
          <w:szCs w:val="21"/>
          <w:spacing w:val="-1"/>
        </w:rPr>
        <w:t>）效应。他汀类药物不耐受是指他汀类药物治疗相关的不良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2"/>
        </w:rPr>
        <w:t>反应（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AE</w:t>
      </w:r>
      <w:r>
        <w:rPr>
          <w:sz w:val="21"/>
          <w:szCs w:val="21"/>
          <w:spacing w:val="-2"/>
        </w:rPr>
        <w:t>）导致治疗中断，从而增加心血管不良结局风险的一种临床综合征，最常见的是他汀类</w:t>
      </w:r>
      <w:r>
        <w:rPr>
          <w:sz w:val="21"/>
          <w:szCs w:val="21"/>
          <w:spacing w:val="-3"/>
        </w:rPr>
        <w:t>药物相关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肌肉症状（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SAMS</w:t>
      </w:r>
      <w:r>
        <w:rPr>
          <w:sz w:val="21"/>
          <w:szCs w:val="21"/>
          <w:spacing w:val="-2"/>
        </w:rPr>
        <w:t>）。但只有少数接受治疗的患者会出现完全的</w:t>
      </w:r>
      <w:r>
        <w:rPr>
          <w:sz w:val="21"/>
          <w:szCs w:val="21"/>
          <w:spacing w:val="-3"/>
        </w:rPr>
        <w:t>他汀不耐受,估计患病率仅为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3"/>
        </w:rPr>
        <w:t>3%</w:t>
      </w:r>
      <w:r>
        <w:rPr>
          <w:sz w:val="24"/>
          <w:szCs w:val="24"/>
          <w:spacing w:val="-3"/>
        </w:rPr>
        <w:t>～</w:t>
      </w:r>
      <w:r>
        <w:rPr>
          <w:sz w:val="21"/>
          <w:szCs w:val="21"/>
          <w:spacing w:val="-3"/>
        </w:rPr>
        <w:t>5%。</w:t>
      </w:r>
    </w:p>
    <w:p>
      <w:pPr>
        <w:pStyle w:val="BodyText"/>
        <w:ind w:left="278" w:right="459" w:firstLine="435"/>
        <w:spacing w:before="6" w:line="41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因此需要明确指导，以便在现实世界的临床实践中对经历主观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-1"/>
        </w:rPr>
        <w:t>AE</w:t>
      </w:r>
      <w:r>
        <w:rPr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1"/>
        </w:rPr>
        <w:t>的患者进行最佳的</w:t>
      </w:r>
      <w:r>
        <w:rPr>
          <w:sz w:val="21"/>
          <w:szCs w:val="21"/>
          <w:spacing w:val="-2"/>
        </w:rPr>
        <w:t>血脂管理。2022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年，国际血脂专家组(</w:t>
      </w:r>
      <w:r>
        <w:rPr>
          <w:rFonts w:ascii="Times New Roman" w:hAnsi="Times New Roman" w:eastAsia="Times New Roman" w:cs="Times New Roman"/>
          <w:sz w:val="21"/>
          <w:szCs w:val="21"/>
        </w:rPr>
        <w:t>Inter</w:t>
      </w:r>
      <w:r>
        <w:rPr>
          <w:shd w:val="clear" w:fill="FFFFFE"/>
          <w:rFonts w:ascii="Times New Roman" w:hAnsi="Times New Roman" w:eastAsia="Times New Roman" w:cs="Times New Roman"/>
          <w:sz w:val="21"/>
          <w:szCs w:val="21"/>
        </w:rPr>
        <w:t>nation</w:t>
      </w:r>
      <w:r>
        <w:rPr>
          <w:rFonts w:ascii="Times New Roman" w:hAnsi="Times New Roman" w:eastAsia="Times New Roman" w:cs="Times New Roman"/>
          <w:sz w:val="21"/>
          <w:szCs w:val="21"/>
        </w:rPr>
        <w:t>al Lipi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 Expert Panel</w:t>
      </w:r>
      <w:r>
        <w:rPr>
          <w:rFonts w:ascii="Times New Roman" w:hAnsi="Times New Roman" w:eastAsia="Times New Roman" w:cs="Times New Roman"/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1"/>
        </w:rPr>
        <w:t>，ILEP)发布意见书《他汀相关肌肉症状患者</w:t>
      </w:r>
    </w:p>
    <w:p>
      <w:pPr>
        <w:pStyle w:val="BodyText"/>
        <w:ind w:left="276" w:right="407"/>
        <w:spacing w:before="1" w:line="4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nocebo/drucebo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1"/>
        </w:rPr>
        <w:t>效应的分步诊断与管理》，意见书提出一种以患者为中心的方法，使用</w:t>
      </w:r>
      <w:r>
        <w:rPr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SAMS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临</w:t>
      </w:r>
      <w:r>
        <w:rPr>
          <w:sz w:val="21"/>
          <w:szCs w:val="21"/>
          <w:spacing w:val="-2"/>
        </w:rPr>
        <w:t>床指数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SAMS</w:t>
      </w:r>
      <w:r>
        <w:rPr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CI</w:t>
      </w:r>
      <w:r>
        <w:rPr>
          <w:sz w:val="21"/>
          <w:szCs w:val="21"/>
        </w:rPr>
        <w:t>）判断他汀用药与不良反应之间的因果</w:t>
      </w:r>
      <w:r>
        <w:rPr>
          <w:sz w:val="21"/>
          <w:szCs w:val="21"/>
          <w:spacing w:val="-1"/>
        </w:rPr>
        <w:t>关系，用以分步诊断和管理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spacing w:val="-1"/>
        </w:rPr>
        <w:t>SAMS，尤其是预防和管理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nocebo/drucebo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6"/>
        </w:rPr>
        <w:t>效应，针对不同患者采用不同的策略，从而提高降脂治疗的长</w:t>
      </w:r>
      <w:r>
        <w:rPr>
          <w:sz w:val="21"/>
          <w:szCs w:val="21"/>
          <w:spacing w:val="-7"/>
        </w:rPr>
        <w:t>期依从性、改善心血管结局。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288"/>
        <w:spacing w:before="69" w:line="218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1</w:t>
      </w:r>
      <w:r>
        <w:rPr>
          <w:rFonts w:ascii="SimHei" w:hAnsi="SimHei" w:eastAsia="SimHei" w:cs="SimHei"/>
          <w:sz w:val="21"/>
          <w:szCs w:val="21"/>
          <w:spacing w:val="-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他汀类药物不耐受的定义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277" w:right="375" w:firstLine="417"/>
        <w:spacing w:before="69" w:line="413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ILEP </w:t>
      </w:r>
      <w:r>
        <w:rPr>
          <w:sz w:val="21"/>
          <w:szCs w:val="21"/>
          <w:spacing w:val="-2"/>
        </w:rPr>
        <w:t>基于以下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2"/>
        </w:rPr>
        <w:t>4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2"/>
        </w:rPr>
        <w:t>个标准对他汀类药物不耐受的特点进行描述：</w:t>
      </w:r>
      <w:r>
        <w:rPr>
          <w:rFonts w:ascii="KaiTi" w:hAnsi="KaiTi" w:eastAsia="KaiTi" w:cs="KaiTi"/>
          <w:sz w:val="21"/>
          <w:szCs w:val="21"/>
          <w:spacing w:val="-2"/>
        </w:rPr>
        <w:t>①</w:t>
      </w:r>
      <w:r>
        <w:rPr>
          <w:sz w:val="21"/>
          <w:szCs w:val="21"/>
          <w:spacing w:val="-2"/>
        </w:rPr>
        <w:t>无法耐受≥2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2"/>
        </w:rPr>
        <w:t>种的他汀类药物：一种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以最低起始日剂量给药，另一种为任意日剂量；</w:t>
      </w:r>
      <w:r>
        <w:rPr>
          <w:rFonts w:ascii="KaiTi" w:hAnsi="KaiTi" w:eastAsia="KaiTi" w:cs="KaiTi"/>
          <w:sz w:val="21"/>
          <w:szCs w:val="21"/>
          <w:spacing w:val="-1"/>
        </w:rPr>
        <w:t>②</w:t>
      </w:r>
      <w:r>
        <w:rPr>
          <w:sz w:val="21"/>
          <w:szCs w:val="21"/>
          <w:spacing w:val="-1"/>
        </w:rPr>
        <w:t>与已确诊的他汀不良事件或生物标志物显著异常相关的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不耐受性；</w:t>
      </w:r>
      <w:r>
        <w:rPr>
          <w:rFonts w:ascii="KaiTi" w:hAnsi="KaiTi" w:eastAsia="KaiTi" w:cs="KaiTi"/>
          <w:sz w:val="21"/>
          <w:szCs w:val="21"/>
          <w:spacing w:val="-1"/>
        </w:rPr>
        <w:t>③</w:t>
      </w:r>
      <w:r>
        <w:rPr>
          <w:sz w:val="21"/>
          <w:szCs w:val="21"/>
          <w:spacing w:val="-1"/>
        </w:rPr>
        <w:t>减量或停药后症状或生物标志物的显著改善；</w:t>
      </w:r>
      <w:r>
        <w:rPr>
          <w:rFonts w:ascii="KaiTi" w:hAnsi="KaiTi" w:eastAsia="KaiTi" w:cs="KaiTi"/>
          <w:sz w:val="21"/>
          <w:szCs w:val="21"/>
          <w:spacing w:val="-1"/>
        </w:rPr>
        <w:t>④</w:t>
      </w:r>
      <w:r>
        <w:rPr>
          <w:sz w:val="21"/>
          <w:szCs w:val="21"/>
          <w:spacing w:val="-1"/>
        </w:rPr>
        <w:t>不能用已知易感因素（如药物相互作用、公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认能增加他汀类药物不耐受风险的因素）解释的症状或生</w:t>
      </w:r>
      <w:r>
        <w:rPr>
          <w:sz w:val="21"/>
          <w:szCs w:val="21"/>
          <w:spacing w:val="-2"/>
        </w:rPr>
        <w:t>物标志物改变。</w:t>
      </w:r>
    </w:p>
    <w:p>
      <w:pPr>
        <w:spacing w:line="413" w:lineRule="auto"/>
        <w:sectPr>
          <w:headerReference w:type="default" r:id="rId9"/>
          <w:pgSz w:w="11907" w:h="16839"/>
          <w:pgMar w:top="400" w:right="757" w:bottom="0" w:left="864" w:header="0" w:footer="0" w:gutter="0"/>
        </w:sectPr>
        <w:rPr>
          <w:sz w:val="21"/>
          <w:szCs w:val="21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80" w:right="413" w:firstLine="417"/>
        <w:spacing w:before="68" w:line="412" w:lineRule="auto"/>
        <w:jc w:val="both"/>
        <w:rPr>
          <w:sz w:val="21"/>
          <w:szCs w:val="21"/>
        </w:rPr>
      </w:pPr>
      <w:r>
        <w:rPr>
          <w:sz w:val="21"/>
          <w:szCs w:val="21"/>
        </w:rPr>
        <w:t>他汀类药物不耐受还可分为部分和完全不耐</w:t>
      </w:r>
      <w:r>
        <w:rPr>
          <w:sz w:val="21"/>
          <w:szCs w:val="21"/>
          <w:spacing w:val="-1"/>
        </w:rPr>
        <w:t>受，部分不耐受约占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1"/>
        </w:rPr>
        <w:t>95%，指在某些剂量下对某些他汀类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药物的不耐受，经减量、换药等干预措施（</w:t>
      </w:r>
      <w:r>
        <w:rPr>
          <w:rFonts w:ascii="Times New Roman" w:hAnsi="Times New Roman" w:eastAsia="Times New Roman" w:cs="Times New Roman"/>
          <w:sz w:val="21"/>
          <w:szCs w:val="21"/>
        </w:rPr>
        <w:t>SLAP </w:t>
      </w:r>
      <w:r>
        <w:rPr>
          <w:sz w:val="21"/>
          <w:szCs w:val="21"/>
        </w:rPr>
        <w:t>方法）后可改善。完全不耐</w:t>
      </w:r>
      <w:r>
        <w:rPr>
          <w:sz w:val="21"/>
          <w:szCs w:val="21"/>
          <w:spacing w:val="-1"/>
        </w:rPr>
        <w:t>受指在所有剂量下对所有他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汀类药物的不耐受，通常需要换用其他种类的降脂药物。</w:t>
      </w:r>
    </w:p>
    <w:p>
      <w:pPr>
        <w:pStyle w:val="BodyText"/>
        <w:ind w:left="277" w:right="376" w:firstLine="426"/>
        <w:spacing w:line="411" w:lineRule="auto"/>
        <w:rPr>
          <w:sz w:val="21"/>
          <w:szCs w:val="21"/>
        </w:rPr>
      </w:pPr>
      <w:r>
        <w:rPr>
          <w:sz w:val="21"/>
          <w:szCs w:val="21"/>
        </w:rPr>
        <w:t>意见书认为，他汀类药物不耐受可由多种因素导致，</w:t>
      </w:r>
      <w:r>
        <w:rPr>
          <w:rFonts w:ascii="KaiTi" w:hAnsi="KaiTi" w:eastAsia="KaiTi" w:cs="KaiTi"/>
          <w:sz w:val="21"/>
          <w:szCs w:val="21"/>
        </w:rPr>
        <w:t>①</w:t>
      </w:r>
      <w:r>
        <w:rPr>
          <w:sz w:val="21"/>
          <w:szCs w:val="21"/>
        </w:rPr>
        <w:t>他汀类药物</w:t>
      </w:r>
      <w:r>
        <w:rPr>
          <w:sz w:val="21"/>
          <w:szCs w:val="21"/>
          <w:spacing w:val="-1"/>
        </w:rPr>
        <w:t>的药效/药动学特征——他汀类药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物经肝脏细胞色素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1"/>
        </w:rPr>
        <w:t>P</w:t>
      </w:r>
      <w:r>
        <w:rPr>
          <w:sz w:val="11"/>
          <w:szCs w:val="11"/>
          <w:spacing w:val="-1"/>
        </w:rPr>
        <w:t>450</w:t>
      </w:r>
      <w:r>
        <w:rPr>
          <w:sz w:val="21"/>
          <w:szCs w:val="21"/>
          <w:spacing w:val="-1"/>
        </w:rPr>
        <w:t>（CYP）酶代谢，此类药物的使用可能导致丙氨酸氨基转移酶（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ALT</w:t>
      </w:r>
      <w:r>
        <w:rPr>
          <w:sz w:val="21"/>
          <w:szCs w:val="21"/>
          <w:spacing w:val="-1"/>
        </w:rPr>
        <w:t>）升高；可导致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辅酶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1"/>
        </w:rPr>
        <w:t>Q10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1"/>
        </w:rPr>
        <w:t>水平降低，诱导线粒体凋亡等，从而导致肌痛。</w:t>
      </w:r>
      <w:r>
        <w:rPr>
          <w:rFonts w:ascii="KaiTi" w:hAnsi="KaiTi" w:eastAsia="KaiTi" w:cs="KaiTi"/>
          <w:sz w:val="21"/>
          <w:szCs w:val="21"/>
          <w:spacing w:val="-1"/>
        </w:rPr>
        <w:t>②</w:t>
      </w:r>
      <w:r>
        <w:rPr>
          <w:sz w:val="21"/>
          <w:szCs w:val="21"/>
          <w:spacing w:val="-1"/>
        </w:rPr>
        <w:t>患者已知他汀类药物的不良反应，因此</w:t>
      </w:r>
      <w:r>
        <w:rPr>
          <w:sz w:val="21"/>
          <w:szCs w:val="21"/>
          <w:spacing w:val="-2"/>
        </w:rPr>
        <w:t>服药时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有所心理暗示，因此产生不良反应，即反安慰剂/</w:t>
      </w:r>
      <w:r>
        <w:rPr>
          <w:rFonts w:ascii="Times New Roman" w:hAnsi="Times New Roman" w:eastAsia="Times New Roman" w:cs="Times New Roman"/>
          <w:sz w:val="21"/>
          <w:szCs w:val="21"/>
        </w:rPr>
        <w:t>druc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ebo </w:t>
      </w:r>
      <w:r>
        <w:rPr>
          <w:sz w:val="21"/>
          <w:szCs w:val="21"/>
          <w:spacing w:val="-1"/>
        </w:rPr>
        <w:t>效应。</w:t>
      </w:r>
      <w:r>
        <w:rPr>
          <w:rFonts w:ascii="KaiTi" w:hAnsi="KaiTi" w:eastAsia="KaiTi" w:cs="KaiTi"/>
          <w:sz w:val="21"/>
          <w:szCs w:val="21"/>
          <w:spacing w:val="-1"/>
        </w:rPr>
        <w:t>③</w:t>
      </w:r>
      <w:r>
        <w:rPr>
          <w:sz w:val="21"/>
          <w:szCs w:val="21"/>
          <w:spacing w:val="-1"/>
        </w:rPr>
        <w:t>其他易感因素，如不合理运动、药物相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互作用[抗真菌药物、大环内酯类抗生素、获得性免疫缺陷病毒（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HIV</w:t>
      </w:r>
      <w:r>
        <w:rPr>
          <w:sz w:val="21"/>
          <w:szCs w:val="21"/>
          <w:spacing w:val="-4"/>
        </w:rPr>
        <w:t>）蛋白酶抑制剂、钙通道阻滞剂等]、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4"/>
        </w:rPr>
        <w:t>遗传易感性（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CYP </w:t>
      </w:r>
      <w:r>
        <w:rPr>
          <w:sz w:val="21"/>
          <w:szCs w:val="21"/>
          <w:spacing w:val="-4"/>
        </w:rPr>
        <w:t>酶基因多态性等）、其他疾病或状态（维生素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-4"/>
        </w:rPr>
        <w:t>D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4"/>
        </w:rPr>
        <w:t>缺乏、甲状腺疾病）等。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276"/>
        <w:spacing w:before="68" w:line="218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2</w:t>
      </w:r>
      <w:r>
        <w:rPr>
          <w:rFonts w:ascii="SimHei" w:hAnsi="SimHei" w:eastAsia="SimHei" w:cs="SimHei"/>
          <w:sz w:val="21"/>
          <w:szCs w:val="21"/>
          <w:spacing w:val="-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意见书对</w:t>
      </w:r>
      <w:r>
        <w:rPr>
          <w:rFonts w:ascii="SimHei" w:hAnsi="SimHei" w:eastAsia="SimHei" w:cs="SimHei"/>
          <w:sz w:val="21"/>
          <w:szCs w:val="21"/>
          <w:spacing w:val="-2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SAMS</w:t>
      </w:r>
      <w:r>
        <w:rPr>
          <w:rFonts w:ascii="SimHei" w:hAnsi="SimHei" w:eastAsia="SimHei" w:cs="SimHei"/>
          <w:sz w:val="21"/>
          <w:szCs w:val="21"/>
          <w:spacing w:val="-3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的分步诊断与管理建议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276" w:right="376"/>
        <w:spacing w:before="68" w:line="411" w:lineRule="auto"/>
        <w:jc w:val="both"/>
        <w:rPr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"/>
        </w:rPr>
        <w:t>2.1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"/>
        </w:rPr>
        <w:t>启动他汀治疗前的准备工作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1"/>
        </w:rPr>
        <w:t>在启动他汀类药物治疗之前，医生应考虑到</w:t>
      </w:r>
      <w:r>
        <w:rPr>
          <w:sz w:val="21"/>
          <w:szCs w:val="21"/>
        </w:rPr>
        <w:t>他汀类药物相关不良事件， </w:t>
      </w:r>
      <w:r>
        <w:rPr>
          <w:sz w:val="21"/>
          <w:szCs w:val="21"/>
          <w:spacing w:val="-1"/>
        </w:rPr>
        <w:t>采取预防措施，减少非他汀不良症状的误判，并提前告知患者治疗方案的原理与获益，从而实现以患者为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中心的决策方案。意见书建议使用个体化脂质干预计划（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personalized lipid intervention p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lan</w:t>
      </w:r>
      <w:r>
        <w:rPr>
          <w:sz w:val="21"/>
          <w:szCs w:val="21"/>
          <w:spacing w:val="-2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PLIP</w:t>
      </w:r>
      <w:r>
        <w:rPr>
          <w:sz w:val="21"/>
          <w:szCs w:val="21"/>
          <w:spacing w:val="-2"/>
        </w:rPr>
        <w:t>）来协助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这一过程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7"/>
        </w:rPr>
        <w:t>[4]</w:t>
      </w:r>
      <w:r>
        <w:rPr>
          <w:sz w:val="21"/>
          <w:szCs w:val="21"/>
          <w:spacing w:val="-1"/>
        </w:rPr>
        <w:t>。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PLIP </w:t>
      </w:r>
      <w:r>
        <w:rPr>
          <w:sz w:val="21"/>
          <w:szCs w:val="21"/>
          <w:spacing w:val="-1"/>
        </w:rPr>
        <w:t>详细记录患者他汀治疗的具体剂量及低密度脂蛋白胆固醇（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LDL-C</w:t>
      </w:r>
      <w:r>
        <w:rPr>
          <w:sz w:val="21"/>
          <w:szCs w:val="21"/>
          <w:spacing w:val="-1"/>
        </w:rPr>
        <w:t>）目标，能够协助医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4"/>
        </w:rPr>
        <w:t>生与患者进行动机式访谈，提高</w:t>
      </w:r>
      <w:r>
        <w:rPr>
          <w:sz w:val="21"/>
          <w:szCs w:val="21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LLT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4"/>
        </w:rPr>
        <w:t>的长期依从性。</w:t>
      </w:r>
    </w:p>
    <w:p>
      <w:pPr>
        <w:pStyle w:val="BodyText"/>
        <w:ind w:left="278" w:right="376" w:firstLine="420"/>
        <w:spacing w:before="4" w:line="40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此外，应尽可能避免对非他汀相关症状的错误归因，如运动、甲状腺功能异常、药物相互作用等导致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2"/>
        </w:rPr>
        <w:t>的不良症状，从而可能导致肌酸激酶（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CK</w:t>
      </w:r>
      <w:r>
        <w:rPr>
          <w:sz w:val="21"/>
          <w:szCs w:val="21"/>
          <w:spacing w:val="-2"/>
        </w:rPr>
        <w:t>）指标异常，见表</w:t>
      </w:r>
      <w:r>
        <w:rPr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</w:t>
      </w:r>
      <w:r>
        <w:rPr>
          <w:sz w:val="21"/>
          <w:szCs w:val="21"/>
          <w:spacing w:val="-2"/>
        </w:rPr>
        <w:t>。在开始他汀类药物治疗前，应尽可能纠正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这些可逆风险因素。</w:t>
      </w:r>
    </w:p>
    <w:p>
      <w:pPr>
        <w:ind w:left="3648"/>
        <w:spacing w:before="8" w:line="225" w:lineRule="auto"/>
        <w:outlineLvl w:val="0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b/>
          <w:bCs/>
          <w:spacing w:val="-2"/>
        </w:rPr>
        <w:t>表 1</w:t>
      </w:r>
      <w:r>
        <w:rPr>
          <w:rFonts w:ascii="DengXian" w:hAnsi="DengXian" w:eastAsia="DengXian" w:cs="DengXian"/>
          <w:sz w:val="21"/>
          <w:szCs w:val="21"/>
          <w:b/>
          <w:bCs/>
          <w:spacing w:val="16"/>
          <w:w w:val="101"/>
        </w:rPr>
        <w:t xml:space="preserve">   </w:t>
      </w:r>
      <w:r>
        <w:rPr>
          <w:rFonts w:ascii="DengXian" w:hAnsi="DengXian" w:eastAsia="DengXian" w:cs="DengXian"/>
          <w:sz w:val="21"/>
          <w:szCs w:val="21"/>
          <w:b/>
          <w:bCs/>
          <w:spacing w:val="-2"/>
        </w:rPr>
        <w:t>肌酸激酶升高的常见原因</w:t>
      </w:r>
    </w:p>
    <w:p>
      <w:pPr>
        <w:ind w:left="3403"/>
        <w:spacing w:before="201" w:line="290" w:lineRule="exact"/>
        <w:outlineLvl w:val="0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b/>
          <w:bCs/>
          <w:spacing w:val="-1"/>
          <w:position w:val="2"/>
        </w:rPr>
        <w:t>Tab.1</w:t>
      </w:r>
      <w:r>
        <w:rPr>
          <w:rFonts w:ascii="DengXian" w:hAnsi="DengXian" w:eastAsia="DengXian" w:cs="DengXian"/>
          <w:sz w:val="21"/>
          <w:szCs w:val="21"/>
          <w:b/>
          <w:bCs/>
          <w:spacing w:val="16"/>
          <w:w w:val="101"/>
          <w:position w:val="2"/>
        </w:rPr>
        <w:t xml:space="preserve">   </w:t>
      </w:r>
      <w:r>
        <w:rPr>
          <w:rFonts w:ascii="DengXian" w:hAnsi="DengXian" w:eastAsia="DengXian" w:cs="DengXian"/>
          <w:sz w:val="21"/>
          <w:szCs w:val="21"/>
          <w:b/>
          <w:bCs/>
          <w:spacing w:val="-1"/>
          <w:position w:val="2"/>
        </w:rPr>
        <w:t>common</w:t>
      </w:r>
      <w:r>
        <w:rPr>
          <w:rFonts w:ascii="DengXian" w:hAnsi="DengXian" w:eastAsia="DengXian" w:cs="DengXian"/>
          <w:sz w:val="21"/>
          <w:szCs w:val="21"/>
          <w:b/>
          <w:bCs/>
          <w:spacing w:val="15"/>
          <w:w w:val="101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b/>
          <w:bCs/>
          <w:spacing w:val="-1"/>
          <w:position w:val="2"/>
        </w:rPr>
        <w:t>reasons of elevated CK</w:t>
      </w:r>
    </w:p>
    <w:p>
      <w:pPr>
        <w:spacing w:line="163" w:lineRule="exact"/>
        <w:rPr/>
      </w:pPr>
      <w:r/>
    </w:p>
    <w:tbl>
      <w:tblPr>
        <w:tblStyle w:val="TableNormal"/>
        <w:tblW w:w="8269" w:type="dxa"/>
        <w:tblInd w:w="954" w:type="dxa"/>
        <w:tblLayout w:type="fixed"/>
        <w:tblBorders>
          <w:top w:val="single" w:color="D4D4D4" w:sz="4" w:space="0"/>
          <w:left w:val="single" w:color="D4D4D4" w:sz="4" w:space="0"/>
          <w:bottom w:val="single" w:color="D4D4D4" w:sz="4" w:space="0"/>
          <w:right w:val="single" w:color="D4D4D4" w:sz="4" w:space="0"/>
          <w:insideH w:val="single" w:color="D4D4D4" w:sz="4" w:space="0"/>
          <w:insideV w:val="single" w:color="D4D4D4" w:sz="4" w:space="0"/>
        </w:tblBorders>
      </w:tblPr>
      <w:tblGrid>
        <w:gridCol w:w="1353"/>
        <w:gridCol w:w="6916"/>
      </w:tblGrid>
      <w:tr>
        <w:trPr>
          <w:trHeight w:val="247" w:hRule="atLeast"/>
        </w:trPr>
        <w:tc>
          <w:tcPr>
            <w:tcW w:w="13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4"/>
              <w:spacing w:before="40" w:line="183" w:lineRule="auto"/>
              <w:rPr/>
            </w:pPr>
            <w:r>
              <w:rPr>
                <w:b/>
                <w:bCs/>
                <w:spacing w:val="13"/>
              </w:rPr>
              <w:t>常见原因</w:t>
            </w:r>
          </w:p>
        </w:tc>
        <w:tc>
          <w:tcPr>
            <w:tcW w:w="69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39"/>
              <w:spacing w:before="40" w:line="183" w:lineRule="auto"/>
              <w:rPr/>
            </w:pPr>
            <w:r>
              <w:rPr>
                <w:b/>
                <w:bCs/>
                <w:spacing w:val="16"/>
              </w:rPr>
              <w:t>举例</w:t>
            </w:r>
          </w:p>
        </w:tc>
      </w:tr>
      <w:tr>
        <w:trPr>
          <w:trHeight w:val="991" w:hRule="atLeast"/>
        </w:trPr>
        <w:tc>
          <w:tcPr>
            <w:tcW w:w="135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8"/>
              <w:spacing w:before="34" w:line="235" w:lineRule="auto"/>
              <w:rPr/>
            </w:pPr>
            <w:r>
              <w:rPr>
                <w:spacing w:val="16"/>
              </w:rPr>
              <w:t>慢性病</w:t>
            </w:r>
          </w:p>
        </w:tc>
        <w:tc>
          <w:tcPr>
            <w:tcW w:w="691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7" w:right="207" w:firstLine="16"/>
              <w:spacing w:before="34" w:line="234" w:lineRule="auto"/>
              <w:rPr/>
            </w:pPr>
            <w:r>
              <w:rPr>
                <w:spacing w:val="18"/>
              </w:rPr>
              <w:t>内分泌失调：甲亢、甲减、甲状旁腺功能减</w:t>
            </w:r>
            <w:r>
              <w:rPr>
                <w:spacing w:val="17"/>
              </w:rPr>
              <w:t>退、肢端肥大症、库欣综合征</w:t>
            </w:r>
            <w:r>
              <w:rPr/>
              <w:t xml:space="preserve"> </w:t>
            </w:r>
            <w:r>
              <w:rPr>
                <w:spacing w:val="17"/>
              </w:rPr>
              <w:t>结缔组织病、风湿病</w:t>
            </w:r>
          </w:p>
          <w:p>
            <w:pPr>
              <w:pStyle w:val="TableText"/>
              <w:ind w:left="36" w:right="2338" w:hanging="8"/>
              <w:spacing w:line="207" w:lineRule="auto"/>
              <w:rPr/>
            </w:pPr>
            <w:r>
              <w:rPr>
                <w:spacing w:val="20"/>
              </w:rPr>
              <w:t>心脏病：心衰、瓣膜病、心动过速、心肌炎、</w:t>
            </w:r>
            <w:r>
              <w:rPr/>
              <w:t>ACS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急性肾病</w:t>
            </w:r>
          </w:p>
        </w:tc>
      </w:tr>
      <w:tr>
        <w:trPr>
          <w:trHeight w:val="490" w:hRule="atLeast"/>
        </w:trPr>
        <w:tc>
          <w:tcPr>
            <w:tcW w:w="1353" w:type="dxa"/>
            <w:vAlign w:val="top"/>
          </w:tcPr>
          <w:p>
            <w:pPr>
              <w:pStyle w:val="TableText"/>
              <w:ind w:left="44"/>
              <w:spacing w:before="36" w:line="235" w:lineRule="auto"/>
              <w:rPr/>
            </w:pPr>
            <w:r>
              <w:rPr>
                <w:spacing w:val="12"/>
              </w:rPr>
              <w:t>用药</w:t>
            </w:r>
          </w:p>
        </w:tc>
        <w:tc>
          <w:tcPr>
            <w:tcW w:w="6916" w:type="dxa"/>
            <w:vAlign w:val="top"/>
          </w:tcPr>
          <w:p>
            <w:pPr>
              <w:pStyle w:val="TableText"/>
              <w:ind w:left="37" w:right="176" w:hanging="7"/>
              <w:spacing w:before="38" w:line="206" w:lineRule="auto"/>
              <w:rPr/>
            </w:pPr>
            <w:r>
              <w:rPr>
                <w:spacing w:val="18"/>
              </w:rPr>
              <w:t>他汀类药物、纤维素、抗逆转录病毒药物、β受体阻滞剂、氯氮平、</w:t>
            </w:r>
            <w:r>
              <w:rPr/>
              <w:t>ARB</w:t>
            </w:r>
            <w:r>
              <w:rPr>
                <w:spacing w:val="18"/>
              </w:rPr>
              <w:t>、</w:t>
            </w:r>
            <w:r>
              <w:rPr>
                <w:spacing w:val="1"/>
              </w:rPr>
              <w:t xml:space="preserve"> </w:t>
            </w:r>
            <w:r>
              <w:rPr>
                <w:spacing w:val="17"/>
              </w:rPr>
              <w:t>羟氯喹、异维A酸、秋水仙碱、皮质激素</w:t>
            </w:r>
          </w:p>
        </w:tc>
      </w:tr>
      <w:tr>
        <w:trPr>
          <w:trHeight w:val="240" w:hRule="atLeast"/>
        </w:trPr>
        <w:tc>
          <w:tcPr>
            <w:tcW w:w="1353" w:type="dxa"/>
            <w:vAlign w:val="top"/>
          </w:tcPr>
          <w:p>
            <w:pPr>
              <w:pStyle w:val="TableText"/>
              <w:ind w:left="40"/>
              <w:spacing w:before="39" w:line="178" w:lineRule="auto"/>
              <w:rPr/>
            </w:pPr>
            <w:r>
              <w:rPr>
                <w:spacing w:val="14"/>
              </w:rPr>
              <w:t>毒品</w:t>
            </w:r>
          </w:p>
        </w:tc>
        <w:tc>
          <w:tcPr>
            <w:tcW w:w="6916" w:type="dxa"/>
            <w:vAlign w:val="top"/>
          </w:tcPr>
          <w:p>
            <w:pPr>
              <w:pStyle w:val="TableText"/>
              <w:ind w:left="46"/>
              <w:spacing w:before="39" w:line="178" w:lineRule="auto"/>
              <w:rPr/>
            </w:pPr>
            <w:r>
              <w:rPr>
                <w:spacing w:val="17"/>
              </w:rPr>
              <w:t>乙醇、可卡因、海洛因、苯丙胺</w:t>
            </w:r>
          </w:p>
        </w:tc>
      </w:tr>
      <w:tr>
        <w:trPr>
          <w:trHeight w:val="240" w:hRule="atLeast"/>
        </w:trPr>
        <w:tc>
          <w:tcPr>
            <w:tcW w:w="1353" w:type="dxa"/>
            <w:vAlign w:val="top"/>
          </w:tcPr>
          <w:p>
            <w:pPr>
              <w:pStyle w:val="TableText"/>
              <w:ind w:left="37"/>
              <w:spacing w:before="39" w:line="178" w:lineRule="auto"/>
              <w:rPr/>
            </w:pPr>
            <w:r>
              <w:rPr>
                <w:spacing w:val="17"/>
              </w:rPr>
              <w:t>代谢紊乱</w:t>
            </w:r>
          </w:p>
        </w:tc>
        <w:tc>
          <w:tcPr>
            <w:tcW w:w="6916" w:type="dxa"/>
            <w:vAlign w:val="top"/>
          </w:tcPr>
          <w:p>
            <w:pPr>
              <w:pStyle w:val="TableText"/>
              <w:ind w:left="32"/>
              <w:spacing w:before="39" w:line="178" w:lineRule="auto"/>
              <w:rPr/>
            </w:pPr>
            <w:r>
              <w:rPr>
                <w:spacing w:val="18"/>
              </w:rPr>
              <w:t>低钠血症、低钾血症、低磷酸盐血症</w:t>
            </w:r>
          </w:p>
        </w:tc>
      </w:tr>
      <w:tr>
        <w:trPr>
          <w:trHeight w:val="740" w:hRule="atLeast"/>
        </w:trPr>
        <w:tc>
          <w:tcPr>
            <w:tcW w:w="1353" w:type="dxa"/>
            <w:vAlign w:val="top"/>
          </w:tcPr>
          <w:p>
            <w:pPr>
              <w:pStyle w:val="TableText"/>
              <w:ind w:left="38"/>
              <w:spacing w:before="40" w:line="233" w:lineRule="auto"/>
              <w:rPr/>
            </w:pPr>
            <w:r>
              <w:rPr>
                <w:spacing w:val="17"/>
              </w:rPr>
              <w:t>肌肉损伤疾病</w:t>
            </w:r>
          </w:p>
        </w:tc>
        <w:tc>
          <w:tcPr>
            <w:tcW w:w="6916" w:type="dxa"/>
            <w:vAlign w:val="top"/>
          </w:tcPr>
          <w:p>
            <w:pPr>
              <w:pStyle w:val="TableText"/>
              <w:ind w:left="33"/>
              <w:spacing w:before="39" w:line="232" w:lineRule="auto"/>
              <w:rPr/>
            </w:pPr>
            <w:r>
              <w:rPr>
                <w:spacing w:val="18"/>
              </w:rPr>
              <w:t>肌肉萎缩、肌肉代谢和线粒体疾病、炎症性肌病</w:t>
            </w:r>
          </w:p>
          <w:p>
            <w:pPr>
              <w:pStyle w:val="TableText"/>
              <w:ind w:left="34" w:right="207" w:firstLine="3"/>
              <w:spacing w:before="3" w:line="204" w:lineRule="auto"/>
              <w:rPr/>
            </w:pPr>
            <w:r>
              <w:rPr>
                <w:spacing w:val="18"/>
              </w:rPr>
              <w:t>其他：家族性肌酸激酶升高、肉瘤性肌病、运动神经元疾病、腓骨肌萎缩</w:t>
            </w:r>
            <w:r>
              <w:rPr>
                <w:spacing w:val="3"/>
              </w:rPr>
              <w:t xml:space="preserve"> </w:t>
            </w:r>
            <w:r>
              <w:rPr>
                <w:spacing w:val="17"/>
              </w:rPr>
              <w:t>症、其他先天性疾病、癫痫</w:t>
            </w:r>
          </w:p>
        </w:tc>
      </w:tr>
      <w:tr>
        <w:trPr>
          <w:trHeight w:val="496" w:hRule="atLeast"/>
        </w:trPr>
        <w:tc>
          <w:tcPr>
            <w:tcW w:w="13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"/>
              <w:spacing w:before="43" w:line="234" w:lineRule="auto"/>
              <w:rPr/>
            </w:pPr>
            <w:r>
              <w:rPr>
                <w:spacing w:val="12"/>
              </w:rPr>
              <w:t>其他</w:t>
            </w:r>
          </w:p>
        </w:tc>
        <w:tc>
          <w:tcPr>
            <w:tcW w:w="691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" w:right="180" w:firstLine="2"/>
              <w:spacing w:before="44" w:line="206" w:lineRule="auto"/>
              <w:rPr/>
            </w:pPr>
            <w:r>
              <w:rPr>
                <w:spacing w:val="19"/>
              </w:rPr>
              <w:t>种族（美国黑人的</w:t>
            </w:r>
            <w:r>
              <w:rPr/>
              <w:t>CK</w:t>
            </w:r>
            <w:r>
              <w:rPr>
                <w:spacing w:val="19"/>
              </w:rPr>
              <w:t>基线水平可能较高）、高强</w:t>
            </w:r>
            <w:r>
              <w:rPr>
                <w:spacing w:val="18"/>
              </w:rPr>
              <w:t>度运动、外科手术、恶性</w:t>
            </w:r>
            <w:r>
              <w:rPr/>
              <w:t xml:space="preserve"> </w:t>
            </w:r>
            <w:r>
              <w:rPr>
                <w:spacing w:val="18"/>
              </w:rPr>
              <w:t>肿瘤、极端寒冷、恶性高热倾向、特发性高</w:t>
            </w:r>
            <w:r>
              <w:rPr/>
              <w:t>CK</w:t>
            </w:r>
            <w:r>
              <w:rPr>
                <w:spacing w:val="18"/>
              </w:rPr>
              <w:t>血症</w:t>
            </w:r>
          </w:p>
        </w:tc>
      </w:tr>
    </w:tbl>
    <w:p>
      <w:pPr>
        <w:pStyle w:val="BodyText"/>
        <w:ind w:left="276"/>
        <w:spacing w:before="239" w:line="215" w:lineRule="auto"/>
        <w:rPr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"/>
        </w:rPr>
        <w:t>2.2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"/>
        </w:rPr>
        <w:t>AE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"/>
        </w:rPr>
        <w:t>初步管理</w:t>
      </w:r>
      <w:r>
        <w:rPr>
          <w:rFonts w:ascii="KaiTi" w:hAnsi="KaiTi" w:eastAsia="KaiTi" w:cs="KaiTi"/>
          <w:sz w:val="21"/>
          <w:szCs w:val="21"/>
          <w:spacing w:val="-1"/>
        </w:rPr>
        <w:t xml:space="preserve"> </w:t>
      </w:r>
      <w:r>
        <w:rPr>
          <w:sz w:val="21"/>
          <w:szCs w:val="21"/>
          <w:spacing w:val="-1"/>
        </w:rPr>
        <w:t>接受他汀类药物治疗的患者</w:t>
      </w:r>
      <w:r>
        <w:rPr>
          <w:sz w:val="21"/>
          <w:szCs w:val="21"/>
          <w:spacing w:val="-2"/>
        </w:rPr>
        <w:t>应定期随访，以评估治疗的安全性与有效性。意见书建议，</w:t>
      </w:r>
    </w:p>
    <w:p>
      <w:pPr>
        <w:spacing w:line="215" w:lineRule="auto"/>
        <w:sectPr>
          <w:pgSz w:w="11907" w:h="16839"/>
          <w:pgMar w:top="400" w:right="757" w:bottom="0" w:left="864" w:header="0" w:footer="0" w:gutter="0"/>
        </w:sectPr>
        <w:rPr>
          <w:sz w:val="21"/>
          <w:szCs w:val="21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78"/>
        <w:spacing w:before="69" w:line="21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若患者在治疗期间报告发生</w:t>
      </w:r>
      <w:r>
        <w:rPr>
          <w:sz w:val="21"/>
          <w:szCs w:val="21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AE</w:t>
      </w:r>
      <w:r>
        <w:rPr>
          <w:sz w:val="21"/>
          <w:szCs w:val="21"/>
          <w:spacing w:val="-1"/>
        </w:rPr>
        <w:t>，可采用</w:t>
      </w:r>
      <w:r>
        <w:rPr>
          <w:sz w:val="21"/>
          <w:szCs w:val="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MEDS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</w:t>
      </w:r>
      <w:r>
        <w:rPr>
          <w:sz w:val="21"/>
          <w:szCs w:val="21"/>
          <w:spacing w:val="-2"/>
        </w:rPr>
        <w:t>方法对所有他汀治疗的疑似不良事件进行初步管理。</w:t>
      </w:r>
    </w:p>
    <w:p>
      <w:pPr>
        <w:pStyle w:val="BodyText"/>
        <w:ind w:left="277" w:right="375" w:firstLine="415"/>
        <w:spacing w:before="218" w:line="410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64"/>
          <w:w w:val="101"/>
        </w:rPr>
        <w:t xml:space="preserve"> </w:t>
      </w:r>
      <w:r>
        <w:rPr>
          <w:sz w:val="21"/>
          <w:szCs w:val="21"/>
          <w:spacing w:val="-2"/>
        </w:rPr>
        <w:t>即</w:t>
      </w:r>
      <w:r>
        <w:rPr>
          <w:sz w:val="21"/>
          <w:szCs w:val="21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minimize</w:t>
      </w:r>
      <w:r>
        <w:rPr>
          <w:sz w:val="21"/>
          <w:szCs w:val="21"/>
          <w:spacing w:val="-2"/>
        </w:rPr>
        <w:t>，指尽量减少对</w:t>
      </w:r>
      <w:r>
        <w:rPr>
          <w:sz w:val="21"/>
          <w:szCs w:val="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LLT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2"/>
        </w:rPr>
        <w:t>的干扰。他汀类药物的减量及停用与不良临床结局相关，因此他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汀药物去激发（暂时停用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2"/>
        </w:rPr>
        <w:t>4～6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2"/>
        </w:rPr>
        <w:t>周）期间应使用非他汀药物进行</w:t>
      </w:r>
      <w:r>
        <w:rPr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LLT</w:t>
      </w:r>
      <w:r>
        <w:rPr>
          <w:sz w:val="21"/>
          <w:szCs w:val="21"/>
          <w:spacing w:val="-2"/>
        </w:rPr>
        <w:t>。可采用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SAMS-CI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对他汀药物和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2"/>
        </w:rPr>
        <w:t>AE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之间的因果关系进行评估，意见书所用评分标准来自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ROSENSON </w:t>
      </w:r>
      <w:r>
        <w:rPr>
          <w:sz w:val="21"/>
          <w:szCs w:val="21"/>
        </w:rPr>
        <w:t>等</w:t>
      </w:r>
      <w:r>
        <w:rPr>
          <w:sz w:val="11"/>
          <w:szCs w:val="11"/>
          <w:position w:val="10"/>
        </w:rPr>
        <w:t>[5]</w:t>
      </w:r>
      <w:r>
        <w:rPr>
          <w:sz w:val="11"/>
          <w:szCs w:val="11"/>
          <w:spacing w:val="-29"/>
          <w:position w:val="10"/>
        </w:rPr>
        <w:t xml:space="preserve"> </w:t>
      </w:r>
      <w:r>
        <w:rPr>
          <w:sz w:val="21"/>
          <w:szCs w:val="21"/>
        </w:rPr>
        <w:t>的</w:t>
      </w:r>
      <w:r>
        <w:rPr>
          <w:sz w:val="21"/>
          <w:szCs w:val="21"/>
          <w:spacing w:val="-1"/>
        </w:rPr>
        <w:t>研究。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SAMS-C</w:t>
      </w:r>
      <w:r>
        <w:rPr>
          <w:sz w:val="21"/>
          <w:szCs w:val="21"/>
          <w:spacing w:val="-1"/>
        </w:rPr>
        <w:t>I对肌肉症状的部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位与性质、启动他汀治疗后肌肉症状出现的</w:t>
      </w:r>
      <w:r>
        <w:rPr>
          <w:sz w:val="21"/>
          <w:szCs w:val="21"/>
          <w:spacing w:val="-4"/>
        </w:rPr>
        <w:t>时间、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4"/>
        </w:rPr>
        <w:t>停药后症状改善的时间以及他汀再激发后类似症状再次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出现的时间进行赋值与评估。结果判断如下</w:t>
      </w:r>
      <w:r>
        <w:rPr>
          <w:sz w:val="21"/>
          <w:szCs w:val="21"/>
          <w:spacing w:val="-1"/>
        </w:rPr>
        <w:t>，①2～6 分，AE 不太可能由他汀药理作用而导致的；②7～8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分，AE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spacing w:val="-1"/>
        </w:rPr>
        <w:t>可能由他汀药理作用而导致的；③9～11</w:t>
      </w:r>
      <w:r>
        <w:rPr>
          <w:sz w:val="21"/>
          <w:szCs w:val="21"/>
          <w:spacing w:val="-2"/>
        </w:rPr>
        <w:t>分，</w:t>
      </w:r>
      <w:r>
        <w:rPr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-2"/>
        </w:rPr>
        <w:t>AE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spacing w:val="-2"/>
        </w:rPr>
        <w:t>很可能由他汀药理作用而导致。</w:t>
      </w:r>
    </w:p>
    <w:p>
      <w:pPr>
        <w:pStyle w:val="BodyText"/>
        <w:ind w:left="279" w:right="448" w:firstLine="414"/>
        <w:spacing w:before="11" w:line="40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即</w:t>
      </w:r>
      <w:r>
        <w:rPr>
          <w:sz w:val="21"/>
          <w:szCs w:val="2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education</w:t>
      </w:r>
      <w:r>
        <w:rPr>
          <w:sz w:val="21"/>
          <w:szCs w:val="21"/>
          <w:spacing w:val="-1"/>
        </w:rPr>
        <w:t>，指教育患者使其知晓他汀类药物治疗的好处。可通过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PLIP </w:t>
      </w:r>
      <w:r>
        <w:rPr>
          <w:sz w:val="21"/>
          <w:szCs w:val="21"/>
          <w:spacing w:val="-1"/>
        </w:rPr>
        <w:t>进行动机式访谈，向患者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展示可逆风险因素（如胆固醇）改变后心脏年龄的变化，为患者明确提供治疗的益处与风险。</w:t>
      </w:r>
    </w:p>
    <w:p>
      <w:pPr>
        <w:pStyle w:val="BodyText"/>
        <w:ind w:left="277" w:right="376" w:firstLine="416"/>
        <w:spacing w:before="23" w:line="409" w:lineRule="auto"/>
        <w:jc w:val="both"/>
        <w:rPr>
          <w:sz w:val="21"/>
          <w:szCs w:val="21"/>
        </w:rPr>
      </w:pPr>
      <w:r>
        <w:rPr>
          <w:sz w:val="21"/>
          <w:szCs w:val="21"/>
          <w:spacing w:val="-4"/>
        </w:rPr>
        <w:t>D</w:t>
      </w:r>
      <w:r>
        <w:rPr>
          <w:sz w:val="21"/>
          <w:szCs w:val="21"/>
          <w:spacing w:val="-18"/>
        </w:rPr>
        <w:t xml:space="preserve"> </w:t>
      </w:r>
      <w:r>
        <w:rPr>
          <w:sz w:val="21"/>
          <w:szCs w:val="21"/>
          <w:spacing w:val="-4"/>
        </w:rPr>
        <w:t>即</w:t>
      </w:r>
      <w:r>
        <w:rPr>
          <w:sz w:val="21"/>
          <w:szCs w:val="2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diet &amp; nutrition</w:t>
      </w:r>
      <w:r>
        <w:rPr>
          <w:sz w:val="21"/>
          <w:szCs w:val="21"/>
          <w:spacing w:val="-4"/>
        </w:rPr>
        <w:t>，指通过饮食和其他营养物质协助降脂。多种营养物质已被证明具有降脂作用， 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红麴米（RYR）、佛手柑、小檗碱、洋蓟、水溶性纤维、大蒜、豆制品以及植物甾醇和甾烷醇</w:t>
      </w:r>
      <w:r>
        <w:rPr>
          <w:sz w:val="11"/>
          <w:szCs w:val="11"/>
          <w:spacing w:val="-4"/>
          <w:position w:val="10"/>
        </w:rPr>
        <w:t>[6-7]</w:t>
      </w:r>
      <w:r>
        <w:rPr>
          <w:sz w:val="21"/>
          <w:szCs w:val="21"/>
          <w:spacing w:val="-4"/>
        </w:rPr>
        <w:t>。其中许多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4"/>
        </w:rPr>
        <w:t>物质还具有多重效应，如抗炎、抗氧化、对动脉硬度和内皮功能的益处等，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4"/>
        </w:rPr>
        <w:t>这些都有利于心血管疾病</w:t>
      </w:r>
      <w:r>
        <w:rPr>
          <w:sz w:val="21"/>
          <w:szCs w:val="21"/>
          <w:spacing w:val="-5"/>
        </w:rPr>
        <w:t>的预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防。但需注意，除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1"/>
        </w:rPr>
        <w:t>RYR、</w:t>
      </w:r>
      <w:r>
        <w:rPr>
          <w:sz w:val="21"/>
          <w:szCs w:val="21"/>
          <w:spacing w:val="-61"/>
        </w:rPr>
        <w:t xml:space="preserve"> </w:t>
      </w:r>
      <w:r>
        <w:rPr>
          <w:sz w:val="21"/>
          <w:szCs w:val="21"/>
          <w:spacing w:val="-1"/>
        </w:rPr>
        <w:t>ω-3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-1"/>
        </w:rPr>
        <w:t>脂肪酸和植物甾醇外，</w:t>
      </w:r>
      <w:r>
        <w:rPr>
          <w:sz w:val="21"/>
          <w:szCs w:val="21"/>
          <w:spacing w:val="-2"/>
        </w:rPr>
        <w:t>大部分物质尚未进行过心血管风险试验 </w:t>
      </w:r>
      <w:r>
        <w:rPr>
          <w:sz w:val="11"/>
          <w:szCs w:val="11"/>
          <w:spacing w:val="-2"/>
          <w:position w:val="10"/>
        </w:rPr>
        <w:t>[8]</w:t>
      </w:r>
      <w:r>
        <w:rPr>
          <w:sz w:val="21"/>
          <w:szCs w:val="21"/>
          <w:spacing w:val="-2"/>
        </w:rPr>
        <w:t>。</w:t>
      </w:r>
    </w:p>
    <w:p>
      <w:pPr>
        <w:pStyle w:val="BodyText"/>
        <w:ind w:left="287" w:right="376" w:firstLine="415"/>
        <w:spacing w:before="9" w:line="40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即</w:t>
      </w:r>
      <w:r>
        <w:rPr>
          <w:sz w:val="21"/>
          <w:szCs w:val="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symptoms &amp; biomarkers</w:t>
      </w:r>
      <w:r>
        <w:rPr>
          <w:sz w:val="21"/>
          <w:szCs w:val="21"/>
          <w:spacing w:val="-1"/>
        </w:rPr>
        <w:t>，</w:t>
      </w:r>
      <w:r>
        <w:rPr>
          <w:sz w:val="21"/>
          <w:szCs w:val="21"/>
          <w:spacing w:val="-2"/>
        </w:rPr>
        <w:t>指详细记录出现症状/生物标志物(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ALT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2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CK</w:t>
      </w:r>
      <w:r>
        <w:rPr>
          <w:sz w:val="21"/>
          <w:szCs w:val="21"/>
          <w:spacing w:val="-2"/>
        </w:rPr>
        <w:t>)异常的时机、严重程度及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患者的临床病史与家族史。其中“时机”包括：</w:t>
      </w:r>
      <w:r>
        <w:rPr>
          <w:rFonts w:ascii="KaiTi" w:hAnsi="KaiTi" w:eastAsia="KaiTi" w:cs="KaiTi"/>
          <w:sz w:val="21"/>
          <w:szCs w:val="21"/>
          <w:spacing w:val="-1"/>
        </w:rPr>
        <w:t>①</w:t>
      </w:r>
      <w:r>
        <w:rPr>
          <w:sz w:val="21"/>
          <w:szCs w:val="21"/>
          <w:spacing w:val="-1"/>
        </w:rPr>
        <w:t>剂量依赖性症状首次发生的时间；</w:t>
      </w:r>
      <w:r>
        <w:rPr>
          <w:rFonts w:ascii="KaiTi" w:hAnsi="KaiTi" w:eastAsia="KaiTi" w:cs="KaiTi"/>
          <w:sz w:val="21"/>
          <w:szCs w:val="21"/>
          <w:spacing w:val="-1"/>
        </w:rPr>
        <w:t>②</w:t>
      </w:r>
      <w:r>
        <w:rPr>
          <w:sz w:val="21"/>
          <w:szCs w:val="21"/>
          <w:spacing w:val="-1"/>
        </w:rPr>
        <w:t>开始他汀治疗的时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2"/>
        </w:rPr>
        <w:t>间，是否(及何时)增加过药物剂量；</w:t>
      </w:r>
      <w:r>
        <w:rPr>
          <w:rFonts w:ascii="KaiTi" w:hAnsi="KaiTi" w:eastAsia="KaiTi" w:cs="KaiTi"/>
          <w:sz w:val="21"/>
          <w:szCs w:val="21"/>
          <w:spacing w:val="-2"/>
        </w:rPr>
        <w:t>③</w:t>
      </w:r>
      <w:r>
        <w:rPr>
          <w:sz w:val="21"/>
          <w:szCs w:val="21"/>
          <w:spacing w:val="-2"/>
        </w:rPr>
        <w:t>其他致</w:t>
      </w:r>
      <w:r>
        <w:rPr>
          <w:sz w:val="21"/>
          <w:szCs w:val="21"/>
          <w:spacing w:val="-33"/>
        </w:rPr>
        <w:t xml:space="preserve"> </w:t>
      </w:r>
      <w:r>
        <w:rPr>
          <w:sz w:val="21"/>
          <w:szCs w:val="21"/>
          <w:spacing w:val="-2"/>
        </w:rPr>
        <w:t>AE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2"/>
        </w:rPr>
        <w:t>可疑因素发生的时间。应询问患者对症状的耐受程度，</w:t>
      </w:r>
    </w:p>
    <w:p>
      <w:pPr>
        <w:pStyle w:val="BodyText"/>
        <w:ind w:left="280" w:right="376" w:firstLine="7"/>
        <w:spacing w:before="11" w:line="411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医生可通过症状的严重程度初步排除罕见的严重疾病。根据病史，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  <w:spacing w:val="-4"/>
        </w:rPr>
        <w:t>医</w:t>
      </w:r>
      <w:r>
        <w:rPr>
          <w:sz w:val="21"/>
          <w:szCs w:val="21"/>
          <w:spacing w:val="-5"/>
        </w:rPr>
        <w:t>生可以了解到患者是否具有遗传易感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性以及肌肉疼痛的其他原因(如外周动脉疾病等)。</w:t>
      </w:r>
    </w:p>
    <w:p>
      <w:pPr>
        <w:pStyle w:val="BodyText"/>
        <w:ind w:left="279" w:right="376" w:hanging="3"/>
        <w:spacing w:before="1" w:line="411" w:lineRule="auto"/>
        <w:rPr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2.3</w:t>
      </w:r>
      <w:r>
        <w:rPr>
          <w:rFonts w:ascii="KaiTi" w:hAnsi="KaiTi" w:eastAsia="KaiTi" w:cs="KaiTi"/>
          <w:sz w:val="21"/>
          <w:szCs w:val="21"/>
          <w:spacing w:val="-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"/>
        </w:rPr>
        <w:t>管理他汀部分不耐受的</w:t>
      </w:r>
      <w:r>
        <w:rPr>
          <w:rFonts w:ascii="KaiTi" w:hAnsi="KaiTi" w:eastAsia="KaiTi" w:cs="KaiTi"/>
          <w:sz w:val="21"/>
          <w:szCs w:val="21"/>
          <w:spacing w:val="-4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"/>
        </w:rPr>
        <w:t>SLAP</w:t>
      </w:r>
      <w:r>
        <w:rPr>
          <w:rFonts w:ascii="KaiTi" w:hAnsi="KaiTi" w:eastAsia="KaiTi" w:cs="KaiTi"/>
          <w:sz w:val="21"/>
          <w:szCs w:val="21"/>
          <w:spacing w:val="-3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"/>
        </w:rPr>
        <w:t>方法</w:t>
      </w:r>
      <w:r>
        <w:rPr>
          <w:rFonts w:ascii="KaiTi" w:hAnsi="KaiTi" w:eastAsia="KaiTi" w:cs="KaiTi"/>
          <w:sz w:val="21"/>
          <w:szCs w:val="21"/>
          <w:spacing w:val="-2"/>
        </w:rPr>
        <w:t xml:space="preserve"> </w:t>
      </w:r>
      <w:r>
        <w:rPr>
          <w:sz w:val="21"/>
          <w:szCs w:val="21"/>
          <w:spacing w:val="-2"/>
        </w:rPr>
        <w:t>意见书建议使用</w:t>
      </w:r>
      <w:r>
        <w:rPr>
          <w:sz w:val="21"/>
          <w:szCs w:val="21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SLAP </w:t>
      </w:r>
      <w:r>
        <w:rPr>
          <w:sz w:val="21"/>
          <w:szCs w:val="21"/>
          <w:spacing w:val="-2"/>
        </w:rPr>
        <w:t>方法来进行部分他汀不耐受的管理，根据患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者症状与合并症选择最优方法。</w:t>
      </w:r>
    </w:p>
    <w:p>
      <w:pPr>
        <w:pStyle w:val="BodyText"/>
        <w:ind w:left="277" w:right="376" w:firstLine="425"/>
        <w:spacing w:before="1" w:line="409" w:lineRule="auto"/>
        <w:jc w:val="both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即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switch</w:t>
      </w:r>
      <w:r>
        <w:rPr>
          <w:sz w:val="21"/>
          <w:szCs w:val="21"/>
          <w:spacing w:val="-1"/>
        </w:rPr>
        <w:t>，指换用其他他汀类药物。不同他汀类药物通</w:t>
      </w:r>
      <w:r>
        <w:rPr>
          <w:sz w:val="21"/>
          <w:szCs w:val="21"/>
          <w:spacing w:val="-2"/>
        </w:rPr>
        <w:t>过不同途径进行代谢，理化性质各不相同，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且某些不良事件可能是某个药物而不是某类药物所特有的。更换药物可能解决因药物代谢或药物相互作用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3"/>
        </w:rPr>
        <w:t>的个体差异而导致的不耐受问题。</w:t>
      </w:r>
    </w:p>
    <w:p>
      <w:pPr>
        <w:pStyle w:val="BodyText"/>
        <w:ind w:left="277" w:right="376" w:firstLine="417"/>
        <w:spacing w:before="7" w:line="40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3"/>
        </w:rPr>
        <w:t>即</w:t>
      </w:r>
      <w:r>
        <w:rPr>
          <w:sz w:val="21"/>
          <w:szCs w:val="2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lower dose</w:t>
      </w:r>
      <w:r>
        <w:rPr>
          <w:sz w:val="21"/>
          <w:szCs w:val="21"/>
          <w:spacing w:val="-3"/>
        </w:rPr>
        <w:t>，指减少他汀药物的剂量，此方法可以判断不良症状是剂量依赖性或是</w:t>
      </w:r>
      <w:r>
        <w:rPr>
          <w:sz w:val="21"/>
          <w:szCs w:val="21"/>
          <w:spacing w:val="-4"/>
        </w:rPr>
        <w:t>药物特异性的。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在临床实践中应尽量避免停用他汀类药物，即使是最低剂量的他汀治疗也能有效预防心血管事件。确实需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要减量或停用他汀时，应考虑添加依折麦布和/或其他非他汀降</w:t>
      </w:r>
      <w:r>
        <w:rPr>
          <w:sz w:val="21"/>
          <w:szCs w:val="21"/>
          <w:spacing w:val="-2"/>
        </w:rPr>
        <w:t>脂药物。</w:t>
      </w:r>
    </w:p>
    <w:p>
      <w:pPr>
        <w:pStyle w:val="BodyText"/>
        <w:ind w:left="286" w:right="405" w:firstLine="404"/>
        <w:spacing w:before="8" w:line="40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6"/>
        </w:rPr>
        <w:t>即</w:t>
      </w:r>
      <w:r>
        <w:rPr>
          <w:sz w:val="21"/>
          <w:szCs w:val="21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Alternate-day</w:t>
      </w:r>
      <w:r>
        <w:rPr>
          <w:sz w:val="21"/>
          <w:szCs w:val="21"/>
          <w:spacing w:val="-6"/>
        </w:rPr>
        <w:t>，指隔日给药，原理与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6"/>
        </w:rPr>
        <w:t>L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6"/>
        </w:rPr>
        <w:t>类似。可使用较长半衰期的他汀药物（如瑞舒伐他汀 19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6"/>
        </w:rPr>
        <w:t>h、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阿托伐他汀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7"/>
        </w:rPr>
        <w:t>14 h、匹伐他汀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7"/>
        </w:rPr>
        <w:t>12 h）。</w:t>
      </w:r>
    </w:p>
    <w:p>
      <w:pPr>
        <w:pStyle w:val="BodyText"/>
        <w:ind w:left="277" w:right="386" w:firstLine="415"/>
        <w:spacing w:before="23" w:line="40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即</w:t>
      </w:r>
      <w:r>
        <w:rPr>
          <w:sz w:val="21"/>
          <w:szCs w:val="2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Polypharmacy</w:t>
      </w:r>
      <w:r>
        <w:rPr>
          <w:sz w:val="21"/>
          <w:szCs w:val="21"/>
          <w:spacing w:val="-1"/>
        </w:rPr>
        <w:t>，指多药联用。若他汀单药治疗</w:t>
      </w:r>
      <w:r>
        <w:rPr>
          <w:sz w:val="21"/>
          <w:szCs w:val="21"/>
          <w:spacing w:val="-2"/>
        </w:rPr>
        <w:t>不能有效降低</w:t>
      </w:r>
      <w:r>
        <w:rPr>
          <w:sz w:val="21"/>
          <w:szCs w:val="21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LDL-C</w:t>
      </w:r>
      <w:r>
        <w:rPr>
          <w:sz w:val="21"/>
          <w:szCs w:val="21"/>
          <w:spacing w:val="-2"/>
        </w:rPr>
        <w:t>，则可考虑多药联合方案。有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证据表明，额外的降脂靶点可能更易达到降脂目标。</w:t>
      </w:r>
    </w:p>
    <w:p>
      <w:pPr>
        <w:pStyle w:val="BodyText"/>
        <w:ind w:left="276"/>
        <w:spacing w:before="24" w:line="215" w:lineRule="auto"/>
        <w:rPr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2"/>
        </w:rPr>
        <w:t>2.4</w:t>
      </w:r>
      <w:r>
        <w:rPr>
          <w:rFonts w:ascii="KaiTi" w:hAnsi="KaiTi" w:eastAsia="KaiTi" w:cs="KaiTi"/>
          <w:sz w:val="21"/>
          <w:szCs w:val="21"/>
          <w:spacing w:val="-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2"/>
        </w:rPr>
        <w:t>对不同人群的管理建议</w:t>
      </w:r>
      <w:r>
        <w:rPr>
          <w:rFonts w:ascii="KaiTi" w:hAnsi="KaiTi" w:eastAsia="KaiTi" w:cs="KaiTi"/>
          <w:sz w:val="21"/>
          <w:szCs w:val="21"/>
          <w:spacing w:val="-2"/>
        </w:rPr>
        <w:t xml:space="preserve">  </w:t>
      </w:r>
      <w:r>
        <w:rPr>
          <w:sz w:val="21"/>
          <w:szCs w:val="21"/>
          <w:spacing w:val="-2"/>
        </w:rPr>
        <w:t>基于生物标</w:t>
      </w:r>
      <w:r>
        <w:rPr>
          <w:sz w:val="21"/>
          <w:szCs w:val="21"/>
          <w:spacing w:val="-3"/>
        </w:rPr>
        <w:t>志物</w:t>
      </w:r>
      <w:r>
        <w:rPr>
          <w:sz w:val="21"/>
          <w:szCs w:val="21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ALT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sz w:val="21"/>
          <w:szCs w:val="21"/>
          <w:spacing w:val="-3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CK </w:t>
      </w:r>
      <w:r>
        <w:rPr>
          <w:sz w:val="21"/>
          <w:szCs w:val="21"/>
          <w:spacing w:val="-3"/>
        </w:rPr>
        <w:t>指标与</w:t>
      </w:r>
      <w:r>
        <w:rPr>
          <w:sz w:val="21"/>
          <w:szCs w:val="21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SAMS </w:t>
      </w:r>
      <w:r>
        <w:rPr>
          <w:sz w:val="21"/>
          <w:szCs w:val="21"/>
          <w:spacing w:val="-3"/>
        </w:rPr>
        <w:t>症状。</w:t>
      </w:r>
    </w:p>
    <w:p>
      <w:pPr>
        <w:spacing w:line="215" w:lineRule="auto"/>
        <w:sectPr>
          <w:pgSz w:w="11907" w:h="16839"/>
          <w:pgMar w:top="400" w:right="757" w:bottom="0" w:left="864" w:header="0" w:footer="0" w:gutter="0"/>
        </w:sectPr>
        <w:rPr>
          <w:sz w:val="21"/>
          <w:szCs w:val="21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77" w:right="375" w:firstLine="3"/>
        <w:spacing w:before="72" w:line="343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2.4.1</w:t>
      </w:r>
      <w:r>
        <w:rPr>
          <w:rFonts w:ascii="DengXian" w:hAnsi="DengXian" w:eastAsia="DengXian" w:cs="DengXian"/>
          <w:sz w:val="21"/>
          <w:szCs w:val="21"/>
          <w:spacing w:val="55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标志物指标正常且</w:t>
      </w:r>
      <w:r>
        <w:rPr>
          <w:rFonts w:ascii="DengXian" w:hAnsi="DengXian" w:eastAsia="DengXian" w:cs="DengXian"/>
          <w:sz w:val="21"/>
          <w:szCs w:val="21"/>
          <w:spacing w:val="24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SAMS</w:t>
      </w:r>
      <w:r>
        <w:rPr>
          <w:rFonts w:ascii="DengXian" w:hAnsi="DengXian" w:eastAsia="DengXian" w:cs="DengXian"/>
          <w:sz w:val="21"/>
          <w:szCs w:val="21"/>
          <w:spacing w:val="24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症状可耐受者</w:t>
      </w:r>
      <w:r>
        <w:rPr>
          <w:rFonts w:ascii="DengXian" w:hAnsi="DengXian" w:eastAsia="DengXian" w:cs="DengXian"/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  <w:spacing w:val="-1"/>
        </w:rPr>
        <w:t>经</w:t>
      </w:r>
      <w:r>
        <w:rPr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SLAP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方</w:t>
      </w:r>
      <w:r>
        <w:rPr>
          <w:sz w:val="21"/>
          <w:szCs w:val="21"/>
          <w:spacing w:val="-2"/>
        </w:rPr>
        <w:t>法后，大多数患者能够继续安全进行他汀类药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物治疗。但仍需进一步收集诊断信息，用以协助未来</w:t>
      </w:r>
      <w:r>
        <w:rPr>
          <w:sz w:val="21"/>
          <w:szCs w:val="21"/>
          <w:spacing w:val="-2"/>
        </w:rPr>
        <w:t>的管理。当</w:t>
      </w:r>
      <w:r>
        <w:rPr>
          <w:sz w:val="21"/>
          <w:szCs w:val="2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SAMS-CI</w:t>
      </w:r>
      <w:r>
        <w:rPr>
          <w:sz w:val="21"/>
          <w:szCs w:val="21"/>
          <w:spacing w:val="-2"/>
        </w:rPr>
        <w:t>＜6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-2"/>
        </w:rPr>
        <w:t>时，不良症状不大可能是由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他汀类药物所引起，应在排除其他原因后，使用</w:t>
      </w:r>
      <w:r>
        <w:rPr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1"/>
        </w:rPr>
        <w:t>PLIP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1"/>
        </w:rPr>
        <w:t>重新进行</w:t>
      </w:r>
      <w:r>
        <w:rPr>
          <w:sz w:val="21"/>
          <w:szCs w:val="21"/>
          <w:spacing w:val="-2"/>
        </w:rPr>
        <w:t>患者教育，继续他汀治疗。</w:t>
      </w:r>
    </w:p>
    <w:p>
      <w:pPr>
        <w:pStyle w:val="BodyText"/>
        <w:ind w:left="277" w:right="374" w:firstLine="3"/>
        <w:spacing w:before="210" w:line="342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2.4.2  新发糖尿病（</w:t>
      </w:r>
      <w:r>
        <w:rPr>
          <w:rFonts w:ascii="DengXian" w:hAnsi="DengXian" w:eastAsia="DengXian" w:cs="DengXian"/>
          <w:sz w:val="21"/>
          <w:szCs w:val="21"/>
          <w:spacing w:val="-23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new-onset  diabetes  mellitus,NOD）患</w:t>
      </w:r>
      <w:r>
        <w:rPr>
          <w:rFonts w:ascii="DengXian" w:hAnsi="DengXian" w:eastAsia="DengXian" w:cs="DengXian"/>
          <w:sz w:val="21"/>
          <w:szCs w:val="21"/>
          <w:spacing w:val="-2"/>
        </w:rPr>
        <w:t>者    </w:t>
      </w:r>
      <w:r>
        <w:rPr>
          <w:sz w:val="21"/>
          <w:szCs w:val="21"/>
          <w:spacing w:val="-2"/>
        </w:rPr>
        <w:t>若无</w:t>
      </w:r>
      <w:r>
        <w:rPr>
          <w:sz w:val="21"/>
          <w:szCs w:val="21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NOD</w:t>
      </w:r>
      <w:r>
        <w:rPr>
          <w:sz w:val="21"/>
          <w:szCs w:val="21"/>
          <w:spacing w:val="-2"/>
        </w:rPr>
        <w:t>，则建议以规定剂量继续他汀治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疗；在有高</w:t>
      </w:r>
      <w:r>
        <w:rPr>
          <w:sz w:val="21"/>
          <w:szCs w:val="21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NOD </w:t>
      </w:r>
      <w:r>
        <w:rPr>
          <w:sz w:val="21"/>
          <w:szCs w:val="21"/>
        </w:rPr>
        <w:t>风险的患者中，根据风险程度，可以考虑中强度他汀和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/</w:t>
      </w:r>
      <w:r>
        <w:rPr>
          <w:sz w:val="21"/>
          <w:szCs w:val="21"/>
          <w:spacing w:val="-1"/>
        </w:rPr>
        <w:t>或联合治疗；对所有接受他汀治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疗的高</w:t>
      </w:r>
      <w:r>
        <w:rPr>
          <w:sz w:val="21"/>
          <w:szCs w:val="21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NOD </w:t>
      </w:r>
      <w:r>
        <w:rPr>
          <w:sz w:val="21"/>
          <w:szCs w:val="21"/>
          <w:spacing w:val="-1"/>
        </w:rPr>
        <w:t>风险患者，尤其是空腹血糖受损者，应告知其风险并监测其血糖。</w:t>
      </w:r>
    </w:p>
    <w:p>
      <w:pPr>
        <w:pStyle w:val="BodyText"/>
        <w:ind w:left="278" w:right="319" w:firstLine="2"/>
        <w:spacing w:before="208" w:line="343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2.4.3 ALT 升高患者    </w:t>
      </w:r>
      <w:r>
        <w:rPr>
          <w:sz w:val="21"/>
          <w:szCs w:val="21"/>
          <w:spacing w:val="-1"/>
        </w:rPr>
        <w:t>若</w:t>
      </w:r>
      <w:r>
        <w:rPr>
          <w:sz w:val="21"/>
          <w:szCs w:val="2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ALT </w:t>
      </w:r>
      <w:r>
        <w:rPr>
          <w:sz w:val="21"/>
          <w:szCs w:val="21"/>
          <w:spacing w:val="-1"/>
        </w:rPr>
        <w:t>升高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&lt;3</w:t>
      </w:r>
      <w:r>
        <w:rPr>
          <w:sz w:val="21"/>
          <w:szCs w:val="21"/>
          <w:spacing w:val="-1"/>
        </w:rPr>
        <w:t>倍正常值上限（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ULN</w:t>
      </w:r>
      <w:r>
        <w:rPr>
          <w:sz w:val="21"/>
          <w:szCs w:val="21"/>
          <w:spacing w:val="-54"/>
          <w:w w:val="98"/>
        </w:rPr>
        <w:t>），</w:t>
      </w:r>
      <w:r>
        <w:rPr>
          <w:sz w:val="21"/>
          <w:szCs w:val="21"/>
          <w:spacing w:val="-1"/>
        </w:rPr>
        <w:t>应继续他汀治疗，并在</w:t>
      </w:r>
      <w:r>
        <w:rPr>
          <w:sz w:val="21"/>
          <w:szCs w:val="21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 </w:t>
      </w:r>
      <w:r>
        <w:rPr>
          <w:sz w:val="21"/>
          <w:szCs w:val="21"/>
          <w:spacing w:val="-1"/>
        </w:rPr>
        <w:t>周后再次检测肝酶；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若</w:t>
      </w:r>
      <w:r>
        <w:rPr>
          <w:sz w:val="21"/>
          <w:szCs w:val="21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3"/>
        </w:rPr>
        <w:t>升高≥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  ULN</w:t>
      </w:r>
      <w:r>
        <w:rPr>
          <w:sz w:val="21"/>
          <w:szCs w:val="21"/>
          <w:spacing w:val="-3"/>
        </w:rPr>
        <w:t>，则应考虑减量（逐步去激发</w:t>
      </w:r>
      <w:r>
        <w:rPr>
          <w:sz w:val="21"/>
          <w:szCs w:val="21"/>
          <w:spacing w:val="5"/>
        </w:rPr>
        <w:t>），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2~4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3"/>
        </w:rPr>
        <w:t>周后可</w:t>
      </w:r>
      <w:r>
        <w:rPr>
          <w:sz w:val="21"/>
          <w:szCs w:val="21"/>
          <w:spacing w:val="-4"/>
        </w:rPr>
        <w:t>考虑以初始剂量进行他汀再激发；考虑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到患者的基线风险与血脂状况，应立刻启用依折麦布。</w:t>
      </w:r>
    </w:p>
    <w:p>
      <w:pPr>
        <w:pStyle w:val="BodyText"/>
        <w:ind w:left="279" w:right="375" w:firstLine="1"/>
        <w:spacing w:before="209" w:line="309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2"/>
        </w:rPr>
        <w:t>2.4.4 CK&lt;4ULN 且有 SAMS 者    </w:t>
      </w:r>
      <w:r>
        <w:rPr>
          <w:sz w:val="21"/>
          <w:szCs w:val="21"/>
          <w:spacing w:val="-2"/>
        </w:rPr>
        <w:t>若有不可耐受的肌痛，应停药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24 </w:t>
      </w:r>
      <w:r>
        <w:rPr>
          <w:sz w:val="21"/>
          <w:szCs w:val="21"/>
          <w:spacing w:val="-2"/>
        </w:rPr>
        <w:t>周直至</w:t>
      </w:r>
      <w:r>
        <w:rPr>
          <w:sz w:val="21"/>
          <w:szCs w:val="21"/>
          <w:spacing w:val="-3"/>
        </w:rPr>
        <w:t>症状消失；在高风险与极高风险患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者中应立即启用依折麦布治疗。</w:t>
      </w:r>
    </w:p>
    <w:p>
      <w:pPr>
        <w:pStyle w:val="BodyText"/>
        <w:ind w:left="278" w:right="376" w:firstLine="2"/>
        <w:spacing w:before="209" w:line="309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2.4.5</w:t>
      </w:r>
      <w:r>
        <w:rPr>
          <w:rFonts w:ascii="DengXian" w:hAnsi="DengXian" w:eastAsia="DengXian" w:cs="DengXian"/>
          <w:sz w:val="21"/>
          <w:szCs w:val="21"/>
          <w:spacing w:val="55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CK&gt;4ULN 且无 SAMS 者    </w:t>
      </w:r>
      <w:r>
        <w:rPr>
          <w:sz w:val="21"/>
          <w:szCs w:val="21"/>
          <w:spacing w:val="-1"/>
        </w:rPr>
        <w:t>应停用他汀至少</w:t>
      </w:r>
      <w:r>
        <w:rPr>
          <w:sz w:val="21"/>
          <w:szCs w:val="2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 </w:t>
      </w:r>
      <w:r>
        <w:rPr>
          <w:sz w:val="21"/>
          <w:szCs w:val="21"/>
          <w:spacing w:val="-1"/>
        </w:rPr>
        <w:t>周，之后再次检测生物标志物</w:t>
      </w:r>
      <w:r>
        <w:rPr>
          <w:sz w:val="21"/>
          <w:szCs w:val="21"/>
          <w:spacing w:val="-2"/>
        </w:rPr>
        <w:t>，并寻找导致</w:t>
      </w:r>
      <w:r>
        <w:rPr>
          <w:sz w:val="21"/>
          <w:szCs w:val="2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CK </w:t>
      </w:r>
      <w:r>
        <w:rPr>
          <w:sz w:val="21"/>
          <w:szCs w:val="21"/>
          <w:spacing w:val="-2"/>
        </w:rPr>
        <w:t>异常的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其他因素；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CK </w:t>
      </w:r>
      <w:r>
        <w:rPr>
          <w:sz w:val="21"/>
          <w:szCs w:val="21"/>
          <w:spacing w:val="-1"/>
        </w:rPr>
        <w:t>正常后可以考虑他汀低剂量再激发或与依折麦布</w:t>
      </w:r>
      <w:r>
        <w:rPr>
          <w:sz w:val="21"/>
          <w:szCs w:val="21"/>
          <w:spacing w:val="-2"/>
        </w:rPr>
        <w:t>联合应用。</w:t>
      </w:r>
    </w:p>
    <w:p>
      <w:pPr>
        <w:pStyle w:val="BodyText"/>
        <w:ind w:left="277" w:right="374" w:firstLine="3"/>
        <w:spacing w:before="208" w:line="360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10"/>
        </w:rPr>
        <w:t>2.4.6  完全他汀不耐受    </w:t>
      </w:r>
      <w:r>
        <w:rPr>
          <w:sz w:val="21"/>
          <w:szCs w:val="21"/>
          <w:spacing w:val="10"/>
        </w:rPr>
        <w:t>意见书将以下两种情况</w:t>
      </w:r>
      <w:r>
        <w:rPr>
          <w:sz w:val="21"/>
          <w:szCs w:val="21"/>
          <w:spacing w:val="9"/>
        </w:rPr>
        <w:t>归为完全他汀不耐受——</w:t>
      </w:r>
      <w:r>
        <w:rPr>
          <w:rFonts w:ascii="Times New Roman" w:hAnsi="Times New Roman" w:eastAsia="Times New Roman" w:cs="Times New Roman"/>
          <w:sz w:val="21"/>
          <w:szCs w:val="21"/>
        </w:rPr>
        <w:t>CK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&gt;4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ULN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9"/>
        </w:rPr>
        <w:t>且有 </w:t>
      </w:r>
      <w:r>
        <w:rPr>
          <w:rFonts w:ascii="Times New Roman" w:hAnsi="Times New Roman" w:eastAsia="Times New Roman" w:cs="Times New Roman"/>
          <w:sz w:val="21"/>
          <w:szCs w:val="21"/>
        </w:rPr>
        <w:t>SAMS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sz w:val="21"/>
          <w:szCs w:val="21"/>
          <w:spacing w:val="9"/>
        </w:rPr>
        <w:t>；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CK&gt;10ULN</w:t>
      </w:r>
      <w:r>
        <w:rPr>
          <w:sz w:val="21"/>
          <w:szCs w:val="21"/>
          <w:spacing w:val="-1"/>
        </w:rPr>
        <w:t>。此时应考虑使用循证降脂方案中的非他汀类药物。依折麦布应被视作初始治疗的基石。药物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4"/>
        </w:rPr>
        <w:t>的具体选择应取决于患者特征、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CVD </w:t>
      </w:r>
      <w:r>
        <w:rPr>
          <w:sz w:val="21"/>
          <w:szCs w:val="21"/>
          <w:spacing w:val="-4"/>
        </w:rPr>
        <w:t>风险、合并症和伴随用药， 此外还需</w:t>
      </w:r>
      <w:r>
        <w:rPr>
          <w:sz w:val="21"/>
          <w:szCs w:val="21"/>
          <w:spacing w:val="-5"/>
        </w:rPr>
        <w:t>考虑药物的可用性、医疗保险报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销和成本问题。</w:t>
      </w:r>
    </w:p>
    <w:p>
      <w:pPr>
        <w:pStyle w:val="BodyText"/>
        <w:ind w:left="276" w:right="384"/>
        <w:spacing w:before="219" w:line="407" w:lineRule="auto"/>
        <w:rPr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"/>
        </w:rPr>
        <w:t>2.5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"/>
        </w:rPr>
        <w:t>非他汀类降脂药物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1"/>
        </w:rPr>
        <w:t>可在部分他汀不耐受时与小剂量他汀药物联合使用，或是在完全他汀</w:t>
      </w:r>
      <w:r>
        <w:rPr>
          <w:sz w:val="21"/>
          <w:szCs w:val="21"/>
        </w:rPr>
        <w:t>不耐受时替 </w:t>
      </w:r>
      <w:r>
        <w:rPr>
          <w:sz w:val="21"/>
          <w:szCs w:val="21"/>
          <w:spacing w:val="-3"/>
        </w:rPr>
        <w:t>代他汀药物进行</w:t>
      </w:r>
      <w:r>
        <w:rPr>
          <w:sz w:val="21"/>
          <w:szCs w:val="21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LLT</w:t>
      </w:r>
      <w:r>
        <w:rPr>
          <w:sz w:val="21"/>
          <w:szCs w:val="21"/>
          <w:spacing w:val="-3"/>
        </w:rPr>
        <w:t>。</w:t>
      </w:r>
    </w:p>
    <w:p>
      <w:pPr>
        <w:pStyle w:val="BodyText"/>
        <w:ind w:left="279" w:right="423" w:firstLine="1"/>
        <w:spacing w:before="2" w:line="315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4"/>
        </w:rPr>
        <w:t>2.5.1</w:t>
      </w:r>
      <w:r>
        <w:rPr>
          <w:rFonts w:ascii="DengXian" w:hAnsi="DengXian" w:eastAsia="DengXian" w:cs="DengXian"/>
          <w:sz w:val="21"/>
          <w:szCs w:val="21"/>
          <w:spacing w:val="52"/>
          <w:w w:val="10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依折麦布</w:t>
      </w:r>
      <w:r>
        <w:rPr>
          <w:rFonts w:ascii="DengXian" w:hAnsi="DengXian" w:eastAsia="DengXian" w:cs="DengXian"/>
          <w:sz w:val="21"/>
          <w:szCs w:val="21"/>
          <w:spacing w:val="16"/>
        </w:rPr>
        <w:t xml:space="preserve">   </w:t>
      </w:r>
      <w:r>
        <w:rPr>
          <w:sz w:val="21"/>
          <w:szCs w:val="21"/>
          <w:spacing w:val="-4"/>
        </w:rPr>
        <w:t>依折麦布联合他汀类药物可进一步减少心血管事件，患</w:t>
      </w:r>
      <w:r>
        <w:rPr>
          <w:sz w:val="21"/>
          <w:szCs w:val="21"/>
          <w:spacing w:val="-5"/>
        </w:rPr>
        <w:t>者基线风险越高，治疗获益越大，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尤其适用于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&gt;75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岁的患者。若发生他汀完全不耐受，在停用他</w:t>
      </w:r>
      <w:r>
        <w:rPr>
          <w:sz w:val="21"/>
          <w:szCs w:val="21"/>
          <w:spacing w:val="-2"/>
        </w:rPr>
        <w:t>汀后应立即考虑使用依折麦布。</w:t>
      </w:r>
    </w:p>
    <w:p>
      <w:pPr>
        <w:pStyle w:val="BodyText"/>
        <w:ind w:left="279" w:right="376" w:firstLine="1"/>
        <w:spacing w:before="193" w:line="343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2.5.2</w:t>
      </w:r>
      <w:r>
        <w:rPr>
          <w:rFonts w:ascii="DengXian" w:hAnsi="DengXian" w:eastAsia="DengXian" w:cs="DengXian"/>
          <w:sz w:val="21"/>
          <w:szCs w:val="21"/>
          <w:spacing w:val="5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PCSK9 单抗抑制剂</w:t>
      </w:r>
      <w:r>
        <w:rPr>
          <w:rFonts w:ascii="DengXian" w:hAnsi="DengXian" w:eastAsia="DengXian" w:cs="DengXian"/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  <w:spacing w:val="-1"/>
        </w:rPr>
        <w:t>此类药物降低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LDL-C </w:t>
      </w:r>
      <w:r>
        <w:rPr>
          <w:sz w:val="21"/>
          <w:szCs w:val="21"/>
          <w:spacing w:val="-1"/>
        </w:rPr>
        <w:t>疗效显著，安全性好，但成本高，难以获取。其中阿利西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尤单抗和依洛尤单抗已获得许可。基于“越低越好、越早越好”的</w:t>
      </w:r>
      <w:r>
        <w:rPr>
          <w:sz w:val="21"/>
          <w:szCs w:val="21"/>
          <w:spacing w:val="-1"/>
        </w:rPr>
        <w:t>降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LDL-C  </w:t>
      </w:r>
      <w:r>
        <w:rPr>
          <w:sz w:val="21"/>
          <w:szCs w:val="21"/>
          <w:spacing w:val="-1"/>
        </w:rPr>
        <w:t>原则，意见书建议在他汀类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药物停药后立即开始联合治疗，尤其是对于急性冠脉综合征后他汀不耐</w:t>
      </w:r>
      <w:r>
        <w:rPr>
          <w:sz w:val="21"/>
          <w:szCs w:val="21"/>
          <w:spacing w:val="-2"/>
        </w:rPr>
        <w:t>受的患者。</w:t>
      </w:r>
    </w:p>
    <w:p>
      <w:pPr>
        <w:pStyle w:val="BodyText"/>
        <w:ind w:left="273" w:right="376" w:firstLine="7"/>
        <w:spacing w:before="209" w:line="343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4"/>
        </w:rPr>
        <w:t>2.5.3  因利司然    </w:t>
      </w:r>
      <w:r>
        <w:rPr>
          <w:sz w:val="21"/>
          <w:szCs w:val="21"/>
          <w:spacing w:val="-4"/>
        </w:rPr>
        <w:t>因利司然是一种合成的小干扰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RN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</w:t>
      </w:r>
      <w:r>
        <w:rPr>
          <w:sz w:val="21"/>
          <w:szCs w:val="21"/>
          <w:spacing w:val="-5"/>
        </w:rPr>
        <w:t>，可与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PCSK9 </w:t>
      </w:r>
      <w:r>
        <w:rPr>
          <w:sz w:val="21"/>
          <w:szCs w:val="21"/>
          <w:spacing w:val="-5"/>
        </w:rPr>
        <w:t>的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mRNA </w:t>
      </w:r>
      <w:r>
        <w:rPr>
          <w:sz w:val="21"/>
          <w:szCs w:val="21"/>
          <w:spacing w:val="-5"/>
        </w:rPr>
        <w:t>结合，抑制其翻译，减少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PCSK9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的合成。一年给药两次，有利于提高患者依从性。因利司然于</w:t>
      </w:r>
      <w:r>
        <w:rPr>
          <w:sz w:val="21"/>
          <w:szCs w:val="2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2020 </w:t>
      </w:r>
      <w:r>
        <w:rPr>
          <w:sz w:val="21"/>
          <w:szCs w:val="21"/>
          <w:spacing w:val="-2"/>
        </w:rPr>
        <w:t>年</w:t>
      </w:r>
      <w:r>
        <w:rPr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月获准在欧盟使用，但尚未获得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FDA </w:t>
      </w:r>
      <w:r>
        <w:rPr>
          <w:sz w:val="21"/>
          <w:szCs w:val="21"/>
          <w:spacing w:val="-4"/>
        </w:rPr>
        <w:t>批准。</w:t>
      </w:r>
    </w:p>
    <w:p>
      <w:pPr>
        <w:pStyle w:val="BodyText"/>
        <w:ind w:left="277" w:right="375" w:firstLine="3"/>
        <w:spacing w:before="209" w:line="360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1"/>
        </w:rPr>
        <w:t>2.5.4  贝派地酸</w:t>
      </w:r>
      <w:r>
        <w:rPr>
          <w:rFonts w:ascii="DengXian" w:hAnsi="DengXian" w:eastAsia="DengXian" w:cs="DengXian"/>
          <w:sz w:val="21"/>
          <w:szCs w:val="21"/>
          <w:spacing w:val="16"/>
          <w:w w:val="101"/>
        </w:rPr>
        <w:t xml:space="preserve">   </w:t>
      </w:r>
      <w:r>
        <w:rPr>
          <w:sz w:val="21"/>
          <w:szCs w:val="21"/>
          <w:spacing w:val="1"/>
        </w:rPr>
        <w:t>对于无法耐受大剂量他汀类药物治疗的患者，贝派地</w:t>
      </w:r>
      <w:r>
        <w:rPr>
          <w:sz w:val="21"/>
          <w:szCs w:val="21"/>
        </w:rPr>
        <w:t>酸能够在各种临床环境中进一步降 </w:t>
      </w:r>
      <w:r>
        <w:rPr>
          <w:sz w:val="21"/>
          <w:szCs w:val="21"/>
          <w:spacing w:val="-4"/>
        </w:rPr>
        <w:t>低血脂，包括作为极低剂量、低剂量和中等剂量他汀类药物治疗的补充治疗，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4"/>
        </w:rPr>
        <w:t>可单用或与依折麦布联合使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用。贝派地酸以及其与依折麦布的联合疗法已分别于</w:t>
      </w:r>
      <w:r>
        <w:rPr>
          <w:sz w:val="21"/>
          <w:szCs w:val="21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2020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</w:t>
      </w:r>
      <w:r>
        <w:rPr>
          <w:sz w:val="21"/>
          <w:szCs w:val="21"/>
          <w:spacing w:val="-2"/>
        </w:rPr>
        <w:t>年</w:t>
      </w:r>
      <w:r>
        <w:rPr>
          <w:sz w:val="21"/>
          <w:szCs w:val="2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2"/>
        </w:rPr>
        <w:t>月和</w:t>
      </w:r>
      <w:r>
        <w:rPr>
          <w:sz w:val="21"/>
          <w:szCs w:val="21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月获得</w:t>
      </w:r>
      <w:r>
        <w:rPr>
          <w:sz w:val="21"/>
          <w:szCs w:val="2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FDA </w:t>
      </w:r>
      <w:r>
        <w:rPr>
          <w:sz w:val="21"/>
          <w:szCs w:val="21"/>
          <w:spacing w:val="-2"/>
        </w:rPr>
        <w:t>和欧洲药品管理局的批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0"/>
        </w:rPr>
        <w:t>准。</w:t>
      </w:r>
    </w:p>
    <w:p>
      <w:pPr>
        <w:spacing w:line="360" w:lineRule="auto"/>
        <w:sectPr>
          <w:pgSz w:w="11907" w:h="16839"/>
          <w:pgMar w:top="400" w:right="757" w:bottom="0" w:left="864" w:header="0" w:footer="0" w:gutter="0"/>
        </w:sectPr>
        <w:rPr>
          <w:sz w:val="21"/>
          <w:szCs w:val="21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73"/>
        <w:spacing w:before="68" w:line="233" w:lineRule="auto"/>
        <w:outlineLvl w:val="1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5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8"/>
        </w:rPr>
        <w:t xml:space="preserve">  </w:t>
      </w:r>
      <w:r>
        <w:rPr>
          <w:sz w:val="21"/>
          <w:szCs w:val="21"/>
          <w:b/>
          <w:bCs/>
          <w:spacing w:val="-5"/>
        </w:rPr>
        <w:t>结束语</w:t>
      </w:r>
    </w:p>
    <w:p>
      <w:pPr>
        <w:pStyle w:val="BodyText"/>
        <w:ind w:left="277" w:right="375" w:firstLine="5"/>
        <w:spacing w:before="203" w:line="411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意见书指出，通常情况下，他汀类药物耐受性良好，但仍可能会导致部分患者的</w:t>
      </w:r>
      <w:r>
        <w:rPr>
          <w:sz w:val="21"/>
          <w:szCs w:val="21"/>
          <w:spacing w:val="-48"/>
        </w:rPr>
        <w:t xml:space="preserve"> </w:t>
      </w:r>
      <w:r>
        <w:rPr>
          <w:sz w:val="21"/>
          <w:szCs w:val="21"/>
          <w:spacing w:val="-2"/>
        </w:rPr>
        <w:t>AE，可能导致他汀治疗中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断或疗效不理想，从而增加心血管事件的风险</w:t>
      </w:r>
      <w:r>
        <w:rPr>
          <w:sz w:val="21"/>
          <w:szCs w:val="21"/>
          <w:spacing w:val="-1"/>
        </w:rPr>
        <w:t>。其中很多</w:t>
      </w:r>
      <w:r>
        <w:rPr>
          <w:sz w:val="21"/>
          <w:szCs w:val="21"/>
          <w:spacing w:val="-50"/>
        </w:rPr>
        <w:t xml:space="preserve"> </w:t>
      </w:r>
      <w:r>
        <w:rPr>
          <w:sz w:val="21"/>
          <w:szCs w:val="21"/>
          <w:spacing w:val="-1"/>
        </w:rPr>
        <w:t>AE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-1"/>
        </w:rPr>
        <w:t>并非由他汀药物的药理作用而导致，而是因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为患者对药物的不良预期而有的心理暗示，即</w:t>
      </w:r>
      <w:r>
        <w:rPr>
          <w:sz w:val="21"/>
          <w:szCs w:val="21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drucebo/nocebo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效应。意见书根据</w:t>
      </w:r>
      <w:r>
        <w:rPr>
          <w:sz w:val="21"/>
          <w:szCs w:val="21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SAMS-CI </w:t>
      </w:r>
      <w:r>
        <w:rPr>
          <w:sz w:val="21"/>
          <w:szCs w:val="21"/>
          <w:spacing w:val="-1"/>
        </w:rPr>
        <w:t>对他汀治疗与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4"/>
        </w:rPr>
        <w:t>不良症状间的因果关系进行评估，并提出一种以患者为中心的策略，对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4"/>
        </w:rPr>
        <w:t>SAMS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4"/>
        </w:rPr>
        <w:t>进行预防、分</w:t>
      </w:r>
      <w:r>
        <w:rPr>
          <w:sz w:val="21"/>
          <w:szCs w:val="21"/>
          <w:spacing w:val="-5"/>
        </w:rPr>
        <w:t>步诊断和管理，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针对不同患者采取不同策略，尽可能保证他汀治疗，或启用循证降脂</w:t>
      </w:r>
      <w:r>
        <w:rPr>
          <w:sz w:val="21"/>
          <w:szCs w:val="21"/>
          <w:spacing w:val="-2"/>
        </w:rPr>
        <w:t>方案中的其他药物，保证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-2"/>
        </w:rPr>
        <w:t>LLT</w:t>
      </w:r>
      <w:r>
        <w:rPr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2"/>
        </w:rPr>
        <w:t>的长期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依从性，改善心血管结局。</w:t>
      </w:r>
    </w:p>
    <w:p>
      <w:pPr>
        <w:ind w:left="4677"/>
        <w:spacing w:before="2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参考文献</w:t>
      </w:r>
    </w:p>
    <w:p>
      <w:pPr>
        <w:pStyle w:val="BodyText"/>
        <w:ind w:left="310"/>
        <w:spacing w:before="218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[1]BERTHOLD I G, BERTHOLD H K. The role of n</w:t>
      </w:r>
      <w:r>
        <w:rPr>
          <w:sz w:val="21"/>
          <w:szCs w:val="21"/>
          <w:spacing w:val="-2"/>
        </w:rPr>
        <w:t>iacin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lipid-lowering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2"/>
        </w:rPr>
        <w:t>treatment: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are we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2"/>
        </w:rPr>
        <w:t>aiming</w:t>
      </w:r>
    </w:p>
    <w:p>
      <w:pPr>
        <w:pStyle w:val="BodyText"/>
        <w:ind w:left="282"/>
        <w:spacing w:before="224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too high?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[J].Curr Pharm Des,2013,19(17):309</w:t>
      </w:r>
      <w:r>
        <w:rPr>
          <w:sz w:val="21"/>
          <w:szCs w:val="21"/>
          <w:spacing w:val="-2"/>
        </w:rPr>
        <w:t>4-3106.</w:t>
      </w:r>
    </w:p>
    <w:p>
      <w:pPr>
        <w:pStyle w:val="BodyText"/>
        <w:ind w:left="310"/>
        <w:spacing w:before="225" w:line="214" w:lineRule="auto"/>
        <w:rPr>
          <w:sz w:val="21"/>
          <w:szCs w:val="21"/>
        </w:rPr>
      </w:pPr>
      <w:r>
        <w:rPr>
          <w:sz w:val="21"/>
          <w:szCs w:val="21"/>
        </w:rPr>
        <w:t>[2]FLUECKIGER P, QURESHI W,MICHOS</w:t>
      </w:r>
      <w:r>
        <w:rPr>
          <w:sz w:val="21"/>
          <w:szCs w:val="21"/>
          <w:spacing w:val="-1"/>
        </w:rPr>
        <w:t xml:space="preserve"> E D, et al. Guideline-based statin/lipid-lowering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therapy</w:t>
      </w:r>
    </w:p>
    <w:p>
      <w:pPr>
        <w:pStyle w:val="BodyText"/>
        <w:ind w:left="282"/>
        <w:spacing w:before="224" w:line="214" w:lineRule="auto"/>
        <w:rPr>
          <w:sz w:val="21"/>
          <w:szCs w:val="21"/>
        </w:rPr>
      </w:pPr>
      <w:r>
        <w:rPr>
          <w:sz w:val="21"/>
          <w:szCs w:val="21"/>
        </w:rPr>
        <w:t>eligibility for primary</w:t>
      </w:r>
      <w:r>
        <w:rPr>
          <w:sz w:val="21"/>
          <w:szCs w:val="21"/>
          <w:spacing w:val="-1"/>
        </w:rPr>
        <w:t xml:space="preserve"> prevention and accuracy of coronary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artery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calcium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clinical</w:t>
      </w:r>
    </w:p>
    <w:p>
      <w:pPr>
        <w:pStyle w:val="BodyText"/>
        <w:ind w:left="282"/>
        <w:spacing w:before="225" w:line="215" w:lineRule="auto"/>
        <w:rPr>
          <w:sz w:val="21"/>
          <w:szCs w:val="21"/>
        </w:rPr>
      </w:pPr>
      <w:r>
        <w:rPr>
          <w:sz w:val="21"/>
          <w:szCs w:val="21"/>
        </w:rPr>
        <w:t>cardiovascular even</w:t>
      </w:r>
      <w:r>
        <w:rPr>
          <w:sz w:val="21"/>
          <w:szCs w:val="21"/>
          <w:spacing w:val="-1"/>
        </w:rPr>
        <w:t>ts: the multi-ethnic study of atherosclerosis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(MESA).[J]. Clin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Cardiol,</w:t>
      </w:r>
    </w:p>
    <w:p>
      <w:pPr>
        <w:pStyle w:val="BodyText"/>
        <w:ind w:left="280"/>
        <w:spacing w:before="223" w:line="21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2017,40(3):163-169.</w:t>
      </w:r>
    </w:p>
    <w:p>
      <w:pPr>
        <w:pStyle w:val="BodyText"/>
        <w:ind w:left="310"/>
        <w:spacing w:before="221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[3]RUSCICA M, FERRI N, BANACH M, et al. Side effects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statins-from pathophysiology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and</w:t>
      </w:r>
    </w:p>
    <w:p>
      <w:pPr>
        <w:pStyle w:val="BodyText"/>
        <w:ind w:left="282"/>
        <w:spacing w:before="225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epidemiology to diagnostic and therapeutic implications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[J].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Cardiovasc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Res,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2022,published</w:t>
      </w:r>
    </w:p>
    <w:p>
      <w:pPr>
        <w:pStyle w:val="BodyText"/>
        <w:ind w:left="279"/>
        <w:spacing w:before="226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online ahead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of print.</w:t>
      </w:r>
    </w:p>
    <w:p>
      <w:pPr>
        <w:pStyle w:val="BodyText"/>
        <w:ind w:left="310"/>
        <w:spacing w:before="224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[4]PENSON P, TOTH P, MIKHAILIDIS D, et al. Step by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step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diagnosis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2"/>
        </w:rPr>
        <w:t>management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statin</w:t>
      </w:r>
    </w:p>
    <w:p>
      <w:pPr>
        <w:pStyle w:val="BodyText"/>
        <w:ind w:left="291"/>
        <w:spacing w:before="225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intolerance: position paper from an in</w:t>
      </w:r>
      <w:r>
        <w:rPr>
          <w:sz w:val="21"/>
          <w:szCs w:val="21"/>
          <w:spacing w:val="-3"/>
        </w:rPr>
        <w:t>ternational lipid expert panel[J]. Eur Heart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  <w:spacing w:val="-3"/>
        </w:rPr>
        <w:t>J, 2019,40:</w:t>
      </w:r>
    </w:p>
    <w:p>
      <w:pPr>
        <w:pStyle w:val="BodyText"/>
        <w:ind w:left="282"/>
        <w:spacing w:before="224" w:line="23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705.</w:t>
      </w:r>
    </w:p>
    <w:p>
      <w:pPr>
        <w:pStyle w:val="BodyText"/>
        <w:ind w:left="310"/>
        <w:spacing w:before="197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[5]ROSENSON</w:t>
      </w:r>
      <w:r>
        <w:rPr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2"/>
        </w:rPr>
        <w:t>RS,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2"/>
        </w:rPr>
        <w:t>MILLER</w:t>
      </w:r>
      <w:r>
        <w:rPr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2"/>
        </w:rPr>
        <w:t>K,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2"/>
        </w:rPr>
        <w:t>BAYLISS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2"/>
        </w:rPr>
        <w:t>M, et al.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2"/>
        </w:rPr>
        <w:t>The Statin-Associated</w:t>
      </w:r>
      <w:r>
        <w:rPr>
          <w:sz w:val="21"/>
          <w:szCs w:val="21"/>
          <w:spacing w:val="-24"/>
        </w:rPr>
        <w:t xml:space="preserve"> </w:t>
      </w:r>
      <w:r>
        <w:rPr>
          <w:sz w:val="21"/>
          <w:szCs w:val="21"/>
          <w:spacing w:val="-2"/>
        </w:rPr>
        <w:t>Musc</w:t>
      </w:r>
      <w:r>
        <w:rPr>
          <w:sz w:val="21"/>
          <w:szCs w:val="21"/>
          <w:spacing w:val="-3"/>
        </w:rPr>
        <w:t>le Symptom</w:t>
      </w:r>
      <w:r>
        <w:rPr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3"/>
        </w:rPr>
        <w:t>Clinical Index</w:t>
      </w:r>
    </w:p>
    <w:p>
      <w:pPr>
        <w:pStyle w:val="BodyText"/>
        <w:ind w:left="314"/>
        <w:spacing w:before="223" w:line="21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(SAMS-CI): revision for clinical use, content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1"/>
        </w:rPr>
        <w:t>validati</w:t>
      </w:r>
      <w:r>
        <w:rPr>
          <w:sz w:val="21"/>
          <w:szCs w:val="21"/>
          <w:spacing w:val="-2"/>
        </w:rPr>
        <w:t>on,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inter-rater</w:t>
      </w:r>
    </w:p>
    <w:p>
      <w:pPr>
        <w:pStyle w:val="BodyText"/>
        <w:ind w:left="276"/>
        <w:spacing w:before="222" w:line="214" w:lineRule="auto"/>
        <w:rPr>
          <w:sz w:val="21"/>
          <w:szCs w:val="21"/>
        </w:rPr>
      </w:pPr>
      <w:r>
        <w:rPr>
          <w:sz w:val="21"/>
          <w:szCs w:val="21"/>
        </w:rPr>
        <w:t>reliability</w:t>
      </w:r>
      <w:r>
        <w:rPr>
          <w:sz w:val="21"/>
          <w:szCs w:val="21"/>
          <w:spacing w:val="1"/>
        </w:rPr>
        <w:t>[J].</w:t>
      </w:r>
      <w:r>
        <w:rPr>
          <w:sz w:val="21"/>
          <w:szCs w:val="21"/>
        </w:rPr>
        <w:t>Cardiovasc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Drugs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Ther</w:t>
      </w:r>
      <w:r>
        <w:rPr>
          <w:sz w:val="21"/>
          <w:szCs w:val="21"/>
          <w:spacing w:val="1"/>
        </w:rPr>
        <w:t>,2017, 31(2):179</w:t>
      </w:r>
      <w:r>
        <w:rPr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1"/>
        </w:rPr>
        <w:t>-186.</w:t>
      </w:r>
    </w:p>
    <w:p>
      <w:pPr>
        <w:pStyle w:val="BodyText"/>
        <w:ind w:left="310"/>
        <w:spacing w:before="224" w:line="21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[6]BANACH M, PATTI A M, GIGLIO R V, e</w:t>
      </w:r>
      <w:r>
        <w:rPr>
          <w:sz w:val="21"/>
          <w:szCs w:val="21"/>
          <w:spacing w:val="-2"/>
        </w:rPr>
        <w:t>t al. The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2"/>
        </w:rPr>
        <w:t>role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2"/>
        </w:rPr>
        <w:t>nutraceuticals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statin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intolerant</w:t>
      </w:r>
    </w:p>
    <w:p>
      <w:pPr>
        <w:pStyle w:val="BodyText"/>
        <w:ind w:left="275"/>
        <w:spacing w:before="222" w:line="214" w:lineRule="auto"/>
        <w:rPr>
          <w:sz w:val="21"/>
          <w:szCs w:val="21"/>
        </w:rPr>
      </w:pPr>
      <w:r>
        <w:rPr>
          <w:sz w:val="21"/>
          <w:szCs w:val="21"/>
        </w:rPr>
        <w:t>patients</w:t>
      </w:r>
      <w:r>
        <w:rPr>
          <w:sz w:val="21"/>
          <w:szCs w:val="21"/>
          <w:spacing w:val="1"/>
        </w:rPr>
        <w:t>[J].</w:t>
      </w:r>
      <w:r>
        <w:rPr>
          <w:sz w:val="21"/>
          <w:szCs w:val="21"/>
        </w:rPr>
        <w:t>J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Am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Coll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Cardiol</w:t>
      </w:r>
      <w:r>
        <w:rPr>
          <w:sz w:val="21"/>
          <w:szCs w:val="21"/>
          <w:spacing w:val="1"/>
        </w:rPr>
        <w:t>,2018, 72(1):96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1"/>
        </w:rPr>
        <w:t>-118.</w:t>
      </w:r>
    </w:p>
    <w:p>
      <w:pPr>
        <w:pStyle w:val="BodyText"/>
        <w:ind w:left="310"/>
        <w:spacing w:before="224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[7]CICERO A F G, COLLETTI A, BAJRAKTARI G, et al. Lipid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lowering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nu</w:t>
      </w:r>
      <w:r>
        <w:rPr>
          <w:sz w:val="21"/>
          <w:szCs w:val="21"/>
          <w:spacing w:val="-2"/>
        </w:rPr>
        <w:t>traceuticals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2"/>
        </w:rPr>
        <w:t>clinical</w:t>
      </w:r>
    </w:p>
    <w:p>
      <w:pPr>
        <w:pStyle w:val="BodyText"/>
        <w:ind w:left="275"/>
        <w:spacing w:before="225" w:line="214" w:lineRule="auto"/>
        <w:rPr>
          <w:sz w:val="21"/>
          <w:szCs w:val="21"/>
        </w:rPr>
      </w:pPr>
      <w:r>
        <w:rPr>
          <w:sz w:val="21"/>
          <w:szCs w:val="21"/>
        </w:rPr>
        <w:t>practice: position paper from an International Lipid Exper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Panel[J].Arch Med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Sci,</w:t>
      </w:r>
    </w:p>
    <w:p>
      <w:pPr>
        <w:pStyle w:val="BodyText"/>
        <w:ind w:left="280"/>
        <w:spacing w:before="224" w:line="21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2017,13(5):965-1005.</w:t>
      </w:r>
    </w:p>
    <w:p>
      <w:pPr>
        <w:pStyle w:val="BodyText"/>
        <w:ind w:left="310"/>
        <w:spacing w:before="222" w:line="214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[8] PENSON P E, BANACH</w:t>
      </w:r>
      <w:r>
        <w:rPr>
          <w:sz w:val="21"/>
          <w:szCs w:val="21"/>
          <w:spacing w:val="-2"/>
        </w:rPr>
        <w:t xml:space="preserve"> M. Natural compounds as anti-atherogenic agents: clinical evidence for</w:t>
      </w:r>
    </w:p>
    <w:p>
      <w:pPr>
        <w:pStyle w:val="BodyText"/>
        <w:ind w:left="291"/>
        <w:spacing w:before="225" w:line="214" w:lineRule="auto"/>
        <w:rPr>
          <w:sz w:val="21"/>
          <w:szCs w:val="21"/>
        </w:rPr>
      </w:pPr>
      <w:r>
        <w:rPr>
          <w:sz w:val="21"/>
          <w:szCs w:val="21"/>
        </w:rPr>
        <w:t>improved cardiovascular outcomes[J]. Atheros</w:t>
      </w:r>
      <w:r>
        <w:rPr>
          <w:sz w:val="21"/>
          <w:szCs w:val="21"/>
          <w:spacing w:val="-1"/>
        </w:rPr>
        <w:t>clerosis, 2021，316:58-65.</w:t>
      </w:r>
    </w:p>
    <w:p>
      <w:pPr>
        <w:pStyle w:val="BodyText"/>
        <w:ind w:left="310"/>
        <w:spacing w:before="225" w:line="21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[9]SABATINE M S, GIUGLIANO R P, KEECH A C, et al.Evolocumab and clinical outcomes in patients</w:t>
      </w:r>
    </w:p>
    <w:p>
      <w:pPr>
        <w:spacing w:line="214" w:lineRule="auto"/>
        <w:sectPr>
          <w:pgSz w:w="11907" w:h="16839"/>
          <w:pgMar w:top="400" w:right="757" w:bottom="0" w:left="864" w:header="0" w:footer="0" w:gutter="0"/>
        </w:sectPr>
        <w:rPr>
          <w:sz w:val="21"/>
          <w:szCs w:val="21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70"/>
        <w:spacing w:before="68" w:line="214" w:lineRule="auto"/>
        <w:rPr>
          <w:sz w:val="21"/>
          <w:szCs w:val="21"/>
        </w:rPr>
      </w:pPr>
      <w:r>
        <w:rPr>
          <w:sz w:val="21"/>
          <w:szCs w:val="21"/>
        </w:rPr>
        <w:t>with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cardiovascular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disease</w:t>
      </w:r>
      <w:r>
        <w:rPr>
          <w:sz w:val="21"/>
          <w:szCs w:val="21"/>
          <w:spacing w:val="1"/>
        </w:rPr>
        <w:t>[J].</w:t>
      </w:r>
      <w:r>
        <w:rPr>
          <w:sz w:val="21"/>
          <w:szCs w:val="21"/>
        </w:rPr>
        <w:t>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Engl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J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Med</w:t>
      </w:r>
      <w:r>
        <w:rPr>
          <w:sz w:val="21"/>
          <w:szCs w:val="21"/>
          <w:spacing w:val="1"/>
        </w:rPr>
        <w:t>, 2017,376(18):1713-1722.</w:t>
      </w:r>
    </w:p>
    <w:p>
      <w:pPr>
        <w:pStyle w:val="BodyText"/>
        <w:ind w:left="310"/>
        <w:spacing w:before="224" w:line="21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[10]SCHWARTZ G G, STEG</w:t>
      </w:r>
      <w:r>
        <w:rPr>
          <w:sz w:val="21"/>
          <w:szCs w:val="21"/>
          <w:spacing w:val="-3"/>
        </w:rPr>
        <w:t xml:space="preserve"> P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-3"/>
        </w:rPr>
        <w:t>G, SZAREK</w:t>
      </w:r>
      <w:r>
        <w:rPr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3"/>
        </w:rPr>
        <w:t>M,</w:t>
      </w:r>
      <w:r>
        <w:rPr>
          <w:sz w:val="21"/>
          <w:szCs w:val="21"/>
          <w:spacing w:val="-9"/>
        </w:rPr>
        <w:t xml:space="preserve"> </w:t>
      </w:r>
      <w:r>
        <w:rPr>
          <w:sz w:val="21"/>
          <w:szCs w:val="21"/>
          <w:spacing w:val="-3"/>
        </w:rPr>
        <w:t>et</w:t>
      </w:r>
      <w:r>
        <w:rPr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-3"/>
        </w:rPr>
        <w:t>al.</w:t>
      </w:r>
      <w:r>
        <w:rPr>
          <w:sz w:val="21"/>
          <w:szCs w:val="21"/>
          <w:spacing w:val="-21"/>
        </w:rPr>
        <w:t xml:space="preserve"> </w:t>
      </w:r>
      <w:r>
        <w:rPr>
          <w:sz w:val="21"/>
          <w:szCs w:val="21"/>
          <w:spacing w:val="-3"/>
        </w:rPr>
        <w:t>Alirocumab</w:t>
      </w:r>
      <w:r>
        <w:rPr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-3"/>
        </w:rPr>
        <w:t>and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-3"/>
        </w:rPr>
        <w:t>cardiovascular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3"/>
        </w:rPr>
        <w:t>outcomes</w:t>
      </w:r>
      <w:r>
        <w:rPr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-3"/>
        </w:rPr>
        <w:t>after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  <w:spacing w:val="-3"/>
        </w:rPr>
        <w:t>acute</w:t>
      </w:r>
    </w:p>
    <w:p>
      <w:pPr>
        <w:pStyle w:val="BodyText"/>
        <w:ind w:left="282"/>
        <w:spacing w:before="221" w:line="214" w:lineRule="auto"/>
        <w:rPr>
          <w:sz w:val="21"/>
          <w:szCs w:val="21"/>
        </w:rPr>
      </w:pPr>
      <w:r>
        <w:rPr>
          <w:sz w:val="21"/>
          <w:szCs w:val="21"/>
        </w:rPr>
        <w:t>coronary syndrome[J].N Engl J Med, 2018,37</w:t>
      </w:r>
      <w:r>
        <w:rPr>
          <w:sz w:val="21"/>
          <w:szCs w:val="21"/>
          <w:spacing w:val="-1"/>
        </w:rPr>
        <w:t>9(22):2097-2107.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282"/>
        <w:spacing w:before="71" w:line="225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收稿日期  2022-05-08</w:t>
      </w:r>
      <w:r>
        <w:rPr>
          <w:rFonts w:ascii="DengXian" w:hAnsi="DengXian" w:eastAsia="DengXian" w:cs="DengXian"/>
          <w:sz w:val="21"/>
          <w:szCs w:val="21"/>
          <w:spacing w:val="5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修回日期 2022-07-19</w:t>
      </w:r>
    </w:p>
    <w:p>
      <w:pPr>
        <w:pStyle w:val="BodyText"/>
        <w:ind w:left="282" w:right="284" w:hanging="6"/>
        <w:spacing w:before="169" w:line="410" w:lineRule="auto"/>
        <w:jc w:val="both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1"/>
        </w:rPr>
        <w:t>基金项目</w:t>
      </w:r>
      <w:r>
        <w:rPr>
          <w:rFonts w:ascii="DengXian" w:hAnsi="DengXian" w:eastAsia="DengXian" w:cs="DengXian"/>
          <w:sz w:val="21"/>
          <w:szCs w:val="21"/>
          <w:spacing w:val="15"/>
        </w:rPr>
        <w:t xml:space="preserve">   </w:t>
      </w:r>
      <w:r>
        <w:rPr>
          <w:sz w:val="11"/>
          <w:szCs w:val="11"/>
          <w:spacing w:val="-1"/>
          <w:position w:val="10"/>
        </w:rPr>
        <w:t>*</w:t>
      </w:r>
      <w:r>
        <w:rPr>
          <w:sz w:val="11"/>
          <w:szCs w:val="11"/>
          <w:spacing w:val="-26"/>
          <w:position w:val="10"/>
        </w:rPr>
        <w:t xml:space="preserve"> </w:t>
      </w:r>
      <w:r>
        <w:rPr>
          <w:sz w:val="21"/>
          <w:szCs w:val="21"/>
          <w:spacing w:val="-1"/>
        </w:rPr>
        <w:t>国家重点研发计划（2020YFC2005500）</w:t>
      </w:r>
      <w:r>
        <w:rPr>
          <w:sz w:val="21"/>
          <w:szCs w:val="21"/>
          <w:spacing w:val="-62"/>
        </w:rPr>
        <w:t xml:space="preserve"> </w:t>
      </w:r>
      <w:r>
        <w:rPr>
          <w:sz w:val="21"/>
          <w:szCs w:val="21"/>
          <w:spacing w:val="-1"/>
        </w:rPr>
        <w:t>;四川省科技厅自然科学基金资助项</w:t>
      </w:r>
      <w:r>
        <w:rPr>
          <w:sz w:val="21"/>
          <w:szCs w:val="21"/>
          <w:spacing w:val="-2"/>
        </w:rPr>
        <w:t>目（2019YFS0514）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（2022NSFSC0818</w:t>
      </w:r>
      <w:r>
        <w:rPr>
          <w:sz w:val="21"/>
          <w:szCs w:val="21"/>
          <w:spacing w:val="-48"/>
        </w:rPr>
        <w:t>）；</w:t>
      </w:r>
      <w:r>
        <w:rPr>
          <w:sz w:val="21"/>
          <w:szCs w:val="21"/>
        </w:rPr>
        <w:t>个体化药物治疗四川省重点实验室开放课题（2021ZD01</w:t>
      </w:r>
      <w:r>
        <w:rPr>
          <w:sz w:val="21"/>
          <w:szCs w:val="21"/>
          <w:spacing w:val="-48"/>
        </w:rPr>
        <w:t>）；</w:t>
      </w:r>
      <w:r>
        <w:rPr>
          <w:sz w:val="21"/>
          <w:szCs w:val="21"/>
          <w:spacing w:val="-58"/>
        </w:rPr>
        <w:t xml:space="preserve"> </w:t>
      </w:r>
      <w:r>
        <w:rPr>
          <w:sz w:val="21"/>
          <w:szCs w:val="21"/>
        </w:rPr>
        <w:t>四川省干部保健科研课题  </w:t>
      </w:r>
      <w:r>
        <w:rPr>
          <w:sz w:val="21"/>
          <w:szCs w:val="21"/>
          <w:spacing w:val="-7"/>
        </w:rPr>
        <w:t>（川干研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7"/>
        </w:rPr>
        <w:t>ZH2021-20）。</w:t>
      </w:r>
    </w:p>
    <w:p>
      <w:pPr>
        <w:pStyle w:val="BodyText"/>
        <w:ind w:left="280" w:right="406" w:hanging="2"/>
        <w:spacing w:before="3" w:line="387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5"/>
        </w:rPr>
        <w:t>作者简介</w:t>
      </w:r>
      <w:r>
        <w:rPr>
          <w:rFonts w:ascii="DengXian" w:hAnsi="DengXian" w:eastAsia="DengXian" w:cs="DengXian"/>
          <w:sz w:val="21"/>
          <w:szCs w:val="21"/>
          <w:spacing w:val="16"/>
          <w:w w:val="101"/>
        </w:rPr>
        <w:t xml:space="preserve">   </w:t>
      </w:r>
      <w:r>
        <w:rPr>
          <w:sz w:val="21"/>
          <w:szCs w:val="21"/>
          <w:spacing w:val="-5"/>
        </w:rPr>
        <w:t>武刘芸（1999-</w:t>
      </w:r>
      <w:r>
        <w:rPr>
          <w:sz w:val="21"/>
          <w:szCs w:val="21"/>
          <w:spacing w:val="-52"/>
          <w:w w:val="95"/>
        </w:rPr>
        <w:t>），</w:t>
      </w:r>
      <w:r>
        <w:rPr>
          <w:sz w:val="21"/>
          <w:szCs w:val="21"/>
          <w:spacing w:val="-5"/>
        </w:rPr>
        <w:t>女，四川德阳人，药师</w:t>
      </w:r>
      <w:r>
        <w:rPr>
          <w:sz w:val="21"/>
          <w:szCs w:val="21"/>
          <w:spacing w:val="-6"/>
        </w:rPr>
        <w:t>，硕士在读，研究方向：心血管/抗凝/肿瘤心脏病学。</w:t>
      </w:r>
      <w:r>
        <w:rPr>
          <w:sz w:val="21"/>
          <w:szCs w:val="21"/>
          <w:spacing w:val="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ORCID: 0000-0003-3539-505X</w:t>
      </w:r>
      <w:r>
        <w:rPr>
          <w:rFonts w:ascii="DengXian" w:hAnsi="DengXian" w:eastAsia="DengXian" w:cs="DengXian"/>
          <w:sz w:val="21"/>
          <w:szCs w:val="21"/>
          <w:spacing w:val="-1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。</w:t>
      </w:r>
      <w:r>
        <w:rPr>
          <w:sz w:val="21"/>
          <w:szCs w:val="21"/>
          <w:spacing w:val="-1"/>
        </w:rPr>
        <w:t>E-mail：2436053529@qq.com。</w:t>
      </w:r>
    </w:p>
    <w:p>
      <w:pPr>
        <w:pStyle w:val="BodyText"/>
        <w:ind w:left="274" w:right="424" w:firstLine="6"/>
        <w:spacing w:before="1" w:line="392" w:lineRule="auto"/>
        <w:rPr>
          <w:sz w:val="21"/>
          <w:szCs w:val="21"/>
        </w:rPr>
      </w:pPr>
      <w:r>
        <w:rPr>
          <w:rFonts w:ascii="DengXian" w:hAnsi="DengXian" w:eastAsia="DengXian" w:cs="DengXian"/>
          <w:sz w:val="21"/>
          <w:szCs w:val="21"/>
          <w:spacing w:val="-9"/>
        </w:rPr>
        <w:t>通信作者    </w:t>
      </w:r>
      <w:r>
        <w:rPr>
          <w:sz w:val="21"/>
          <w:szCs w:val="21"/>
          <w:spacing w:val="-9"/>
        </w:rPr>
        <w:t>边原（1983-</w:t>
      </w:r>
      <w:r>
        <w:rPr>
          <w:sz w:val="21"/>
          <w:szCs w:val="21"/>
          <w:spacing w:val="-52"/>
          <w:w w:val="94"/>
        </w:rPr>
        <w:t>），</w:t>
      </w:r>
      <w:r>
        <w:rPr>
          <w:sz w:val="21"/>
          <w:szCs w:val="21"/>
          <w:spacing w:val="-9"/>
        </w:rPr>
        <w:t>男，天津人，副主任药师，研究方向：临床药学。电话：</w:t>
      </w:r>
      <w:r>
        <w:rPr>
          <w:sz w:val="21"/>
          <w:szCs w:val="21"/>
          <w:spacing w:val="-54"/>
        </w:rPr>
        <w:t xml:space="preserve"> </w:t>
      </w:r>
      <w:r>
        <w:rPr>
          <w:sz w:val="21"/>
          <w:szCs w:val="21"/>
          <w:spacing w:val="-9"/>
        </w:rPr>
        <w:t>028-87393405，E-mail：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bianyuanshj@foxmail.com。</w:t>
      </w:r>
    </w:p>
    <w:sectPr>
      <w:pgSz w:w="11907" w:h="16839"/>
      <w:pgMar w:top="400" w:right="757" w:bottom="0" w:left="86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2129pt;margin-top:279.96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43.2129pt;margin-top:279.96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43.2129pt;margin-top:279.96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14" style="position:absolute;margin-left:132.5pt;margin-top:250.42pt;mso-position-vertical-relative:page;mso-position-horizontal-relative:page;width:326.65pt;height:330pt;z-index:-251655168;" o:allowincell="f" filled="false" stroked="false" type="#_x0000_t75">
          <v:imagedata o:title="" r:id="rId2"/>
        </v:shape>
      </w:pict>
    </w:r>
    <w:r>
      <w:pict>
        <v:shape id="WordPictureWatermark16" style="position:absolute;margin-left:132.5pt;margin-top:250.42pt;mso-position-vertical-relative:page;mso-position-horizontal-relative:page;width:326.65pt;height:330pt;z-index:-251654144;" o:allowincell="f" filled="false" stroked="false" type="#_x0000_t75">
          <v:imagedata o:title="" r:id="rId3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7.jpeg"/><Relationship Id="rId7" Type="http://schemas.openxmlformats.org/officeDocument/2006/relationships/header" Target="header2.xml"/><Relationship Id="rId6" Type="http://schemas.openxmlformats.org/officeDocument/2006/relationships/image" Target="media/image5.pn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" Type="http://schemas.openxmlformats.org/officeDocument/2006/relationships/hyperlink" Target="https://kns.cnki.net/kcms/detail/42.1293.R.20230320.1130.026.html" TargetMode="External"/><Relationship Id="rId2" Type="http://schemas.openxmlformats.org/officeDocument/2006/relationships/image" Target="media/image2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3986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2025-10-29T09:39:27</vt:filetime>
  </property>
</Properties>
</file>