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45" w:line="19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16"/>
        </w:rPr>
        <w:t>中华消化内镜杂志2004年8月第21卷第4期Chin </w:t>
      </w:r>
      <w:r>
        <w:rPr>
          <w:rFonts w:ascii="SimSun" w:hAnsi="SimSun" w:eastAsia="SimSun" w:cs="SimSun"/>
          <w:sz w:val="20"/>
          <w:szCs w:val="20"/>
          <w:u w:val="single" w:color="auto"/>
          <w:spacing w:val="-17"/>
        </w:rPr>
        <w:t>JDig Endosc,August 2004,Vol 21,No.4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                   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7"/>
          <w:position w:val="6"/>
        </w:rPr>
        <w:t>—221—</w:t>
      </w:r>
    </w:p>
    <w:p>
      <w:pPr>
        <w:spacing w:before="293" w:line="219" w:lineRule="auto"/>
        <w:jc w:val="righ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14"/>
        </w:rPr>
        <w:t>·</w:t>
      </w:r>
      <w:r>
        <w:rPr>
          <w:rFonts w:ascii="SimSun" w:hAnsi="SimSun" w:eastAsia="SimSun" w:cs="SimSun"/>
          <w:sz w:val="33"/>
          <w:szCs w:val="33"/>
          <w:spacing w:val="-106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14"/>
        </w:rPr>
        <w:t>学会推荐标准</w:t>
      </w:r>
      <w:r>
        <w:rPr>
          <w:rFonts w:ascii="SimSun" w:hAnsi="SimSun" w:eastAsia="SimSun" w:cs="SimSun"/>
          <w:sz w:val="33"/>
          <w:szCs w:val="33"/>
          <w:spacing w:val="-14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14"/>
        </w:rPr>
        <w:t>·</w:t>
      </w:r>
    </w:p>
    <w:p>
      <w:pPr>
        <w:ind w:left="65"/>
        <w:spacing w:before="329" w:line="221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6"/>
        </w:rPr>
        <w:t>反流性食管炎诊断及治疗指南(2003年)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left="89"/>
        <w:spacing w:before="65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0"/>
        </w:rPr>
        <w:t>中华医学会消化内镜学分会</w:t>
      </w:r>
    </w:p>
    <w:p>
      <w:pPr>
        <w:spacing w:line="197" w:lineRule="exact"/>
        <w:rPr/>
      </w:pPr>
      <w:r/>
    </w:p>
    <w:p>
      <w:pPr>
        <w:spacing w:line="197" w:lineRule="exact"/>
        <w:sectPr>
          <w:pgSz w:w="11900" w:h="16820"/>
          <w:pgMar w:top="837" w:right="1073" w:bottom="0" w:left="860" w:header="0" w:footer="0" w:gutter="0"/>
          <w:cols w:equalWidth="0" w:num="1">
            <w:col w:w="9967" w:space="0"/>
          </w:cols>
        </w:sectPr>
        <w:rPr/>
      </w:pPr>
    </w:p>
    <w:p>
      <w:pPr>
        <w:pStyle w:val="BodyText"/>
        <w:ind w:left="59" w:right="260" w:firstLine="450"/>
        <w:spacing w:before="38" w:line="305" w:lineRule="auto"/>
        <w:jc w:val="both"/>
        <w:rPr/>
      </w:pPr>
      <w:r>
        <w:rPr>
          <w:spacing w:val="29"/>
        </w:rPr>
        <w:t>中华医学会消化内镜分会于2003年10月19</w:t>
      </w:r>
      <w:r>
        <w:rPr>
          <w:spacing w:val="6"/>
        </w:rPr>
        <w:t xml:space="preserve">  </w:t>
      </w:r>
      <w:r>
        <w:rPr>
          <w:spacing w:val="23"/>
        </w:rPr>
        <w:t>日～22日在济南召开了全国食管疾病诊断</w:t>
      </w:r>
      <w:r>
        <w:rPr>
          <w:spacing w:val="22"/>
        </w:rPr>
        <w:t>治疗研</w:t>
      </w:r>
      <w:r>
        <w:rPr/>
        <w:t xml:space="preserve">  </w:t>
      </w:r>
      <w:r>
        <w:rPr>
          <w:spacing w:val="16"/>
        </w:rPr>
        <w:t>讨会，会议对学会1999年8月烟台制定的反流性食</w:t>
      </w:r>
      <w:r>
        <w:rPr>
          <w:spacing w:val="8"/>
        </w:rPr>
        <w:t xml:space="preserve">  </w:t>
      </w:r>
      <w:r>
        <w:rPr>
          <w:spacing w:val="16"/>
        </w:rPr>
        <w:t>管病(炎)诊断及治疗方案(试行)进行了总结回顾，</w:t>
      </w:r>
      <w:r>
        <w:rPr>
          <w:spacing w:val="4"/>
        </w:rPr>
        <w:t xml:space="preserve"> </w:t>
      </w:r>
      <w:r>
        <w:rPr>
          <w:spacing w:val="22"/>
        </w:rPr>
        <w:t>并对其内容提出了具体修改意见，2004年2月7日</w:t>
      </w:r>
      <w:r>
        <w:rPr/>
        <w:t xml:space="preserve"> </w:t>
      </w:r>
      <w:r>
        <w:rPr>
          <w:spacing w:val="2"/>
        </w:rPr>
        <w:t>学会又进行了讨论、统一，综合整理如下。</w:t>
      </w:r>
    </w:p>
    <w:p>
      <w:pPr>
        <w:pStyle w:val="BodyText"/>
        <w:ind w:left="59" w:right="343" w:firstLine="450"/>
        <w:spacing w:before="21" w:line="297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2330424</wp:posOffset>
            </wp:positionH>
            <wp:positionV relativeFrom="paragraph">
              <wp:posOffset>581891</wp:posOffset>
            </wp:positionV>
            <wp:extent cx="1797086" cy="173347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86" cy="173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2"/>
        </w:rPr>
        <w:t>胃内容物(包括十二指肠液)反流入食管产生</w:t>
      </w:r>
      <w:r>
        <w:rPr>
          <w:spacing w:val="15"/>
        </w:rPr>
        <w:t xml:space="preserve"> </w:t>
      </w:r>
      <w:r>
        <w:rPr>
          <w:spacing w:val="12"/>
        </w:rPr>
        <w:t>症状或并发症时，称为胃食管反流病</w:t>
      </w:r>
      <w:r>
        <w:rPr>
          <w:rFonts w:ascii="Times New Roman" w:hAnsi="Times New Roman" w:eastAsia="Times New Roman" w:cs="Times New Roman"/>
          <w:spacing w:val="12"/>
        </w:rPr>
        <w:t>(</w:t>
      </w:r>
      <w:r>
        <w:rPr>
          <w:rFonts w:ascii="Times New Roman" w:hAnsi="Times New Roman" w:eastAsia="Times New Roman" w:cs="Times New Roman"/>
        </w:rPr>
        <w:t>gastroesopha</w:t>
      </w:r>
      <w:r>
        <w:rPr>
          <w:rFonts w:ascii="Times New Roman" w:hAnsi="Times New Roman" w:eastAsia="Times New Roman" w:cs="Times New Roman"/>
          <w:spacing w:val="12"/>
        </w:rPr>
        <w:t>-</w:t>
      </w:r>
      <w:r>
        <w:rPr>
          <w:rFonts w:ascii="Times New Roman" w:hAnsi="Times New Roman" w:eastAsia="Times New Roman" w:cs="Times New Roman"/>
          <w:spacing w:val="4"/>
        </w:rPr>
        <w:t xml:space="preserve">   </w:t>
      </w:r>
      <w:r>
        <w:rPr>
          <w:rFonts w:ascii="SimSun" w:hAnsi="SimSun" w:eastAsia="SimSun" w:cs="SimSun"/>
        </w:rPr>
        <w:t>geal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</w:rPr>
        <w:t>refulx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</w:rPr>
        <w:t>disease</w:t>
      </w:r>
      <w:r>
        <w:rPr>
          <w:rFonts w:ascii="SimSun" w:hAnsi="SimSun" w:eastAsia="SimSun" w:cs="SimSun"/>
          <w:spacing w:val="13"/>
        </w:rPr>
        <w:t>,</w:t>
      </w:r>
      <w:r>
        <w:rPr>
          <w:rFonts w:ascii="SimSun" w:hAnsi="SimSun" w:eastAsia="SimSun" w:cs="SimSun"/>
        </w:rPr>
        <w:t>GERD</w:t>
      </w:r>
      <w:r>
        <w:rPr>
          <w:rFonts w:ascii="SimSun" w:hAnsi="SimSun" w:eastAsia="SimSun" w:cs="SimSun"/>
          <w:spacing w:val="13"/>
        </w:rPr>
        <w:t>)。</w:t>
      </w:r>
      <w:r>
        <w:rPr>
          <w:spacing w:val="13"/>
        </w:rPr>
        <w:t>酸(碱)反流导致的食</w:t>
      </w:r>
      <w:r>
        <w:rPr>
          <w:spacing w:val="6"/>
        </w:rPr>
        <w:t xml:space="preserve"> </w:t>
      </w:r>
      <w:r>
        <w:rPr>
          <w:spacing w:val="22"/>
        </w:rPr>
        <w:t>管黏膜破损称为反流性食管炎</w:t>
      </w:r>
      <w:r>
        <w:rPr>
          <w:rFonts w:ascii="Times New Roman" w:hAnsi="Times New Roman" w:eastAsia="Times New Roman" w:cs="Times New Roman"/>
          <w:spacing w:val="22"/>
        </w:rPr>
        <w:t>(</w:t>
      </w:r>
      <w:r>
        <w:rPr>
          <w:rFonts w:ascii="Times New Roman" w:hAnsi="Times New Roman" w:eastAsia="Times New Roman" w:cs="Times New Roman"/>
        </w:rPr>
        <w:t>reflux</w:t>
      </w:r>
      <w:r>
        <w:rPr>
          <w:rFonts w:ascii="Times New Roman" w:hAnsi="Times New Roman" w:eastAsia="Times New Roman" w:cs="Times New Roman"/>
          <w:spacing w:val="5"/>
        </w:rPr>
        <w:t xml:space="preserve">     </w:t>
      </w:r>
      <w:r>
        <w:rPr>
          <w:rFonts w:ascii="Times New Roman" w:hAnsi="Times New Roman" w:eastAsia="Times New Roman" w:cs="Times New Roman"/>
        </w:rPr>
        <w:t>esophagitis</w:t>
      </w:r>
      <w:r>
        <w:rPr>
          <w:rFonts w:ascii="Times New Roman" w:hAnsi="Times New Roman" w:eastAsia="Times New Roman" w:cs="Times New Roman"/>
          <w:spacing w:val="22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11"/>
        </w:rPr>
        <w:t>)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rFonts w:ascii="SimSun" w:hAnsi="SimSun" w:eastAsia="SimSun" w:cs="SimSun"/>
          <w:spacing w:val="11"/>
        </w:rPr>
        <w:t>。 </w:t>
      </w:r>
      <w:r>
        <w:rPr>
          <w:spacing w:val="11"/>
        </w:rPr>
        <w:t>消化内镜是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11"/>
        </w:rPr>
        <w:t>的主要诊断方法。</w:t>
      </w:r>
    </w:p>
    <w:p>
      <w:pPr>
        <w:ind w:left="510"/>
        <w:spacing w:before="74" w:line="229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9"/>
        </w:rPr>
        <w:t>一、</w:t>
      </w:r>
      <w:r>
        <w:rPr>
          <w:rFonts w:ascii="SimSun" w:hAnsi="SimSun" w:eastAsia="SimSun" w:cs="SimSun"/>
          <w:sz w:val="20"/>
          <w:szCs w:val="20"/>
          <w:spacing w:val="-9"/>
        </w:rPr>
        <w:t>RE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9"/>
        </w:rPr>
        <w:t>的诊断</w:t>
      </w:r>
    </w:p>
    <w:p>
      <w:pPr>
        <w:pStyle w:val="BodyText"/>
        <w:ind w:left="89" w:right="259" w:firstLine="420"/>
        <w:spacing w:before="100" w:line="308" w:lineRule="auto"/>
        <w:rPr/>
      </w:pPr>
      <w:r>
        <w:rPr>
          <w:spacing w:val="9"/>
        </w:rPr>
        <w:t>关于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62"/>
        </w:rPr>
        <w:t xml:space="preserve"> </w:t>
      </w:r>
      <w:r>
        <w:rPr>
          <w:spacing w:val="9"/>
        </w:rPr>
        <w:t>分级，尽管国际上已通用洛杉矶分级，</w:t>
      </w:r>
      <w:r>
        <w:rPr/>
        <w:t xml:space="preserve"> </w:t>
      </w:r>
      <w:r>
        <w:rPr>
          <w:spacing w:val="12"/>
        </w:rPr>
        <w:t>与会代表仍认为有我国自己的分级标准是必要的。</w:t>
      </w:r>
    </w:p>
    <w:p>
      <w:pPr>
        <w:pStyle w:val="BodyText"/>
        <w:ind w:left="89" w:right="345" w:firstLine="420"/>
        <w:spacing w:before="3" w:line="296" w:lineRule="auto"/>
        <w:jc w:val="both"/>
        <w:rPr/>
      </w:pPr>
      <w:r>
        <w:rPr>
          <w:rFonts w:ascii="Times New Roman" w:hAnsi="Times New Roman" w:eastAsia="Times New Roman" w:cs="Times New Roman"/>
          <w:spacing w:val="9"/>
        </w:rPr>
        <w:t>1.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spacing w:val="9"/>
        </w:rPr>
        <w:t>的内镜诊断及分级：有典型的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GERD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9"/>
        </w:rPr>
        <w:t>症</w:t>
      </w:r>
      <w:r>
        <w:rPr/>
        <w:t xml:space="preserve"> </w:t>
      </w:r>
      <w:r>
        <w:rPr>
          <w:spacing w:val="3"/>
        </w:rPr>
        <w:t>状如明显烧心、反酸、胸骨后灼痛等，而无报警症状</w:t>
      </w:r>
      <w:r>
        <w:rPr>
          <w:spacing w:val="4"/>
        </w:rPr>
        <w:t xml:space="preserve"> </w:t>
      </w:r>
      <w:r>
        <w:rPr>
          <w:spacing w:val="14"/>
        </w:rPr>
        <w:t>者需具备下列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spacing w:val="14"/>
        </w:rPr>
        <w:t>的依据。见表1。</w:t>
      </w:r>
    </w:p>
    <w:p>
      <w:pPr>
        <w:ind w:left="1512"/>
        <w:spacing w:before="6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表1反流性食管炎内镜分级</w:t>
      </w:r>
    </w:p>
    <w:p>
      <w:pPr>
        <w:spacing w:line="38" w:lineRule="exact"/>
        <w:rPr/>
      </w:pPr>
      <w:r/>
    </w:p>
    <w:tbl>
      <w:tblPr>
        <w:tblStyle w:val="TableNormal"/>
        <w:tblW w:w="4590" w:type="dxa"/>
        <w:tblInd w:w="2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0"/>
        <w:gridCol w:w="3940"/>
      </w:tblGrid>
      <w:tr>
        <w:trPr>
          <w:trHeight w:val="353" w:hRule="atLeast"/>
        </w:trPr>
        <w:tc>
          <w:tcPr>
            <w:tcW w:w="6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"/>
              <w:spacing w:before="92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分级</w:t>
            </w:r>
          </w:p>
        </w:tc>
        <w:tc>
          <w:tcPr>
            <w:tcW w:w="39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2"/>
              <w:spacing w:before="8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3"/>
              </w:rPr>
              <w:t>食管黏膜内镜下表现</w:t>
            </w:r>
          </w:p>
        </w:tc>
      </w:tr>
      <w:tr>
        <w:trPr>
          <w:trHeight w:val="324" w:hRule="atLeast"/>
        </w:trPr>
        <w:tc>
          <w:tcPr>
            <w:tcW w:w="6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9"/>
              <w:spacing w:before="81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0级</w:t>
            </w:r>
          </w:p>
        </w:tc>
        <w:tc>
          <w:tcPr>
            <w:tcW w:w="394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9"/>
              <w:spacing w:before="79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正常(可有组织学改变)</w:t>
            </w:r>
          </w:p>
        </w:tc>
      </w:tr>
      <w:tr>
        <w:trPr>
          <w:trHeight w:val="329" w:hRule="atLeast"/>
        </w:trPr>
        <w:tc>
          <w:tcPr>
            <w:tcW w:w="650" w:type="dxa"/>
            <w:vAlign w:val="top"/>
          </w:tcPr>
          <w:p>
            <w:pPr>
              <w:pStyle w:val="TableText"/>
              <w:ind w:left="229"/>
              <w:spacing w:before="101" w:line="23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8"/>
              </w:rPr>
              <w:t>I</w:t>
            </w:r>
            <w:r>
              <w:rPr>
                <w:sz w:val="17"/>
                <w:szCs w:val="17"/>
                <w:spacing w:val="7"/>
              </w:rPr>
              <w:t xml:space="preserve"> </w:t>
            </w:r>
            <w:r>
              <w:rPr>
                <w:sz w:val="17"/>
                <w:szCs w:val="17"/>
                <w:spacing w:val="-8"/>
              </w:rPr>
              <w:t>a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119"/>
              <w:spacing w:before="85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点状或条状发红、糜烂&lt;2处</w:t>
            </w:r>
          </w:p>
        </w:tc>
      </w:tr>
      <w:tr>
        <w:trPr>
          <w:trHeight w:val="323" w:hRule="atLeast"/>
        </w:trPr>
        <w:tc>
          <w:tcPr>
            <w:tcW w:w="650" w:type="dxa"/>
            <w:vAlign w:val="top"/>
          </w:tcPr>
          <w:p>
            <w:pPr>
              <w:pStyle w:val="TableText"/>
              <w:ind w:left="189"/>
              <w:spacing w:before="103" w:line="22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Ib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220"/>
              <w:spacing w:before="8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点状或条状发红、糜烂≥2处</w:t>
            </w:r>
          </w:p>
        </w:tc>
      </w:tr>
      <w:tr>
        <w:trPr>
          <w:trHeight w:val="527" w:hRule="atLeast"/>
        </w:trPr>
        <w:tc>
          <w:tcPr>
            <w:tcW w:w="650" w:type="dxa"/>
            <w:vAlign w:val="top"/>
          </w:tcPr>
          <w:p>
            <w:pPr>
              <w:pStyle w:val="TableText"/>
              <w:ind w:left="189"/>
              <w:spacing w:before="17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8"/>
              </w:rPr>
              <w:t>Ⅱ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pacing w:val="-18"/>
              </w:rPr>
              <w:t>级</w:t>
            </w:r>
          </w:p>
        </w:tc>
        <w:tc>
          <w:tcPr>
            <w:tcW w:w="3940" w:type="dxa"/>
            <w:vAlign w:val="top"/>
          </w:tcPr>
          <w:p>
            <w:pPr>
              <w:pStyle w:val="TableText"/>
              <w:ind w:left="240"/>
              <w:spacing w:before="82" w:line="23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4"/>
              </w:rPr>
              <w:t>有</w:t>
            </w:r>
            <w:r>
              <w:rPr>
                <w:sz w:val="17"/>
                <w:szCs w:val="17"/>
                <w:spacing w:val="-13"/>
              </w:rPr>
              <w:t>条状发红、糜烂，并有融合，但并非全周性，融合</w:t>
            </w:r>
            <w:r>
              <w:rPr>
                <w:sz w:val="17"/>
                <w:szCs w:val="17"/>
                <w:spacing w:val="-12"/>
              </w:rPr>
              <w:t>&lt;</w:t>
            </w:r>
            <w:r>
              <w:rPr>
                <w:sz w:val="17"/>
                <w:szCs w:val="17"/>
                <w:spacing w:val="15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75%</w:t>
            </w:r>
          </w:p>
        </w:tc>
      </w:tr>
      <w:tr>
        <w:trPr>
          <w:trHeight w:val="324" w:hRule="atLeast"/>
        </w:trPr>
        <w:tc>
          <w:tcPr>
            <w:tcW w:w="6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9"/>
              <w:spacing w:before="78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Ⅲ级</w:t>
            </w:r>
          </w:p>
        </w:tc>
        <w:tc>
          <w:tcPr>
            <w:tcW w:w="39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9"/>
              <w:spacing w:before="76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病变广泛，发红、糜烂融合呈全周性，融合≥75%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69" w:right="256" w:firstLine="340"/>
        <w:spacing w:before="66" w:line="306" w:lineRule="auto"/>
        <w:jc w:val="both"/>
        <w:rPr/>
      </w:pPr>
      <w:r>
        <w:rPr>
          <w:spacing w:val="2"/>
        </w:rPr>
        <w:t>必须注明：各病变部位(食管上、中、下段)和长</w:t>
      </w:r>
      <w:r>
        <w:rPr>
          <w:spacing w:val="6"/>
        </w:rPr>
        <w:t xml:space="preserve">  </w:t>
      </w:r>
      <w:r>
        <w:rPr>
          <w:spacing w:val="1"/>
        </w:rPr>
        <w:t>度；若有狭窄注明狭窄直径和长度；</w:t>
      </w:r>
      <w:r>
        <w:rPr>
          <w:rFonts w:ascii="Times New Roman" w:hAnsi="Times New Roman" w:eastAsia="Times New Roman" w:cs="Times New Roman"/>
        </w:rPr>
        <w:t>Barrett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spacing w:val="1"/>
        </w:rPr>
        <w:t>食管应注</w:t>
      </w:r>
      <w:r>
        <w:rPr/>
        <w:t xml:space="preserve"> </w:t>
      </w:r>
      <w:r>
        <w:rPr>
          <w:spacing w:val="2"/>
        </w:rPr>
        <w:t>明其长度、有无食管裂孔疝。</w:t>
      </w:r>
    </w:p>
    <w:p>
      <w:pPr>
        <w:pStyle w:val="BodyText"/>
        <w:ind w:left="169" w:right="240" w:firstLine="340"/>
        <w:spacing w:before="16" w:line="296" w:lineRule="auto"/>
        <w:jc w:val="both"/>
        <w:rPr/>
      </w:pPr>
      <w:r>
        <w:rPr>
          <w:rFonts w:ascii="Times New Roman" w:hAnsi="Times New Roman" w:eastAsia="Times New Roman" w:cs="Times New Roman"/>
          <w:spacing w:val="4"/>
        </w:rPr>
        <w:t>2.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spacing w:val="4"/>
        </w:rPr>
        <w:t>的病理分级：见表2。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</w:rPr>
        <w:t>RE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的基本病理改</w:t>
      </w:r>
      <w:r>
        <w:rPr>
          <w:spacing w:val="5"/>
        </w:rPr>
        <w:t xml:space="preserve">  </w:t>
      </w:r>
      <w:r>
        <w:rPr>
          <w:spacing w:val="7"/>
        </w:rPr>
        <w:t>变是：(1)食管鳞状上皮增生，包括基底细胞增生超</w:t>
      </w:r>
      <w:r>
        <w:rPr>
          <w:spacing w:val="16"/>
        </w:rPr>
        <w:t xml:space="preserve"> </w:t>
      </w:r>
      <w:r>
        <w:rPr>
          <w:spacing w:val="21"/>
        </w:rPr>
        <w:t>过3层和上皮延伸；(2)黏膜固有层乳头向表</w:t>
      </w:r>
      <w:r>
        <w:rPr>
          <w:spacing w:val="20"/>
        </w:rPr>
        <w:t>面延</w:t>
      </w:r>
      <w:r>
        <w:rPr/>
        <w:t xml:space="preserve"> </w:t>
      </w:r>
      <w:r>
        <w:rPr>
          <w:spacing w:val="11"/>
        </w:rPr>
        <w:t>伸，达上皮层厚度的2/3,浅层毛细血管扩张，充血</w:t>
      </w:r>
      <w:r>
        <w:rPr>
          <w:spacing w:val="17"/>
        </w:rPr>
        <w:t xml:space="preserve"> </w:t>
      </w:r>
      <w:r>
        <w:rPr>
          <w:spacing w:val="16"/>
        </w:rPr>
        <w:t>及(或)出血；(3)上皮层内中性白细胞和淋巴细胞</w:t>
      </w:r>
      <w:r>
        <w:rPr/>
        <w:t xml:space="preserve"> </w:t>
      </w:r>
      <w:r>
        <w:rPr>
          <w:spacing w:val="7"/>
        </w:rPr>
        <w:t>浸润；(4)黏膜糜烂或溃疡形成，炎细胞浸润，肉芽</w:t>
      </w:r>
      <w:r>
        <w:rPr>
          <w:spacing w:val="16"/>
        </w:rPr>
        <w:t xml:space="preserve"> </w:t>
      </w:r>
      <w:r>
        <w:rPr>
          <w:spacing w:val="16"/>
        </w:rPr>
        <w:t>组织形成和(或)纤维化；(5)胃食管连接处以上出</w:t>
      </w:r>
      <w:r>
        <w:rPr>
          <w:spacing w:val="14"/>
        </w:rPr>
        <w:t xml:space="preserve"> </w:t>
      </w:r>
      <w:r>
        <w:rPr>
          <w:spacing w:val="-7"/>
        </w:rPr>
        <w:t>现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7"/>
        </w:rPr>
        <w:t>Barrett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7"/>
        </w:rPr>
        <w:t>食管改变。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71"/>
        <w:spacing w:before="56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b/>
          <w:bCs/>
          <w:spacing w:val="-2"/>
        </w:rPr>
        <w:t>表2反流性食管炎病理分级</w:t>
      </w:r>
    </w:p>
    <w:p>
      <w:pPr>
        <w:spacing w:line="72" w:lineRule="exact"/>
        <w:rPr/>
      </w:pPr>
      <w:r/>
    </w:p>
    <w:tbl>
      <w:tblPr>
        <w:tblStyle w:val="TableNormal"/>
        <w:tblW w:w="461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3"/>
        <w:gridCol w:w="1046"/>
        <w:gridCol w:w="927"/>
        <w:gridCol w:w="804"/>
      </w:tblGrid>
      <w:tr>
        <w:trPr>
          <w:trHeight w:val="676" w:hRule="atLeast"/>
        </w:trPr>
        <w:tc>
          <w:tcPr>
            <w:tcW w:w="1833" w:type="dxa"/>
            <w:vAlign w:val="top"/>
            <w:tcBorders>
              <w:top w:val="single" w:color="00000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/>
              <w:spacing w:before="36" w:line="219" w:lineRule="auto"/>
              <w:rPr/>
            </w:pPr>
            <w:r>
              <w:rPr>
                <w:spacing w:val="-1"/>
              </w:rPr>
              <w:t>病理改变</w:t>
            </w:r>
          </w:p>
        </w:tc>
        <w:tc>
          <w:tcPr>
            <w:tcW w:w="1046" w:type="dxa"/>
            <w:vAlign w:val="top"/>
            <w:tcBorders>
              <w:top w:val="single" w:color="000000" w:sz="4" w:space="0"/>
            </w:tcBorders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6"/>
              <w:spacing w:before="35" w:line="219" w:lineRule="auto"/>
              <w:rPr/>
            </w:pPr>
            <w:r>
              <w:rPr>
                <w:spacing w:val="-2"/>
              </w:rPr>
              <w:t>轻度</w:t>
            </w:r>
          </w:p>
        </w:tc>
        <w:tc>
          <w:tcPr>
            <w:tcW w:w="9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81"/>
              <w:spacing w:before="119" w:line="220" w:lineRule="auto"/>
              <w:rPr/>
            </w:pPr>
            <w:r>
              <w:rPr>
                <w:spacing w:val="-3"/>
              </w:rPr>
              <w:t>分</w:t>
            </w:r>
            <w:r>
              <w:rPr>
                <w:spacing w:val="2"/>
              </w:rPr>
              <w:t xml:space="preserve">   </w:t>
            </w:r>
            <w:r>
              <w:rPr>
                <w:spacing w:val="-3"/>
              </w:rPr>
              <w:t>级</w:t>
            </w:r>
          </w:p>
          <w:p>
            <w:pPr>
              <w:pStyle w:val="TableText"/>
              <w:ind w:left="351"/>
              <w:spacing w:before="208" w:line="220" w:lineRule="auto"/>
              <w:rPr/>
            </w:pPr>
            <w:r>
              <w:rPr>
                <w:spacing w:val="3"/>
              </w:rPr>
              <w:t>中度</w:t>
            </w:r>
          </w:p>
        </w:tc>
        <w:tc>
          <w:tcPr>
            <w:tcW w:w="804" w:type="dxa"/>
            <w:vAlign w:val="top"/>
            <w:tcBorders>
              <w:top w:val="single" w:color="000000" w:sz="4" w:space="0"/>
            </w:tcBorders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/>
              <w:spacing w:before="36" w:line="220" w:lineRule="auto"/>
              <w:rPr/>
            </w:pPr>
            <w:r>
              <w:rPr>
                <w:spacing w:val="-2"/>
              </w:rPr>
              <w:t>重度</w:t>
            </w:r>
          </w:p>
        </w:tc>
      </w:tr>
      <w:tr>
        <w:trPr>
          <w:trHeight w:val="334" w:hRule="atLeast"/>
        </w:trPr>
        <w:tc>
          <w:tcPr>
            <w:tcW w:w="1833" w:type="dxa"/>
            <w:vAlign w:val="top"/>
          </w:tcPr>
          <w:p>
            <w:pPr>
              <w:pStyle w:val="TableText"/>
              <w:ind w:left="80"/>
              <w:spacing w:before="113" w:line="219" w:lineRule="auto"/>
              <w:rPr/>
            </w:pPr>
            <w:r>
              <w:rPr>
                <w:spacing w:val="-1"/>
              </w:rPr>
              <w:t>鳞状上皮增生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637"/>
              <w:spacing w:before="124" w:line="155" w:lineRule="exact"/>
              <w:rPr/>
            </w:pPr>
            <w:r>
              <w:rPr>
                <w:position w:val="1"/>
              </w:rPr>
              <w:t>+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431"/>
              <w:spacing w:before="124" w:line="155" w:lineRule="exact"/>
              <w:rPr/>
            </w:pPr>
            <w:r>
              <w:rPr>
                <w:position w:val="1"/>
              </w:rPr>
              <w:t>+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354"/>
              <w:spacing w:before="124" w:line="155" w:lineRule="exact"/>
              <w:rPr/>
            </w:pPr>
            <w:r>
              <w:rPr>
                <w:position w:val="1"/>
              </w:rPr>
              <w:t>+</w:t>
            </w:r>
          </w:p>
        </w:tc>
      </w:tr>
      <w:tr>
        <w:trPr>
          <w:trHeight w:val="338" w:hRule="atLeast"/>
        </w:trPr>
        <w:tc>
          <w:tcPr>
            <w:tcW w:w="1833" w:type="dxa"/>
            <w:vAlign w:val="top"/>
          </w:tcPr>
          <w:p>
            <w:pPr>
              <w:pStyle w:val="TableText"/>
              <w:ind w:left="80"/>
              <w:spacing w:before="119" w:line="219" w:lineRule="auto"/>
              <w:rPr/>
            </w:pPr>
            <w:r>
              <w:rPr>
                <w:spacing w:val="-1"/>
              </w:rPr>
              <w:t>黏膜固有层乳头延伸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637"/>
              <w:spacing w:before="130" w:line="156" w:lineRule="exact"/>
              <w:rPr/>
            </w:pPr>
            <w:r>
              <w:rPr>
                <w:position w:val="1"/>
              </w:rPr>
              <w:t>+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431"/>
              <w:spacing w:before="130" w:line="156" w:lineRule="exact"/>
              <w:rPr/>
            </w:pPr>
            <w:r>
              <w:rPr>
                <w:position w:val="1"/>
              </w:rPr>
              <w:t>+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354"/>
              <w:spacing w:before="130" w:line="156" w:lineRule="exact"/>
              <w:rPr/>
            </w:pPr>
            <w:r>
              <w:rPr>
                <w:position w:val="1"/>
              </w:rPr>
              <w:t>+</w:t>
            </w:r>
          </w:p>
        </w:tc>
      </w:tr>
      <w:tr>
        <w:trPr>
          <w:trHeight w:val="339" w:hRule="atLeast"/>
        </w:trPr>
        <w:tc>
          <w:tcPr>
            <w:tcW w:w="1833" w:type="dxa"/>
            <w:vAlign w:val="top"/>
          </w:tcPr>
          <w:p>
            <w:pPr>
              <w:pStyle w:val="TableText"/>
              <w:ind w:left="80"/>
              <w:spacing w:before="121" w:line="219" w:lineRule="auto"/>
              <w:rPr/>
            </w:pPr>
            <w:r>
              <w:rPr>
                <w:spacing w:val="-1"/>
              </w:rPr>
              <w:t>上皮细胞层内炎细胞浸润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637"/>
              <w:spacing w:before="132" w:line="156" w:lineRule="exact"/>
              <w:rPr/>
            </w:pPr>
            <w:r>
              <w:rPr>
                <w:position w:val="1"/>
              </w:rPr>
              <w:t>+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431"/>
              <w:spacing w:before="132" w:line="156" w:lineRule="exact"/>
              <w:rPr/>
            </w:pPr>
            <w:r>
              <w:rPr>
                <w:position w:val="1"/>
              </w:rPr>
              <w:t>+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354"/>
              <w:spacing w:before="132" w:line="156" w:lineRule="exact"/>
              <w:rPr/>
            </w:pPr>
            <w:r>
              <w:rPr>
                <w:position w:val="1"/>
              </w:rPr>
              <w:t>+</w:t>
            </w:r>
          </w:p>
        </w:tc>
      </w:tr>
      <w:tr>
        <w:trPr>
          <w:trHeight w:val="339" w:hRule="atLeast"/>
        </w:trPr>
        <w:tc>
          <w:tcPr>
            <w:tcW w:w="1833" w:type="dxa"/>
            <w:vAlign w:val="top"/>
          </w:tcPr>
          <w:p>
            <w:pPr>
              <w:pStyle w:val="TableText"/>
              <w:ind w:left="80"/>
              <w:spacing w:before="122" w:line="219" w:lineRule="auto"/>
              <w:rPr/>
            </w:pPr>
            <w:r>
              <w:rPr>
                <w:spacing w:val="-1"/>
              </w:rPr>
              <w:t>黏膜糜烂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617"/>
              <w:spacing w:before="174" w:line="85" w:lineRule="exact"/>
              <w:rPr/>
            </w:pPr>
            <w:r>
              <w:rPr>
                <w:position w:val="-2"/>
              </w:rPr>
              <w:t>一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ind w:left="431"/>
              <w:spacing w:before="133" w:line="156" w:lineRule="exact"/>
              <w:rPr/>
            </w:pPr>
            <w:r>
              <w:rPr>
                <w:position w:val="1"/>
              </w:rPr>
              <w:t>+</w:t>
            </w:r>
          </w:p>
        </w:tc>
        <w:tc>
          <w:tcPr>
            <w:tcW w:w="8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8" w:hRule="atLeast"/>
        </w:trPr>
        <w:tc>
          <w:tcPr>
            <w:tcW w:w="1833" w:type="dxa"/>
            <w:vAlign w:val="top"/>
          </w:tcPr>
          <w:p>
            <w:pPr>
              <w:pStyle w:val="TableText"/>
              <w:ind w:left="80"/>
              <w:spacing w:before="123" w:line="220" w:lineRule="auto"/>
              <w:rPr/>
            </w:pPr>
            <w:r>
              <w:rPr>
                <w:spacing w:val="-1"/>
              </w:rPr>
              <w:t>溃疡形成</w:t>
            </w:r>
          </w:p>
        </w:tc>
        <w:tc>
          <w:tcPr>
            <w:tcW w:w="1046" w:type="dxa"/>
            <w:vAlign w:val="top"/>
          </w:tcPr>
          <w:p>
            <w:pPr>
              <w:pStyle w:val="TableText"/>
              <w:ind w:left="617"/>
              <w:spacing w:before="175" w:line="85" w:lineRule="exact"/>
              <w:rPr/>
            </w:pPr>
            <w:r>
              <w:rPr>
                <w:position w:val="-2"/>
              </w:rPr>
              <w:t>一</w:t>
            </w:r>
          </w:p>
        </w:tc>
        <w:tc>
          <w:tcPr>
            <w:tcW w:w="9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4" w:type="dxa"/>
            <w:vAlign w:val="top"/>
          </w:tcPr>
          <w:p>
            <w:pPr>
              <w:pStyle w:val="TableText"/>
              <w:ind w:left="354"/>
              <w:spacing w:before="134" w:line="156" w:lineRule="exact"/>
              <w:rPr/>
            </w:pPr>
            <w:r>
              <w:rPr>
                <w:position w:val="1"/>
              </w:rPr>
              <w:t>+</w:t>
            </w:r>
          </w:p>
        </w:tc>
      </w:tr>
      <w:tr>
        <w:trPr>
          <w:trHeight w:val="325" w:hRule="atLeast"/>
        </w:trPr>
        <w:tc>
          <w:tcPr>
            <w:tcW w:w="18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0"/>
              <w:spacing w:before="125" w:line="219" w:lineRule="auto"/>
              <w:rPr/>
            </w:pPr>
            <w:r>
              <w:rPr>
                <w:spacing w:val="-1"/>
              </w:rPr>
              <w:t>Barrett食管改变</w:t>
            </w:r>
          </w:p>
        </w:tc>
        <w:tc>
          <w:tcPr>
            <w:tcW w:w="10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37"/>
              <w:spacing w:before="188" w:line="74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1"/>
              <w:spacing w:before="188" w:line="74" w:lineRule="exact"/>
              <w:rPr/>
            </w:pPr>
            <w:r>
              <w:rPr>
                <w:position w:val="-2"/>
              </w:rPr>
              <w:t>-</w:t>
            </w:r>
          </w:p>
        </w:tc>
        <w:tc>
          <w:tcPr>
            <w:tcW w:w="8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4"/>
              <w:spacing w:before="128" w:line="224" w:lineRule="auto"/>
              <w:rPr/>
            </w:pPr>
            <w:r>
              <w:rPr>
                <w:spacing w:val="-1"/>
              </w:rPr>
              <w:t>+/-</w:t>
            </w:r>
          </w:p>
        </w:tc>
      </w:tr>
    </w:tbl>
    <w:p>
      <w:pPr>
        <w:pStyle w:val="BodyText"/>
        <w:ind w:left="40" w:right="21" w:firstLine="409"/>
        <w:spacing w:before="299" w:line="305" w:lineRule="auto"/>
        <w:jc w:val="both"/>
        <w:rPr/>
      </w:pPr>
      <w:r>
        <w:rPr>
          <w:spacing w:val="13"/>
        </w:rPr>
        <w:t>反流性食管炎时，可有鳞状上皮细胞假上皮瘤</w:t>
      </w:r>
      <w:r>
        <w:rPr>
          <w:spacing w:val="6"/>
        </w:rPr>
        <w:t xml:space="preserve"> </w:t>
      </w:r>
      <w:r>
        <w:rPr>
          <w:spacing w:val="4"/>
        </w:rPr>
        <w:t>性增生，纤维母细胞和血管内皮细胞增生，伴一定程</w:t>
      </w:r>
      <w:r>
        <w:rPr>
          <w:spacing w:val="1"/>
        </w:rPr>
        <w:t xml:space="preserve"> </w:t>
      </w:r>
      <w:r>
        <w:rPr>
          <w:spacing w:val="6"/>
        </w:rPr>
        <w:t>度的细胞异型性，应防止误诊为癌或肉瘤。</w:t>
      </w:r>
    </w:p>
    <w:p>
      <w:pPr>
        <w:pStyle w:val="BodyText"/>
        <w:ind w:left="200" w:right="8" w:firstLine="250"/>
        <w:spacing w:before="1" w:line="258" w:lineRule="auto"/>
        <w:rPr/>
      </w:pPr>
      <w:r>
        <w:rPr>
          <w:rFonts w:ascii="Times New Roman" w:hAnsi="Times New Roman" w:eastAsia="Times New Roman" w:cs="Times New Roman"/>
          <w:spacing w:val="12"/>
        </w:rPr>
        <w:t>3.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12"/>
        </w:rPr>
        <w:t>质子泵抑制剂</w:t>
      </w:r>
      <w:r>
        <w:rPr>
          <w:rFonts w:ascii="Times New Roman" w:hAnsi="Times New Roman" w:eastAsia="Times New Roman" w:cs="Times New Roman"/>
          <w:spacing w:val="12"/>
        </w:rPr>
        <w:t>(</w:t>
      </w:r>
      <w:r>
        <w:rPr>
          <w:rFonts w:ascii="Times New Roman" w:hAnsi="Times New Roman" w:eastAsia="Times New Roman" w:cs="Times New Roman"/>
        </w:rPr>
        <w:t>PPI</w:t>
      </w:r>
      <w:r>
        <w:rPr>
          <w:rFonts w:ascii="Times New Roman" w:hAnsi="Times New Roman" w:eastAsia="Times New Roman" w:cs="Times New Roman"/>
          <w:spacing w:val="12"/>
        </w:rPr>
        <w:t>)   </w:t>
      </w:r>
      <w:r>
        <w:rPr>
          <w:spacing w:val="12"/>
        </w:rPr>
        <w:t>试验：标准剂量连用</w:t>
      </w:r>
      <w:r>
        <w:rPr>
          <w:spacing w:val="11"/>
        </w:rPr>
        <w:t>14</w:t>
      </w:r>
      <w:r>
        <w:rPr/>
        <w:t xml:space="preserve"> </w:t>
      </w:r>
      <w:r>
        <w:rPr>
          <w:spacing w:val="13"/>
        </w:rPr>
        <w:t>或双倍剂量连用7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d,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13"/>
        </w:rPr>
        <w:t>患者症状消失或显著好转。</w:t>
      </w:r>
    </w:p>
    <w:p>
      <w:pPr>
        <w:pStyle w:val="BodyText"/>
        <w:ind w:left="40" w:right="13" w:firstLine="409"/>
        <w:spacing w:before="130" w:line="278" w:lineRule="auto"/>
        <w:rPr/>
      </w:pPr>
      <w:r>
        <w:rPr>
          <w:rFonts w:ascii="SimSun" w:hAnsi="SimSun" w:eastAsia="SimSun" w:cs="SimSun"/>
          <w:spacing w:val="4"/>
        </w:rPr>
        <w:t>4.</w:t>
      </w:r>
      <w:r>
        <w:rPr>
          <w:spacing w:val="4"/>
        </w:rPr>
        <w:t>鉴别诊断：注意与药物性食管炎、霉菌性食管</w:t>
      </w:r>
      <w:r>
        <w:rPr>
          <w:spacing w:val="2"/>
        </w:rPr>
        <w:t xml:space="preserve"> </w:t>
      </w:r>
      <w:r>
        <w:rPr>
          <w:spacing w:val="4"/>
        </w:rPr>
        <w:t>炎、腐蚀性食管炎、免疫相关的食管病变以及食管癌</w:t>
      </w:r>
      <w:r>
        <w:rPr>
          <w:spacing w:val="9"/>
        </w:rPr>
        <w:t xml:space="preserve"> </w:t>
      </w:r>
      <w:r>
        <w:rPr>
          <w:spacing w:val="3"/>
        </w:rPr>
        <w:t>鉴别。</w:t>
      </w:r>
    </w:p>
    <w:p>
      <w:pPr>
        <w:ind w:left="450"/>
        <w:spacing w:before="88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1"/>
        </w:rPr>
        <w:t>二、</w:t>
      </w:r>
      <w:r>
        <w:rPr>
          <w:rFonts w:ascii="SimSun" w:hAnsi="SimSun" w:eastAsia="SimSun" w:cs="SimSun"/>
          <w:sz w:val="20"/>
          <w:szCs w:val="20"/>
          <w:spacing w:val="-11"/>
        </w:rPr>
        <w:t>RE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1"/>
        </w:rPr>
        <w:t>的治疗</w:t>
      </w:r>
    </w:p>
    <w:p>
      <w:pPr>
        <w:pStyle w:val="BodyText"/>
        <w:ind w:left="40" w:right="43" w:firstLine="409"/>
        <w:spacing w:before="91" w:line="265" w:lineRule="auto"/>
        <w:rPr/>
      </w:pPr>
      <w:r>
        <w:rPr>
          <w:rFonts w:ascii="SimSun" w:hAnsi="SimSun" w:eastAsia="SimSun" w:cs="SimSun"/>
          <w:spacing w:val="11"/>
        </w:rPr>
        <w:t>1.</w:t>
      </w:r>
      <w:r>
        <w:rPr>
          <w:spacing w:val="11"/>
        </w:rPr>
        <w:t>治疗目的：(1)减轻或消除症状；(2)</w:t>
      </w:r>
      <w:r>
        <w:rPr>
          <w:spacing w:val="10"/>
        </w:rPr>
        <w:t>防治并</w:t>
      </w:r>
      <w:r>
        <w:rPr/>
        <w:t xml:space="preserve"> </w:t>
      </w:r>
      <w:r>
        <w:rPr>
          <w:spacing w:val="3"/>
        </w:rPr>
        <w:t>发症；(3)预防复发。</w:t>
      </w:r>
    </w:p>
    <w:p>
      <w:pPr>
        <w:pStyle w:val="BodyText"/>
        <w:ind w:left="40" w:right="21" w:firstLine="409"/>
        <w:spacing w:before="88" w:line="260" w:lineRule="auto"/>
        <w:rPr/>
      </w:pPr>
      <w:r>
        <w:rPr>
          <w:rFonts w:ascii="SimSun" w:hAnsi="SimSun" w:eastAsia="SimSun" w:cs="SimSun"/>
          <w:spacing w:val="-8"/>
        </w:rPr>
        <w:t>2.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8"/>
        </w:rPr>
        <w:t>一般治疗：抬高患者床头，戒烟酒，低脂、低糖</w:t>
      </w:r>
      <w:r>
        <w:rPr/>
        <w:t xml:space="preserve"> </w:t>
      </w:r>
      <w:r>
        <w:rPr>
          <w:spacing w:val="-5"/>
        </w:rPr>
        <w:t>饮食，避免饱食。</w:t>
      </w:r>
    </w:p>
    <w:p>
      <w:pPr>
        <w:pStyle w:val="BodyText"/>
        <w:ind w:left="40" w:firstLine="409"/>
        <w:spacing w:before="77" w:line="296" w:lineRule="auto"/>
        <w:rPr/>
      </w:pPr>
      <w:r>
        <w:rPr>
          <w:rFonts w:ascii="Times New Roman" w:hAnsi="Times New Roman" w:eastAsia="Times New Roman" w:cs="Times New Roman"/>
          <w:spacing w:val="2"/>
        </w:rPr>
        <w:t>3.  </w:t>
      </w:r>
      <w:r>
        <w:rPr>
          <w:spacing w:val="2"/>
        </w:rPr>
        <w:t>药物治疗：(1)推荐递减法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step</w:t>
      </w:r>
      <w:r>
        <w:rPr>
          <w:rFonts w:ascii="Times New Roman" w:hAnsi="Times New Roman" w:eastAsia="Times New Roman" w:cs="Times New Roman"/>
          <w:spacing w:val="7"/>
        </w:rPr>
        <w:t xml:space="preserve">     </w:t>
      </w:r>
      <w:r>
        <w:rPr>
          <w:rFonts w:ascii="Times New Roman" w:hAnsi="Times New Roman" w:eastAsia="Times New Roman" w:cs="Times New Roman"/>
        </w:rPr>
        <w:t>down</w:t>
      </w:r>
      <w:r>
        <w:rPr>
          <w:rFonts w:ascii="Times New Roman" w:hAnsi="Times New Roman" w:eastAsia="Times New Roman" w:cs="Times New Roman"/>
          <w:spacing w:val="2"/>
        </w:rPr>
        <w:t>)</w:t>
      </w:r>
      <w:r>
        <w:rPr>
          <w:rFonts w:ascii="Times New Roman" w:hAnsi="Times New Roman" w:eastAsia="Times New Roman" w:cs="Times New Roman"/>
          <w:spacing w:val="1"/>
        </w:rPr>
        <w:t>:</w:t>
      </w:r>
      <w:r>
        <w:rPr>
          <w:spacing w:val="1"/>
        </w:rPr>
        <w:t>开</w:t>
      </w:r>
      <w:r>
        <w:rPr>
          <w:spacing w:val="-27"/>
        </w:rPr>
        <w:t xml:space="preserve"> </w:t>
      </w:r>
      <w:r>
        <w:rPr>
          <w:spacing w:val="1"/>
        </w:rPr>
        <w:t>始</w:t>
      </w:r>
      <w:r>
        <w:rPr/>
        <w:t xml:space="preserve"> </w:t>
      </w:r>
      <w:r>
        <w:rPr>
          <w:spacing w:val="8"/>
        </w:rPr>
        <w:t>用质子泵抑制剂标准剂量或双倍剂量，治疗8周，改</w:t>
      </w:r>
      <w:r>
        <w:rPr>
          <w:spacing w:val="7"/>
        </w:rPr>
        <w:t xml:space="preserve"> </w:t>
      </w:r>
      <w:r>
        <w:rPr>
          <w:spacing w:val="13"/>
        </w:rPr>
        <w:t>成维持治疗，维持治疗可用小剂量质子泵抑制剂或</w:t>
      </w:r>
      <w:r>
        <w:rPr>
          <w:spacing w:val="10"/>
        </w:rPr>
        <w:t xml:space="preserve"> </w:t>
      </w:r>
      <w:r>
        <w:rPr>
          <w:spacing w:val="12"/>
        </w:rPr>
        <w:t>治疗量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H₂ </w:t>
      </w:r>
      <w:r>
        <w:rPr>
          <w:spacing w:val="12"/>
        </w:rPr>
        <w:t>受体拮抗剂，每天服药，至少6个月。维</w:t>
      </w:r>
      <w:r>
        <w:rPr/>
        <w:t xml:space="preserve"> </w:t>
      </w:r>
      <w:r>
        <w:rPr>
          <w:spacing w:val="18"/>
        </w:rPr>
        <w:t>持治疗也可以采用按需服药方法。(2)</w:t>
      </w:r>
      <w:r>
        <w:rPr>
          <w:rFonts w:ascii="SimSun" w:hAnsi="SimSun" w:eastAsia="SimSun" w:cs="SimSun"/>
          <w:spacing w:val="18"/>
        </w:rPr>
        <w:t>I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18"/>
        </w:rPr>
        <w:t>级患者可</w:t>
      </w:r>
      <w:r>
        <w:rPr/>
        <w:t xml:space="preserve"> </w:t>
      </w:r>
      <w:r>
        <w:rPr>
          <w:spacing w:val="19"/>
        </w:rPr>
        <w:t>首选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H₂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19"/>
        </w:rPr>
        <w:t>受体拮抗剂或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19"/>
        </w:rPr>
        <w:t>H₂ </w:t>
      </w:r>
      <w:r>
        <w:rPr>
          <w:spacing w:val="19"/>
        </w:rPr>
        <w:t>受体拮抗剂联合促动力</w:t>
      </w:r>
      <w:r>
        <w:rPr/>
        <w:t xml:space="preserve"> </w:t>
      </w:r>
      <w:r>
        <w:rPr>
          <w:spacing w:val="-3"/>
        </w:rPr>
        <w:t>药。</w:t>
      </w:r>
    </w:p>
    <w:p>
      <w:pPr>
        <w:pStyle w:val="BodyText"/>
        <w:ind w:left="40" w:right="22" w:firstLine="409"/>
        <w:spacing w:before="103" w:line="278" w:lineRule="auto"/>
        <w:rPr/>
      </w:pPr>
      <w:r>
        <w:rPr>
          <w:rFonts w:ascii="SimSun" w:hAnsi="SimSun" w:eastAsia="SimSun" w:cs="SimSun"/>
          <w:spacing w:val="13"/>
        </w:rPr>
        <w:t>4.</w:t>
      </w:r>
      <w:r>
        <w:rPr>
          <w:spacing w:val="13"/>
        </w:rPr>
        <w:t>内镜治疗：有条件的单位可进行。内镜下贲</w:t>
      </w:r>
      <w:r>
        <w:rPr>
          <w:spacing w:val="9"/>
        </w:rPr>
        <w:t xml:space="preserve"> </w:t>
      </w:r>
      <w:r>
        <w:rPr>
          <w:spacing w:val="13"/>
        </w:rPr>
        <w:t>门缝扎术目前已在国内部分医院开展，取得了一定</w:t>
      </w:r>
      <w:r>
        <w:rPr>
          <w:spacing w:val="6"/>
        </w:rPr>
        <w:t xml:space="preserve"> </w:t>
      </w:r>
      <w:r>
        <w:rPr>
          <w:spacing w:val="6"/>
        </w:rPr>
        <w:t>疗效，远期疗效尚需经大量临床病例验证。</w:t>
      </w:r>
    </w:p>
    <w:p>
      <w:pPr>
        <w:pStyle w:val="BodyText"/>
        <w:ind w:left="40" w:right="2" w:firstLine="409"/>
        <w:spacing w:before="89" w:line="270" w:lineRule="auto"/>
        <w:rPr/>
      </w:pPr>
      <w:r>
        <w:rPr>
          <w:rFonts w:ascii="SimSun" w:hAnsi="SimSun" w:eastAsia="SimSun" w:cs="SimSun"/>
          <w:spacing w:val="12"/>
        </w:rPr>
        <w:t>5.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12"/>
        </w:rPr>
        <w:t>外科治疗：内科正规治疗有效但不愿终</w:t>
      </w:r>
      <w:r>
        <w:rPr>
          <w:spacing w:val="11"/>
        </w:rPr>
        <w:t>身服</w:t>
      </w:r>
      <w:r>
        <w:rPr/>
        <w:t xml:space="preserve"> </w:t>
      </w:r>
      <w:r>
        <w:rPr>
          <w:spacing w:val="14"/>
        </w:rPr>
        <w:t>药者、无效者或有并发症者可慎重选择外科抗反流</w:t>
      </w:r>
      <w:r>
        <w:rPr>
          <w:spacing w:val="4"/>
        </w:rPr>
        <w:t xml:space="preserve"> </w:t>
      </w:r>
      <w:r>
        <w:rPr>
          <w:spacing w:val="12"/>
        </w:rPr>
        <w:t>手术或腹腔镜下胃底折叠术。</w:t>
      </w:r>
    </w:p>
    <w:p>
      <w:pPr>
        <w:pStyle w:val="BodyText"/>
        <w:ind w:left="450"/>
        <w:spacing w:before="113" w:line="189" w:lineRule="auto"/>
        <w:rPr/>
      </w:pPr>
      <w:r>
        <w:rPr>
          <w:rFonts w:ascii="Times New Roman" w:hAnsi="Times New Roman" w:eastAsia="Times New Roman" w:cs="Times New Roman"/>
          <w:spacing w:val="14"/>
        </w:rPr>
        <w:t>6.</w:t>
      </w:r>
      <w:r>
        <w:rPr>
          <w:rFonts w:ascii="Times New Roman" w:hAnsi="Times New Roman" w:eastAsia="Times New Roman" w:cs="Times New Roman"/>
        </w:rPr>
        <w:t>GERD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4"/>
        </w:rPr>
        <w:t>诊治流程(见下页)</w:t>
      </w:r>
    </w:p>
    <w:p>
      <w:pPr>
        <w:spacing w:line="189" w:lineRule="auto"/>
        <w:sectPr>
          <w:type w:val="continuous"/>
          <w:pgSz w:w="11900" w:h="16820"/>
          <w:pgMar w:top="837" w:right="1073" w:bottom="0" w:left="860" w:header="0" w:footer="0" w:gutter="0"/>
          <w:cols w:equalWidth="0" w:num="2">
            <w:col w:w="5110" w:space="100"/>
            <w:col w:w="4757" w:space="0"/>
          </w:cols>
        </w:sectPr>
        <w:rPr/>
      </w:pPr>
    </w:p>
    <w:p>
      <w:pPr>
        <w:ind w:left="149"/>
        <w:spacing w:before="47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  <w:position w:val="2"/>
        </w:rPr>
        <w:t>—222—               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11"/>
        </w:rPr>
        <w:t>中华消化内镜杂志2</w:t>
      </w:r>
      <w:r>
        <w:rPr>
          <w:rFonts w:ascii="SimSun" w:hAnsi="SimSun" w:eastAsia="SimSun" w:cs="SimSun"/>
          <w:sz w:val="20"/>
          <w:szCs w:val="20"/>
          <w:u w:val="single" w:color="auto"/>
          <w:spacing w:val="-12"/>
        </w:rPr>
        <w:t>004年8月第21卷第4期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2"/>
        </w:rPr>
        <w:t>Chin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2"/>
        </w:rPr>
        <w:t>JDig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2"/>
        </w:rPr>
        <w:t>Endosc,August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2"/>
        </w:rPr>
        <w:t>2004,Vol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2"/>
        </w:rPr>
        <w:t>21,No.4</w:t>
      </w:r>
    </w:p>
    <w:p>
      <w:pPr>
        <w:ind w:left="4329"/>
        <w:spacing w:before="301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GERD</w:t>
      </w:r>
      <w:r>
        <w:rPr>
          <w:rFonts w:ascii="SimHei" w:hAnsi="SimHei" w:eastAsia="SimHei" w:cs="SimHei"/>
          <w:sz w:val="20"/>
          <w:szCs w:val="20"/>
          <w:spacing w:val="-11"/>
        </w:rPr>
        <w:t>诊治流程</w:t>
      </w:r>
    </w:p>
    <w:p>
      <w:pPr>
        <w:ind w:firstLine="329"/>
        <w:spacing w:before="64" w:line="4860" w:lineRule="exact"/>
        <w:rPr/>
      </w:pPr>
      <w:r>
        <w:rPr>
          <w:position w:val="-97"/>
        </w:rPr>
        <w:pict>
          <v:group id="_x0000_s2" style="mso-position-vertical-relative:line;mso-position-horizontal-relative:char;width:465.05pt;height:243pt;" filled="false" stroked="false" coordsize="9300,4860" coordorigin="0,0">
            <v:shape id="_x0000_s4" style="position:absolute;left:0;top:0;width:9300;height:4860;" filled="false" stroked="false" type="#_x0000_t75">
              <v:imagedata o:title="" r:id="rId2"/>
            </v:shape>
            <v:shape id="_x0000_s6" style="position:absolute;left:780;top:66;width:8520;height:47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80"/>
                      <w:spacing w:before="20" w:line="16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H₂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</w:rPr>
                      <w:t>受体拮抗剂</w:t>
                    </w:r>
                  </w:p>
                  <w:p>
                    <w:pPr>
                      <w:ind w:left="2779"/>
                      <w:spacing w:line="169" w:lineRule="exac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7"/>
                        <w:w w:val="96"/>
                        <w:position w:val="-1"/>
                      </w:rPr>
                      <w:t>或再加促动力药8周</w:t>
                    </w:r>
                  </w:p>
                  <w:p>
                    <w:pPr>
                      <w:ind w:left="989"/>
                      <w:spacing w:line="202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4"/>
                        <w:w w:val="98"/>
                      </w:rPr>
                      <w:t>有效</w:t>
                    </w:r>
                  </w:p>
                  <w:p>
                    <w:pPr>
                      <w:ind w:left="20"/>
                      <w:spacing w:before="30" w:line="221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2"/>
                      </w:rPr>
                      <w:t>PPI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2"/>
                      </w:rPr>
                      <w:t>试验</w:t>
                    </w:r>
                  </w:p>
                  <w:p>
                    <w:pPr>
                      <w:ind w:left="3698" w:right="4401" w:hanging="79"/>
                      <w:spacing w:before="123" w:line="195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4"/>
                        <w:w w:val="89"/>
                      </w:rPr>
                      <w:t>症状无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4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14"/>
                        <w:w w:val="96"/>
                      </w:rPr>
                      <w:t>改善</w:t>
                    </w:r>
                  </w:p>
                  <w:p>
                    <w:pPr>
                      <w:ind w:left="1660"/>
                      <w:spacing w:before="77" w:line="223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8"/>
                      </w:rPr>
                      <w:t>阳性</w:t>
                    </w:r>
                  </w:p>
                  <w:p>
                    <w:pPr>
                      <w:ind w:left="2310"/>
                      <w:spacing w:before="36" w:line="221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2"/>
                        <w:w w:val="90"/>
                      </w:rPr>
                      <w:t>→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5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42"/>
                        <w:w w:val="90"/>
                      </w:rPr>
                      <w:t>Ⅱ级一</w:t>
                    </w:r>
                  </w:p>
                  <w:p>
                    <w:pPr>
                      <w:ind w:left="719"/>
                      <w:spacing w:before="43" w:line="18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6"/>
                        <w:w w:val="98"/>
                      </w:rPr>
                      <w:t>内镜检查</w:t>
                    </w:r>
                  </w:p>
                  <w:p>
                    <w:pPr>
                      <w:ind w:left="3780"/>
                      <w:spacing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PPI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3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3"/>
                      </w:rPr>
                      <w:t>8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周</w:t>
                    </w:r>
                  </w:p>
                  <w:p>
                    <w:pPr>
                      <w:ind w:left="6919"/>
                      <w:spacing w:before="156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>无效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7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>→手术</w:t>
                    </w:r>
                  </w:p>
                  <w:p>
                    <w:pPr>
                      <w:ind w:left="4859" w:right="3000" w:firstLine="80"/>
                      <w:spacing w:before="152" w:line="17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4"/>
                        <w:w w:val="91"/>
                      </w:rPr>
                      <w:t>症状无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4"/>
                        <w:w w:val="94"/>
                      </w:rPr>
                      <w:t>明显改善</w:t>
                    </w:r>
                  </w:p>
                  <w:p>
                    <w:pPr>
                      <w:ind w:left="6830"/>
                      <w:spacing w:before="33" w:line="157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5"/>
                        <w:w w:val="96"/>
                      </w:rPr>
                      <w:t>症状无</w:t>
                    </w:r>
                  </w:p>
                  <w:p>
                    <w:pPr>
                      <w:ind w:left="6909"/>
                      <w:spacing w:before="1" w:line="19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6"/>
                      </w:rPr>
                      <w:t>改善</w:t>
                    </w:r>
                  </w:p>
                  <w:p>
                    <w:pPr>
                      <w:ind w:left="5620"/>
                      <w:spacing w:before="22" w:line="16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3"/>
                      </w:rPr>
                      <w:t>继续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3"/>
                      </w:rPr>
                      <w:t>PPI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3"/>
                      </w:rPr>
                      <w:t>标</w:t>
                    </w:r>
                  </w:p>
                  <w:p>
                    <w:pPr>
                      <w:ind w:left="5630"/>
                      <w:spacing w:before="1" w:line="194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4"/>
                      </w:rPr>
                      <w:t>准剂量8周</w:t>
                    </w:r>
                  </w:p>
                  <w:p>
                    <w:pPr>
                      <w:ind w:left="6840"/>
                      <w:spacing w:before="153" w:line="173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1"/>
                        <w:position w:val="1"/>
                      </w:rPr>
                      <w:t>症状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1"/>
                        <w:position w:val="1"/>
                      </w:rPr>
                      <w:t xml:space="preserve">   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1"/>
                      </w:rPr>
                      <w:t>维持剂量</w:t>
                    </w:r>
                  </w:p>
                  <w:p>
                    <w:pPr>
                      <w:spacing w:before="1" w:line="204" w:lineRule="auto"/>
                      <w:jc w:val="righ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8"/>
                        <w:w w:val="95"/>
                      </w:rPr>
                      <w:t>改善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2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8"/>
                        <w:w w:val="95"/>
                      </w:rPr>
                      <w:t>6个月以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1"/>
                        <w:w w:val="95"/>
                      </w:rPr>
                      <w:t>上</w:t>
                    </w:r>
                  </w:p>
                </w:txbxContent>
              </v:textbox>
            </v:shape>
            <v:shape id="_x0000_s8" style="position:absolute;left:5550;top:28;width:2028;height:19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987" w:type="dxa"/>
                      <w:tblInd w:w="20" w:type="dxa"/>
                      <w:tblLayout w:type="fixed"/>
                    </w:tblPr>
                    <w:tblGrid>
                      <w:gridCol w:w="915"/>
                      <w:gridCol w:w="1072"/>
                    </w:tblGrid>
                    <w:tr>
                      <w:trPr>
                        <w:trHeight w:val="1859" w:hRule="atLeast"/>
                      </w:trPr>
                      <w:tc>
                        <w:tcPr>
                          <w:tcW w:w="915" w:type="dxa"/>
                          <w:vAlign w:val="top"/>
                        </w:tcPr>
                        <w:p>
                          <w:pPr>
                            <w:ind w:left="170" w:right="243" w:hanging="170"/>
                            <w:spacing w:line="188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23"/>
                              <w:w w:val="95"/>
                            </w:rPr>
                            <w:t>症状明显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17"/>
                              <w:w w:val="98"/>
                            </w:rPr>
                            <w:t>改善</w:t>
                          </w:r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79" w:right="256" w:hanging="19"/>
                            <w:spacing w:before="65" w:line="171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23"/>
                              <w:w w:val="94"/>
                            </w:rPr>
                            <w:t>症状明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17"/>
                              <w:w w:val="86"/>
                            </w:rPr>
                            <w:t>显改善</w:t>
                          </w:r>
                        </w:p>
                      </w:tc>
                      <w:tc>
                        <w:tcPr>
                          <w:tcW w:w="1072" w:type="dxa"/>
                          <w:vAlign w:val="top"/>
                        </w:tcPr>
                        <w:p>
                          <w:pPr>
                            <w:ind w:left="244" w:right="50" w:firstLine="69"/>
                            <w:spacing w:before="9" w:line="179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14"/>
                              <w:w w:val="90"/>
                            </w:rPr>
                            <w:t>维持剂量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21"/>
                              <w:w w:val="98"/>
                            </w:rPr>
                            <w:t>6个月以上</w:t>
                          </w:r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94" w:firstLine="69"/>
                            <w:spacing w:before="65" w:line="162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14"/>
                              <w:w w:val="89"/>
                            </w:rPr>
                            <w:t>维持剂量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24"/>
                              <w:w w:val="98"/>
                            </w:rPr>
                            <w:t>6个月以</w:t>
                          </w: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9"/>
                              <w:w w:val="98"/>
                            </w:rPr>
                            <w:t>上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0" style="position:absolute;left:2870;top:3838;width:699;height: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4" w:lineRule="auto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7"/>
                      </w:rPr>
                      <w:t>食管24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7"/>
                      </w:rPr>
                      <w:t>h</w:t>
                    </w:r>
                  </w:p>
                </w:txbxContent>
              </v:textbox>
            </v:shape>
            <v:shape id="_x0000_s12" style="position:absolute;left:2400;top:3975;width:1116;height: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14" w:lineRule="auto"/>
                      <w:jc w:val="righ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3"/>
                      </w:rPr>
                      <w:t>阴性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3"/>
                      </w:rPr>
                      <w:t>p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2"/>
                      </w:rPr>
                      <w:t>H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2"/>
                      </w:rPr>
                      <w:t>检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9"/>
                      </w:rPr>
                      <w:t>查</w:t>
                    </w:r>
                  </w:p>
                </w:txbxContent>
              </v:textbox>
            </v:shape>
            <v:shape id="_x0000_s14" style="position:absolute;left:34;top:1552;width:151;height:17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反 酸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、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烧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心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'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53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胸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骨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后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"/>
                      </w:rPr>
                      <w:t>痛</w:t>
                    </w:r>
                  </w:p>
                </w:txbxContent>
              </v:textbox>
            </v:shape>
            <v:shape id="_x0000_s16" style="position:absolute;left:3060;top:2746;width:587;height:2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1" w:lineRule="auto"/>
                      <w:jc w:val="righ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7"/>
                        <w:w w:val="79"/>
                      </w:rPr>
                      <w:t>→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6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36"/>
                        <w:w w:val="79"/>
                      </w:rPr>
                      <w:t>Ⅲ级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1"/>
                        <w:w w:val="79"/>
                      </w:rPr>
                      <w:t>一</w:t>
                    </w:r>
                  </w:p>
                </w:txbxContent>
              </v:textbox>
            </v:shape>
            <v:shape id="_x0000_s18" style="position:absolute;left:1600;top:2286;width:420;height:2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(RE)</w:t>
                    </w:r>
                  </w:p>
                </w:txbxContent>
              </v:textbox>
            </v:shape>
            <v:shape id="_x0000_s20" style="position:absolute;left:1750;top:1056;width:377;height:2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1" w:lineRule="auto"/>
                      <w:jc w:val="righ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24"/>
                        <w:w w:val="92"/>
                      </w:rPr>
                      <w:t>无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8"/>
                        <w:w w:val="92"/>
                      </w:rPr>
                      <w:t>效</w:t>
                    </w:r>
                  </w:p>
                </w:txbxContent>
              </v:textbox>
            </v:shape>
            <v:shape id="_x0000_s22" style="position:absolute;left:6800;top:2577;width:369;height: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4" w:lineRule="auto"/>
                      <w:jc w:val="righ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62"/>
                      </w:rPr>
                      <w:t>内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0"/>
                      </w:rPr>
                      <w:t>镜</w:t>
                    </w:r>
                  </w:p>
                </w:txbxContent>
              </v:textbox>
            </v:shape>
            <v:shape id="_x0000_s24" style="position:absolute;left:6800;top:2717;width:357;height:2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2" w:lineRule="auto"/>
                      <w:jc w:val="righ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15"/>
                        <w:w w:val="85"/>
                      </w:rPr>
                      <w:t>治</w:t>
                    </w: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-9"/>
                        <w:w w:val="85"/>
                      </w:rPr>
                      <w:t>疗</w:t>
                    </w:r>
                  </w:p>
                </w:txbxContent>
              </v:textbox>
            </v:shape>
            <v:shape id="_x0000_s26" style="position:absolute;left:3240;top:922;width:435;height:1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57" w:lineRule="exact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5"/>
                        <w:position w:val="-2"/>
                      </w:rPr>
                      <w:t>I </w:t>
                    </w: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-5"/>
                        <w:position w:val="-2"/>
                      </w:rPr>
                      <w:t>级&lt;</w:t>
                    </w:r>
                  </w:p>
                </w:txbxContent>
              </v:textbox>
            </v:shape>
          </v:group>
        </w:pict>
      </w:r>
    </w:p>
    <w:p>
      <w:pPr>
        <w:ind w:right="22"/>
        <w:spacing w:before="113" w:line="223" w:lineRule="auto"/>
        <w:jc w:val="righ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1"/>
        </w:rPr>
        <w:t>(陆星华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1"/>
        </w:rPr>
        <w:t>张泰昌</w:t>
      </w:r>
      <w:r>
        <w:rPr>
          <w:rFonts w:ascii="KaiTi" w:hAnsi="KaiTi" w:eastAsia="KaiTi" w:cs="KaiTi"/>
          <w:sz w:val="20"/>
          <w:szCs w:val="20"/>
          <w:spacing w:val="11"/>
        </w:rPr>
        <w:t xml:space="preserve">  </w:t>
      </w:r>
      <w:r>
        <w:rPr>
          <w:rFonts w:ascii="KaiTi" w:hAnsi="KaiTi" w:eastAsia="KaiTi" w:cs="KaiTi"/>
          <w:sz w:val="20"/>
          <w:szCs w:val="20"/>
          <w:spacing w:val="11"/>
        </w:rPr>
        <w:t>整理)</w:t>
      </w:r>
    </w:p>
    <w:p>
      <w:pPr>
        <w:ind w:right="3"/>
        <w:spacing w:before="43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0"/>
          <w:w w:val="91"/>
        </w:rPr>
        <w:t>(收稿日期：2004-03-29)</w:t>
      </w:r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91621</wp:posOffset>
            </wp:positionV>
            <wp:extent cx="6210233" cy="1271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0233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9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2451051</wp:posOffset>
            </wp:positionH>
            <wp:positionV relativeFrom="paragraph">
              <wp:posOffset>-825969</wp:posOffset>
            </wp:positionV>
            <wp:extent cx="1790739" cy="173988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739" cy="173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spacing w:val="7"/>
        </w:rPr>
        <w:t>《中华消化内镜杂志》第三届编辑委员会名单</w:t>
      </w:r>
    </w:p>
    <w:p>
      <w:pPr>
        <w:ind w:left="109"/>
        <w:spacing w:before="2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顾      问：曹世植 张志宏 汪鸿志</w:t>
      </w:r>
    </w:p>
    <w:p>
      <w:pPr>
        <w:ind w:left="129"/>
        <w:spacing w:before="4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5"/>
        </w:rPr>
        <w:t>名誉总编辑</w:t>
      </w:r>
      <w:r>
        <w:rPr>
          <w:rFonts w:ascii="SimSun" w:hAnsi="SimSun" w:eastAsia="SimSun" w:cs="SimSun"/>
          <w:sz w:val="20"/>
          <w:szCs w:val="20"/>
          <w:spacing w:val="-25"/>
        </w:rPr>
        <w:t>：于中麟</w:t>
      </w:r>
    </w:p>
    <w:p>
      <w:pPr>
        <w:ind w:left="119"/>
        <w:spacing w:before="7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4"/>
        </w:rPr>
        <w:t>总  编</w:t>
      </w:r>
      <w:r>
        <w:rPr>
          <w:rFonts w:ascii="SimSun" w:hAnsi="SimSun" w:eastAsia="SimSun" w:cs="SimSun"/>
          <w:sz w:val="20"/>
          <w:szCs w:val="20"/>
          <w:spacing w:val="10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4"/>
        </w:rPr>
        <w:t>辑</w:t>
      </w:r>
      <w:r>
        <w:rPr>
          <w:rFonts w:ascii="SimSun" w:hAnsi="SimSun" w:eastAsia="SimSun" w:cs="SimSun"/>
          <w:sz w:val="20"/>
          <w:szCs w:val="20"/>
          <w:spacing w:val="-24"/>
        </w:rPr>
        <w:t>：张齐联</w:t>
      </w:r>
    </w:p>
    <w:p>
      <w:pPr>
        <w:ind w:left="129"/>
        <w:spacing w:before="6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2"/>
        </w:rPr>
        <w:t>副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总</w:t>
      </w:r>
      <w:r>
        <w:rPr>
          <w:rFonts w:ascii="SimHei" w:hAnsi="SimHei" w:eastAsia="SimHei" w:cs="SimHei"/>
          <w:sz w:val="20"/>
          <w:szCs w:val="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编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</w:rPr>
        <w:t>辑</w:t>
      </w:r>
      <w:r>
        <w:rPr>
          <w:rFonts w:ascii="SimSun" w:hAnsi="SimSun" w:eastAsia="SimSun" w:cs="SimSun"/>
          <w:sz w:val="20"/>
          <w:szCs w:val="20"/>
          <w:spacing w:val="-12"/>
        </w:rPr>
        <w:t>：徐肇敏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陆星华 李兆申  夏玉亭</w:t>
      </w:r>
    </w:p>
    <w:p>
      <w:pPr>
        <w:ind w:left="119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编辑委员：(按姓氏笔画排序)</w:t>
      </w:r>
    </w:p>
    <w:p>
      <w:pPr>
        <w:pStyle w:val="BodyText"/>
        <w:ind w:left="1119" w:right="194" w:firstLine="19"/>
        <w:spacing w:before="103" w:line="265" w:lineRule="auto"/>
        <w:jc w:val="both"/>
        <w:rPr/>
      </w:pPr>
      <w:r>
        <w:rPr>
          <w:spacing w:val="6"/>
        </w:rPr>
        <w:t>丁</w:t>
      </w:r>
      <w:r>
        <w:rPr>
          <w:spacing w:val="93"/>
        </w:rPr>
        <w:t xml:space="preserve"> </w:t>
      </w:r>
      <w:r>
        <w:rPr>
          <w:spacing w:val="6"/>
        </w:rPr>
        <w:t>杰卜小乐</w:t>
      </w:r>
      <w:r>
        <w:rPr>
          <w:spacing w:val="92"/>
        </w:rPr>
        <w:t xml:space="preserve"> </w:t>
      </w:r>
      <w:r>
        <w:rPr>
          <w:spacing w:val="6"/>
        </w:rPr>
        <w:t>马</w:t>
      </w:r>
      <w:r>
        <w:rPr>
          <w:spacing w:val="89"/>
        </w:rPr>
        <w:t xml:space="preserve"> </w:t>
      </w:r>
      <w:r>
        <w:rPr>
          <w:spacing w:val="6"/>
        </w:rPr>
        <w:t>力</w:t>
      </w:r>
      <w:r>
        <w:rPr>
          <w:spacing w:val="86"/>
        </w:rPr>
        <w:t xml:space="preserve"> </w:t>
      </w:r>
      <w:r>
        <w:rPr>
          <w:spacing w:val="6"/>
        </w:rPr>
        <w:t>巴善铎方道连</w:t>
      </w:r>
      <w:r>
        <w:rPr>
          <w:spacing w:val="2"/>
        </w:rPr>
        <w:t xml:space="preserve">  </w:t>
      </w:r>
      <w:r>
        <w:rPr>
          <w:spacing w:val="6"/>
        </w:rPr>
        <w:t>王一平王邦茂</w:t>
      </w:r>
      <w:r>
        <w:rPr>
          <w:spacing w:val="47"/>
        </w:rPr>
        <w:t xml:space="preserve"> </w:t>
      </w:r>
      <w:r>
        <w:rPr>
          <w:spacing w:val="6"/>
        </w:rPr>
        <w:t>厉有名</w:t>
      </w:r>
      <w:r>
        <w:rPr>
          <w:spacing w:val="47"/>
        </w:rPr>
        <w:t xml:space="preserve"> </w:t>
      </w:r>
      <w:r>
        <w:rPr>
          <w:spacing w:val="6"/>
        </w:rPr>
        <w:t>旦</w:t>
      </w:r>
      <w:r>
        <w:rPr>
          <w:spacing w:val="2"/>
        </w:rPr>
        <w:t xml:space="preserve">  </w:t>
      </w:r>
      <w:r>
        <w:rPr>
          <w:spacing w:val="6"/>
        </w:rPr>
        <w:t>增</w:t>
      </w:r>
      <w:r>
        <w:rPr>
          <w:spacing w:val="52"/>
        </w:rPr>
        <w:t xml:space="preserve"> </w:t>
      </w:r>
      <w:r>
        <w:rPr>
          <w:spacing w:val="6"/>
        </w:rPr>
        <w:t>任</w:t>
      </w:r>
      <w:r>
        <w:rPr>
          <w:spacing w:val="2"/>
        </w:rPr>
        <w:t xml:space="preserve">  </w:t>
      </w:r>
      <w:r>
        <w:rPr>
          <w:spacing w:val="6"/>
        </w:rPr>
        <w:t>旭</w:t>
      </w:r>
      <w:r>
        <w:rPr>
          <w:spacing w:val="54"/>
        </w:rPr>
        <w:t xml:space="preserve"> </w:t>
      </w:r>
      <w:r>
        <w:rPr>
          <w:spacing w:val="6"/>
        </w:rPr>
        <w:t>刘南植刘顺英</w:t>
      </w:r>
      <w:r>
        <w:rPr/>
        <w:t xml:space="preserve"> </w:t>
      </w:r>
      <w:r>
        <w:rPr>
          <w:spacing w:val="-11"/>
        </w:rPr>
        <w:t>吕农华</w:t>
      </w:r>
      <w:r>
        <w:rPr>
          <w:spacing w:val="-11"/>
        </w:rPr>
        <w:t xml:space="preserve"> </w:t>
      </w:r>
      <w:r>
        <w:rPr>
          <w:spacing w:val="-11"/>
        </w:rPr>
        <w:t>孙述臣</w:t>
      </w:r>
      <w:r>
        <w:rPr>
          <w:spacing w:val="-11"/>
        </w:rPr>
        <w:t xml:space="preserve">  </w:t>
      </w:r>
      <w:r>
        <w:rPr>
          <w:spacing w:val="-11"/>
        </w:rPr>
        <w:t>师水生</w:t>
      </w:r>
      <w:r>
        <w:rPr>
          <w:spacing w:val="-11"/>
        </w:rPr>
        <w:t xml:space="preserve">  </w:t>
      </w:r>
      <w:r>
        <w:rPr>
          <w:spacing w:val="-11"/>
        </w:rPr>
        <w:t>朱人敏</w:t>
      </w:r>
      <w:r>
        <w:rPr>
          <w:spacing w:val="17"/>
        </w:rPr>
        <w:t xml:space="preserve">  </w:t>
      </w:r>
      <w:r>
        <w:rPr>
          <w:spacing w:val="-11"/>
        </w:rPr>
        <w:t>何利平</w:t>
      </w:r>
      <w:r>
        <w:rPr>
          <w:spacing w:val="13"/>
        </w:rPr>
        <w:t xml:space="preserve"> </w:t>
      </w:r>
      <w:r>
        <w:rPr>
          <w:spacing w:val="-11"/>
        </w:rPr>
        <w:t>吴云林</w:t>
      </w:r>
      <w:r>
        <w:rPr>
          <w:spacing w:val="3"/>
        </w:rPr>
        <w:t xml:space="preserve">  </w:t>
      </w:r>
      <w:r>
        <w:rPr>
          <w:spacing w:val="-11"/>
        </w:rPr>
        <w:t>张小勇</w:t>
      </w:r>
      <w:r>
        <w:rPr>
          <w:spacing w:val="-11"/>
        </w:rPr>
        <w:t xml:space="preserve">  </w:t>
      </w:r>
      <w:r>
        <w:rPr>
          <w:spacing w:val="-11"/>
        </w:rPr>
        <w:t>张泰昌</w:t>
      </w:r>
      <w:r>
        <w:rPr>
          <w:spacing w:val="-11"/>
        </w:rPr>
        <w:t xml:space="preserve">  </w:t>
      </w:r>
      <w:r>
        <w:rPr>
          <w:spacing w:val="-11"/>
        </w:rPr>
        <w:t>张澍田</w:t>
      </w:r>
      <w:r>
        <w:rPr>
          <w:spacing w:val="16"/>
        </w:rPr>
        <w:t xml:space="preserve"> </w:t>
      </w:r>
      <w:r>
        <w:rPr>
          <w:spacing w:val="-11"/>
        </w:rPr>
        <w:t>李瑜元</w:t>
      </w:r>
      <w:r>
        <w:rPr>
          <w:spacing w:val="-11"/>
        </w:rPr>
        <w:t xml:space="preserve">  </w:t>
      </w:r>
      <w:r>
        <w:rPr>
          <w:spacing w:val="-11"/>
        </w:rPr>
        <w:t>杨云生</w:t>
      </w:r>
      <w:r>
        <w:rPr>
          <w:spacing w:val="12"/>
        </w:rPr>
        <w:t xml:space="preserve"> </w:t>
      </w:r>
      <w:r>
        <w:rPr>
          <w:spacing w:val="-11"/>
        </w:rPr>
        <w:t>杨玉秀</w:t>
      </w:r>
      <w:r>
        <w:rPr/>
        <w:t xml:space="preserve"> </w:t>
      </w:r>
      <w:r>
        <w:rPr>
          <w:spacing w:val="-8"/>
        </w:rPr>
        <w:t>沈云志</w:t>
      </w:r>
      <w:r>
        <w:rPr>
          <w:spacing w:val="-8"/>
        </w:rPr>
        <w:t xml:space="preserve"> </w:t>
      </w:r>
      <w:r>
        <w:rPr>
          <w:spacing w:val="-8"/>
        </w:rPr>
        <w:t>苏秉忠</w:t>
      </w:r>
      <w:r>
        <w:rPr>
          <w:spacing w:val="-8"/>
        </w:rPr>
        <w:t xml:space="preserve">  </w:t>
      </w:r>
      <w:r>
        <w:rPr>
          <w:spacing w:val="-8"/>
        </w:rPr>
        <w:t>苏</w:t>
      </w:r>
      <w:r>
        <w:rPr>
          <w:spacing w:val="-8"/>
        </w:rPr>
        <w:t xml:space="preserve">  </w:t>
      </w:r>
      <w:r>
        <w:rPr>
          <w:spacing w:val="-8"/>
        </w:rPr>
        <w:t>鲁</w:t>
      </w:r>
      <w:r>
        <w:rPr>
          <w:spacing w:val="40"/>
        </w:rPr>
        <w:t xml:space="preserve"> </w:t>
      </w:r>
      <w:r>
        <w:rPr>
          <w:spacing w:val="-8"/>
        </w:rPr>
        <w:t>陈隆典</w:t>
      </w:r>
      <w:r>
        <w:rPr>
          <w:spacing w:val="-8"/>
        </w:rPr>
        <w:t xml:space="preserve">  </w:t>
      </w:r>
      <w:r>
        <w:rPr>
          <w:spacing w:val="-8"/>
        </w:rPr>
        <w:t>周丽雅</w:t>
      </w:r>
      <w:r>
        <w:rPr>
          <w:spacing w:val="-8"/>
        </w:rPr>
        <w:t xml:space="preserve">  </w:t>
      </w:r>
      <w:r>
        <w:rPr>
          <w:spacing w:val="-8"/>
        </w:rPr>
        <w:t>周晓军</w:t>
      </w:r>
      <w:r>
        <w:rPr>
          <w:spacing w:val="21"/>
        </w:rPr>
        <w:t xml:space="preserve"> </w:t>
      </w:r>
      <w:r>
        <w:rPr>
          <w:spacing w:val="-8"/>
        </w:rPr>
        <w:t>季国忠</w:t>
      </w:r>
      <w:r>
        <w:rPr>
          <w:spacing w:val="23"/>
        </w:rPr>
        <w:t xml:space="preserve"> </w:t>
      </w:r>
      <w:r>
        <w:rPr>
          <w:spacing w:val="-8"/>
        </w:rPr>
        <w:t>房殿春</w:t>
      </w:r>
      <w:r>
        <w:rPr>
          <w:spacing w:val="22"/>
        </w:rPr>
        <w:t xml:space="preserve"> </w:t>
      </w:r>
      <w:r>
        <w:rPr>
          <w:spacing w:val="-8"/>
        </w:rPr>
        <w:t>房静远</w:t>
      </w:r>
      <w:r>
        <w:rPr>
          <w:spacing w:val="-8"/>
        </w:rPr>
        <w:t xml:space="preserve">  </w:t>
      </w:r>
      <w:r>
        <w:rPr>
          <w:spacing w:val="-8"/>
        </w:rPr>
        <w:t>易粹琼</w:t>
      </w:r>
      <w:r>
        <w:rPr>
          <w:spacing w:val="13"/>
        </w:rPr>
        <w:t xml:space="preserve"> </w:t>
      </w:r>
      <w:r>
        <w:rPr>
          <w:spacing w:val="-8"/>
        </w:rPr>
        <w:t>郑家驹</w:t>
      </w:r>
      <w:r>
        <w:rPr>
          <w:spacing w:val="9"/>
        </w:rPr>
        <w:t xml:space="preserve">  </w:t>
      </w:r>
      <w:r>
        <w:rPr>
          <w:spacing w:val="-8"/>
        </w:rPr>
        <w:t>姚礼庆</w:t>
      </w:r>
      <w:r>
        <w:rPr>
          <w:spacing w:val="1"/>
        </w:rPr>
        <w:t xml:space="preserve"> </w:t>
      </w:r>
      <w:r>
        <w:rPr>
          <w:spacing w:val="-4"/>
        </w:rPr>
        <w:t>姜</w:t>
      </w:r>
      <w:r>
        <w:rPr>
          <w:spacing w:val="55"/>
        </w:rPr>
        <w:t xml:space="preserve"> </w:t>
      </w:r>
      <w:r>
        <w:rPr>
          <w:spacing w:val="-4"/>
        </w:rPr>
        <w:t>泊</w:t>
      </w:r>
      <w:r>
        <w:rPr>
          <w:spacing w:val="38"/>
        </w:rPr>
        <w:t xml:space="preserve"> </w:t>
      </w:r>
      <w:r>
        <w:rPr>
          <w:spacing w:val="-4"/>
        </w:rPr>
        <w:t>姜海行</w:t>
      </w:r>
      <w:r>
        <w:rPr>
          <w:spacing w:val="39"/>
        </w:rPr>
        <w:t xml:space="preserve"> </w:t>
      </w:r>
      <w:r>
        <w:rPr>
          <w:spacing w:val="-4"/>
        </w:rPr>
        <w:t>姜慧卿</w:t>
      </w:r>
      <w:r>
        <w:rPr>
          <w:spacing w:val="90"/>
        </w:rPr>
        <w:t xml:space="preserve"> </w:t>
      </w:r>
      <w:r>
        <w:rPr>
          <w:spacing w:val="-4"/>
        </w:rPr>
        <w:t>赵幼安</w:t>
      </w:r>
      <w:r>
        <w:rPr>
          <w:spacing w:val="33"/>
        </w:rPr>
        <w:t xml:space="preserve"> </w:t>
      </w:r>
      <w:r>
        <w:rPr>
          <w:spacing w:val="-4"/>
        </w:rPr>
        <w:t>徐富星</w:t>
      </w:r>
      <w:r>
        <w:rPr>
          <w:spacing w:val="38"/>
        </w:rPr>
        <w:t xml:space="preserve"> </w:t>
      </w:r>
      <w:r>
        <w:rPr>
          <w:spacing w:val="-4"/>
        </w:rPr>
        <w:t>秦明放</w:t>
      </w:r>
      <w:r>
        <w:rPr>
          <w:spacing w:val="36"/>
        </w:rPr>
        <w:t xml:space="preserve"> </w:t>
      </w:r>
      <w:r>
        <w:rPr>
          <w:spacing w:val="-4"/>
        </w:rPr>
        <w:t>郭</w:t>
      </w:r>
      <w:r>
        <w:rPr>
          <w:spacing w:val="40"/>
        </w:rPr>
        <w:t xml:space="preserve"> </w:t>
      </w:r>
      <w:r>
        <w:rPr>
          <w:spacing w:val="-4"/>
        </w:rPr>
        <w:t>强</w:t>
      </w:r>
      <w:r>
        <w:rPr>
          <w:spacing w:val="-4"/>
        </w:rPr>
        <w:t xml:space="preserve">  </w:t>
      </w:r>
      <w:r>
        <w:rPr>
          <w:spacing w:val="-4"/>
        </w:rPr>
        <w:t>黄介飞</w:t>
      </w:r>
      <w:r>
        <w:rPr>
          <w:spacing w:val="-4"/>
        </w:rPr>
        <w:t xml:space="preserve"> </w:t>
      </w:r>
      <w:r>
        <w:rPr>
          <w:spacing w:val="-4"/>
        </w:rPr>
        <w:t>黄永辉</w:t>
      </w:r>
      <w:r>
        <w:rPr>
          <w:spacing w:val="-4"/>
        </w:rPr>
        <w:t xml:space="preserve"> </w:t>
      </w:r>
      <w:r>
        <w:rPr>
          <w:spacing w:val="-4"/>
        </w:rPr>
        <w:t>黄裕新</w:t>
      </w:r>
      <w:r>
        <w:rPr>
          <w:spacing w:val="-4"/>
        </w:rPr>
        <w:t xml:space="preserve">  </w:t>
      </w:r>
      <w:r>
        <w:rPr>
          <w:spacing w:val="-4"/>
        </w:rPr>
        <w:t>龚</w:t>
      </w:r>
      <w:r>
        <w:rPr>
          <w:spacing w:val="55"/>
        </w:rPr>
        <w:t xml:space="preserve"> </w:t>
      </w:r>
      <w:r>
        <w:rPr>
          <w:spacing w:val="-4"/>
        </w:rPr>
        <w:t>彪</w:t>
      </w:r>
      <w:r>
        <w:rPr>
          <w:spacing w:val="-4"/>
        </w:rPr>
        <w:t xml:space="preserve">  </w:t>
      </w:r>
      <w:r>
        <w:rPr>
          <w:spacing w:val="-4"/>
        </w:rPr>
        <w:t>嵇振岭</w:t>
      </w:r>
      <w:r>
        <w:rPr/>
        <w:t xml:space="preserve"> </w:t>
      </w:r>
      <w:r>
        <w:rPr/>
        <w:t>熊元治</w:t>
      </w:r>
      <w:r>
        <w:rPr>
          <w:spacing w:val="41"/>
        </w:rPr>
        <w:t xml:space="preserve"> </w:t>
      </w:r>
      <w:r>
        <w:rPr/>
        <w:t>谭</w:t>
      </w:r>
      <w:r>
        <w:rPr>
          <w:spacing w:val="41"/>
        </w:rPr>
        <w:t xml:space="preserve"> </w:t>
      </w:r>
      <w:r>
        <w:rPr/>
        <w:t>敏</w:t>
      </w:r>
      <w:r>
        <w:rPr>
          <w:spacing w:val="42"/>
        </w:rPr>
        <w:t xml:space="preserve"> </w:t>
      </w:r>
      <w:r>
        <w:rPr/>
        <w:t>霍继荣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69846</wp:posOffset>
            </wp:positionH>
            <wp:positionV relativeFrom="paragraph">
              <wp:posOffset>28716</wp:posOffset>
            </wp:positionV>
            <wp:extent cx="6203886" cy="1271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3886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28" w:right="6360" w:hanging="109"/>
        <w:spacing w:before="65" w:line="3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《中华消化内镜杂志》特约审稿人名单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(按姓氏笔画排序)</w:t>
      </w:r>
    </w:p>
    <w:p>
      <w:pPr>
        <w:ind w:left="249" w:right="341" w:firstLine="19"/>
        <w:spacing w:before="2" w:line="26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戈之铮  王孟春  冯志杰  刘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俊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刘变英  孙思予 年卫东  朱</w:t>
      </w:r>
      <w:r>
        <w:rPr>
          <w:rFonts w:ascii="SimSun" w:hAnsi="SimSun" w:eastAsia="SimSun" w:cs="SimSun"/>
          <w:sz w:val="20"/>
          <w:szCs w:val="20"/>
          <w:spacing w:val="-8"/>
        </w:rPr>
        <w:t>春兰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李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文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李  闻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李端光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力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杨爱明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邹多武邹晓平范志宁  姚  力  施瑞华段丽萍胡  冰 项 平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诸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琦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郭学刚  崔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毅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麻树人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彭贵勇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智发朝  谢渭芬</w:t>
      </w:r>
      <w:r>
        <w:rPr>
          <w:rFonts w:ascii="SimSun" w:hAnsi="SimSun" w:eastAsia="SimSun" w:cs="SimSun"/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韩树堂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冀</w:t>
      </w:r>
      <w:r>
        <w:rPr>
          <w:rFonts w:ascii="SimSun" w:hAnsi="SimSun" w:eastAsia="SimSun" w:cs="SimSun"/>
          <w:sz w:val="20"/>
          <w:szCs w:val="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明</w:t>
      </w:r>
    </w:p>
    <w:p>
      <w:pPr>
        <w:spacing w:line="344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76195</wp:posOffset>
            </wp:positionH>
            <wp:positionV relativeFrom="paragraph">
              <wp:posOffset>172940</wp:posOffset>
            </wp:positionV>
            <wp:extent cx="6210310" cy="1271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0310" cy="1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45" w:lineRule="auto"/>
        <w:rPr>
          <w:rFonts w:ascii="Arial"/>
          <w:sz w:val="21"/>
        </w:rPr>
      </w:pPr>
      <w:r/>
    </w:p>
    <w:p>
      <w:pPr>
        <w:spacing w:before="66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《中华消化内镜杂志》编辑部地址及电话变更启事</w:t>
      </w:r>
    </w:p>
    <w:p>
      <w:pPr>
        <w:ind w:left="119" w:right="33" w:firstLine="249"/>
        <w:spacing w:before="23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</w:rPr>
        <w:t>《中华消化内镜杂志》编辑部已搬至新址，通讯地址改为南京市紫竹林3号，邮编21003,联系电话：025-8347</w:t>
      </w:r>
      <w:r>
        <w:rPr>
          <w:rFonts w:ascii="SimSun" w:hAnsi="SimSun" w:eastAsia="SimSun" w:cs="SimSun"/>
          <w:sz w:val="20"/>
          <w:szCs w:val="20"/>
          <w:spacing w:val="-15"/>
        </w:rPr>
        <w:t>2831,025-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86086091,传真：025-83472831,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>E-mail:xhnj@xhnj.com</w:t>
      </w:r>
      <w:r>
        <w:rPr>
          <w:rFonts w:ascii="SimSun" w:hAnsi="SimSun" w:eastAsia="SimSun" w:cs="SimSun"/>
          <w:sz w:val="20"/>
          <w:szCs w:val="20"/>
          <w:spacing w:val="-12"/>
        </w:rPr>
        <w:t>。</w:t>
      </w:r>
    </w:p>
    <w:sectPr>
      <w:pgSz w:w="11900" w:h="16820"/>
      <w:pgMar w:top="879" w:right="1319" w:bottom="0" w:left="6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2025-10-29T09:27:10Z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2025-10-29T09:27:10</vt:filetime>
  </property>
  <property fmtid="{D5CDD505-2E9C-101B-9397-08002B2CF9AE}" pid="4" name="UsrData">
    <vt:lpwstr>69016d6b534b79001feacfa1wl</vt:lpwstr>
  </property>
</Properties>
</file>